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6483C" w14:textId="24D3B28A" w:rsidR="00F5504F" w:rsidRPr="005B79BA" w:rsidRDefault="007D6849" w:rsidP="005B79BA">
      <w:pPr>
        <w:jc w:val="center"/>
        <w:rPr>
          <w:rFonts w:asciiTheme="majorHAnsi" w:hAnsiTheme="majorHAnsi" w:cs="Times New Roman"/>
          <w:b/>
          <w:sz w:val="28"/>
          <w:szCs w:val="28"/>
          <w:lang w:val="en-US"/>
        </w:rPr>
      </w:pPr>
      <w:r w:rsidRPr="005B79BA">
        <w:rPr>
          <w:rFonts w:asciiTheme="majorHAnsi" w:hAnsiTheme="majorHAnsi" w:cs="Times New Roman"/>
          <w:b/>
          <w:sz w:val="28"/>
          <w:szCs w:val="28"/>
          <w:lang w:val="en-US"/>
        </w:rPr>
        <w:t>Age-D</w:t>
      </w:r>
      <w:r w:rsidR="00F5504F" w:rsidRPr="005B79BA">
        <w:rPr>
          <w:rFonts w:asciiTheme="majorHAnsi" w:hAnsiTheme="majorHAnsi" w:cs="Times New Roman"/>
          <w:b/>
          <w:sz w:val="28"/>
          <w:szCs w:val="28"/>
          <w:lang w:val="en-US"/>
        </w:rPr>
        <w:t>ependent Risk of Stroke</w:t>
      </w:r>
      <w:r w:rsidR="00ED2078" w:rsidRPr="005B79BA">
        <w:rPr>
          <w:rFonts w:asciiTheme="majorHAnsi" w:hAnsiTheme="majorHAnsi" w:cs="Times New Roman"/>
          <w:b/>
          <w:sz w:val="28"/>
          <w:szCs w:val="28"/>
          <w:lang w:val="en-US"/>
        </w:rPr>
        <w:t xml:space="preserve"> and Death</w:t>
      </w:r>
      <w:r w:rsidR="00F5504F" w:rsidRPr="005B79BA">
        <w:rPr>
          <w:rFonts w:asciiTheme="majorHAnsi" w:hAnsiTheme="majorHAnsi" w:cs="Times New Roman"/>
          <w:b/>
          <w:sz w:val="28"/>
          <w:szCs w:val="28"/>
          <w:lang w:val="en-US"/>
        </w:rPr>
        <w:t xml:space="preserve"> in </w:t>
      </w:r>
      <w:r w:rsidR="006E199D" w:rsidRPr="005B79BA">
        <w:rPr>
          <w:rFonts w:asciiTheme="majorHAnsi" w:hAnsiTheme="majorHAnsi" w:cs="Times New Roman"/>
          <w:b/>
          <w:sz w:val="28"/>
          <w:szCs w:val="28"/>
          <w:lang w:val="en-US"/>
        </w:rPr>
        <w:t xml:space="preserve">Young </w:t>
      </w:r>
      <w:r w:rsidR="006674FF" w:rsidRPr="005B79BA">
        <w:rPr>
          <w:rFonts w:asciiTheme="majorHAnsi" w:hAnsiTheme="majorHAnsi" w:cs="Times New Roman"/>
          <w:b/>
          <w:sz w:val="28"/>
          <w:szCs w:val="28"/>
          <w:lang w:val="en-US"/>
        </w:rPr>
        <w:t xml:space="preserve">Patients with </w:t>
      </w:r>
      <w:r w:rsidR="00F5504F" w:rsidRPr="005B79BA">
        <w:rPr>
          <w:rFonts w:asciiTheme="majorHAnsi" w:hAnsiTheme="majorHAnsi" w:cs="Times New Roman"/>
          <w:b/>
          <w:sz w:val="28"/>
          <w:szCs w:val="28"/>
          <w:lang w:val="en-US"/>
        </w:rPr>
        <w:t>Atrial Fibrillation</w:t>
      </w:r>
      <w:r w:rsidR="006674FF" w:rsidRPr="005B79BA">
        <w:rPr>
          <w:rFonts w:asciiTheme="majorHAnsi" w:hAnsiTheme="majorHAnsi" w:cs="Times New Roman"/>
          <w:b/>
          <w:sz w:val="28"/>
          <w:szCs w:val="28"/>
          <w:lang w:val="en-US"/>
        </w:rPr>
        <w:t xml:space="preserve">: </w:t>
      </w:r>
      <w:r w:rsidR="00367E88" w:rsidRPr="005B79BA">
        <w:rPr>
          <w:rFonts w:asciiTheme="majorHAnsi" w:hAnsiTheme="majorHAnsi" w:cs="Times New Roman"/>
          <w:b/>
          <w:sz w:val="28"/>
          <w:szCs w:val="28"/>
          <w:lang w:val="en-US"/>
        </w:rPr>
        <w:t>A</w:t>
      </w:r>
      <w:r w:rsidR="00931826" w:rsidRPr="005B79BA">
        <w:rPr>
          <w:rFonts w:asciiTheme="majorHAnsi" w:hAnsiTheme="majorHAnsi" w:cs="Times New Roman"/>
          <w:b/>
          <w:sz w:val="28"/>
          <w:szCs w:val="28"/>
          <w:lang w:val="en-US"/>
        </w:rPr>
        <w:t xml:space="preserve"> </w:t>
      </w:r>
      <w:r w:rsidR="006674FF" w:rsidRPr="005B79BA">
        <w:rPr>
          <w:rFonts w:asciiTheme="majorHAnsi" w:hAnsiTheme="majorHAnsi" w:cs="Times New Roman"/>
          <w:b/>
          <w:sz w:val="28"/>
          <w:szCs w:val="28"/>
          <w:lang w:val="en-US"/>
        </w:rPr>
        <w:t xml:space="preserve">Nationwide </w:t>
      </w:r>
      <w:r w:rsidR="004D1193" w:rsidRPr="005B79BA">
        <w:rPr>
          <w:rFonts w:asciiTheme="majorHAnsi" w:hAnsiTheme="majorHAnsi" w:cs="Times New Roman"/>
          <w:b/>
          <w:sz w:val="28"/>
          <w:szCs w:val="28"/>
          <w:lang w:val="en-US"/>
        </w:rPr>
        <w:t>Cohort Study.</w:t>
      </w:r>
    </w:p>
    <w:p w14:paraId="5C6B62A7" w14:textId="77777777" w:rsidR="005B24E0" w:rsidRPr="005B79BA" w:rsidRDefault="005B24E0" w:rsidP="005B79BA">
      <w:pPr>
        <w:rPr>
          <w:rFonts w:asciiTheme="majorHAnsi" w:hAnsiTheme="majorHAnsi" w:cs="Times New Roman"/>
          <w:sz w:val="20"/>
          <w:szCs w:val="20"/>
          <w:lang w:val="en-US"/>
        </w:rPr>
      </w:pPr>
    </w:p>
    <w:p w14:paraId="0BE12ED6" w14:textId="4D9FE761" w:rsidR="008128D4" w:rsidRPr="005B79BA" w:rsidRDefault="00F5504F" w:rsidP="005B79BA">
      <w:pPr>
        <w:jc w:val="center"/>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Line </w:t>
      </w:r>
      <w:proofErr w:type="spellStart"/>
      <w:r w:rsidRPr="005B79BA">
        <w:rPr>
          <w:rFonts w:asciiTheme="majorHAnsi" w:hAnsiTheme="majorHAnsi" w:cs="Times New Roman"/>
          <w:sz w:val="20"/>
          <w:szCs w:val="20"/>
          <w:lang w:val="en-US"/>
        </w:rPr>
        <w:t>Melgaard</w:t>
      </w:r>
      <w:proofErr w:type="spellEnd"/>
      <w:r w:rsidRPr="005B79BA">
        <w:rPr>
          <w:rFonts w:asciiTheme="majorHAnsi" w:hAnsiTheme="majorHAnsi" w:cs="Times New Roman"/>
          <w:sz w:val="20"/>
          <w:szCs w:val="20"/>
          <w:lang w:val="en-US"/>
        </w:rPr>
        <w:t>, BSc</w:t>
      </w:r>
      <w:r w:rsidRPr="005B79BA">
        <w:rPr>
          <w:rFonts w:asciiTheme="majorHAnsi" w:hAnsiTheme="majorHAnsi" w:cs="Times New Roman"/>
          <w:sz w:val="20"/>
          <w:szCs w:val="20"/>
          <w:vertAlign w:val="superscript"/>
          <w:lang w:val="en-US"/>
        </w:rPr>
        <w:t>1</w:t>
      </w:r>
    </w:p>
    <w:p w14:paraId="03EE19DF" w14:textId="606320FB" w:rsidR="008128D4" w:rsidRPr="005B79BA" w:rsidRDefault="00F5504F" w:rsidP="005B79BA">
      <w:pPr>
        <w:jc w:val="center"/>
        <w:rPr>
          <w:rFonts w:asciiTheme="majorHAnsi" w:hAnsiTheme="majorHAnsi" w:cs="Times New Roman"/>
          <w:sz w:val="20"/>
          <w:szCs w:val="20"/>
          <w:vertAlign w:val="superscript"/>
          <w:lang w:val="en-US"/>
        </w:rPr>
      </w:pPr>
      <w:r w:rsidRPr="005B79BA">
        <w:rPr>
          <w:rFonts w:asciiTheme="majorHAnsi" w:hAnsiTheme="majorHAnsi" w:cs="Times New Roman"/>
          <w:sz w:val="20"/>
          <w:szCs w:val="20"/>
          <w:lang w:val="en-US"/>
        </w:rPr>
        <w:t xml:space="preserve">Lars </w:t>
      </w:r>
      <w:proofErr w:type="spellStart"/>
      <w:r w:rsidRPr="005B79BA">
        <w:rPr>
          <w:rFonts w:asciiTheme="majorHAnsi" w:hAnsiTheme="majorHAnsi" w:cs="Times New Roman"/>
          <w:sz w:val="20"/>
          <w:szCs w:val="20"/>
          <w:lang w:val="en-US"/>
        </w:rPr>
        <w:t>Hvilsted</w:t>
      </w:r>
      <w:proofErr w:type="spellEnd"/>
      <w:r w:rsidRPr="005B79BA">
        <w:rPr>
          <w:rFonts w:asciiTheme="majorHAnsi" w:hAnsiTheme="majorHAnsi" w:cs="Times New Roman"/>
          <w:sz w:val="20"/>
          <w:szCs w:val="20"/>
          <w:lang w:val="en-US"/>
        </w:rPr>
        <w:t xml:space="preserve"> Rasmussen, MD, PhD</w:t>
      </w:r>
      <w:r w:rsidRPr="005B79BA">
        <w:rPr>
          <w:rFonts w:asciiTheme="majorHAnsi" w:hAnsiTheme="majorHAnsi" w:cs="Times New Roman"/>
          <w:sz w:val="20"/>
          <w:szCs w:val="20"/>
          <w:vertAlign w:val="superscript"/>
          <w:lang w:val="en-US"/>
        </w:rPr>
        <w:t>2</w:t>
      </w:r>
    </w:p>
    <w:p w14:paraId="2080E041" w14:textId="77777777" w:rsidR="00F5504F" w:rsidRPr="005B79BA" w:rsidRDefault="00F5504F" w:rsidP="005B79BA">
      <w:pPr>
        <w:jc w:val="center"/>
        <w:rPr>
          <w:rFonts w:asciiTheme="majorHAnsi" w:hAnsiTheme="majorHAnsi" w:cs="Times New Roman"/>
          <w:sz w:val="20"/>
          <w:szCs w:val="20"/>
          <w:lang w:val="en-US"/>
        </w:rPr>
      </w:pPr>
      <w:proofErr w:type="spellStart"/>
      <w:r w:rsidRPr="005B79BA">
        <w:rPr>
          <w:rFonts w:asciiTheme="majorHAnsi" w:hAnsiTheme="majorHAnsi" w:cs="Times New Roman"/>
          <w:sz w:val="20"/>
          <w:szCs w:val="20"/>
          <w:lang w:val="en-US"/>
        </w:rPr>
        <w:t>Flemming</w:t>
      </w:r>
      <w:proofErr w:type="spellEnd"/>
      <w:r w:rsidRPr="005B79BA">
        <w:rPr>
          <w:rFonts w:asciiTheme="majorHAnsi" w:hAnsiTheme="majorHAnsi" w:cs="Times New Roman"/>
          <w:sz w:val="20"/>
          <w:szCs w:val="20"/>
          <w:lang w:val="en-US"/>
        </w:rPr>
        <w:t xml:space="preserve"> </w:t>
      </w:r>
      <w:proofErr w:type="spellStart"/>
      <w:r w:rsidRPr="005B79BA">
        <w:rPr>
          <w:rFonts w:asciiTheme="majorHAnsi" w:hAnsiTheme="majorHAnsi" w:cs="Times New Roman"/>
          <w:sz w:val="20"/>
          <w:szCs w:val="20"/>
          <w:lang w:val="en-US"/>
        </w:rPr>
        <w:t>Skjøth</w:t>
      </w:r>
      <w:proofErr w:type="spellEnd"/>
      <w:r w:rsidRPr="005B79BA">
        <w:rPr>
          <w:rFonts w:asciiTheme="majorHAnsi" w:hAnsiTheme="majorHAnsi" w:cs="Times New Roman"/>
          <w:sz w:val="20"/>
          <w:szCs w:val="20"/>
          <w:lang w:val="en-US"/>
        </w:rPr>
        <w:t>, MSc, PhD</w:t>
      </w:r>
      <w:r w:rsidRPr="005B79BA">
        <w:rPr>
          <w:rFonts w:asciiTheme="majorHAnsi" w:hAnsiTheme="majorHAnsi" w:cs="Times New Roman"/>
          <w:sz w:val="20"/>
          <w:szCs w:val="20"/>
          <w:vertAlign w:val="superscript"/>
          <w:lang w:val="en-US"/>
        </w:rPr>
        <w:t>3</w:t>
      </w:r>
    </w:p>
    <w:p w14:paraId="0B27EF4A" w14:textId="0A7C569F" w:rsidR="00F5504F" w:rsidRPr="005B79BA" w:rsidRDefault="00F5504F" w:rsidP="005B79BA">
      <w:pPr>
        <w:jc w:val="center"/>
        <w:rPr>
          <w:rFonts w:asciiTheme="majorHAnsi" w:hAnsiTheme="majorHAnsi" w:cs="Times New Roman"/>
          <w:sz w:val="20"/>
          <w:szCs w:val="20"/>
          <w:lang w:val="en-US"/>
        </w:rPr>
      </w:pPr>
      <w:r w:rsidRPr="005B79BA">
        <w:rPr>
          <w:rFonts w:asciiTheme="majorHAnsi" w:hAnsiTheme="majorHAnsi" w:cs="Times New Roman"/>
          <w:sz w:val="20"/>
          <w:szCs w:val="20"/>
          <w:lang w:val="en-US"/>
        </w:rPr>
        <w:t>Gregory Y.H. Lip, MD</w:t>
      </w:r>
      <w:r w:rsidRPr="005B79BA">
        <w:rPr>
          <w:rFonts w:asciiTheme="majorHAnsi" w:hAnsiTheme="majorHAnsi" w:cs="Times New Roman"/>
          <w:sz w:val="20"/>
          <w:szCs w:val="20"/>
          <w:vertAlign w:val="superscript"/>
          <w:lang w:val="en-US"/>
        </w:rPr>
        <w:t>2</w:t>
      </w:r>
      <w:proofErr w:type="gramStart"/>
      <w:r w:rsidRPr="005B79BA">
        <w:rPr>
          <w:rFonts w:asciiTheme="majorHAnsi" w:hAnsiTheme="majorHAnsi" w:cs="Times New Roman"/>
          <w:sz w:val="20"/>
          <w:szCs w:val="20"/>
          <w:vertAlign w:val="superscript"/>
          <w:lang w:val="en-US"/>
        </w:rPr>
        <w:t>,4</w:t>
      </w:r>
      <w:proofErr w:type="gramEnd"/>
    </w:p>
    <w:p w14:paraId="16139CE9" w14:textId="5F13D831" w:rsidR="00E449AF" w:rsidRPr="005B79BA" w:rsidRDefault="00F5504F" w:rsidP="005B79BA">
      <w:pPr>
        <w:jc w:val="center"/>
        <w:rPr>
          <w:rFonts w:asciiTheme="majorHAnsi" w:hAnsiTheme="majorHAnsi" w:cs="Times New Roman"/>
          <w:sz w:val="20"/>
          <w:szCs w:val="20"/>
          <w:vertAlign w:val="superscript"/>
        </w:rPr>
      </w:pPr>
      <w:r w:rsidRPr="005B79BA">
        <w:rPr>
          <w:rFonts w:asciiTheme="majorHAnsi" w:hAnsiTheme="majorHAnsi" w:cs="Times New Roman"/>
          <w:sz w:val="20"/>
          <w:szCs w:val="20"/>
        </w:rPr>
        <w:t>Torben Bjerregaard Larsen, MD, PhD</w:t>
      </w:r>
      <w:r w:rsidRPr="005B79BA">
        <w:rPr>
          <w:rFonts w:asciiTheme="majorHAnsi" w:hAnsiTheme="majorHAnsi" w:cs="Times New Roman"/>
          <w:sz w:val="20"/>
          <w:szCs w:val="20"/>
          <w:vertAlign w:val="superscript"/>
        </w:rPr>
        <w:t>1,2,3</w:t>
      </w:r>
    </w:p>
    <w:p w14:paraId="3EACBF73" w14:textId="77777777" w:rsidR="00DF188E" w:rsidRPr="005B79BA" w:rsidRDefault="00DF188E" w:rsidP="005B79BA">
      <w:pPr>
        <w:spacing w:line="480" w:lineRule="auto"/>
        <w:jc w:val="center"/>
        <w:rPr>
          <w:rFonts w:asciiTheme="majorHAnsi" w:hAnsiTheme="majorHAnsi" w:cs="Times New Roman"/>
          <w:sz w:val="16"/>
          <w:szCs w:val="16"/>
          <w:vertAlign w:val="superscript"/>
          <w:lang w:val="en-US"/>
        </w:rPr>
      </w:pPr>
    </w:p>
    <w:p w14:paraId="5336A1BD" w14:textId="526B13F5" w:rsidR="00F5504F" w:rsidRPr="005B79BA" w:rsidRDefault="00F5504F" w:rsidP="005B79BA">
      <w:pPr>
        <w:jc w:val="center"/>
        <w:rPr>
          <w:rFonts w:asciiTheme="majorHAnsi" w:hAnsiTheme="majorHAnsi" w:cs="Times New Roman"/>
          <w:sz w:val="16"/>
          <w:szCs w:val="16"/>
          <w:lang w:val="en-US"/>
        </w:rPr>
      </w:pPr>
      <w:proofErr w:type="gramStart"/>
      <w:r w:rsidRPr="005B79BA">
        <w:rPr>
          <w:rFonts w:asciiTheme="majorHAnsi" w:hAnsiTheme="majorHAnsi" w:cs="Times New Roman"/>
          <w:sz w:val="16"/>
          <w:szCs w:val="16"/>
          <w:vertAlign w:val="superscript"/>
          <w:lang w:val="en-US"/>
        </w:rPr>
        <w:t xml:space="preserve">1 </w:t>
      </w:r>
      <w:r w:rsidRPr="005B79BA">
        <w:rPr>
          <w:rFonts w:asciiTheme="majorHAnsi" w:hAnsiTheme="majorHAnsi" w:cs="Times New Roman"/>
          <w:sz w:val="16"/>
          <w:szCs w:val="16"/>
          <w:lang w:val="en-US"/>
        </w:rPr>
        <w:t>Department of Health Science and Technology, Aalborg University, Denmark</w:t>
      </w:r>
      <w:r w:rsidR="005B79BA" w:rsidRPr="005B79BA">
        <w:rPr>
          <w:rFonts w:asciiTheme="majorHAnsi" w:hAnsiTheme="majorHAnsi" w:cs="Times New Roman"/>
          <w:sz w:val="16"/>
          <w:szCs w:val="16"/>
          <w:lang w:val="en-US"/>
        </w:rPr>
        <w:t>.</w:t>
      </w:r>
      <w:proofErr w:type="gramEnd"/>
      <w:r w:rsidR="005B79BA" w:rsidRPr="005B79BA">
        <w:rPr>
          <w:rFonts w:asciiTheme="majorHAnsi" w:hAnsiTheme="majorHAnsi" w:cs="Times New Roman"/>
          <w:sz w:val="16"/>
          <w:szCs w:val="16"/>
          <w:lang w:val="en-US"/>
        </w:rPr>
        <w:t xml:space="preserve"> </w:t>
      </w:r>
      <w:r w:rsidRPr="005B79BA">
        <w:rPr>
          <w:rFonts w:asciiTheme="majorHAnsi" w:hAnsiTheme="majorHAnsi" w:cs="Times New Roman"/>
          <w:sz w:val="16"/>
          <w:szCs w:val="16"/>
          <w:vertAlign w:val="superscript"/>
          <w:lang w:val="en-US"/>
        </w:rPr>
        <w:t xml:space="preserve">2 </w:t>
      </w:r>
      <w:r w:rsidRPr="005B79BA">
        <w:rPr>
          <w:rFonts w:asciiTheme="majorHAnsi" w:hAnsiTheme="majorHAnsi" w:cs="Times New Roman"/>
          <w:sz w:val="16"/>
          <w:szCs w:val="16"/>
          <w:lang w:val="en-US"/>
        </w:rPr>
        <w:t xml:space="preserve">Aalborg Thrombosis Research </w:t>
      </w:r>
      <w:proofErr w:type="gramStart"/>
      <w:r w:rsidRPr="005B79BA">
        <w:rPr>
          <w:rFonts w:asciiTheme="majorHAnsi" w:hAnsiTheme="majorHAnsi" w:cs="Times New Roman"/>
          <w:sz w:val="16"/>
          <w:szCs w:val="16"/>
          <w:lang w:val="en-US"/>
        </w:rPr>
        <w:t>Unit</w:t>
      </w:r>
      <w:proofErr w:type="gramEnd"/>
      <w:r w:rsidRPr="005B79BA">
        <w:rPr>
          <w:rFonts w:asciiTheme="majorHAnsi" w:hAnsiTheme="majorHAnsi" w:cs="Times New Roman"/>
          <w:sz w:val="16"/>
          <w:szCs w:val="16"/>
          <w:lang w:val="en-US"/>
        </w:rPr>
        <w:t>, Aalborg University, Aalborg, Denmark</w:t>
      </w:r>
      <w:r w:rsidR="005B79BA" w:rsidRPr="005B79BA">
        <w:rPr>
          <w:rFonts w:asciiTheme="majorHAnsi" w:hAnsiTheme="majorHAnsi" w:cs="Times New Roman"/>
          <w:sz w:val="16"/>
          <w:szCs w:val="16"/>
          <w:lang w:val="en-US"/>
        </w:rPr>
        <w:t xml:space="preserve">. </w:t>
      </w:r>
      <w:r w:rsidRPr="005B79BA">
        <w:rPr>
          <w:rFonts w:asciiTheme="majorHAnsi" w:hAnsiTheme="majorHAnsi" w:cs="Times New Roman"/>
          <w:sz w:val="16"/>
          <w:szCs w:val="16"/>
          <w:vertAlign w:val="superscript"/>
          <w:lang w:val="en-US"/>
        </w:rPr>
        <w:t>3</w:t>
      </w:r>
      <w:r w:rsidR="006E199D" w:rsidRPr="005B79BA">
        <w:rPr>
          <w:rFonts w:asciiTheme="majorHAnsi" w:hAnsiTheme="majorHAnsi" w:cs="Times New Roman"/>
          <w:sz w:val="16"/>
          <w:szCs w:val="16"/>
          <w:vertAlign w:val="superscript"/>
          <w:lang w:val="en-US"/>
        </w:rPr>
        <w:t xml:space="preserve"> </w:t>
      </w:r>
      <w:proofErr w:type="gramStart"/>
      <w:r w:rsidRPr="005B79BA">
        <w:rPr>
          <w:rFonts w:asciiTheme="majorHAnsi" w:hAnsiTheme="majorHAnsi" w:cs="Times New Roman"/>
          <w:sz w:val="16"/>
          <w:szCs w:val="16"/>
          <w:lang w:val="en-US"/>
        </w:rPr>
        <w:t>Department</w:t>
      </w:r>
      <w:proofErr w:type="gramEnd"/>
      <w:r w:rsidRPr="005B79BA">
        <w:rPr>
          <w:rFonts w:asciiTheme="majorHAnsi" w:hAnsiTheme="majorHAnsi" w:cs="Times New Roman"/>
          <w:sz w:val="16"/>
          <w:szCs w:val="16"/>
          <w:lang w:val="en-US"/>
        </w:rPr>
        <w:t xml:space="preserve"> of Cardiology, Cardiovascular Research Centre, Aalborg </w:t>
      </w:r>
      <w:r w:rsidR="00E915FB" w:rsidRPr="005B79BA">
        <w:rPr>
          <w:rFonts w:asciiTheme="majorHAnsi" w:hAnsiTheme="majorHAnsi" w:cs="Times New Roman"/>
          <w:sz w:val="16"/>
          <w:szCs w:val="16"/>
          <w:lang w:val="en-US"/>
        </w:rPr>
        <w:t>University</w:t>
      </w:r>
      <w:r w:rsidR="009B1E32" w:rsidRPr="005B79BA">
        <w:rPr>
          <w:rFonts w:asciiTheme="majorHAnsi" w:hAnsiTheme="majorHAnsi" w:cs="Times New Roman"/>
          <w:sz w:val="16"/>
          <w:szCs w:val="16"/>
          <w:lang w:val="en-US"/>
        </w:rPr>
        <w:t xml:space="preserve"> H</w:t>
      </w:r>
      <w:r w:rsidR="00E915FB" w:rsidRPr="005B79BA">
        <w:rPr>
          <w:rFonts w:asciiTheme="majorHAnsi" w:hAnsiTheme="majorHAnsi" w:cs="Times New Roman"/>
          <w:sz w:val="16"/>
          <w:szCs w:val="16"/>
          <w:lang w:val="en-US"/>
        </w:rPr>
        <w:t>ospital</w:t>
      </w:r>
      <w:r w:rsidRPr="005B79BA">
        <w:rPr>
          <w:rFonts w:asciiTheme="majorHAnsi" w:hAnsiTheme="majorHAnsi" w:cs="Times New Roman"/>
          <w:sz w:val="16"/>
          <w:szCs w:val="16"/>
          <w:lang w:val="en-US"/>
        </w:rPr>
        <w:t>, Denmark</w:t>
      </w:r>
      <w:r w:rsidR="005B79BA" w:rsidRPr="005B79BA">
        <w:rPr>
          <w:rFonts w:asciiTheme="majorHAnsi" w:hAnsiTheme="majorHAnsi" w:cs="Times New Roman"/>
          <w:sz w:val="16"/>
          <w:szCs w:val="16"/>
          <w:lang w:val="en-US"/>
        </w:rPr>
        <w:t xml:space="preserve">. </w:t>
      </w:r>
      <w:r w:rsidRPr="005B79BA">
        <w:rPr>
          <w:rFonts w:asciiTheme="majorHAnsi" w:hAnsiTheme="majorHAnsi" w:cs="Times New Roman"/>
          <w:sz w:val="16"/>
          <w:szCs w:val="16"/>
          <w:vertAlign w:val="superscript"/>
          <w:lang w:val="en-US"/>
        </w:rPr>
        <w:t>4</w:t>
      </w:r>
      <w:r w:rsidRPr="005B79BA">
        <w:rPr>
          <w:rFonts w:asciiTheme="majorHAnsi" w:hAnsiTheme="majorHAnsi" w:cs="Times New Roman"/>
          <w:sz w:val="16"/>
          <w:szCs w:val="16"/>
          <w:lang w:val="en-US"/>
        </w:rPr>
        <w:t xml:space="preserve"> University of Birmingham Centre for Cardiovascular Sciences, City Hospital, Birmingham, United Kingdom</w:t>
      </w:r>
    </w:p>
    <w:p w14:paraId="186687F7" w14:textId="77777777" w:rsidR="00A243F8" w:rsidRDefault="00A243F8" w:rsidP="000B6CFC">
      <w:pPr>
        <w:spacing w:line="480" w:lineRule="auto"/>
        <w:jc w:val="both"/>
        <w:rPr>
          <w:rFonts w:cs="Times New Roman"/>
          <w:sz w:val="20"/>
          <w:szCs w:val="20"/>
          <w:lang w:val="en-US"/>
        </w:rPr>
      </w:pPr>
    </w:p>
    <w:p w14:paraId="68752FA6" w14:textId="72B1D323" w:rsidR="005B79BA" w:rsidRPr="005B79BA" w:rsidRDefault="005B79BA" w:rsidP="005B79BA">
      <w:pPr>
        <w:jc w:val="both"/>
        <w:rPr>
          <w:rFonts w:asciiTheme="majorHAnsi" w:hAnsiTheme="majorHAnsi" w:cs="Times New Roman"/>
          <w:b/>
          <w:sz w:val="20"/>
          <w:szCs w:val="20"/>
          <w:lang w:val="en-US"/>
        </w:rPr>
      </w:pPr>
      <w:r w:rsidRPr="005B79BA">
        <w:rPr>
          <w:rFonts w:asciiTheme="majorHAnsi" w:hAnsiTheme="majorHAnsi" w:cs="Times New Roman"/>
          <w:b/>
          <w:sz w:val="20"/>
          <w:szCs w:val="20"/>
          <w:lang w:val="en-US"/>
        </w:rPr>
        <w:t>Abstract</w:t>
      </w:r>
    </w:p>
    <w:p w14:paraId="73903111" w14:textId="0CEDB587" w:rsidR="00F44DFF" w:rsidRPr="005B79BA" w:rsidRDefault="00F44DFF" w:rsidP="005B79BA">
      <w:pPr>
        <w:jc w:val="both"/>
        <w:rPr>
          <w:rFonts w:asciiTheme="majorHAnsi" w:hAnsiTheme="majorHAnsi" w:cs="Times New Roman"/>
          <w:b/>
          <w:sz w:val="20"/>
          <w:szCs w:val="20"/>
          <w:lang w:val="en-US"/>
        </w:rPr>
      </w:pPr>
      <w:r w:rsidRPr="005B79BA">
        <w:rPr>
          <w:rFonts w:asciiTheme="majorHAnsi" w:hAnsiTheme="majorHAnsi" w:cs="Times New Roman"/>
          <w:b/>
          <w:sz w:val="20"/>
          <w:szCs w:val="20"/>
          <w:lang w:val="en-US"/>
        </w:rPr>
        <w:t xml:space="preserve">Importance: </w:t>
      </w:r>
      <w:r w:rsidRPr="005B79BA">
        <w:rPr>
          <w:rFonts w:asciiTheme="majorHAnsi" w:hAnsiTheme="majorHAnsi" w:cs="Times New Roman"/>
          <w:sz w:val="20"/>
          <w:szCs w:val="20"/>
          <w:lang w:val="en-US"/>
        </w:rPr>
        <w:t>The risk of stroke and death in patients with atrial fibrillation is strongly associated with age and concomitant comorbidities.</w:t>
      </w:r>
    </w:p>
    <w:p w14:paraId="5CFEB4D0" w14:textId="39CB0C58" w:rsidR="00786C0E" w:rsidRPr="005B79BA" w:rsidRDefault="00786C0E" w:rsidP="005B79BA">
      <w:pPr>
        <w:jc w:val="both"/>
        <w:rPr>
          <w:rFonts w:asciiTheme="majorHAnsi" w:hAnsiTheme="majorHAnsi" w:cs="Times New Roman"/>
          <w:sz w:val="20"/>
          <w:szCs w:val="20"/>
          <w:lang w:val="en-US"/>
        </w:rPr>
      </w:pPr>
      <w:r w:rsidRPr="005B79BA">
        <w:rPr>
          <w:rFonts w:asciiTheme="majorHAnsi" w:hAnsiTheme="majorHAnsi" w:cs="Times New Roman"/>
          <w:b/>
          <w:sz w:val="20"/>
          <w:szCs w:val="20"/>
          <w:lang w:val="en-US"/>
        </w:rPr>
        <w:t xml:space="preserve">Objective: </w:t>
      </w:r>
      <w:r w:rsidRPr="005B79BA">
        <w:rPr>
          <w:rFonts w:asciiTheme="majorHAnsi" w:hAnsiTheme="majorHAnsi" w:cs="Times New Roman"/>
          <w:sz w:val="20"/>
          <w:szCs w:val="20"/>
          <w:lang w:val="en-US"/>
        </w:rPr>
        <w:t xml:space="preserve">To examine the </w:t>
      </w:r>
      <w:r w:rsidR="00771DE0" w:rsidRPr="005B79BA">
        <w:rPr>
          <w:rFonts w:asciiTheme="majorHAnsi" w:hAnsiTheme="majorHAnsi" w:cs="Times New Roman"/>
          <w:sz w:val="20"/>
          <w:szCs w:val="20"/>
          <w:lang w:val="en-US"/>
        </w:rPr>
        <w:t xml:space="preserve">age-dependent </w:t>
      </w:r>
      <w:r w:rsidRPr="005B79BA">
        <w:rPr>
          <w:rFonts w:asciiTheme="majorHAnsi" w:hAnsiTheme="majorHAnsi" w:cs="Times New Roman"/>
          <w:sz w:val="20"/>
          <w:szCs w:val="20"/>
          <w:lang w:val="en-US"/>
        </w:rPr>
        <w:t xml:space="preserve">risk of stroke, mortality and composite stroke and mortality in </w:t>
      </w:r>
      <w:r w:rsidR="006E199D" w:rsidRPr="005B79BA">
        <w:rPr>
          <w:rFonts w:asciiTheme="majorHAnsi" w:hAnsiTheme="majorHAnsi" w:cs="Times New Roman"/>
          <w:sz w:val="20"/>
          <w:szCs w:val="20"/>
          <w:lang w:val="en-US"/>
        </w:rPr>
        <w:t xml:space="preserve">young </w:t>
      </w:r>
      <w:r w:rsidRPr="005B79BA">
        <w:rPr>
          <w:rFonts w:asciiTheme="majorHAnsi" w:hAnsiTheme="majorHAnsi" w:cs="Times New Roman"/>
          <w:sz w:val="20"/>
          <w:szCs w:val="20"/>
          <w:lang w:val="en-US"/>
        </w:rPr>
        <w:t>patients with atrial fibrillation</w:t>
      </w:r>
      <w:r w:rsidR="006E199D" w:rsidRPr="005B79BA">
        <w:rPr>
          <w:rFonts w:asciiTheme="majorHAnsi" w:hAnsiTheme="majorHAnsi" w:cs="Times New Roman"/>
          <w:sz w:val="20"/>
          <w:szCs w:val="20"/>
          <w:lang w:val="en-US"/>
        </w:rPr>
        <w:t>.</w:t>
      </w:r>
    </w:p>
    <w:p w14:paraId="4A23032F" w14:textId="03FFC940" w:rsidR="005439AD" w:rsidRPr="005B79BA" w:rsidRDefault="00771DE0" w:rsidP="005B79BA">
      <w:pPr>
        <w:jc w:val="both"/>
        <w:rPr>
          <w:rFonts w:asciiTheme="majorHAnsi" w:hAnsiTheme="majorHAnsi" w:cs="Times New Roman"/>
          <w:sz w:val="20"/>
          <w:szCs w:val="20"/>
          <w:lang w:val="en-US"/>
        </w:rPr>
      </w:pPr>
      <w:r w:rsidRPr="005B79BA">
        <w:rPr>
          <w:rFonts w:asciiTheme="majorHAnsi" w:hAnsiTheme="majorHAnsi" w:cs="Times New Roman"/>
          <w:b/>
          <w:sz w:val="20"/>
          <w:szCs w:val="20"/>
          <w:lang w:val="en-US"/>
        </w:rPr>
        <w:t>Design</w:t>
      </w:r>
      <w:r w:rsidR="005439AD" w:rsidRPr="005B79BA">
        <w:rPr>
          <w:rFonts w:asciiTheme="majorHAnsi" w:hAnsiTheme="majorHAnsi" w:cs="Times New Roman"/>
          <w:b/>
          <w:sz w:val="20"/>
          <w:szCs w:val="20"/>
          <w:lang w:val="en-US"/>
        </w:rPr>
        <w:t>, Settings and Participants:</w:t>
      </w:r>
      <w:r w:rsidRPr="005B79BA">
        <w:rPr>
          <w:rFonts w:asciiTheme="majorHAnsi" w:hAnsiTheme="majorHAnsi" w:cs="Times New Roman"/>
          <w:b/>
          <w:sz w:val="20"/>
          <w:szCs w:val="20"/>
          <w:lang w:val="en-US"/>
        </w:rPr>
        <w:t xml:space="preserve"> </w:t>
      </w:r>
      <w:r w:rsidR="005439AD" w:rsidRPr="005B79BA">
        <w:rPr>
          <w:rFonts w:asciiTheme="majorHAnsi" w:hAnsiTheme="majorHAnsi" w:cs="Times New Roman"/>
          <w:sz w:val="20"/>
          <w:szCs w:val="20"/>
          <w:lang w:val="en-US"/>
        </w:rPr>
        <w:t>Population based cohort study of patients with AF age&lt;65 years, identified by record linkage between nationwide registries. Registry data for 139,071 non-valvular AF patients diagnosed during 2000-2011</w:t>
      </w:r>
      <w:r w:rsidR="005439AD" w:rsidRPr="005B79BA">
        <w:rPr>
          <w:rFonts w:asciiTheme="majorHAnsi" w:eastAsia="AdvTimes" w:hAnsiTheme="majorHAnsi" w:cs="Times New Roman"/>
          <w:sz w:val="20"/>
          <w:szCs w:val="20"/>
          <w:lang w:val="en-US" w:eastAsia="en-US" w:bidi="ar-SA"/>
        </w:rPr>
        <w:t xml:space="preserve"> and </w:t>
      </w:r>
      <w:r w:rsidR="005439AD" w:rsidRPr="005B79BA">
        <w:rPr>
          <w:rFonts w:asciiTheme="majorHAnsi" w:hAnsiTheme="majorHAnsi" w:cs="Times New Roman"/>
          <w:sz w:val="20"/>
          <w:szCs w:val="20"/>
          <w:lang w:val="en-US"/>
        </w:rPr>
        <w:t>followed in a period of 5 years, giving at least 1 year of full follow-up.</w:t>
      </w:r>
    </w:p>
    <w:p w14:paraId="1A5870F2" w14:textId="7AC8E286" w:rsidR="00771DE0" w:rsidRPr="005B79BA" w:rsidRDefault="007013AA" w:rsidP="005B79BA">
      <w:pPr>
        <w:jc w:val="both"/>
        <w:rPr>
          <w:rFonts w:asciiTheme="majorHAnsi" w:hAnsiTheme="majorHAnsi" w:cs="Times New Roman"/>
          <w:b/>
          <w:sz w:val="20"/>
          <w:szCs w:val="20"/>
          <w:lang w:val="en-US"/>
        </w:rPr>
      </w:pPr>
      <w:r w:rsidRPr="005B79BA">
        <w:rPr>
          <w:rFonts w:asciiTheme="majorHAnsi" w:hAnsiTheme="majorHAnsi" w:cs="Times New Roman"/>
          <w:b/>
          <w:sz w:val="20"/>
          <w:szCs w:val="20"/>
          <w:lang w:val="en-US"/>
        </w:rPr>
        <w:t>Main O</w:t>
      </w:r>
      <w:r w:rsidR="00771DE0" w:rsidRPr="005B79BA">
        <w:rPr>
          <w:rFonts w:asciiTheme="majorHAnsi" w:hAnsiTheme="majorHAnsi" w:cs="Times New Roman"/>
          <w:b/>
          <w:sz w:val="20"/>
          <w:szCs w:val="20"/>
          <w:lang w:val="en-US"/>
        </w:rPr>
        <w:t xml:space="preserve">utcome </w:t>
      </w:r>
      <w:r w:rsidRPr="005B79BA">
        <w:rPr>
          <w:rFonts w:asciiTheme="majorHAnsi" w:hAnsiTheme="majorHAnsi" w:cs="Times New Roman"/>
          <w:b/>
          <w:sz w:val="20"/>
          <w:szCs w:val="20"/>
          <w:lang w:val="en-US"/>
        </w:rPr>
        <w:t>and M</w:t>
      </w:r>
      <w:r w:rsidR="00771DE0" w:rsidRPr="005B79BA">
        <w:rPr>
          <w:rFonts w:asciiTheme="majorHAnsi" w:hAnsiTheme="majorHAnsi" w:cs="Times New Roman"/>
          <w:b/>
          <w:sz w:val="20"/>
          <w:szCs w:val="20"/>
          <w:lang w:val="en-US"/>
        </w:rPr>
        <w:t xml:space="preserve">easure: </w:t>
      </w:r>
      <w:r w:rsidR="00771DE0" w:rsidRPr="005B79BA">
        <w:rPr>
          <w:rFonts w:asciiTheme="majorHAnsi" w:hAnsiTheme="majorHAnsi" w:cs="Times New Roman"/>
          <w:sz w:val="20"/>
          <w:szCs w:val="20"/>
          <w:lang w:val="en-US"/>
        </w:rPr>
        <w:t>Cox regression models used to estimate risk of stroke and mortality according to risk factors.</w:t>
      </w:r>
    </w:p>
    <w:p w14:paraId="4DF1BF71" w14:textId="1BAA30D2" w:rsidR="00771DE0" w:rsidRPr="005B79BA" w:rsidRDefault="00771DE0" w:rsidP="005B79BA">
      <w:pPr>
        <w:autoSpaceDE w:val="0"/>
        <w:autoSpaceDN w:val="0"/>
        <w:adjustRightInd w:val="0"/>
        <w:jc w:val="both"/>
        <w:rPr>
          <w:rFonts w:asciiTheme="majorHAnsi" w:eastAsia="AdvTimes" w:hAnsiTheme="majorHAnsi" w:cs="Times New Roman"/>
          <w:sz w:val="20"/>
          <w:szCs w:val="20"/>
          <w:lang w:val="en-US" w:eastAsia="en-US" w:bidi="ar-SA"/>
        </w:rPr>
      </w:pPr>
      <w:r w:rsidRPr="005B79BA">
        <w:rPr>
          <w:rFonts w:asciiTheme="majorHAnsi" w:hAnsiTheme="majorHAnsi" w:cs="Times New Roman"/>
          <w:b/>
          <w:sz w:val="20"/>
          <w:szCs w:val="20"/>
          <w:lang w:val="en-US"/>
        </w:rPr>
        <w:t xml:space="preserve">Results: </w:t>
      </w:r>
      <w:r w:rsidRPr="005B79BA">
        <w:rPr>
          <w:rFonts w:asciiTheme="majorHAnsi" w:eastAsia="AdvTimes" w:hAnsiTheme="majorHAnsi" w:cs="Times New Roman"/>
          <w:sz w:val="20"/>
          <w:szCs w:val="20"/>
          <w:lang w:val="en-US" w:eastAsia="en-US" w:bidi="ar-SA"/>
        </w:rPr>
        <w:t xml:space="preserve">We identified </w:t>
      </w:r>
      <w:r w:rsidRPr="005B79BA">
        <w:rPr>
          <w:rFonts w:asciiTheme="majorHAnsi" w:hAnsiTheme="majorHAnsi"/>
          <w:sz w:val="20"/>
          <w:szCs w:val="20"/>
          <w:lang w:val="en-US"/>
        </w:rPr>
        <w:t>139,071</w:t>
      </w:r>
      <w:r w:rsidRPr="005B79BA">
        <w:rPr>
          <w:rFonts w:asciiTheme="majorHAnsi" w:hAnsiTheme="majorHAnsi"/>
          <w:b/>
          <w:sz w:val="20"/>
          <w:szCs w:val="20"/>
          <w:lang w:val="en-US"/>
        </w:rPr>
        <w:t xml:space="preserve"> </w:t>
      </w:r>
      <w:r w:rsidR="00F44DFF" w:rsidRPr="005B79BA">
        <w:rPr>
          <w:rFonts w:asciiTheme="majorHAnsi" w:eastAsia="AdvTimes" w:hAnsiTheme="majorHAnsi" w:cs="Times New Roman"/>
          <w:sz w:val="20"/>
          <w:szCs w:val="20"/>
          <w:lang w:val="en-US" w:eastAsia="en-US" w:bidi="ar-SA"/>
        </w:rPr>
        <w:t xml:space="preserve">non-valvular </w:t>
      </w:r>
      <w:r w:rsidR="00F44DFF" w:rsidRPr="005B79BA">
        <w:rPr>
          <w:rFonts w:asciiTheme="majorHAnsi" w:hAnsiTheme="majorHAnsi" w:cs="Times New Roman"/>
          <w:sz w:val="20"/>
          <w:szCs w:val="20"/>
          <w:lang w:val="en-US"/>
        </w:rPr>
        <w:t>atrial fibrillation</w:t>
      </w:r>
      <w:r w:rsidRPr="005B79BA">
        <w:rPr>
          <w:rFonts w:asciiTheme="majorHAnsi" w:eastAsia="AdvTimes" w:hAnsiTheme="majorHAnsi" w:cs="Times New Roman"/>
          <w:sz w:val="20"/>
          <w:szCs w:val="20"/>
          <w:lang w:val="en-US" w:eastAsia="en-US" w:bidi="ar-SA"/>
        </w:rPr>
        <w:t xml:space="preserve"> patients, of which 39,496 (</w:t>
      </w:r>
      <w:r w:rsidRPr="005B79BA">
        <w:rPr>
          <w:rFonts w:asciiTheme="majorHAnsi" w:eastAsia="AdvTimes" w:hAnsiTheme="majorHAnsi" w:cs="Times New Roman"/>
          <w:sz w:val="20"/>
          <w:szCs w:val="20"/>
          <w:lang w:val="en-US"/>
        </w:rPr>
        <w:t xml:space="preserve">28.4%) were aged &lt;65 (mean age 54.9). Higher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scores</w:t>
      </w:r>
      <w:r w:rsidRPr="005B79BA">
        <w:rPr>
          <w:rFonts w:asciiTheme="majorHAnsi" w:eastAsia="AdvTimes" w:hAnsiTheme="majorHAnsi" w:cs="Times New Roman"/>
          <w:sz w:val="20"/>
          <w:szCs w:val="20"/>
          <w:lang w:val="en-US" w:eastAsia="en-US" w:bidi="ar-SA"/>
        </w:rPr>
        <w:t xml:space="preserve"> were associated with decreased survival probability in all age groups. Increasing age was associated with the presence of more stroke risk factors and higher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w:t>
      </w:r>
      <w:r w:rsidRPr="005B79BA">
        <w:rPr>
          <w:rFonts w:asciiTheme="majorHAnsi" w:eastAsia="AdvTimes" w:hAnsiTheme="majorHAnsi" w:cs="Times New Roman"/>
          <w:sz w:val="20"/>
          <w:szCs w:val="20"/>
          <w:lang w:val="en-US" w:eastAsia="en-US" w:bidi="ar-SA"/>
        </w:rPr>
        <w:t xml:space="preserve">. The </w:t>
      </w:r>
      <w:r w:rsidR="002D0791" w:rsidRPr="005B79BA">
        <w:rPr>
          <w:rFonts w:asciiTheme="majorHAnsi" w:eastAsia="AdvTimes" w:hAnsiTheme="majorHAnsi" w:cs="Times New Roman"/>
          <w:sz w:val="20"/>
          <w:szCs w:val="20"/>
          <w:lang w:val="en-US" w:eastAsia="en-US" w:bidi="ar-SA"/>
        </w:rPr>
        <w:t>incidence</w:t>
      </w:r>
      <w:r w:rsidRPr="005B79BA">
        <w:rPr>
          <w:rFonts w:asciiTheme="majorHAnsi" w:eastAsia="AdvTimes" w:hAnsiTheme="majorHAnsi" w:cs="Times New Roman"/>
          <w:sz w:val="20"/>
          <w:szCs w:val="20"/>
          <w:lang w:val="en-US" w:eastAsia="en-US" w:bidi="ar-SA"/>
        </w:rPr>
        <w:t xml:space="preserve"> of </w:t>
      </w:r>
      <w:r w:rsidR="006D3110" w:rsidRPr="005B79BA">
        <w:rPr>
          <w:rFonts w:asciiTheme="majorHAnsi" w:eastAsia="AdvTimes" w:hAnsiTheme="majorHAnsi" w:cs="Times New Roman"/>
          <w:sz w:val="20"/>
          <w:szCs w:val="20"/>
          <w:lang w:val="en-US" w:eastAsia="en-US" w:bidi="ar-SA"/>
        </w:rPr>
        <w:t xml:space="preserve">stroke per year </w:t>
      </w:r>
      <w:r w:rsidRPr="005B79BA">
        <w:rPr>
          <w:rFonts w:asciiTheme="majorHAnsi" w:eastAsia="AdvTimes" w:hAnsiTheme="majorHAnsi" w:cs="Times New Roman"/>
          <w:sz w:val="20"/>
          <w:szCs w:val="20"/>
          <w:lang w:val="en-US" w:eastAsia="en-US" w:bidi="ar-SA"/>
        </w:rPr>
        <w:t>in patients aged &lt;65 was 0.</w:t>
      </w:r>
      <w:r w:rsidR="006D3110" w:rsidRPr="005B79BA">
        <w:rPr>
          <w:rFonts w:asciiTheme="majorHAnsi" w:eastAsia="AdvTimes" w:hAnsiTheme="majorHAnsi" w:cs="Times New Roman"/>
          <w:sz w:val="20"/>
          <w:szCs w:val="20"/>
          <w:lang w:val="en-US" w:eastAsia="en-US" w:bidi="ar-SA"/>
        </w:rPr>
        <w:t>1%, 0</w:t>
      </w:r>
      <w:r w:rsidRPr="005B79BA">
        <w:rPr>
          <w:rFonts w:asciiTheme="majorHAnsi" w:eastAsia="AdvTimes" w:hAnsiTheme="majorHAnsi" w:cs="Times New Roman"/>
          <w:sz w:val="20"/>
          <w:szCs w:val="20"/>
          <w:lang w:val="en-US" w:eastAsia="en-US" w:bidi="ar-SA"/>
        </w:rPr>
        <w:t xml:space="preserve">.5%, and </w:t>
      </w:r>
      <w:r w:rsidR="006D3110" w:rsidRPr="005B79BA">
        <w:rPr>
          <w:rFonts w:asciiTheme="majorHAnsi" w:eastAsia="AdvTimes" w:hAnsiTheme="majorHAnsi" w:cs="Times New Roman"/>
          <w:sz w:val="20"/>
          <w:szCs w:val="20"/>
          <w:lang w:val="en-US" w:eastAsia="en-US" w:bidi="ar-SA"/>
        </w:rPr>
        <w:t>1.1</w:t>
      </w:r>
      <w:r w:rsidRPr="005B79BA">
        <w:rPr>
          <w:rFonts w:asciiTheme="majorHAnsi" w:eastAsia="AdvTimes" w:hAnsiTheme="majorHAnsi" w:cs="Times New Roman"/>
          <w:sz w:val="20"/>
          <w:szCs w:val="20"/>
          <w:lang w:val="en-US" w:eastAsia="en-US" w:bidi="ar-SA"/>
        </w:rPr>
        <w:t>% in respectively the age groups 20-35, 35-50, and 50-65 years.</w:t>
      </w:r>
      <w:r w:rsidR="00452C42" w:rsidRPr="005B79BA">
        <w:rPr>
          <w:rFonts w:asciiTheme="majorHAnsi" w:eastAsia="AdvTimes" w:hAnsiTheme="majorHAnsi" w:cs="Times New Roman"/>
          <w:sz w:val="20"/>
          <w:szCs w:val="20"/>
          <w:lang w:val="en-US" w:eastAsia="en-US" w:bidi="ar-SA"/>
        </w:rPr>
        <w:t xml:space="preserve"> Overall, </w:t>
      </w:r>
      <w:r w:rsidR="00452C42" w:rsidRPr="005B79BA">
        <w:rPr>
          <w:rFonts w:asciiTheme="majorHAnsi" w:eastAsia="AdvTimes" w:hAnsiTheme="majorHAnsi" w:cs="Times New Roman"/>
          <w:sz w:val="20"/>
          <w:szCs w:val="20"/>
          <w:lang w:val="en-US"/>
        </w:rPr>
        <w:t>risk factors such as prior stroke, heart failure, vascular disease, diabetes and hypertension remained independent predictors of str</w:t>
      </w:r>
      <w:r w:rsidR="00F44DFF" w:rsidRPr="005B79BA">
        <w:rPr>
          <w:rFonts w:asciiTheme="majorHAnsi" w:eastAsia="AdvTimes" w:hAnsiTheme="majorHAnsi" w:cs="Times New Roman"/>
          <w:sz w:val="20"/>
          <w:szCs w:val="20"/>
          <w:lang w:val="en-US"/>
        </w:rPr>
        <w:t xml:space="preserve">oke and death in non-valvular </w:t>
      </w:r>
      <w:r w:rsidR="00F44DFF" w:rsidRPr="005B79BA">
        <w:rPr>
          <w:rFonts w:asciiTheme="majorHAnsi" w:hAnsiTheme="majorHAnsi" w:cs="Times New Roman"/>
          <w:sz w:val="20"/>
          <w:szCs w:val="20"/>
          <w:lang w:val="en-US"/>
        </w:rPr>
        <w:t>atrial fibrillation</w:t>
      </w:r>
      <w:r w:rsidR="00452C42" w:rsidRPr="005B79BA">
        <w:rPr>
          <w:rFonts w:asciiTheme="majorHAnsi" w:eastAsia="AdvTimes" w:hAnsiTheme="majorHAnsi" w:cs="Times New Roman"/>
          <w:sz w:val="20"/>
          <w:szCs w:val="20"/>
          <w:lang w:val="en-US"/>
        </w:rPr>
        <w:t xml:space="preserve"> patients aged &lt;65.</w:t>
      </w:r>
    </w:p>
    <w:p w14:paraId="50A03AED" w14:textId="325BAB30" w:rsidR="000E19C2" w:rsidRPr="005B79BA" w:rsidRDefault="00771DE0" w:rsidP="005B79BA">
      <w:pPr>
        <w:autoSpaceDE w:val="0"/>
        <w:autoSpaceDN w:val="0"/>
        <w:adjustRightInd w:val="0"/>
        <w:jc w:val="both"/>
        <w:rPr>
          <w:rFonts w:asciiTheme="majorHAnsi" w:eastAsia="AdvTimes" w:hAnsiTheme="majorHAnsi" w:cs="Times New Roman"/>
          <w:sz w:val="20"/>
          <w:szCs w:val="20"/>
          <w:lang w:val="en-US"/>
        </w:rPr>
      </w:pPr>
      <w:r w:rsidRPr="005B79BA">
        <w:rPr>
          <w:rFonts w:asciiTheme="majorHAnsi" w:eastAsia="AdvTimes" w:hAnsiTheme="majorHAnsi" w:cs="Times New Roman"/>
          <w:b/>
          <w:sz w:val="20"/>
          <w:szCs w:val="20"/>
          <w:lang w:val="en-US" w:eastAsia="en-US" w:bidi="ar-SA"/>
        </w:rPr>
        <w:t>Conclusion</w:t>
      </w:r>
      <w:r w:rsidR="007013AA" w:rsidRPr="005B79BA">
        <w:rPr>
          <w:rFonts w:asciiTheme="majorHAnsi" w:eastAsia="AdvTimes" w:hAnsiTheme="majorHAnsi" w:cs="Times New Roman"/>
          <w:b/>
          <w:sz w:val="20"/>
          <w:szCs w:val="20"/>
          <w:lang w:val="en-US" w:eastAsia="en-US" w:bidi="ar-SA"/>
        </w:rPr>
        <w:t>s and Relevance</w:t>
      </w:r>
      <w:r w:rsidRPr="005B79BA">
        <w:rPr>
          <w:rFonts w:asciiTheme="majorHAnsi" w:eastAsia="AdvTimes" w:hAnsiTheme="majorHAnsi" w:cs="Times New Roman"/>
          <w:b/>
          <w:sz w:val="20"/>
          <w:szCs w:val="20"/>
          <w:lang w:val="en-US" w:eastAsia="en-US" w:bidi="ar-SA"/>
        </w:rPr>
        <w:t>:</w:t>
      </w:r>
      <w:r w:rsidRPr="005B79BA">
        <w:rPr>
          <w:rFonts w:asciiTheme="majorHAnsi" w:eastAsia="AdvTimes" w:hAnsiTheme="majorHAnsi" w:cs="Times New Roman"/>
          <w:sz w:val="20"/>
          <w:szCs w:val="20"/>
          <w:lang w:val="en-US" w:eastAsia="en-US" w:bidi="ar-SA"/>
        </w:rPr>
        <w:t xml:space="preserve"> The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 is an applicable tool for all age groups</w:t>
      </w:r>
      <w:r w:rsidR="00F44DFF" w:rsidRPr="005B79BA">
        <w:rPr>
          <w:rFonts w:asciiTheme="majorHAnsi" w:hAnsiTheme="majorHAnsi" w:cs="Times New Roman"/>
          <w:sz w:val="20"/>
          <w:szCs w:val="20"/>
          <w:lang w:val="en-US"/>
        </w:rPr>
        <w:t xml:space="preserve"> and in non-valvular atrial fibrillation</w:t>
      </w:r>
      <w:r w:rsidR="00452C42" w:rsidRPr="005B79BA">
        <w:rPr>
          <w:rFonts w:asciiTheme="majorHAnsi" w:hAnsiTheme="majorHAnsi" w:cs="Times New Roman"/>
          <w:sz w:val="20"/>
          <w:szCs w:val="20"/>
          <w:lang w:val="en-US"/>
        </w:rPr>
        <w:t xml:space="preserve"> patients</w:t>
      </w:r>
      <w:r w:rsidR="006B28CA" w:rsidRPr="005B79BA">
        <w:rPr>
          <w:rFonts w:asciiTheme="majorHAnsi" w:hAnsiTheme="majorHAnsi" w:cs="Times New Roman"/>
          <w:sz w:val="20"/>
          <w:szCs w:val="20"/>
          <w:lang w:val="en-US"/>
        </w:rPr>
        <w:t xml:space="preserve"> aged &lt;65</w:t>
      </w:r>
      <w:r w:rsidR="007131D4" w:rsidRPr="005B79BA">
        <w:rPr>
          <w:rFonts w:asciiTheme="majorHAnsi" w:hAnsiTheme="majorHAnsi" w:cs="Times New Roman"/>
          <w:sz w:val="20"/>
          <w:szCs w:val="20"/>
          <w:lang w:val="en-US"/>
        </w:rPr>
        <w:t>,</w:t>
      </w:r>
      <w:r w:rsidR="006B28CA" w:rsidRPr="005B79BA">
        <w:rPr>
          <w:rFonts w:asciiTheme="majorHAnsi" w:hAnsiTheme="majorHAnsi" w:cs="Times New Roman"/>
          <w:sz w:val="20"/>
          <w:szCs w:val="20"/>
          <w:lang w:val="en-US"/>
        </w:rPr>
        <w:t xml:space="preserve"> the same</w:t>
      </w:r>
      <w:r w:rsidR="00452C42" w:rsidRPr="005B79BA">
        <w:rPr>
          <w:rFonts w:asciiTheme="majorHAnsi" w:hAnsiTheme="majorHAnsi" w:cs="Times New Roman"/>
          <w:sz w:val="20"/>
          <w:szCs w:val="20"/>
          <w:lang w:val="en-US"/>
        </w:rPr>
        <w:t xml:space="preserve"> risk factors </w:t>
      </w:r>
      <w:r w:rsidR="006B28CA" w:rsidRPr="005B79BA">
        <w:rPr>
          <w:rFonts w:asciiTheme="majorHAnsi" w:hAnsiTheme="majorHAnsi" w:cs="Times New Roman"/>
          <w:sz w:val="20"/>
          <w:szCs w:val="20"/>
          <w:lang w:val="en-US"/>
        </w:rPr>
        <w:t xml:space="preserve">apply to these patients. </w:t>
      </w:r>
      <w:r w:rsidR="007131D4" w:rsidRPr="005B79BA">
        <w:rPr>
          <w:rFonts w:asciiTheme="majorHAnsi" w:hAnsiTheme="majorHAnsi" w:cs="Times New Roman"/>
          <w:sz w:val="20"/>
          <w:szCs w:val="20"/>
          <w:lang w:val="en-US"/>
        </w:rPr>
        <w:t xml:space="preserve"> The weight of</w:t>
      </w:r>
      <w:r w:rsidR="006B28CA" w:rsidRPr="005B79BA">
        <w:rPr>
          <w:rFonts w:asciiTheme="majorHAnsi" w:hAnsiTheme="majorHAnsi" w:cs="Times New Roman"/>
          <w:sz w:val="20"/>
          <w:szCs w:val="20"/>
          <w:lang w:val="en-US"/>
        </w:rPr>
        <w:t xml:space="preserve"> some risk factors w</w:t>
      </w:r>
      <w:r w:rsidR="007131D4" w:rsidRPr="005B79BA">
        <w:rPr>
          <w:rFonts w:asciiTheme="majorHAnsi" w:hAnsiTheme="majorHAnsi" w:cs="Times New Roman"/>
          <w:sz w:val="20"/>
          <w:szCs w:val="20"/>
          <w:lang w:val="en-US"/>
        </w:rPr>
        <w:t>as</w:t>
      </w:r>
      <w:r w:rsidR="006B28CA" w:rsidRPr="005B79BA">
        <w:rPr>
          <w:rFonts w:asciiTheme="majorHAnsi" w:hAnsiTheme="majorHAnsi" w:cs="Times New Roman"/>
          <w:sz w:val="20"/>
          <w:szCs w:val="20"/>
          <w:lang w:val="en-US"/>
        </w:rPr>
        <w:t xml:space="preserve"> higher with regard to the risk of stroke and death, especially prior stroke, vascular disease and diabetes</w:t>
      </w:r>
      <w:r w:rsidR="007131D4" w:rsidRPr="005B79BA">
        <w:rPr>
          <w:rFonts w:asciiTheme="majorHAnsi" w:hAnsiTheme="majorHAnsi" w:cs="Times New Roman"/>
          <w:sz w:val="20"/>
          <w:szCs w:val="20"/>
          <w:lang w:val="en-US"/>
        </w:rPr>
        <w:t xml:space="preserve"> mellitus</w:t>
      </w:r>
      <w:r w:rsidR="006B28CA" w:rsidRPr="005B79BA">
        <w:rPr>
          <w:rFonts w:asciiTheme="majorHAnsi" w:hAnsiTheme="majorHAnsi" w:cs="Times New Roman"/>
          <w:sz w:val="20"/>
          <w:szCs w:val="20"/>
          <w:lang w:val="en-US"/>
        </w:rPr>
        <w:t xml:space="preserve">. </w:t>
      </w:r>
      <w:r w:rsidR="000E19C2" w:rsidRPr="005B79BA">
        <w:rPr>
          <w:rFonts w:asciiTheme="majorHAnsi" w:hAnsiTheme="majorHAnsi" w:cs="Times New Roman"/>
          <w:sz w:val="20"/>
          <w:szCs w:val="20"/>
          <w:lang w:val="en-US"/>
        </w:rPr>
        <w:t>Y</w:t>
      </w:r>
      <w:r w:rsidR="00F44DFF" w:rsidRPr="005B79BA">
        <w:rPr>
          <w:rFonts w:asciiTheme="majorHAnsi" w:hAnsiTheme="majorHAnsi" w:cs="Times New Roman"/>
          <w:sz w:val="20"/>
          <w:szCs w:val="20"/>
          <w:lang w:val="en-US"/>
        </w:rPr>
        <w:t>ounger non-valvular atrial fibrillation</w:t>
      </w:r>
      <w:r w:rsidR="00E147BA" w:rsidRPr="005B79BA">
        <w:rPr>
          <w:rFonts w:asciiTheme="majorHAnsi" w:hAnsiTheme="majorHAnsi" w:cs="Times New Roman"/>
          <w:sz w:val="20"/>
          <w:szCs w:val="20"/>
          <w:lang w:val="en-US"/>
        </w:rPr>
        <w:t xml:space="preserve"> patients </w:t>
      </w:r>
      <w:r w:rsidR="006C1F15" w:rsidRPr="005B79BA">
        <w:rPr>
          <w:rFonts w:asciiTheme="majorHAnsi" w:hAnsiTheme="majorHAnsi" w:cs="Times New Roman"/>
          <w:sz w:val="20"/>
          <w:szCs w:val="20"/>
          <w:lang w:val="en-US"/>
        </w:rPr>
        <w:t xml:space="preserve">with these risk factors </w:t>
      </w:r>
      <w:r w:rsidR="00E147BA" w:rsidRPr="005B79BA">
        <w:rPr>
          <w:rFonts w:asciiTheme="majorHAnsi" w:hAnsiTheme="majorHAnsi" w:cs="Times New Roman"/>
          <w:sz w:val="20"/>
          <w:szCs w:val="20"/>
          <w:lang w:val="en-US"/>
        </w:rPr>
        <w:t>should b</w:t>
      </w:r>
      <w:r w:rsidR="006C1F15" w:rsidRPr="005B79BA">
        <w:rPr>
          <w:rFonts w:asciiTheme="majorHAnsi" w:hAnsiTheme="majorHAnsi" w:cs="Times New Roman"/>
          <w:sz w:val="20"/>
          <w:szCs w:val="20"/>
          <w:lang w:val="en-US"/>
        </w:rPr>
        <w:t xml:space="preserve">e offered </w:t>
      </w:r>
      <w:r w:rsidR="000E19C2" w:rsidRPr="005B79BA">
        <w:rPr>
          <w:rFonts w:asciiTheme="majorHAnsi" w:hAnsiTheme="majorHAnsi" w:cs="Times New Roman"/>
          <w:sz w:val="20"/>
          <w:szCs w:val="20"/>
          <w:lang w:val="en-US"/>
        </w:rPr>
        <w:t xml:space="preserve">oral </w:t>
      </w:r>
      <w:r w:rsidR="006C1F15" w:rsidRPr="005B79BA">
        <w:rPr>
          <w:rFonts w:asciiTheme="majorHAnsi" w:hAnsiTheme="majorHAnsi" w:cs="Times New Roman"/>
          <w:sz w:val="20"/>
          <w:szCs w:val="20"/>
          <w:lang w:val="en-US"/>
        </w:rPr>
        <w:t>anticoagulant therapy.</w:t>
      </w:r>
    </w:p>
    <w:p w14:paraId="2E4E5E81" w14:textId="77777777" w:rsidR="005B79BA" w:rsidRPr="005B79BA" w:rsidRDefault="005B79BA" w:rsidP="005B79BA">
      <w:pPr>
        <w:autoSpaceDE w:val="0"/>
        <w:autoSpaceDN w:val="0"/>
        <w:adjustRightInd w:val="0"/>
        <w:jc w:val="both"/>
        <w:rPr>
          <w:rFonts w:asciiTheme="majorHAnsi" w:eastAsia="AdvTimes" w:hAnsiTheme="majorHAnsi" w:cs="Times New Roman"/>
          <w:sz w:val="20"/>
          <w:szCs w:val="20"/>
          <w:lang w:val="en-US"/>
        </w:rPr>
      </w:pPr>
    </w:p>
    <w:p w14:paraId="44001A3B" w14:textId="0F8C5215" w:rsidR="00F5504F" w:rsidRPr="005B79BA" w:rsidRDefault="00F5504F" w:rsidP="005B79BA">
      <w:pPr>
        <w:jc w:val="both"/>
        <w:rPr>
          <w:rFonts w:asciiTheme="majorHAnsi" w:hAnsiTheme="majorHAnsi" w:cs="Times New Roman"/>
          <w:sz w:val="20"/>
          <w:szCs w:val="20"/>
          <w:lang w:val="en-US"/>
        </w:rPr>
      </w:pPr>
      <w:r w:rsidRPr="005B79BA">
        <w:rPr>
          <w:rFonts w:asciiTheme="majorHAnsi" w:hAnsiTheme="majorHAnsi" w:cs="Times New Roman"/>
          <w:b/>
          <w:sz w:val="20"/>
          <w:szCs w:val="20"/>
          <w:lang w:val="en-US"/>
        </w:rPr>
        <w:t>Keywords</w:t>
      </w:r>
      <w:r w:rsidRPr="005B79BA">
        <w:rPr>
          <w:rFonts w:asciiTheme="majorHAnsi" w:hAnsiTheme="majorHAnsi" w:cs="Times New Roman"/>
          <w:sz w:val="20"/>
          <w:szCs w:val="20"/>
          <w:lang w:val="en-US"/>
        </w:rPr>
        <w:t xml:space="preserve">: atrial fibrillation, </w:t>
      </w:r>
      <w:r w:rsidR="005E3FD9" w:rsidRPr="005B79BA">
        <w:rPr>
          <w:rFonts w:asciiTheme="majorHAnsi" w:hAnsiTheme="majorHAnsi" w:cs="Times New Roman"/>
          <w:sz w:val="20"/>
          <w:szCs w:val="20"/>
          <w:lang w:val="en-US"/>
        </w:rPr>
        <w:t xml:space="preserve">atrial arrhythmia, </w:t>
      </w:r>
      <w:r w:rsidRPr="005B79BA">
        <w:rPr>
          <w:rFonts w:asciiTheme="majorHAnsi" w:hAnsiTheme="majorHAnsi" w:cs="Times New Roman"/>
          <w:sz w:val="20"/>
          <w:szCs w:val="20"/>
          <w:lang w:val="en-US"/>
        </w:rPr>
        <w:t xml:space="preserve">risk factors, </w:t>
      </w:r>
      <w:r w:rsidR="005E3FD9" w:rsidRPr="005B79BA">
        <w:rPr>
          <w:rFonts w:asciiTheme="majorHAnsi" w:hAnsiTheme="majorHAnsi" w:cs="Times New Roman"/>
          <w:sz w:val="20"/>
          <w:szCs w:val="20"/>
          <w:lang w:val="en-US"/>
        </w:rPr>
        <w:t>adverse events, stroke, death,</w:t>
      </w:r>
      <w:r w:rsidRPr="005B79BA">
        <w:rPr>
          <w:rFonts w:asciiTheme="majorHAnsi" w:hAnsiTheme="majorHAnsi" w:cs="Times New Roman"/>
          <w:sz w:val="20"/>
          <w:szCs w:val="20"/>
          <w:lang w:val="en-US"/>
        </w:rPr>
        <w:t xml:space="preserve"> CHADS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 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00223B48" w:rsidRPr="005B79BA">
        <w:rPr>
          <w:rFonts w:asciiTheme="majorHAnsi" w:hAnsiTheme="majorHAnsi" w:cs="Times New Roman"/>
          <w:sz w:val="20"/>
          <w:szCs w:val="20"/>
          <w:lang w:val="en-US"/>
        </w:rPr>
        <w:t>-V</w:t>
      </w:r>
      <w:r w:rsidRPr="005B79BA">
        <w:rPr>
          <w:rFonts w:asciiTheme="majorHAnsi" w:hAnsiTheme="majorHAnsi" w:cs="Times New Roman"/>
          <w:sz w:val="20"/>
          <w:szCs w:val="20"/>
          <w:lang w:val="en-US"/>
        </w:rPr>
        <w:t>ASc</w:t>
      </w:r>
      <w:r w:rsidR="005E3FD9" w:rsidRPr="005B79BA">
        <w:rPr>
          <w:rFonts w:asciiTheme="majorHAnsi" w:hAnsiTheme="majorHAnsi" w:cs="Times New Roman"/>
          <w:sz w:val="20"/>
          <w:szCs w:val="20"/>
          <w:lang w:val="en-US"/>
        </w:rPr>
        <w:t>,</w:t>
      </w:r>
      <w:r w:rsidR="00DC08F0" w:rsidRPr="005B79BA">
        <w:rPr>
          <w:rFonts w:asciiTheme="majorHAnsi" w:hAnsiTheme="majorHAnsi" w:cs="Times New Roman"/>
          <w:sz w:val="20"/>
          <w:szCs w:val="20"/>
          <w:lang w:val="en-US"/>
        </w:rPr>
        <w:t xml:space="preserve"> Danish registers, prospective cohort study</w:t>
      </w:r>
      <w:r w:rsidR="00860D22" w:rsidRPr="005B79BA">
        <w:rPr>
          <w:rFonts w:asciiTheme="majorHAnsi" w:hAnsiTheme="majorHAnsi" w:cs="Times New Roman"/>
          <w:sz w:val="20"/>
          <w:szCs w:val="20"/>
          <w:lang w:val="en-US"/>
        </w:rPr>
        <w:t>.</w:t>
      </w:r>
    </w:p>
    <w:p w14:paraId="3E4AF8CC" w14:textId="77777777" w:rsidR="005B79BA" w:rsidRDefault="005B79BA" w:rsidP="005B79BA">
      <w:pPr>
        <w:pBdr>
          <w:bottom w:val="single" w:sz="4" w:space="1" w:color="auto"/>
        </w:pBdr>
        <w:spacing w:line="480" w:lineRule="auto"/>
        <w:jc w:val="both"/>
        <w:rPr>
          <w:rFonts w:cs="Times New Roman"/>
          <w:b/>
          <w:sz w:val="20"/>
          <w:szCs w:val="20"/>
          <w:lang w:val="en-US"/>
        </w:rPr>
      </w:pPr>
    </w:p>
    <w:p w14:paraId="0320EACB" w14:textId="77777777" w:rsidR="005B79BA" w:rsidRDefault="005B79BA" w:rsidP="005B79BA">
      <w:pPr>
        <w:pBdr>
          <w:bottom w:val="single" w:sz="4" w:space="1" w:color="auto"/>
        </w:pBdr>
        <w:spacing w:line="480" w:lineRule="auto"/>
        <w:jc w:val="both"/>
        <w:rPr>
          <w:rFonts w:cs="Times New Roman"/>
          <w:b/>
          <w:sz w:val="20"/>
          <w:szCs w:val="20"/>
          <w:lang w:val="en-US"/>
        </w:rPr>
        <w:sectPr w:rsidR="005B79BA" w:rsidSect="00DA4077">
          <w:headerReference w:type="default" r:id="rId10"/>
          <w:footerReference w:type="default" r:id="rId11"/>
          <w:pgSz w:w="11906" w:h="16838"/>
          <w:pgMar w:top="1701" w:right="1134" w:bottom="1701" w:left="1134" w:header="708" w:footer="708" w:gutter="0"/>
          <w:cols w:space="708"/>
          <w:docGrid w:linePitch="360"/>
        </w:sectPr>
      </w:pPr>
    </w:p>
    <w:p w14:paraId="60E24B33" w14:textId="77777777" w:rsidR="005B79BA" w:rsidRDefault="005B79BA" w:rsidP="005B79BA">
      <w:pPr>
        <w:jc w:val="both"/>
        <w:rPr>
          <w:rFonts w:asciiTheme="majorHAnsi" w:hAnsiTheme="majorHAnsi" w:cs="Times New Roman"/>
          <w:b/>
          <w:sz w:val="20"/>
          <w:szCs w:val="20"/>
          <w:lang w:val="en-US"/>
        </w:rPr>
      </w:pPr>
    </w:p>
    <w:p w14:paraId="05969C59" w14:textId="5376C3F8" w:rsidR="00F5504F" w:rsidRPr="005B79BA" w:rsidRDefault="00F5504F" w:rsidP="005B79BA">
      <w:pPr>
        <w:jc w:val="both"/>
        <w:rPr>
          <w:rFonts w:asciiTheme="majorHAnsi" w:hAnsiTheme="majorHAnsi" w:cs="Times New Roman"/>
          <w:b/>
          <w:sz w:val="20"/>
          <w:szCs w:val="20"/>
          <w:lang w:val="en-US"/>
        </w:rPr>
      </w:pPr>
      <w:r w:rsidRPr="005B79BA">
        <w:rPr>
          <w:rFonts w:asciiTheme="majorHAnsi" w:hAnsiTheme="majorHAnsi" w:cs="Times New Roman"/>
          <w:b/>
          <w:sz w:val="20"/>
          <w:szCs w:val="20"/>
          <w:lang w:val="en-US"/>
        </w:rPr>
        <w:t>Introduction</w:t>
      </w:r>
    </w:p>
    <w:p w14:paraId="17838B25" w14:textId="77777777" w:rsidR="000B6CFC" w:rsidRPr="005B79BA" w:rsidRDefault="000B6CFC" w:rsidP="005B79BA">
      <w:pPr>
        <w:autoSpaceDE w:val="0"/>
        <w:autoSpaceDN w:val="0"/>
        <w:adjustRightInd w:val="0"/>
        <w:jc w:val="both"/>
        <w:rPr>
          <w:rFonts w:asciiTheme="majorHAnsi" w:hAnsiTheme="majorHAnsi" w:cs="Times New Roman"/>
          <w:sz w:val="20"/>
          <w:szCs w:val="20"/>
          <w:lang w:val="en-US"/>
        </w:rPr>
      </w:pPr>
    </w:p>
    <w:p w14:paraId="7DF8C7A3" w14:textId="298873DA" w:rsidR="00FB703A" w:rsidRPr="005B79BA" w:rsidRDefault="006674FF" w:rsidP="005B79BA">
      <w:pPr>
        <w:autoSpaceDE w:val="0"/>
        <w:autoSpaceDN w:val="0"/>
        <w:adjustRightInd w:val="0"/>
        <w:jc w:val="both"/>
        <w:rPr>
          <w:rFonts w:asciiTheme="majorHAnsi" w:hAnsiTheme="majorHAnsi" w:cs="Times New Roman"/>
          <w:sz w:val="20"/>
          <w:szCs w:val="20"/>
          <w:lang w:val="en-GB"/>
        </w:rPr>
      </w:pPr>
      <w:r w:rsidRPr="005B79BA">
        <w:rPr>
          <w:rFonts w:asciiTheme="majorHAnsi" w:hAnsiTheme="majorHAnsi" w:cs="Times New Roman"/>
          <w:sz w:val="20"/>
          <w:szCs w:val="20"/>
          <w:lang w:val="en-US"/>
        </w:rPr>
        <w:t xml:space="preserve">The risk </w:t>
      </w:r>
      <w:r w:rsidR="0034759A" w:rsidRPr="005B79BA">
        <w:rPr>
          <w:rFonts w:asciiTheme="majorHAnsi" w:hAnsiTheme="majorHAnsi" w:cs="Times New Roman"/>
          <w:sz w:val="20"/>
          <w:szCs w:val="20"/>
          <w:lang w:val="en-US"/>
        </w:rPr>
        <w:t xml:space="preserve">of stroke and death in patients with atrial fibrillation (AF) is strongly associated with age and </w:t>
      </w:r>
      <w:r w:rsidR="00FC37A4" w:rsidRPr="005B79BA">
        <w:rPr>
          <w:rFonts w:asciiTheme="majorHAnsi" w:hAnsiTheme="majorHAnsi" w:cs="Times New Roman"/>
          <w:sz w:val="20"/>
          <w:szCs w:val="20"/>
          <w:lang w:val="en-US"/>
        </w:rPr>
        <w:t xml:space="preserve">concomitant </w:t>
      </w:r>
      <w:r w:rsidR="0034759A" w:rsidRPr="005B79BA">
        <w:rPr>
          <w:rFonts w:asciiTheme="majorHAnsi" w:hAnsiTheme="majorHAnsi" w:cs="Times New Roman"/>
          <w:sz w:val="20"/>
          <w:szCs w:val="20"/>
          <w:lang w:val="en-US"/>
        </w:rPr>
        <w:t xml:space="preserve">comorbidities. </w:t>
      </w:r>
      <w:r w:rsidR="00F5504F" w:rsidRPr="005B79BA">
        <w:rPr>
          <w:rFonts w:asciiTheme="majorHAnsi" w:hAnsiTheme="majorHAnsi" w:cs="Times New Roman"/>
          <w:sz w:val="20"/>
          <w:szCs w:val="20"/>
          <w:lang w:val="en-GB" w:eastAsia="en-GB"/>
        </w:rPr>
        <w:t>The</w:t>
      </w:r>
      <w:r w:rsidR="00F5504F" w:rsidRPr="005B79BA">
        <w:rPr>
          <w:rFonts w:asciiTheme="majorHAnsi" w:eastAsia="MinionPro-Regular" w:hAnsiTheme="majorHAnsi" w:cs="Times New Roman"/>
          <w:color w:val="231F20"/>
          <w:sz w:val="20"/>
          <w:szCs w:val="20"/>
          <w:lang w:val="en-US"/>
        </w:rPr>
        <w:t xml:space="preserve"> prevalence </w:t>
      </w:r>
      <w:r w:rsidR="00FB703A" w:rsidRPr="005B79BA">
        <w:rPr>
          <w:rFonts w:asciiTheme="majorHAnsi" w:eastAsia="MinionPro-Regular" w:hAnsiTheme="majorHAnsi" w:cs="Times New Roman"/>
          <w:color w:val="231F20"/>
          <w:sz w:val="20"/>
          <w:szCs w:val="20"/>
          <w:lang w:val="en-US"/>
        </w:rPr>
        <w:t xml:space="preserve">of AF </w:t>
      </w:r>
      <w:r w:rsidR="00F5504F" w:rsidRPr="005B79BA">
        <w:rPr>
          <w:rFonts w:asciiTheme="majorHAnsi" w:eastAsia="MinionPro-Regular" w:hAnsiTheme="majorHAnsi" w:cs="Times New Roman"/>
          <w:color w:val="231F20"/>
          <w:sz w:val="20"/>
          <w:szCs w:val="20"/>
          <w:lang w:val="en-US"/>
        </w:rPr>
        <w:t>doubles with each decade of age, reaching almost 9% at ages 80 to 89 years</w:t>
      </w:r>
      <w:r w:rsidR="009F7CE0" w:rsidRPr="005B79BA">
        <w:rPr>
          <w:rFonts w:asciiTheme="majorHAnsi" w:eastAsia="MinionPro-Regular" w:hAnsiTheme="majorHAnsi" w:cs="Times New Roman"/>
          <w:color w:val="231F20"/>
          <w:sz w:val="20"/>
          <w:szCs w:val="20"/>
          <w:lang w:val="en-US"/>
        </w:rPr>
        <w:fldChar w:fldCharType="begin" w:fldLock="1"/>
      </w:r>
      <w:r w:rsidR="00F27147" w:rsidRPr="005B79BA">
        <w:rPr>
          <w:rFonts w:asciiTheme="majorHAnsi" w:eastAsia="MinionPro-Regular" w:hAnsiTheme="majorHAnsi" w:cs="Times New Roman"/>
          <w:color w:val="231F20"/>
          <w:sz w:val="20"/>
          <w:szCs w:val="20"/>
          <w:lang w:val="en-US"/>
        </w:rPr>
        <w:instrText xml:space="preserve">ADDIN Mendeley Citation{7b256c91-29d8-40f2-98ce-756a9fec0212} CSL_CITATION  { "citationItems" : [ { "id" : "ITEM-1", "itemData" : { "author" : [ { "family" : "Kannel", "given" : "W B" }, { "family" : "Wolf", "given" : "P A" }, { "family" : "Benjamin", "given" : "E J" }, { "family" : "Levy", "given" : "D" } ], "container-title" : "Am J Cardiol.", "id" : "ITEM-1", "issue" : "82", "issued" : { "date-parts" : [ [ "1998" ] ] }, "page" : "2-9", "title" : "Prevalence, incidence, prognosis, and predisposing conditions for atrial fibrillation: population-based estimates", "type" : "article-journal", "volume" : "Oct 16" }, "uris" : [ "http://www.mendeley.com/documents/?uuid=7b256c91-29d8-40f2-98ce-756a9fec0212" ] } ], "mendeley" : { "previouslyFormattedCitation" : "\u003csup\u003e1\u003c/sup\u003e" }, "properties" : { "noteIndex" : 0 }, "schema" : "https://github.com/citation-style-language/schema/raw/master/csl-citation.json" } </w:instrText>
      </w:r>
      <w:r w:rsidR="009F7CE0" w:rsidRPr="005B79BA">
        <w:rPr>
          <w:rFonts w:asciiTheme="majorHAnsi" w:eastAsia="MinionPro-Regular" w:hAnsiTheme="majorHAnsi" w:cs="Times New Roman"/>
          <w:color w:val="231F20"/>
          <w:sz w:val="20"/>
          <w:szCs w:val="20"/>
          <w:lang w:val="en-US"/>
        </w:rPr>
        <w:fldChar w:fldCharType="separate"/>
      </w:r>
      <w:r w:rsidR="00F27147" w:rsidRPr="005B79BA">
        <w:rPr>
          <w:rFonts w:asciiTheme="majorHAnsi" w:eastAsia="MinionPro-Regular" w:hAnsiTheme="majorHAnsi" w:cs="Times New Roman"/>
          <w:noProof/>
          <w:color w:val="231F20"/>
          <w:sz w:val="20"/>
          <w:szCs w:val="20"/>
          <w:vertAlign w:val="superscript"/>
          <w:lang w:val="en-US"/>
        </w:rPr>
        <w:t>1</w:t>
      </w:r>
      <w:r w:rsidR="009F7CE0" w:rsidRPr="005B79BA">
        <w:rPr>
          <w:rFonts w:asciiTheme="majorHAnsi" w:eastAsia="MinionPro-Regular" w:hAnsiTheme="majorHAnsi" w:cs="Times New Roman"/>
          <w:color w:val="231F20"/>
          <w:sz w:val="20"/>
          <w:szCs w:val="20"/>
          <w:lang w:val="en-US"/>
        </w:rPr>
        <w:fldChar w:fldCharType="end"/>
      </w:r>
      <w:r w:rsidR="007C6E60" w:rsidRPr="005B79BA">
        <w:rPr>
          <w:rFonts w:asciiTheme="majorHAnsi" w:eastAsia="MinionPro-Regular" w:hAnsiTheme="majorHAnsi" w:cs="Times New Roman"/>
          <w:color w:val="231F20"/>
          <w:sz w:val="20"/>
          <w:szCs w:val="20"/>
          <w:lang w:val="en-US"/>
        </w:rPr>
        <w:t xml:space="preserve">; thus, age is an independent risk factor for </w:t>
      </w:r>
      <w:r w:rsidR="00FB703A" w:rsidRPr="005B79BA">
        <w:rPr>
          <w:rFonts w:asciiTheme="majorHAnsi" w:eastAsia="MinionPro-Regular" w:hAnsiTheme="majorHAnsi" w:cs="Times New Roman"/>
          <w:color w:val="231F20"/>
          <w:sz w:val="20"/>
          <w:szCs w:val="20"/>
          <w:lang w:val="en-US"/>
        </w:rPr>
        <w:t xml:space="preserve">the </w:t>
      </w:r>
      <w:r w:rsidR="007C6E60" w:rsidRPr="005B79BA">
        <w:rPr>
          <w:rFonts w:asciiTheme="majorHAnsi" w:eastAsia="MinionPro-Regular" w:hAnsiTheme="majorHAnsi" w:cs="Times New Roman"/>
          <w:color w:val="231F20"/>
          <w:sz w:val="20"/>
          <w:szCs w:val="20"/>
          <w:lang w:val="en-US"/>
        </w:rPr>
        <w:t>development of AF</w:t>
      </w:r>
      <w:r w:rsidR="009F7CE0" w:rsidRPr="005B79BA">
        <w:rPr>
          <w:rFonts w:asciiTheme="majorHAnsi" w:eastAsia="MinionPro-Regular" w:hAnsiTheme="majorHAnsi" w:cs="Times New Roman"/>
          <w:color w:val="231F20"/>
          <w:sz w:val="20"/>
          <w:szCs w:val="20"/>
          <w:lang w:val="en-US"/>
        </w:rPr>
        <w:fldChar w:fldCharType="begin" w:fldLock="1"/>
      </w:r>
      <w:r w:rsidR="00F27147" w:rsidRPr="005B79BA">
        <w:rPr>
          <w:rFonts w:asciiTheme="majorHAnsi" w:eastAsia="MinionPro-Regular" w:hAnsiTheme="majorHAnsi" w:cs="Times New Roman"/>
          <w:color w:val="231F20"/>
          <w:sz w:val="20"/>
          <w:szCs w:val="20"/>
          <w:lang w:val="en-US"/>
        </w:rPr>
        <w:instrText xml:space="preserve">ADDIN Mendeley Citation{744b0904-bd58-4ae5-950f-6458f2e01d87} CSL_CITATION  { "citationItems" : [ { "id" : "ITEM-1", "itemData" : { "DOI" : "10.1161/STROKEAHA.108.526988", "abstract" : "Stroke risk increases with age in patients who have nonvalvular atrial fibrillation. It is uncertain whether the efficacy of stroke prevention therapies in atrial fibrillation changes as patients age. The objective of this study was to determine the effect of age on the relative efficacy of oral anticoagulants (OAC) and antiplatelet (AP) therapy (including acetylsalicylic acid and triflusal) on ischemic stroke, serious bleeding, and vascular events in patients with atrial fibrillation.", "author" : [ { "family" : "van Walraven", "given" : "Carl" }, { "family" : "Hart", "given" : "Robert G" }, { "family" : "Connolly", "given" : "Stuart" }, { "family" : "Austin", "given" : "Peter C" }, { "family" : "Mant", "given" : "Jonathan" }, { "family" : "Hobbs", "given" : "F D Richard" }, { "family" : "Koudstaal", "given" : "Peter J" }, { "family" : "Petersen", "given" : "Palle" }, { "family" : "Perez-Gomez", "given" : "Francisco" }, { "family" : "Knottnerus", "given" : "J Andre" }, { "family" : "Boode", "given" : "Beppie" }, { "family" : "Ezekowitz", "given" : "Michael D" }, { "family" : "Singer", "given" : "Daniel E" } ], "container-title" : "Stroke; a journal of cerebral circulation", "id" : "ITEM-1", "issue" : "4", "issued" : { "date-parts" : [ [ "2009", "4" ] ] }, "page" : "1410-6", "title" : "Effect of age on stroke prevention therapy in patients with atrial fibrillation: the atrial fibrillation investigators.", "type" : "article-journal", "volume" : "40" }, "uris" : [ "http://www.mendeley.com/documents/?uuid=744b0904-bd58-4ae5-950f-6458f2e01d87" ] } ], "mendeley" : { "previouslyFormattedCitation" : "\u003csup\u003e2\u003c/sup\u003e" }, "properties" : { "noteIndex" : 0 }, "schema" : "https://github.com/citation-style-language/schema/raw/master/csl-citation.json" } </w:instrText>
      </w:r>
      <w:r w:rsidR="009F7CE0" w:rsidRPr="005B79BA">
        <w:rPr>
          <w:rFonts w:asciiTheme="majorHAnsi" w:eastAsia="MinionPro-Regular" w:hAnsiTheme="majorHAnsi" w:cs="Times New Roman"/>
          <w:color w:val="231F20"/>
          <w:sz w:val="20"/>
          <w:szCs w:val="20"/>
          <w:lang w:val="en-US"/>
        </w:rPr>
        <w:fldChar w:fldCharType="separate"/>
      </w:r>
      <w:r w:rsidR="00F27147" w:rsidRPr="005B79BA">
        <w:rPr>
          <w:rFonts w:asciiTheme="majorHAnsi" w:eastAsia="MinionPro-Regular" w:hAnsiTheme="majorHAnsi" w:cs="Times New Roman"/>
          <w:noProof/>
          <w:color w:val="231F20"/>
          <w:sz w:val="20"/>
          <w:szCs w:val="20"/>
          <w:vertAlign w:val="superscript"/>
          <w:lang w:val="en-US"/>
        </w:rPr>
        <w:t>2</w:t>
      </w:r>
      <w:r w:rsidR="009F7CE0" w:rsidRPr="005B79BA">
        <w:rPr>
          <w:rFonts w:asciiTheme="majorHAnsi" w:eastAsia="MinionPro-Regular" w:hAnsiTheme="majorHAnsi" w:cs="Times New Roman"/>
          <w:color w:val="231F20"/>
          <w:sz w:val="20"/>
          <w:szCs w:val="20"/>
          <w:lang w:val="en-US"/>
        </w:rPr>
        <w:fldChar w:fldCharType="end"/>
      </w:r>
      <w:r w:rsidR="00F5504F" w:rsidRPr="005B79BA">
        <w:rPr>
          <w:rFonts w:asciiTheme="majorHAnsi" w:hAnsiTheme="majorHAnsi" w:cs="Times New Roman"/>
          <w:sz w:val="20"/>
          <w:szCs w:val="20"/>
          <w:lang w:val="en-GB"/>
        </w:rPr>
        <w:t xml:space="preserve">. </w:t>
      </w:r>
    </w:p>
    <w:p w14:paraId="646BC0BC" w14:textId="77777777" w:rsidR="005B79BA" w:rsidRDefault="00FB703A"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T</w:t>
      </w:r>
      <w:r w:rsidR="00F5504F" w:rsidRPr="005B79BA">
        <w:rPr>
          <w:rFonts w:asciiTheme="majorHAnsi" w:hAnsiTheme="majorHAnsi" w:cs="Times New Roman"/>
          <w:sz w:val="20"/>
          <w:szCs w:val="20"/>
          <w:lang w:val="en-US"/>
        </w:rPr>
        <w:t>he risk</w:t>
      </w:r>
      <w:r w:rsidRPr="005B79BA">
        <w:rPr>
          <w:rFonts w:asciiTheme="majorHAnsi" w:hAnsiTheme="majorHAnsi" w:cs="Times New Roman"/>
          <w:sz w:val="20"/>
          <w:szCs w:val="20"/>
          <w:lang w:val="en-US"/>
        </w:rPr>
        <w:t xml:space="preserve"> of stroke and thromboembolism</w:t>
      </w:r>
      <w:r w:rsidR="00F5504F" w:rsidRPr="005B79BA">
        <w:rPr>
          <w:rFonts w:asciiTheme="majorHAnsi" w:hAnsiTheme="majorHAnsi" w:cs="Times New Roman"/>
          <w:sz w:val="20"/>
          <w:szCs w:val="20"/>
          <w:lang w:val="en-US"/>
        </w:rPr>
        <w:t xml:space="preserve"> is </w:t>
      </w:r>
      <w:r w:rsidRPr="005B79BA">
        <w:rPr>
          <w:rFonts w:asciiTheme="majorHAnsi" w:hAnsiTheme="majorHAnsi" w:cs="Times New Roman"/>
          <w:sz w:val="20"/>
          <w:szCs w:val="20"/>
          <w:lang w:val="en-US"/>
        </w:rPr>
        <w:t>increased in AF, but this risk</w:t>
      </w:r>
      <w:r w:rsidR="00294219" w:rsidRPr="005B79BA">
        <w:rPr>
          <w:rFonts w:asciiTheme="majorHAnsi" w:hAnsiTheme="majorHAnsi" w:cs="Times New Roman"/>
          <w:sz w:val="20"/>
          <w:szCs w:val="20"/>
          <w:lang w:val="en-US"/>
        </w:rPr>
        <w:t xml:space="preserve"> is</w:t>
      </w:r>
      <w:r w:rsidRPr="005B79BA">
        <w:rPr>
          <w:rFonts w:asciiTheme="majorHAnsi" w:hAnsiTheme="majorHAnsi" w:cs="Times New Roman"/>
          <w:sz w:val="20"/>
          <w:szCs w:val="20"/>
          <w:lang w:val="en-US"/>
        </w:rPr>
        <w:t xml:space="preserve"> </w:t>
      </w:r>
      <w:r w:rsidR="00F5504F" w:rsidRPr="005B79BA">
        <w:rPr>
          <w:rFonts w:asciiTheme="majorHAnsi" w:hAnsiTheme="majorHAnsi" w:cs="Times New Roman"/>
          <w:sz w:val="20"/>
          <w:szCs w:val="20"/>
          <w:lang w:val="en-US"/>
        </w:rPr>
        <w:t>not homogeneous in all patients</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Citation{bb05d7d9-e434-46dd-9baf-5a0217cfa769} CSL_CITATION  { "citationItems" : [ { "id" : "ITEM-1", "itemData" : { "DOI" : "10.1161/01.STR.22.8.983", "author" : [ { "family" : "Wolf", "given" : "P. a." }, { "family" : "Abbott", "given" : "R. D." }, { "family" : "Kannel", "given" : "W. B." } ], "container-title" : "Stroke", "id" : "ITEM-1", "issue" : "8", "issued" : { "date-parts" : [ [ "1991", "8", "1" ] ] }, "page" : "983-988", "title" : "Atrial fibrillation as an independent risk factor for stroke: the Framingham Study", "type" : "article-journal", "volume" : "22" }, "uris" : [ "http://www.mendeley.com/documents/?uuid=bb05d7d9-e434-46dd-9baf-5a0217cfa769" ] } ], "mendeley" : { "previouslyFormattedCitation" : "\u003csup\u003e3\u003c/sup\u003e"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3</w:t>
      </w:r>
      <w:r w:rsidR="009F7CE0"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xml:space="preserve"> and </w:t>
      </w:r>
      <w:r w:rsidR="00F5504F" w:rsidRPr="005B79BA">
        <w:rPr>
          <w:rFonts w:asciiTheme="majorHAnsi" w:hAnsiTheme="majorHAnsi" w:cs="Times New Roman"/>
          <w:sz w:val="20"/>
          <w:szCs w:val="20"/>
          <w:lang w:val="en-US"/>
        </w:rPr>
        <w:t xml:space="preserve">is dependent </w:t>
      </w:r>
      <w:r w:rsidRPr="005B79BA">
        <w:rPr>
          <w:rFonts w:asciiTheme="majorHAnsi" w:hAnsiTheme="majorHAnsi" w:cs="Times New Roman"/>
          <w:sz w:val="20"/>
          <w:szCs w:val="20"/>
          <w:lang w:val="en-US"/>
        </w:rPr>
        <w:t>up</w:t>
      </w:r>
      <w:r w:rsidR="00F5504F" w:rsidRPr="005B79BA">
        <w:rPr>
          <w:rFonts w:asciiTheme="majorHAnsi" w:hAnsiTheme="majorHAnsi" w:cs="Times New Roman"/>
          <w:sz w:val="20"/>
          <w:szCs w:val="20"/>
          <w:lang w:val="en-US"/>
        </w:rPr>
        <w:t xml:space="preserve">on </w:t>
      </w:r>
      <w:r w:rsidRPr="005B79BA">
        <w:rPr>
          <w:rFonts w:asciiTheme="majorHAnsi" w:hAnsiTheme="majorHAnsi" w:cs="Times New Roman"/>
          <w:sz w:val="20"/>
          <w:szCs w:val="20"/>
          <w:lang w:val="en-US"/>
        </w:rPr>
        <w:t xml:space="preserve">the presence of various stroke </w:t>
      </w:r>
      <w:r w:rsidR="00F5504F" w:rsidRPr="005B79BA">
        <w:rPr>
          <w:rFonts w:asciiTheme="majorHAnsi" w:hAnsiTheme="majorHAnsi" w:cs="Times New Roman"/>
          <w:sz w:val="20"/>
          <w:szCs w:val="20"/>
          <w:lang w:val="en-US"/>
        </w:rPr>
        <w:t xml:space="preserve">risk factors </w:t>
      </w:r>
      <w:r w:rsidRPr="005B79BA">
        <w:rPr>
          <w:rFonts w:asciiTheme="majorHAnsi" w:hAnsiTheme="majorHAnsi" w:cs="Times New Roman"/>
          <w:sz w:val="20"/>
          <w:szCs w:val="20"/>
          <w:lang w:val="en-US"/>
        </w:rPr>
        <w:t xml:space="preserve">in </w:t>
      </w:r>
      <w:r w:rsidR="00F5504F" w:rsidRPr="005B79BA">
        <w:rPr>
          <w:rFonts w:asciiTheme="majorHAnsi" w:hAnsiTheme="majorHAnsi" w:cs="Times New Roman"/>
          <w:sz w:val="20"/>
          <w:szCs w:val="20"/>
          <w:lang w:val="en-US"/>
        </w:rPr>
        <w:t>the individual patient</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Citation{fe65da1e-6f41-4875-bbf5-084e8a55fa0b} CSL_CITATION  { "citationItems" : [ { "id" : "ITEM-1", "itemData" : { "DOI" : "10.1161/STROKEAHA.107.501825", "abstract" : "More than a dozen schemes for stratifying stroke risk in patients with nonvalvular atrial fibrillation have been published. Differences among these schemes lead to inconsistent stroke risk estimates for many atrial fibrillation patients, resulting in confusion among clinicians and nonuniform use of anticoagulation.", "author" : [ { "family" : "Avenue", "given" : "Greenville" } ], "container-title" : "Stroke; a journal of cerebral circulation", "id" : "ITEM-1", "issue" : "6", "issued" : { "date-parts" : [ [ "2008", "6" ] ] }, "page" : "1901-10", "title" : "Comparison of 12 risk stratification schemes to predict stroke in patients with nonvalvular atrial fibrillation.", "type" : "article-journal", "volume" : "39" }, "uris" : [ "http://www.mendeley.com/documents/?uuid=fe65da1e-6f41-4875-bbf5-084e8a55fa0b" ] } ], "mendeley" : { "previouslyFormattedCitation" : "\u003csup\u003e4\u003c/sup\u003e"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4</w:t>
      </w:r>
      <w:r w:rsidR="009F7CE0" w:rsidRPr="005B79BA">
        <w:rPr>
          <w:rFonts w:asciiTheme="majorHAnsi" w:hAnsiTheme="majorHAnsi" w:cs="Times New Roman"/>
          <w:sz w:val="20"/>
          <w:szCs w:val="20"/>
          <w:lang w:val="en-US"/>
        </w:rPr>
        <w:fldChar w:fldCharType="end"/>
      </w:r>
      <w:r w:rsidR="00F5504F" w:rsidRPr="005B79BA">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 xml:space="preserve"> </w:t>
      </w:r>
    </w:p>
    <w:p w14:paraId="32206EFC" w14:textId="77777777" w:rsidR="008D147E" w:rsidRDefault="00F5504F"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The most common stroke risk prediction score in clinical use is the classic </w:t>
      </w:r>
      <w:r w:rsidR="003031EC" w:rsidRPr="005B79BA">
        <w:rPr>
          <w:rFonts w:asciiTheme="majorHAnsi" w:hAnsiTheme="majorHAnsi" w:cs="Times New Roman"/>
          <w:sz w:val="20"/>
          <w:szCs w:val="20"/>
          <w:lang w:val="en-US"/>
        </w:rPr>
        <w:t>CHADS</w:t>
      </w:r>
      <w:r w:rsidR="003031EC" w:rsidRPr="005B79BA">
        <w:rPr>
          <w:rFonts w:asciiTheme="majorHAnsi" w:hAnsiTheme="majorHAnsi" w:cs="Times New Roman"/>
          <w:sz w:val="20"/>
          <w:szCs w:val="20"/>
          <w:vertAlign w:val="subscript"/>
          <w:lang w:val="en-US"/>
        </w:rPr>
        <w:t>2</w:t>
      </w:r>
      <w:r w:rsidR="003031EC" w:rsidRPr="005B79BA">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 xml:space="preserve">congestive heart </w:t>
      </w:r>
    </w:p>
    <w:p w14:paraId="5F760341" w14:textId="77777777" w:rsidR="008D147E" w:rsidRDefault="008D147E" w:rsidP="005B79BA">
      <w:pPr>
        <w:autoSpaceDE w:val="0"/>
        <w:autoSpaceDN w:val="0"/>
        <w:adjustRightInd w:val="0"/>
        <w:jc w:val="both"/>
        <w:rPr>
          <w:rFonts w:asciiTheme="majorHAnsi" w:hAnsiTheme="majorHAnsi" w:cs="Times New Roman"/>
          <w:sz w:val="20"/>
          <w:szCs w:val="20"/>
          <w:lang w:val="en-US"/>
        </w:rPr>
      </w:pPr>
    </w:p>
    <w:p w14:paraId="4D67C2FB" w14:textId="77777777" w:rsidR="008D147E" w:rsidRDefault="008D147E" w:rsidP="005B79BA">
      <w:pPr>
        <w:autoSpaceDE w:val="0"/>
        <w:autoSpaceDN w:val="0"/>
        <w:adjustRightInd w:val="0"/>
        <w:jc w:val="both"/>
        <w:rPr>
          <w:rFonts w:asciiTheme="majorHAnsi" w:hAnsiTheme="majorHAnsi" w:cs="Times New Roman"/>
          <w:sz w:val="20"/>
          <w:szCs w:val="20"/>
          <w:lang w:val="en-US"/>
        </w:rPr>
      </w:pPr>
    </w:p>
    <w:p w14:paraId="20B00661" w14:textId="77777777" w:rsidR="008D147E" w:rsidRDefault="008D147E" w:rsidP="005B79BA">
      <w:pPr>
        <w:autoSpaceDE w:val="0"/>
        <w:autoSpaceDN w:val="0"/>
        <w:adjustRightInd w:val="0"/>
        <w:jc w:val="both"/>
        <w:rPr>
          <w:rFonts w:asciiTheme="majorHAnsi" w:hAnsiTheme="majorHAnsi" w:cs="Times New Roman"/>
          <w:sz w:val="20"/>
          <w:szCs w:val="20"/>
          <w:lang w:val="en-US"/>
        </w:rPr>
      </w:pPr>
    </w:p>
    <w:p w14:paraId="44F81DA8" w14:textId="214E99FB" w:rsidR="005B79BA" w:rsidRDefault="00F5504F"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failure, hypertension, age </w:t>
      </w:r>
      <w:r w:rsidRPr="005B79BA">
        <w:rPr>
          <w:rFonts w:asciiTheme="majorHAnsi" w:eastAsia="MTSY" w:hAnsiTheme="majorHAnsi" w:cs="Times New Roman"/>
          <w:sz w:val="20"/>
          <w:szCs w:val="20"/>
          <w:lang w:val="en-US"/>
        </w:rPr>
        <w:t>≥</w:t>
      </w:r>
      <w:r w:rsidRPr="005B79BA">
        <w:rPr>
          <w:rFonts w:asciiTheme="majorHAnsi" w:hAnsiTheme="majorHAnsi" w:cs="Times New Roman"/>
          <w:sz w:val="20"/>
          <w:szCs w:val="20"/>
          <w:lang w:val="en-US"/>
        </w:rPr>
        <w:t>75 years, diabetes, s</w:t>
      </w:r>
      <w:r w:rsidR="005B79BA">
        <w:rPr>
          <w:rFonts w:asciiTheme="majorHAnsi" w:hAnsiTheme="majorHAnsi" w:cs="Times New Roman"/>
          <w:sz w:val="20"/>
          <w:szCs w:val="20"/>
          <w:lang w:val="en-US"/>
        </w:rPr>
        <w:t xml:space="preserve">troke/transient </w:t>
      </w:r>
      <w:r w:rsidR="003031EC" w:rsidRPr="005B79BA">
        <w:rPr>
          <w:rFonts w:asciiTheme="majorHAnsi" w:hAnsiTheme="majorHAnsi" w:cs="Times New Roman"/>
          <w:sz w:val="20"/>
          <w:szCs w:val="20"/>
          <w:lang w:val="en-US"/>
        </w:rPr>
        <w:t>cerebral ischemia/</w:t>
      </w:r>
      <w:proofErr w:type="spellStart"/>
      <w:r w:rsidR="003031EC" w:rsidRPr="005B79BA">
        <w:rPr>
          <w:rFonts w:asciiTheme="majorHAnsi" w:hAnsiTheme="majorHAnsi" w:cs="Times New Roman"/>
          <w:sz w:val="20"/>
          <w:szCs w:val="20"/>
          <w:lang w:val="en-US"/>
        </w:rPr>
        <w:t>thrombo</w:t>
      </w:r>
      <w:proofErr w:type="spellEnd"/>
      <w:r w:rsidR="005B79BA">
        <w:rPr>
          <w:rFonts w:asciiTheme="majorHAnsi" w:hAnsiTheme="majorHAnsi" w:cs="Times New Roman"/>
          <w:sz w:val="20"/>
          <w:szCs w:val="20"/>
          <w:lang w:val="en-US"/>
        </w:rPr>
        <w:t>-</w:t>
      </w:r>
      <w:r w:rsidR="003031EC" w:rsidRPr="005B79BA">
        <w:rPr>
          <w:rFonts w:asciiTheme="majorHAnsi" w:hAnsiTheme="majorHAnsi" w:cs="Times New Roman"/>
          <w:sz w:val="20"/>
          <w:szCs w:val="20"/>
          <w:lang w:val="en-US"/>
        </w:rPr>
        <w:t>embolism (doubled))</w:t>
      </w:r>
      <w:r w:rsidRPr="005B79BA">
        <w:rPr>
          <w:rFonts w:asciiTheme="majorHAnsi" w:hAnsiTheme="majorHAnsi" w:cs="Times New Roman"/>
          <w:sz w:val="20"/>
          <w:szCs w:val="20"/>
          <w:lang w:val="en-US"/>
        </w:rPr>
        <w:t xml:space="preserve"> score</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Citation{809a94e2-018f-45d5-937d-d540619de3d2} CSL_CITATION  { "citationItems" : [ { "id" : "ITEM-1", "itemData" : { "abstract" : "Patients who have atrial fibrillation (AF) have an increased risk of stroke, but their absolute rate of stroke depends on age and comorbid conditions.", "author" : [ { "family" : "Gage", "given" : "B F" }, { "family" : "Waterman", "given" : "A D" }, { "family" : "Shannon", "given" : "W" }, { "family" : "Boechler", "given" : "M" }, { "family" : "Rich", "given" : "M W" }, { "family" : "Radford", "given" : "M J" } ], "container-title" : "JAMA : the journal of the American Medical Association", "id" : "ITEM-1", "issue" : "22", "issued" : { "date-parts" : [ [ "2001", "6", "13" ] ] }, "page" : "2864-70", "title" : "Validation of clinical classification schemes for predicting stroke: results from the National Registry of Atrial Fibrillation.", "type" : "article-journal", "volume" : "285" }, "uris" : [ "http://www.mendeley.com/documents/?uuid=809a94e2-018f-45d5-937d-d540619de3d2" ] } ], "mendeley" : { "previouslyFormattedCitation" : "\u003csup\u003e5\u003c/sup\u003e"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5</w:t>
      </w:r>
      <w:r w:rsidR="009F7CE0"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xml:space="preserve">. </w:t>
      </w:r>
      <w:r w:rsidR="00FB703A" w:rsidRPr="005B79BA">
        <w:rPr>
          <w:rFonts w:asciiTheme="majorHAnsi" w:hAnsiTheme="majorHAnsi" w:cs="Times New Roman"/>
          <w:sz w:val="20"/>
          <w:szCs w:val="20"/>
          <w:lang w:val="en-US"/>
        </w:rPr>
        <w:t>Given its</w:t>
      </w:r>
      <w:r w:rsidRPr="005B79BA">
        <w:rPr>
          <w:rFonts w:asciiTheme="majorHAnsi" w:hAnsiTheme="majorHAnsi" w:cs="Times New Roman"/>
          <w:sz w:val="20"/>
          <w:szCs w:val="20"/>
          <w:lang w:val="en-US"/>
        </w:rPr>
        <w:t xml:space="preserve"> variou</w:t>
      </w:r>
      <w:r w:rsidR="00AE2AB9" w:rsidRPr="005B79BA">
        <w:rPr>
          <w:rFonts w:asciiTheme="majorHAnsi" w:hAnsiTheme="majorHAnsi" w:cs="Times New Roman"/>
          <w:sz w:val="20"/>
          <w:szCs w:val="20"/>
          <w:lang w:val="en-US"/>
        </w:rPr>
        <w:t>s limitations</w:t>
      </w:r>
      <w:r w:rsidR="009F7CE0" w:rsidRPr="005B79BA">
        <w:rPr>
          <w:rFonts w:asciiTheme="majorHAnsi" w:hAnsiTheme="majorHAnsi" w:cs="Times New Roman"/>
          <w:bCs/>
          <w:i/>
          <w:color w:val="231F20"/>
          <w:sz w:val="20"/>
          <w:szCs w:val="20"/>
          <w:lang w:val="en-US"/>
        </w:rPr>
        <w:fldChar w:fldCharType="begin" w:fldLock="1"/>
      </w:r>
      <w:r w:rsidR="00F27147" w:rsidRPr="005B79BA">
        <w:rPr>
          <w:rFonts w:asciiTheme="majorHAnsi" w:hAnsiTheme="majorHAnsi" w:cs="Times New Roman"/>
          <w:bCs/>
          <w:i/>
          <w:color w:val="231F20"/>
          <w:sz w:val="20"/>
          <w:szCs w:val="20"/>
          <w:lang w:val="en-US"/>
        </w:rPr>
        <w:instrText xml:space="preserve">ADDIN Mendeley Citation{820e29a0-74c4-4a14-a709-a46d6e846423};{a0b266e7-8686-47e7-90c6-997bc0bf869d} CSL_CITATION  { "citationItems" : [ { "id" : "ITEM-1", "itemData" : { "DOI" : "10.1160/TH09-11-0757", "author" : [ { "family" : "Karthikeyan", "given" : "G" }, { "family" : "Eikelboom", "given" : "J W" } ], "container-title" : "Thrombosis and haemostasis", "id" : "ITEM-1", "issue" : "1", "issued" : { "date-parts" : [ [ "2010", "7" ] ] }, "page" : "45-8", "title" : "The CHADS2 score for stroke risk stratification in atrial fibrillation - friend or foe?", "type" : "article-journal", "volume" : "104" }, "uris" : [ "http://www.mendeley.com/documents/?uuid=820e29a0-74c4-4a14-a709-a46d6e846423" ] }, { "id" : "ITEM-2", "itemData" : { "DOI" : "10.1160/TH11-02-0061", "abstract" : "The CHADS2 predicts annual risk of ischaemic stroke in non-valvular atrial fibrillation. This systematic review and meta-analysis aims to determine the predictive value of CHADS2. The literature was systematically searched from 2001 to October 2010. Data was pooled and analysed using discrimination and calibration statistical measures, using a random effects model. Eight data sets (n = 2815) were included. The diagnostic accuracy suggested a cut-point of \u2265 1 has higher sensitivity (92%) than specificity (12%) and a cut-point of \u2265 4 has higher specificity (96%) than sensitivity (33%). Lower summary estimates were observed for cut-points \u2265 2 (sensitivity 79%, specificity 42%) and \u2265 3 (specificity 77%, sensitivity 50%). There was insufficient data to analyse cut-points \u2265 5 or \u2265 6. Moderate pooled c statistic values were identified for the classic (0.63, 95% CI 0.52-0.75) and revised (0.60, 95% CI 0.43-0.72) view of stratification of the CHADS2. Calibration analysis indicated no significant difference between the predicted and observed strokes across the three risk strata for the classic or revised view. All results were associated with high heterogeneity, and conclusions should be made cautiously. In conclusion, the pooled c statistic and calibration analysis suggests minimal clinical utility of both the classic and revised view of the CHADS2 in predicting ischaemic stroke across all risk strata. Due to high heterogeneity across studies and low event rates across all risk strata, the results should be interpreted cautiously. Further validation of CHADS2 should perhaps be undertaken, given the methodological differences between many of the available validation studies and the original CHADS2 derivation study.", "author" : [ { "family" : "Keogh", "given" : "Claire" }, { "family" : "Wallace", "given" : "Emma" }, { "family" : "Dillon", "given" : "Ciara" }, { "family" : "Dimitrov", "given" : "Borislav D" }, { "family" : "Fahey", "given" : "Tom" } ], "container-title" : "Thrombosis and haemostasis", "id" : "ITEM-2", "issue" : "3", "issued" : { "date-parts" : [ [ "2011", "9" ] ] }, "page" : "528-38", "title" : "Validation of the CHADS2 clinical prediction rule to predict ischaemic stroke. A systematic review and meta-analysis.", "type" : "article-journal", "volume" : "106" }, "uris" : [ "http://www.mendeley.com/documents/?uuid=a0b266e7-8686-47e7-90c6-997bc0bf869d" ] } ], "mendeley" : { "previouslyFormattedCitation" : "\u003csup\u003e6,7\u003c/sup\u003e" }, "properties" : { "noteIndex" : 0 }, "schema" : "https://github.com/citation-style-language/schema/raw/master/csl-citation.json" } </w:instrText>
      </w:r>
      <w:r w:rsidR="009F7CE0" w:rsidRPr="005B79BA">
        <w:rPr>
          <w:rFonts w:asciiTheme="majorHAnsi" w:hAnsiTheme="majorHAnsi" w:cs="Times New Roman"/>
          <w:bCs/>
          <w:i/>
          <w:color w:val="231F20"/>
          <w:sz w:val="20"/>
          <w:szCs w:val="20"/>
          <w:lang w:val="en-US"/>
        </w:rPr>
        <w:fldChar w:fldCharType="separate"/>
      </w:r>
      <w:r w:rsidR="00F27147" w:rsidRPr="005B79BA">
        <w:rPr>
          <w:rFonts w:asciiTheme="majorHAnsi" w:hAnsiTheme="majorHAnsi" w:cs="Times New Roman"/>
          <w:bCs/>
          <w:noProof/>
          <w:color w:val="231F20"/>
          <w:sz w:val="20"/>
          <w:szCs w:val="20"/>
          <w:vertAlign w:val="superscript"/>
          <w:lang w:val="en-US"/>
        </w:rPr>
        <w:t>6,7</w:t>
      </w:r>
      <w:r w:rsidR="009F7CE0" w:rsidRPr="005B79BA">
        <w:rPr>
          <w:rFonts w:asciiTheme="majorHAnsi" w:hAnsiTheme="majorHAnsi" w:cs="Times New Roman"/>
          <w:bCs/>
          <w:i/>
          <w:color w:val="231F20"/>
          <w:sz w:val="20"/>
          <w:szCs w:val="20"/>
          <w:lang w:val="en-US"/>
        </w:rPr>
        <w:fldChar w:fldCharType="end"/>
      </w:r>
      <w:r w:rsidR="00744EB8" w:rsidRPr="005B79BA">
        <w:rPr>
          <w:rFonts w:asciiTheme="majorHAnsi" w:hAnsiTheme="majorHAnsi" w:cs="Times New Roman"/>
          <w:bCs/>
          <w:color w:val="231F20"/>
          <w:sz w:val="20"/>
          <w:szCs w:val="20"/>
          <w:lang w:val="en-US"/>
        </w:rPr>
        <w:t>,</w:t>
      </w:r>
      <w:r w:rsidRPr="005B79BA">
        <w:rPr>
          <w:rFonts w:asciiTheme="majorHAnsi" w:hAnsiTheme="majorHAnsi" w:cs="Times New Roman"/>
          <w:bCs/>
          <w:i/>
          <w:color w:val="231F20"/>
          <w:sz w:val="20"/>
          <w:szCs w:val="20"/>
          <w:lang w:val="en-US"/>
        </w:rPr>
        <w:t xml:space="preserve"> </w:t>
      </w:r>
      <w:r w:rsidRPr="005B79BA">
        <w:rPr>
          <w:rFonts w:asciiTheme="majorHAnsi" w:hAnsiTheme="majorHAnsi" w:cs="Times New Roman"/>
          <w:sz w:val="20"/>
          <w:szCs w:val="20"/>
          <w:lang w:val="en-US"/>
        </w:rPr>
        <w:t>the CHADS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 xml:space="preserve"> score</w:t>
      </w:r>
      <w:r w:rsidR="003031EC" w:rsidRPr="005B79BA">
        <w:rPr>
          <w:rFonts w:asciiTheme="majorHAnsi" w:hAnsiTheme="majorHAnsi" w:cs="Times New Roman"/>
          <w:sz w:val="20"/>
          <w:szCs w:val="20"/>
          <w:lang w:val="en-US"/>
        </w:rPr>
        <w:t xml:space="preserve"> </w:t>
      </w:r>
      <w:r w:rsidR="00FB703A" w:rsidRPr="005B79BA">
        <w:rPr>
          <w:rFonts w:asciiTheme="majorHAnsi" w:hAnsiTheme="majorHAnsi" w:cs="Times New Roman"/>
          <w:sz w:val="20"/>
          <w:szCs w:val="20"/>
          <w:lang w:val="en-US"/>
        </w:rPr>
        <w:t xml:space="preserve">has been </w:t>
      </w:r>
      <w:r w:rsidR="000E19C2" w:rsidRPr="005B79BA">
        <w:rPr>
          <w:rFonts w:asciiTheme="majorHAnsi" w:hAnsiTheme="majorHAnsi" w:cs="Times New Roman"/>
          <w:sz w:val="20"/>
          <w:szCs w:val="20"/>
          <w:lang w:val="en-US"/>
        </w:rPr>
        <w:t xml:space="preserve">refined </w:t>
      </w:r>
      <w:r w:rsidR="00FB703A" w:rsidRPr="005B79BA">
        <w:rPr>
          <w:rFonts w:asciiTheme="majorHAnsi" w:hAnsiTheme="majorHAnsi" w:cs="Times New Roman"/>
          <w:sz w:val="20"/>
          <w:szCs w:val="20"/>
          <w:lang w:val="en-US"/>
        </w:rPr>
        <w:t xml:space="preserve">by </w:t>
      </w:r>
      <w:r w:rsidR="000E19C2" w:rsidRPr="005B79BA">
        <w:rPr>
          <w:rFonts w:asciiTheme="majorHAnsi" w:hAnsiTheme="majorHAnsi" w:cs="Times New Roman"/>
          <w:sz w:val="20"/>
          <w:szCs w:val="20"/>
          <w:lang w:val="en-US"/>
        </w:rPr>
        <w:t xml:space="preserve">use of </w:t>
      </w:r>
      <w:r w:rsidR="003031EC" w:rsidRPr="005B79BA">
        <w:rPr>
          <w:rFonts w:asciiTheme="majorHAnsi" w:hAnsiTheme="majorHAnsi" w:cs="Times New Roman"/>
          <w:sz w:val="20"/>
          <w:szCs w:val="20"/>
          <w:lang w:val="en-US"/>
        </w:rPr>
        <w:t>the CHA</w:t>
      </w:r>
      <w:r w:rsidR="003031EC" w:rsidRPr="005B79BA">
        <w:rPr>
          <w:rFonts w:asciiTheme="majorHAnsi" w:hAnsiTheme="majorHAnsi" w:cs="Times New Roman"/>
          <w:sz w:val="20"/>
          <w:szCs w:val="20"/>
          <w:vertAlign w:val="subscript"/>
          <w:lang w:val="en-US"/>
        </w:rPr>
        <w:t>2</w:t>
      </w:r>
      <w:r w:rsidR="003031EC" w:rsidRPr="005B79BA">
        <w:rPr>
          <w:rFonts w:asciiTheme="majorHAnsi" w:hAnsiTheme="majorHAnsi" w:cs="Times New Roman"/>
          <w:sz w:val="20"/>
          <w:szCs w:val="20"/>
          <w:lang w:val="en-US"/>
        </w:rPr>
        <w:t>DS</w:t>
      </w:r>
      <w:r w:rsidR="003031EC" w:rsidRPr="005B79BA">
        <w:rPr>
          <w:rFonts w:asciiTheme="majorHAnsi" w:hAnsiTheme="majorHAnsi" w:cs="Times New Roman"/>
          <w:sz w:val="20"/>
          <w:szCs w:val="20"/>
          <w:vertAlign w:val="subscript"/>
          <w:lang w:val="en-US"/>
        </w:rPr>
        <w:t>2</w:t>
      </w:r>
      <w:r w:rsidR="003031EC" w:rsidRPr="005B79BA">
        <w:rPr>
          <w:rFonts w:asciiTheme="majorHAnsi" w:hAnsiTheme="majorHAnsi" w:cs="Times New Roman"/>
          <w:sz w:val="20"/>
          <w:szCs w:val="20"/>
          <w:lang w:val="en-US"/>
        </w:rPr>
        <w:t>-VASc (</w:t>
      </w:r>
      <w:r w:rsidRPr="005B79BA">
        <w:rPr>
          <w:rFonts w:asciiTheme="majorHAnsi" w:hAnsiTheme="majorHAnsi" w:cs="Times New Roman"/>
          <w:sz w:val="20"/>
          <w:szCs w:val="20"/>
          <w:lang w:val="en-US"/>
        </w:rPr>
        <w:t xml:space="preserve">congestive heart failure, hypertension, age </w:t>
      </w:r>
      <w:r w:rsidRPr="005B79BA">
        <w:rPr>
          <w:rFonts w:asciiTheme="majorHAnsi" w:eastAsia="MTSY" w:hAnsiTheme="majorHAnsi" w:cs="Times New Roman"/>
          <w:sz w:val="20"/>
          <w:szCs w:val="20"/>
          <w:lang w:val="en-US"/>
        </w:rPr>
        <w:t>≥</w:t>
      </w:r>
      <w:r w:rsidRPr="005B79BA">
        <w:rPr>
          <w:rFonts w:asciiTheme="majorHAnsi" w:hAnsiTheme="majorHAnsi" w:cs="Times New Roman"/>
          <w:sz w:val="20"/>
          <w:szCs w:val="20"/>
          <w:lang w:val="en-US"/>
        </w:rPr>
        <w:t>75 years</w:t>
      </w:r>
      <w:r w:rsidR="003031EC" w:rsidRPr="005B79BA">
        <w:rPr>
          <w:rFonts w:asciiTheme="majorHAnsi" w:hAnsiTheme="majorHAnsi" w:cs="Times New Roman"/>
          <w:sz w:val="20"/>
          <w:szCs w:val="20"/>
          <w:lang w:val="en-US"/>
        </w:rPr>
        <w:t xml:space="preserve"> (doubled), diabetes, stroke/transient cerebral ischemia</w:t>
      </w:r>
      <w:r w:rsidRPr="005B79BA">
        <w:rPr>
          <w:rFonts w:asciiTheme="majorHAnsi" w:hAnsiTheme="majorHAnsi" w:cs="Times New Roman"/>
          <w:sz w:val="20"/>
          <w:szCs w:val="20"/>
          <w:lang w:val="en-US"/>
        </w:rPr>
        <w:t>/</w:t>
      </w:r>
      <w:proofErr w:type="spellStart"/>
      <w:r w:rsidRPr="005B79BA">
        <w:rPr>
          <w:rFonts w:asciiTheme="majorHAnsi" w:hAnsiTheme="majorHAnsi" w:cs="Times New Roman"/>
          <w:sz w:val="20"/>
          <w:szCs w:val="20"/>
          <w:lang w:val="en-US"/>
        </w:rPr>
        <w:t>thrombo</w:t>
      </w:r>
      <w:proofErr w:type="spellEnd"/>
      <w:r w:rsidR="005B79BA">
        <w:rPr>
          <w:rFonts w:asciiTheme="majorHAnsi" w:hAnsiTheme="majorHAnsi" w:cs="Times New Roman"/>
          <w:sz w:val="20"/>
          <w:szCs w:val="20"/>
          <w:lang w:val="en-US"/>
        </w:rPr>
        <w:t>-</w:t>
      </w:r>
      <w:r w:rsidRPr="005B79BA">
        <w:rPr>
          <w:rFonts w:asciiTheme="majorHAnsi" w:hAnsiTheme="majorHAnsi" w:cs="Times New Roman"/>
          <w:sz w:val="20"/>
          <w:szCs w:val="20"/>
          <w:lang w:val="en-US"/>
        </w:rPr>
        <w:t xml:space="preserve">embolism (doubled), vascular disease (prior myocardial infarction, peripheral artery disease, or </w:t>
      </w:r>
    </w:p>
    <w:p w14:paraId="123C9162" w14:textId="7D969184" w:rsidR="00FB703A" w:rsidRPr="005B79BA" w:rsidRDefault="00F5504F"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aortic plaque), age 65–</w:t>
      </w:r>
      <w:r w:rsidR="00B359DC" w:rsidRPr="005B79BA">
        <w:rPr>
          <w:rFonts w:asciiTheme="majorHAnsi" w:hAnsiTheme="majorHAnsi" w:cs="Times New Roman"/>
          <w:sz w:val="20"/>
          <w:szCs w:val="20"/>
          <w:lang w:val="en-US"/>
        </w:rPr>
        <w:t>74</w:t>
      </w:r>
      <w:r w:rsidRPr="005B79BA">
        <w:rPr>
          <w:rFonts w:asciiTheme="majorHAnsi" w:hAnsiTheme="majorHAnsi" w:cs="Times New Roman"/>
          <w:sz w:val="20"/>
          <w:szCs w:val="20"/>
          <w:lang w:val="en-US"/>
        </w:rPr>
        <w:t xml:space="preserve"> years, sex category (female)</w:t>
      </w:r>
      <w:r w:rsidR="003031EC" w:rsidRPr="005B79BA">
        <w:rPr>
          <w:rFonts w:asciiTheme="majorHAnsi" w:hAnsiTheme="majorHAnsi" w:cs="Times New Roman"/>
          <w:sz w:val="20"/>
          <w:szCs w:val="20"/>
          <w:lang w:val="en-US"/>
        </w:rPr>
        <w:t>)</w:t>
      </w:r>
      <w:r w:rsidRPr="005B79BA">
        <w:rPr>
          <w:rFonts w:asciiTheme="majorHAnsi" w:hAnsiTheme="majorHAnsi" w:cs="Times New Roman"/>
          <w:sz w:val="20"/>
          <w:szCs w:val="20"/>
          <w:lang w:val="en-US"/>
        </w:rPr>
        <w:t xml:space="preserve"> score </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Citation{ac3de4ee-64f1-4b1f-b7ce-30e7ebd87ee3} CSL_CITATION  { "citationItems" : [ { "id" : "ITEM-1", "itemData" : { "DOI" : "10.1378/chest.09-1584", "abstract" : "Contemporary clinical risk stratification schemata for predicting stroke and thromboembolism (TE) in patients with atrial fibrillation (AF) are largely derived from risk factors identified from trial cohorts. Thus, many potential risk factors have not been included.", "author" : [ { "family" : "Lip", "given" : "Gregory Y H" }, { "family" : "Nieuwlaat", "given" : "Robby" }, { "family" : "Pisters", "given" : "Ron" }, { "family" : "Lane", "given" : "Deirdre a" }, { "family" : "Crijns", "given" : "Harry J G M" } ], "container-title" : "Chest", "id" : "ITEM-1", "issue" : "2", "issued" : { "date-parts" : [ [ "2010", "2" ] ] }, "note" : "\u003cm:note\u003e\u003c/m:note\u003e", "page" : "263-72", "title" : "Refining clinical risk stratification for predicting stroke and thromboembolism in atrial fibrillation using a novel risk factor-based approach: the euro heart survey on atrial fibrillation.", "type" : "article-journal", "volume" : "137" }, "uris" : [ "http://www.mendeley.com/documents/?uuid=ac3de4ee-64f1-4b1f-b7ce-30e7ebd87ee3" ] } ], "mendeley" : { "previouslyFormattedCitation" : "\u003csup\u003e8\u003c/sup\u003e"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8</w:t>
      </w:r>
      <w:r w:rsidR="009F7CE0"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The</w:t>
      </w:r>
      <w:r w:rsidR="000E19C2" w:rsidRPr="005B79BA">
        <w:rPr>
          <w:rFonts w:asciiTheme="majorHAnsi" w:hAnsiTheme="majorHAnsi" w:cs="Times New Roman"/>
          <w:sz w:val="20"/>
          <w:szCs w:val="20"/>
          <w:lang w:val="en-US"/>
        </w:rPr>
        <w:t xml:space="preserve"> CHA</w:t>
      </w:r>
      <w:r w:rsidR="000E19C2" w:rsidRPr="005B79BA">
        <w:rPr>
          <w:rFonts w:asciiTheme="majorHAnsi" w:hAnsiTheme="majorHAnsi" w:cs="Times New Roman"/>
          <w:sz w:val="20"/>
          <w:szCs w:val="20"/>
          <w:vertAlign w:val="subscript"/>
          <w:lang w:val="en-US"/>
        </w:rPr>
        <w:t>2</w:t>
      </w:r>
      <w:r w:rsidR="000E19C2" w:rsidRPr="005B79BA">
        <w:rPr>
          <w:rFonts w:asciiTheme="majorHAnsi" w:hAnsiTheme="majorHAnsi" w:cs="Times New Roman"/>
          <w:sz w:val="20"/>
          <w:szCs w:val="20"/>
          <w:lang w:val="en-US"/>
        </w:rPr>
        <w:t>DS</w:t>
      </w:r>
      <w:r w:rsidR="000E19C2" w:rsidRPr="005B79BA">
        <w:rPr>
          <w:rFonts w:asciiTheme="majorHAnsi" w:hAnsiTheme="majorHAnsi" w:cs="Times New Roman"/>
          <w:sz w:val="20"/>
          <w:szCs w:val="20"/>
          <w:vertAlign w:val="subscript"/>
          <w:lang w:val="en-US"/>
        </w:rPr>
        <w:t>2</w:t>
      </w:r>
      <w:r w:rsidR="000E19C2" w:rsidRPr="005B79BA">
        <w:rPr>
          <w:rFonts w:asciiTheme="majorHAnsi" w:hAnsiTheme="majorHAnsi" w:cs="Times New Roman"/>
          <w:sz w:val="20"/>
          <w:szCs w:val="20"/>
          <w:lang w:val="en-US"/>
        </w:rPr>
        <w:t xml:space="preserve">-VASc score </w:t>
      </w:r>
      <w:r w:rsidRPr="005B79BA">
        <w:rPr>
          <w:rFonts w:asciiTheme="majorHAnsi" w:hAnsiTheme="majorHAnsi" w:cs="Times New Roman"/>
          <w:sz w:val="20"/>
          <w:szCs w:val="20"/>
          <w:lang w:val="en-US"/>
        </w:rPr>
        <w:t>includes additi</w:t>
      </w:r>
      <w:r w:rsidR="004A081A" w:rsidRPr="005B79BA">
        <w:rPr>
          <w:rFonts w:asciiTheme="majorHAnsi" w:hAnsiTheme="majorHAnsi" w:cs="Times New Roman"/>
          <w:sz w:val="20"/>
          <w:szCs w:val="20"/>
          <w:lang w:val="en-US"/>
        </w:rPr>
        <w:t>onal common stroke risk factors</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Citation{c2e9cf56-d70c-41eb-a0ae-00a257472c91};{124e4d72-88ba-4dd7-ac06-6dc69bee51aa};{0e04113e-ea1c-4338-ba6c-1e483fc9dedc} CSL_CITATION  { "citationItems" : [ { "id" : "ITEM-1", "itemData" : { "author" : [ { "family" : "Olesen", "given" : "J. B." }, { "family" : "Lip", "given" : "G. Y. H." }, { "family" : "Hansen", "given" : "M. L." }, { "family" : "Hansen", "given" : "P. R." }, { "family" : "Tolstrup", "given" : "J. S." }, { "family" : "Lindhardsen", "given" : "J." }, { "family" : "Selmer", "given" : "C." }, { "family" : "Ahlehoff", "given" : "O." }, { "family" : "Olsen", "given" : "a.-M. S." }, { "family" : "Gislason", "given" : "G. H." }, { "family" : "Torp-Pedersen", "given" : "C." } ], "container-title" : "BMJ", "id" : "ITEM-1", "issue" : "jan31 1", "issued" : { "date-parts" : [ [ "2011", "1", "31" ] ] }, "page" : "d124-d124", "title" : "Validation of risk stratification schemes for predicting stroke and thromboembolism in patients with atrial fibrillation: nationwide cohort study", "type" : "article-journal", "volume" : "342" }, "uris" : [ "http://www.mendeley.com/documents/?uuid=c2e9cf56-d70c-41eb-a0ae-00a257472c91" ] }, { "id" : "ITEM-2", "itemData" : { "DOI" : "10.1111/j.1538-7836.2010.04085.x", "abstract" : "Anticoagulation management of patients with atrial fibrillation (AF) should be tailored individually on the basis of ischemic stroke risk. The objective of this study was to compare the predictive ability of 15 published stratification schemes for stroke risk in actual clinical practice in the UK.", "author" : [ { "family" : "Van Staa", "given" : "T P" }, { "family" : "Setakis", "given" : "E" }, { "family" : "Di Tanna", "given" : "G L" }, { "family" : "Lane", "given" : "D a" }, { "family" : "Lip", "given" : "G Y H" } ], "container-title" : "Journal of thrombosis and haemostasis : JTH", "id" : "ITEM-2", "issue" : "1", "issued" : { "date-parts" : [ [ "2011", "1" ] ] }, "note" : "\u003cm:note\u003e\u003c/m:note\u003e", "page" : "39-48", "title" : "A comparison of risk stratification schemes for stroke in 79,884 atrial fibrillation patients in general practice.", "type" : "article-journal", "volume" : "9" }, "uris" : [ "http://www.mendeley.com/documents/?uuid=124e4d72-88ba-4dd7-ac06-6dc69bee51aa" ] }, { "id" : "ITEM-3", "itemData" : { "DOI" : "10.1161/STROKEAHA.110.590257", "abstract" : "The risk of stroke in patients with atrial fibrillation (AF) is not homogeneous, and various clinical risk factors have informed the development of stroke risk stratification schemes (RSS). Among anticoagulated cohorts, the emphasis should be on the identification of patients who remain at high risk for stroke despite anticoagulation.", "author" : [ { "family" : "Lip", "given" : "Gregory Y H" }, { "family" : "Frison", "given" : "Lars" }, { "family" : "Halperin", "given" : "Jonathan L" }, { "family" : "Lane", "given" : "Deirdre a" } ], "container-title" : "Stroke; a journal of cerebral circulation", "id" : "ITEM-3", "issue" : "12", "issued" : { "date-parts" : [ [ "2010", "12" ] ] }, "page" : "2731-8", "title" : "Identifying patients at high risk for stroke despite anticoagulation: a comparison of contemporary stroke risk stratification schemes in an anticoagulated atrial fibrillation cohort.", "type" : "article-journal", "volume" : "41" }, "uris" : [ "http://www.mendeley.com/documents/?uuid=0e04113e-ea1c-4338-ba6c-1e483fc9dedc" ] } ], "mendeley" : { "previouslyFormattedCitation" : "\u003csup\u003e9\u201311\u003c/sup\u003e"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9–11</w:t>
      </w:r>
      <w:r w:rsidR="009F7CE0"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xml:space="preserve">. The </w:t>
      </w:r>
      <w:r w:rsidRPr="005B79BA">
        <w:rPr>
          <w:rFonts w:asciiTheme="majorHAnsi" w:hAnsiTheme="majorHAnsi" w:cs="Times New Roman"/>
          <w:sz w:val="20"/>
          <w:szCs w:val="20"/>
          <w:lang w:val="en-US"/>
        </w:rPr>
        <w:lastRenderedPageBreak/>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 xml:space="preserve">-VASc score </w:t>
      </w:r>
      <w:r w:rsidRPr="005B79BA">
        <w:rPr>
          <w:rFonts w:asciiTheme="majorHAnsi" w:eastAsia="AdvTimes" w:hAnsiTheme="majorHAnsi" w:cs="Times New Roman"/>
          <w:sz w:val="20"/>
          <w:szCs w:val="20"/>
          <w:lang w:val="en-US"/>
        </w:rPr>
        <w:t>better identif</w:t>
      </w:r>
      <w:r w:rsidR="00FB703A" w:rsidRPr="005B79BA">
        <w:rPr>
          <w:rFonts w:asciiTheme="majorHAnsi" w:eastAsia="AdvTimes" w:hAnsiTheme="majorHAnsi" w:cs="Times New Roman"/>
          <w:sz w:val="20"/>
          <w:szCs w:val="20"/>
          <w:lang w:val="en-US"/>
        </w:rPr>
        <w:t>ies</w:t>
      </w:r>
      <w:r w:rsidRPr="005B79BA">
        <w:rPr>
          <w:rFonts w:asciiTheme="majorHAnsi" w:eastAsia="AdvTimes" w:hAnsiTheme="majorHAnsi" w:cs="Times New Roman"/>
          <w:sz w:val="20"/>
          <w:szCs w:val="20"/>
          <w:lang w:val="en-US"/>
        </w:rPr>
        <w:t xml:space="preserve"> the </w:t>
      </w:r>
      <w:r w:rsidR="00FB703A" w:rsidRPr="005B79BA">
        <w:rPr>
          <w:rFonts w:asciiTheme="majorHAnsi" w:eastAsia="AdvTimes" w:hAnsiTheme="majorHAnsi" w:cs="Times New Roman"/>
          <w:sz w:val="20"/>
          <w:szCs w:val="20"/>
          <w:lang w:val="en-US"/>
        </w:rPr>
        <w:t>‘</w:t>
      </w:r>
      <w:r w:rsidRPr="005B79BA">
        <w:rPr>
          <w:rFonts w:asciiTheme="majorHAnsi" w:eastAsia="AdvTimes" w:hAnsiTheme="majorHAnsi" w:cs="Times New Roman"/>
          <w:sz w:val="20"/>
          <w:szCs w:val="20"/>
          <w:lang w:val="en-US"/>
        </w:rPr>
        <w:t>truly low-risk</w:t>
      </w:r>
      <w:r w:rsidR="00FB703A" w:rsidRPr="005B79BA">
        <w:rPr>
          <w:rFonts w:asciiTheme="majorHAnsi" w:eastAsia="AdvTimes" w:hAnsiTheme="majorHAnsi" w:cs="Times New Roman"/>
          <w:sz w:val="20"/>
          <w:szCs w:val="20"/>
          <w:lang w:val="en-US"/>
        </w:rPr>
        <w:t>’</w:t>
      </w:r>
      <w:r w:rsidRPr="005B79BA">
        <w:rPr>
          <w:rFonts w:asciiTheme="majorHAnsi" w:eastAsia="AdvTimes" w:hAnsiTheme="majorHAnsi" w:cs="Times New Roman"/>
          <w:sz w:val="20"/>
          <w:szCs w:val="20"/>
          <w:lang w:val="en-US"/>
        </w:rPr>
        <w:t xml:space="preserve"> AF patients who do not require any antithrombotic therapy, so that those with one or more stroke risk factors can be offered effective antithrombotic treatment</w:t>
      </w:r>
      <w:r w:rsidR="009F7CE0" w:rsidRPr="005B79BA">
        <w:rPr>
          <w:rFonts w:asciiTheme="majorHAnsi" w:eastAsia="AdvTimes" w:hAnsiTheme="majorHAnsi" w:cs="Times New Roman"/>
          <w:sz w:val="20"/>
          <w:szCs w:val="20"/>
          <w:lang w:val="en-US"/>
        </w:rPr>
        <w:fldChar w:fldCharType="begin" w:fldLock="1"/>
      </w:r>
      <w:r w:rsidR="00F27147" w:rsidRPr="005B79BA">
        <w:rPr>
          <w:rFonts w:asciiTheme="majorHAnsi" w:eastAsia="AdvTimes" w:hAnsiTheme="majorHAnsi" w:cs="Times New Roman"/>
          <w:sz w:val="20"/>
          <w:szCs w:val="20"/>
          <w:lang w:val="en-US"/>
        </w:rPr>
        <w:instrText xml:space="preserve">ADDIN Mendeley Citation{ac3de4ee-64f1-4b1f-b7ce-30e7ebd87ee3} CSL_CITATION  { "citationItems" : [ { "id" : "ITEM-1", "itemData" : { "DOI" : "10.1378/chest.09-1584", "abstract" : "Contemporary clinical risk stratification schemata for predicting stroke and thromboembolism (TE) in patients with atrial fibrillation (AF) are largely derived from risk factors identified from trial cohorts. Thus, many potential risk factors have not been included.", "author" : [ { "family" : "Lip", "given" : "Gregory Y H" }, { "family" : "Nieuwlaat", "given" : "Robby" }, { "family" : "Pisters", "given" : "Ron" }, { "family" : "Lane", "given" : "Deirdre a" }, { "family" : "Crijns", "given" : "Harry J G M" } ], "container-title" : "Chest", "id" : "ITEM-1", "issue" : "2", "issued" : { "date-parts" : [ [ "2010", "2" ] ] }, "note" : "\u003cm:note\u003e\u003c/m:note\u003e", "page" : "263-72", "title" : "Refining clinical risk stratification for predicting stroke and thromboembolism in atrial fibrillation using a novel risk factor-based approach: the euro heart survey on atrial fibrillation.", "type" : "article-journal", "volume" : "137" }, "uris" : [ "http://www.mendeley.com/documents/?uuid=ac3de4ee-64f1-4b1f-b7ce-30e7ebd87ee3" ] } ], "mendeley" : { "previouslyFormattedCitation" : "\u003csup\u003e8\u003c/sup\u003e" }, "properties" : { "noteIndex" : 0 }, "schema" : "https://github.com/citation-style-language/schema/raw/master/csl-citation.json" } </w:instrText>
      </w:r>
      <w:r w:rsidR="009F7CE0" w:rsidRPr="005B79BA">
        <w:rPr>
          <w:rFonts w:asciiTheme="majorHAnsi" w:eastAsia="AdvTimes" w:hAnsiTheme="majorHAnsi" w:cs="Times New Roman"/>
          <w:sz w:val="20"/>
          <w:szCs w:val="20"/>
          <w:lang w:val="en-US"/>
        </w:rPr>
        <w:fldChar w:fldCharType="separate"/>
      </w:r>
      <w:r w:rsidR="00F27147" w:rsidRPr="005B79BA">
        <w:rPr>
          <w:rFonts w:asciiTheme="majorHAnsi" w:eastAsia="AdvTimes" w:hAnsiTheme="majorHAnsi" w:cs="Times New Roman"/>
          <w:noProof/>
          <w:sz w:val="20"/>
          <w:szCs w:val="20"/>
          <w:vertAlign w:val="superscript"/>
          <w:lang w:val="en-US"/>
        </w:rPr>
        <w:t>8</w:t>
      </w:r>
      <w:r w:rsidR="009F7CE0" w:rsidRPr="005B79BA">
        <w:rPr>
          <w:rFonts w:asciiTheme="majorHAnsi" w:eastAsia="AdvTimes" w:hAnsiTheme="majorHAnsi" w:cs="Times New Roman"/>
          <w:sz w:val="20"/>
          <w:szCs w:val="20"/>
          <w:lang w:val="en-US"/>
        </w:rPr>
        <w:fldChar w:fldCharType="end"/>
      </w:r>
      <w:r w:rsidRPr="005B79BA">
        <w:rPr>
          <w:rFonts w:asciiTheme="majorHAnsi" w:eastAsia="AdvTimes" w:hAnsiTheme="majorHAnsi" w:cs="Times New Roman"/>
          <w:sz w:val="20"/>
          <w:szCs w:val="20"/>
          <w:lang w:val="en-US"/>
        </w:rPr>
        <w:t xml:space="preserve">. </w:t>
      </w:r>
    </w:p>
    <w:p w14:paraId="5E728A35" w14:textId="1BF17FFF" w:rsidR="00F61E14" w:rsidRDefault="000E19C2" w:rsidP="008D147E">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Risk stratification scores</w:t>
      </w:r>
      <w:r w:rsidR="00F5504F" w:rsidRPr="005B79BA">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 xml:space="preserve">for AF </w:t>
      </w:r>
      <w:r w:rsidR="00F5504F" w:rsidRPr="005B79BA">
        <w:rPr>
          <w:rFonts w:asciiTheme="majorHAnsi" w:hAnsiTheme="majorHAnsi" w:cs="Times New Roman"/>
          <w:sz w:val="20"/>
          <w:szCs w:val="20"/>
          <w:lang w:val="en-US"/>
        </w:rPr>
        <w:t xml:space="preserve">have been primarily evaluated in </w:t>
      </w:r>
      <w:r w:rsidR="00FB703A" w:rsidRPr="005B79BA">
        <w:rPr>
          <w:rFonts w:asciiTheme="majorHAnsi" w:hAnsiTheme="majorHAnsi" w:cs="Times New Roman"/>
          <w:sz w:val="20"/>
          <w:szCs w:val="20"/>
          <w:lang w:val="en-US"/>
        </w:rPr>
        <w:t xml:space="preserve">older AF </w:t>
      </w:r>
      <w:r w:rsidR="00F5504F" w:rsidRPr="005B79BA">
        <w:rPr>
          <w:rFonts w:asciiTheme="majorHAnsi" w:hAnsiTheme="majorHAnsi" w:cs="Times New Roman"/>
          <w:sz w:val="20"/>
          <w:szCs w:val="20"/>
          <w:lang w:val="en-US"/>
        </w:rPr>
        <w:t>patients</w:t>
      </w:r>
      <w:r w:rsidR="00284D91" w:rsidRPr="005B79BA">
        <w:rPr>
          <w:rFonts w:asciiTheme="majorHAnsi" w:hAnsiTheme="majorHAnsi" w:cs="Times New Roman"/>
          <w:sz w:val="20"/>
          <w:szCs w:val="20"/>
          <w:lang w:val="en-US"/>
        </w:rPr>
        <w:t xml:space="preserve">, usually </w:t>
      </w:r>
      <w:r w:rsidR="00F5504F" w:rsidRPr="005B79BA">
        <w:rPr>
          <w:rFonts w:asciiTheme="majorHAnsi" w:hAnsiTheme="majorHAnsi" w:cs="Times New Roman"/>
          <w:sz w:val="20"/>
          <w:szCs w:val="20"/>
          <w:lang w:val="en-US"/>
        </w:rPr>
        <w:t>above the age of 65</w:t>
      </w:r>
      <w:r w:rsidR="00EA5E9A" w:rsidRPr="005B79BA">
        <w:rPr>
          <w:rFonts w:asciiTheme="majorHAnsi" w:hAnsiTheme="majorHAnsi" w:cs="Times New Roman"/>
          <w:sz w:val="20"/>
          <w:szCs w:val="20"/>
          <w:lang w:val="en-US"/>
        </w:rPr>
        <w:t xml:space="preserve"> and no study</w:t>
      </w:r>
      <w:r w:rsidR="00A9000C" w:rsidRPr="005B79BA">
        <w:rPr>
          <w:rFonts w:asciiTheme="majorHAnsi" w:hAnsiTheme="majorHAnsi" w:cs="Times New Roman"/>
          <w:sz w:val="20"/>
          <w:szCs w:val="20"/>
          <w:lang w:val="en-US"/>
        </w:rPr>
        <w:t xml:space="preserve"> has</w:t>
      </w:r>
      <w:r w:rsidR="00FB703A" w:rsidRPr="005B79BA">
        <w:rPr>
          <w:rFonts w:asciiTheme="majorHAnsi" w:hAnsiTheme="majorHAnsi" w:cs="Times New Roman"/>
          <w:sz w:val="20"/>
          <w:szCs w:val="20"/>
          <w:lang w:val="en-US"/>
        </w:rPr>
        <w:t xml:space="preserve"> adequately</w:t>
      </w:r>
      <w:r w:rsidR="00A9000C" w:rsidRPr="005B79BA">
        <w:rPr>
          <w:rFonts w:asciiTheme="majorHAnsi" w:hAnsiTheme="majorHAnsi" w:cs="Times New Roman"/>
          <w:sz w:val="20"/>
          <w:szCs w:val="20"/>
          <w:lang w:val="en-US"/>
        </w:rPr>
        <w:t xml:space="preserve"> </w:t>
      </w:r>
      <w:r w:rsidR="00EA5E9A" w:rsidRPr="005B79BA">
        <w:rPr>
          <w:rFonts w:asciiTheme="majorHAnsi" w:hAnsiTheme="majorHAnsi" w:cs="Times New Roman"/>
          <w:sz w:val="20"/>
          <w:szCs w:val="20"/>
          <w:lang w:val="en-US"/>
        </w:rPr>
        <w:t>investigated</w:t>
      </w:r>
      <w:r w:rsidR="00A9000C" w:rsidRPr="005B79BA">
        <w:rPr>
          <w:rFonts w:asciiTheme="majorHAnsi" w:hAnsiTheme="majorHAnsi" w:cs="Times New Roman"/>
          <w:sz w:val="20"/>
          <w:szCs w:val="20"/>
          <w:lang w:val="en-US"/>
        </w:rPr>
        <w:t xml:space="preserve"> if </w:t>
      </w:r>
      <w:r w:rsidR="00FB703A" w:rsidRPr="005B79BA">
        <w:rPr>
          <w:rFonts w:asciiTheme="majorHAnsi" w:hAnsiTheme="majorHAnsi" w:cs="Times New Roman"/>
          <w:sz w:val="20"/>
          <w:szCs w:val="20"/>
          <w:lang w:val="en-US"/>
        </w:rPr>
        <w:t>the risk factors have similar impact amongst younger patients with AF</w:t>
      </w:r>
      <w:r w:rsidR="00D908FF" w:rsidRPr="005B79BA">
        <w:rPr>
          <w:rFonts w:asciiTheme="majorHAnsi" w:hAnsiTheme="majorHAnsi" w:cs="Times New Roman"/>
          <w:sz w:val="20"/>
          <w:szCs w:val="20"/>
          <w:lang w:val="en-US"/>
        </w:rPr>
        <w:t>. S</w:t>
      </w:r>
      <w:r w:rsidR="00FB703A" w:rsidRPr="005B79BA">
        <w:rPr>
          <w:rFonts w:asciiTheme="majorHAnsi" w:hAnsiTheme="majorHAnsi" w:cs="Times New Roman"/>
          <w:sz w:val="20"/>
          <w:szCs w:val="20"/>
          <w:lang w:val="en-US"/>
        </w:rPr>
        <w:t xml:space="preserve">econd, </w:t>
      </w:r>
      <w:r w:rsidR="00A101DE" w:rsidRPr="005B79BA">
        <w:rPr>
          <w:rFonts w:asciiTheme="majorHAnsi" w:hAnsiTheme="majorHAnsi" w:cs="Times New Roman"/>
          <w:sz w:val="20"/>
          <w:szCs w:val="20"/>
          <w:lang w:val="en-US"/>
        </w:rPr>
        <w:t xml:space="preserve">whether </w:t>
      </w:r>
      <w:r w:rsidR="00EA5E9A" w:rsidRPr="005B79BA">
        <w:rPr>
          <w:rFonts w:asciiTheme="majorHAnsi" w:hAnsiTheme="majorHAnsi" w:cs="Times New Roman"/>
          <w:sz w:val="20"/>
          <w:szCs w:val="20"/>
          <w:lang w:val="en-US"/>
        </w:rPr>
        <w:t xml:space="preserve">the </w:t>
      </w:r>
      <w:r w:rsidR="00A101DE" w:rsidRPr="005B79BA">
        <w:rPr>
          <w:rFonts w:asciiTheme="majorHAnsi" w:hAnsiTheme="majorHAnsi" w:cs="Times New Roman"/>
          <w:sz w:val="20"/>
          <w:szCs w:val="20"/>
          <w:lang w:val="en-US"/>
        </w:rPr>
        <w:t xml:space="preserve">increasing number of </w:t>
      </w:r>
      <w:r w:rsidR="00EA5E9A" w:rsidRPr="005B79BA">
        <w:rPr>
          <w:rFonts w:asciiTheme="majorHAnsi" w:hAnsiTheme="majorHAnsi" w:cs="Times New Roman"/>
          <w:sz w:val="20"/>
          <w:szCs w:val="20"/>
          <w:lang w:val="en-US"/>
        </w:rPr>
        <w:t>CHA</w:t>
      </w:r>
      <w:r w:rsidR="00EA5E9A" w:rsidRPr="005B79BA">
        <w:rPr>
          <w:rFonts w:asciiTheme="majorHAnsi" w:hAnsiTheme="majorHAnsi" w:cs="Times New Roman"/>
          <w:sz w:val="20"/>
          <w:szCs w:val="20"/>
          <w:vertAlign w:val="subscript"/>
          <w:lang w:val="en-US"/>
        </w:rPr>
        <w:t>2</w:t>
      </w:r>
      <w:r w:rsidR="00EA5E9A" w:rsidRPr="005B79BA">
        <w:rPr>
          <w:rFonts w:asciiTheme="majorHAnsi" w:hAnsiTheme="majorHAnsi" w:cs="Times New Roman"/>
          <w:sz w:val="20"/>
          <w:szCs w:val="20"/>
          <w:lang w:val="en-US"/>
        </w:rPr>
        <w:t>DS</w:t>
      </w:r>
      <w:r w:rsidR="00EA5E9A" w:rsidRPr="005B79BA">
        <w:rPr>
          <w:rFonts w:asciiTheme="majorHAnsi" w:hAnsiTheme="majorHAnsi" w:cs="Times New Roman"/>
          <w:sz w:val="20"/>
          <w:szCs w:val="20"/>
          <w:vertAlign w:val="subscript"/>
          <w:lang w:val="en-US"/>
        </w:rPr>
        <w:t>2</w:t>
      </w:r>
      <w:r w:rsidR="00A9000C" w:rsidRPr="005B79BA">
        <w:rPr>
          <w:rFonts w:asciiTheme="majorHAnsi" w:hAnsiTheme="majorHAnsi" w:cs="Times New Roman"/>
          <w:sz w:val="20"/>
          <w:szCs w:val="20"/>
          <w:lang w:val="en-US"/>
        </w:rPr>
        <w:t>-VASc</w:t>
      </w:r>
      <w:r w:rsidR="00A101DE" w:rsidRPr="005B79BA">
        <w:rPr>
          <w:rFonts w:asciiTheme="majorHAnsi" w:hAnsiTheme="majorHAnsi" w:cs="Times New Roman"/>
          <w:sz w:val="20"/>
          <w:szCs w:val="20"/>
          <w:lang w:val="en-US"/>
        </w:rPr>
        <w:t xml:space="preserve"> risk factors</w:t>
      </w:r>
      <w:r w:rsidR="00C763EA" w:rsidRPr="005B79BA">
        <w:rPr>
          <w:rFonts w:asciiTheme="majorHAnsi" w:hAnsiTheme="majorHAnsi" w:cs="Times New Roman"/>
          <w:sz w:val="20"/>
          <w:szCs w:val="20"/>
          <w:lang w:val="en-US"/>
        </w:rPr>
        <w:t xml:space="preserve"> associate</w:t>
      </w:r>
      <w:r w:rsidR="00A101DE" w:rsidRPr="005B79BA">
        <w:rPr>
          <w:rFonts w:asciiTheme="majorHAnsi" w:hAnsiTheme="majorHAnsi" w:cs="Times New Roman"/>
          <w:sz w:val="20"/>
          <w:szCs w:val="20"/>
          <w:lang w:val="en-US"/>
        </w:rPr>
        <w:t xml:space="preserve"> with comparable increases in stroke risk</w:t>
      </w:r>
      <w:r w:rsidR="00A9000C" w:rsidRPr="005B79BA">
        <w:rPr>
          <w:rFonts w:asciiTheme="majorHAnsi" w:hAnsiTheme="majorHAnsi" w:cs="Times New Roman"/>
          <w:sz w:val="20"/>
          <w:szCs w:val="20"/>
          <w:lang w:val="en-US"/>
        </w:rPr>
        <w:t xml:space="preserve"> </w:t>
      </w:r>
      <w:r w:rsidR="00FB703A" w:rsidRPr="005B79BA">
        <w:rPr>
          <w:rFonts w:asciiTheme="majorHAnsi" w:hAnsiTheme="majorHAnsi" w:cs="Times New Roman"/>
          <w:sz w:val="20"/>
          <w:szCs w:val="20"/>
          <w:lang w:val="en-US"/>
        </w:rPr>
        <w:t>i</w:t>
      </w:r>
      <w:r w:rsidR="00A9000C" w:rsidRPr="005B79BA">
        <w:rPr>
          <w:rFonts w:asciiTheme="majorHAnsi" w:hAnsiTheme="majorHAnsi" w:cs="Times New Roman"/>
          <w:sz w:val="20"/>
          <w:szCs w:val="20"/>
          <w:lang w:val="en-US"/>
        </w:rPr>
        <w:t>n all age groups</w:t>
      </w:r>
      <w:r w:rsidR="00D908FF" w:rsidRPr="005B79BA">
        <w:rPr>
          <w:rFonts w:asciiTheme="majorHAnsi" w:hAnsiTheme="majorHAnsi" w:cs="Times New Roman"/>
          <w:sz w:val="20"/>
          <w:szCs w:val="20"/>
          <w:lang w:val="en-US"/>
        </w:rPr>
        <w:t xml:space="preserve"> remains unknown</w:t>
      </w:r>
      <w:r w:rsidR="00F5504F" w:rsidRPr="005B79BA">
        <w:rPr>
          <w:rFonts w:asciiTheme="majorHAnsi" w:hAnsiTheme="majorHAnsi" w:cs="Times New Roman"/>
          <w:sz w:val="20"/>
          <w:szCs w:val="20"/>
          <w:lang w:val="en-US"/>
        </w:rPr>
        <w:t xml:space="preserve">. </w:t>
      </w:r>
      <w:r w:rsidR="00FB703A" w:rsidRPr="005B79BA">
        <w:rPr>
          <w:rFonts w:asciiTheme="majorHAnsi" w:hAnsiTheme="majorHAnsi" w:cs="Times New Roman"/>
          <w:sz w:val="20"/>
          <w:szCs w:val="20"/>
          <w:lang w:val="en-US"/>
        </w:rPr>
        <w:t xml:space="preserve">Using </w:t>
      </w:r>
      <w:r w:rsidR="00F5504F" w:rsidRPr="005B79BA">
        <w:rPr>
          <w:rFonts w:asciiTheme="majorHAnsi" w:hAnsiTheme="majorHAnsi" w:cs="Times New Roman"/>
          <w:sz w:val="20"/>
          <w:szCs w:val="20"/>
          <w:lang w:val="en-US"/>
        </w:rPr>
        <w:t>data from nati</w:t>
      </w:r>
      <w:r w:rsidR="00D114C7" w:rsidRPr="005B79BA">
        <w:rPr>
          <w:rFonts w:asciiTheme="majorHAnsi" w:hAnsiTheme="majorHAnsi" w:cs="Times New Roman"/>
          <w:sz w:val="20"/>
          <w:szCs w:val="20"/>
          <w:lang w:val="en-US"/>
        </w:rPr>
        <w:t>onwide Danish registries</w:t>
      </w:r>
      <w:r w:rsidR="00FB703A" w:rsidRPr="005B79BA">
        <w:rPr>
          <w:rFonts w:asciiTheme="majorHAnsi" w:hAnsiTheme="majorHAnsi" w:cs="Times New Roman"/>
          <w:sz w:val="20"/>
          <w:szCs w:val="20"/>
          <w:lang w:val="en-US"/>
        </w:rPr>
        <w:t xml:space="preserve">, we </w:t>
      </w:r>
      <w:r w:rsidR="00F5504F" w:rsidRPr="005B79BA">
        <w:rPr>
          <w:rFonts w:asciiTheme="majorHAnsi" w:hAnsiTheme="majorHAnsi" w:cs="Times New Roman"/>
          <w:sz w:val="20"/>
          <w:szCs w:val="20"/>
          <w:lang w:val="en-US"/>
        </w:rPr>
        <w:t xml:space="preserve"> as</w:t>
      </w:r>
      <w:r w:rsidR="00A9000C" w:rsidRPr="005B79BA">
        <w:rPr>
          <w:rFonts w:asciiTheme="majorHAnsi" w:hAnsiTheme="majorHAnsi" w:cs="Times New Roman"/>
          <w:sz w:val="20"/>
          <w:szCs w:val="20"/>
          <w:lang w:val="en-US"/>
        </w:rPr>
        <w:t>sess</w:t>
      </w:r>
      <w:r w:rsidR="00FB703A" w:rsidRPr="005B79BA">
        <w:rPr>
          <w:rFonts w:asciiTheme="majorHAnsi" w:hAnsiTheme="majorHAnsi" w:cs="Times New Roman"/>
          <w:sz w:val="20"/>
          <w:szCs w:val="20"/>
          <w:lang w:val="en-US"/>
        </w:rPr>
        <w:t>ed</w:t>
      </w:r>
      <w:r w:rsidR="00A9000C" w:rsidRPr="005B79BA">
        <w:rPr>
          <w:rFonts w:asciiTheme="majorHAnsi" w:hAnsiTheme="majorHAnsi" w:cs="Times New Roman"/>
          <w:sz w:val="20"/>
          <w:szCs w:val="20"/>
          <w:lang w:val="en-US"/>
        </w:rPr>
        <w:t xml:space="preserve"> the rate and risk</w:t>
      </w:r>
      <w:r w:rsidR="000D04DA" w:rsidRPr="005B79BA">
        <w:rPr>
          <w:rFonts w:asciiTheme="majorHAnsi" w:hAnsiTheme="majorHAnsi" w:cs="Times New Roman"/>
          <w:sz w:val="20"/>
          <w:szCs w:val="20"/>
          <w:lang w:val="en-US"/>
        </w:rPr>
        <w:t xml:space="preserve"> of</w:t>
      </w:r>
      <w:r w:rsidR="00A9000C" w:rsidRPr="005B79BA">
        <w:rPr>
          <w:rFonts w:asciiTheme="majorHAnsi" w:hAnsiTheme="majorHAnsi" w:cs="Times New Roman"/>
          <w:sz w:val="20"/>
          <w:szCs w:val="20"/>
          <w:lang w:val="en-US"/>
        </w:rPr>
        <w:t xml:space="preserve"> </w:t>
      </w:r>
      <w:r w:rsidR="00F5504F" w:rsidRPr="005B79BA">
        <w:rPr>
          <w:rFonts w:asciiTheme="majorHAnsi" w:hAnsiTheme="majorHAnsi" w:cs="Times New Roman"/>
          <w:sz w:val="20"/>
          <w:szCs w:val="20"/>
          <w:lang w:val="en-US"/>
        </w:rPr>
        <w:t>stroke and mortality in a cohort of AF patients</w:t>
      </w:r>
      <w:r w:rsidR="00D114C7" w:rsidRPr="005B79BA">
        <w:rPr>
          <w:rFonts w:asciiTheme="majorHAnsi" w:hAnsiTheme="majorHAnsi" w:cs="Times New Roman"/>
          <w:sz w:val="20"/>
          <w:szCs w:val="20"/>
          <w:lang w:val="en-US"/>
        </w:rPr>
        <w:t>,</w:t>
      </w:r>
      <w:r w:rsidR="00F5504F" w:rsidRPr="005B79BA">
        <w:rPr>
          <w:rFonts w:asciiTheme="majorHAnsi" w:hAnsiTheme="majorHAnsi" w:cs="Times New Roman"/>
          <w:sz w:val="20"/>
          <w:szCs w:val="20"/>
          <w:lang w:val="en-US"/>
        </w:rPr>
        <w:t xml:space="preserve"> and </w:t>
      </w:r>
      <w:r w:rsidR="00D114C7" w:rsidRPr="005B79BA">
        <w:rPr>
          <w:rFonts w:asciiTheme="majorHAnsi" w:hAnsiTheme="majorHAnsi" w:cs="Times New Roman"/>
          <w:sz w:val="20"/>
          <w:szCs w:val="20"/>
          <w:lang w:val="en-US"/>
        </w:rPr>
        <w:t>further</w:t>
      </w:r>
      <w:r w:rsidR="00FB703A" w:rsidRPr="005B79BA">
        <w:rPr>
          <w:rFonts w:asciiTheme="majorHAnsi" w:hAnsiTheme="majorHAnsi" w:cs="Times New Roman"/>
          <w:sz w:val="20"/>
          <w:szCs w:val="20"/>
          <w:lang w:val="en-US"/>
        </w:rPr>
        <w:t>more</w:t>
      </w:r>
      <w:r w:rsidR="00D114C7" w:rsidRPr="005B79BA">
        <w:rPr>
          <w:rFonts w:asciiTheme="majorHAnsi" w:hAnsiTheme="majorHAnsi" w:cs="Times New Roman"/>
          <w:sz w:val="20"/>
          <w:szCs w:val="20"/>
          <w:lang w:val="en-US"/>
        </w:rPr>
        <w:t xml:space="preserve">, </w:t>
      </w:r>
      <w:r w:rsidR="00FB703A" w:rsidRPr="005B79BA">
        <w:rPr>
          <w:rFonts w:asciiTheme="majorHAnsi" w:hAnsiTheme="majorHAnsi" w:cs="Times New Roman"/>
          <w:sz w:val="20"/>
          <w:szCs w:val="20"/>
          <w:lang w:val="en-US"/>
        </w:rPr>
        <w:t xml:space="preserve">identified </w:t>
      </w:r>
      <w:r w:rsidR="00F5504F" w:rsidRPr="005B79BA">
        <w:rPr>
          <w:rFonts w:asciiTheme="majorHAnsi" w:hAnsiTheme="majorHAnsi" w:cs="Times New Roman"/>
          <w:sz w:val="20"/>
          <w:szCs w:val="20"/>
          <w:lang w:val="en-US"/>
        </w:rPr>
        <w:t>wh</w:t>
      </w:r>
      <w:r w:rsidR="00D114C7" w:rsidRPr="005B79BA">
        <w:rPr>
          <w:rFonts w:asciiTheme="majorHAnsi" w:hAnsiTheme="majorHAnsi" w:cs="Times New Roman"/>
          <w:sz w:val="20"/>
          <w:szCs w:val="20"/>
          <w:lang w:val="en-US"/>
        </w:rPr>
        <w:t>ich independent</w:t>
      </w:r>
      <w:r w:rsidR="00A101DE" w:rsidRPr="005B79BA">
        <w:rPr>
          <w:rFonts w:asciiTheme="majorHAnsi" w:hAnsiTheme="majorHAnsi" w:cs="Times New Roman"/>
          <w:sz w:val="20"/>
          <w:szCs w:val="20"/>
          <w:lang w:val="en-US"/>
        </w:rPr>
        <w:t xml:space="preserve"> CHA</w:t>
      </w:r>
      <w:r w:rsidR="00A101DE" w:rsidRPr="005B79BA">
        <w:rPr>
          <w:rFonts w:asciiTheme="majorHAnsi" w:hAnsiTheme="majorHAnsi" w:cs="Times New Roman"/>
          <w:sz w:val="20"/>
          <w:szCs w:val="20"/>
          <w:vertAlign w:val="subscript"/>
          <w:lang w:val="en-US"/>
        </w:rPr>
        <w:t>2</w:t>
      </w:r>
      <w:r w:rsidR="00A101DE" w:rsidRPr="005B79BA">
        <w:rPr>
          <w:rFonts w:asciiTheme="majorHAnsi" w:hAnsiTheme="majorHAnsi" w:cs="Times New Roman"/>
          <w:sz w:val="20"/>
          <w:szCs w:val="20"/>
          <w:lang w:val="en-US"/>
        </w:rPr>
        <w:t>DS</w:t>
      </w:r>
      <w:r w:rsidR="00A101DE" w:rsidRPr="005B79BA">
        <w:rPr>
          <w:rFonts w:asciiTheme="majorHAnsi" w:hAnsiTheme="majorHAnsi" w:cs="Times New Roman"/>
          <w:sz w:val="20"/>
          <w:szCs w:val="20"/>
          <w:vertAlign w:val="subscript"/>
          <w:lang w:val="en-US"/>
        </w:rPr>
        <w:t>2</w:t>
      </w:r>
      <w:r w:rsidR="00A101DE" w:rsidRPr="005B79BA">
        <w:rPr>
          <w:rFonts w:asciiTheme="majorHAnsi" w:hAnsiTheme="majorHAnsi" w:cs="Times New Roman"/>
          <w:sz w:val="20"/>
          <w:szCs w:val="20"/>
          <w:lang w:val="en-US"/>
        </w:rPr>
        <w:t>-VASc</w:t>
      </w:r>
      <w:r w:rsidR="00D114C7" w:rsidRPr="005B79BA">
        <w:rPr>
          <w:rFonts w:asciiTheme="majorHAnsi" w:hAnsiTheme="majorHAnsi" w:cs="Times New Roman"/>
          <w:sz w:val="20"/>
          <w:szCs w:val="20"/>
          <w:lang w:val="en-US"/>
        </w:rPr>
        <w:t xml:space="preserve"> risk factors that</w:t>
      </w:r>
      <w:r w:rsidR="00F5504F" w:rsidRPr="005B79BA">
        <w:rPr>
          <w:rFonts w:asciiTheme="majorHAnsi" w:hAnsiTheme="majorHAnsi" w:cs="Times New Roman"/>
          <w:sz w:val="20"/>
          <w:szCs w:val="20"/>
          <w:lang w:val="en-US"/>
        </w:rPr>
        <w:t xml:space="preserve"> inc</w:t>
      </w:r>
      <w:r w:rsidR="00085853" w:rsidRPr="005B79BA">
        <w:rPr>
          <w:rFonts w:asciiTheme="majorHAnsi" w:hAnsiTheme="majorHAnsi" w:cs="Times New Roman"/>
          <w:sz w:val="20"/>
          <w:szCs w:val="20"/>
          <w:lang w:val="en-US"/>
        </w:rPr>
        <w:t>rease</w:t>
      </w:r>
      <w:r w:rsidR="00FB703A" w:rsidRPr="005B79BA">
        <w:rPr>
          <w:rFonts w:asciiTheme="majorHAnsi" w:hAnsiTheme="majorHAnsi" w:cs="Times New Roman"/>
          <w:sz w:val="20"/>
          <w:szCs w:val="20"/>
          <w:lang w:val="en-US"/>
        </w:rPr>
        <w:t xml:space="preserve">d </w:t>
      </w:r>
      <w:r w:rsidR="00085853" w:rsidRPr="005B79BA">
        <w:rPr>
          <w:rFonts w:asciiTheme="majorHAnsi" w:hAnsiTheme="majorHAnsi" w:cs="Times New Roman"/>
          <w:sz w:val="20"/>
          <w:szCs w:val="20"/>
          <w:lang w:val="en-US"/>
        </w:rPr>
        <w:t>the</w:t>
      </w:r>
      <w:r w:rsidR="00FB703A" w:rsidRPr="005B79BA">
        <w:rPr>
          <w:rFonts w:asciiTheme="majorHAnsi" w:hAnsiTheme="majorHAnsi" w:cs="Times New Roman"/>
          <w:sz w:val="20"/>
          <w:szCs w:val="20"/>
          <w:lang w:val="en-US"/>
        </w:rPr>
        <w:t xml:space="preserve"> </w:t>
      </w:r>
      <w:r w:rsidR="00085853" w:rsidRPr="005B79BA">
        <w:rPr>
          <w:rFonts w:asciiTheme="majorHAnsi" w:hAnsiTheme="majorHAnsi" w:cs="Times New Roman"/>
          <w:sz w:val="20"/>
          <w:szCs w:val="20"/>
          <w:lang w:val="en-US"/>
        </w:rPr>
        <w:t xml:space="preserve">risk of </w:t>
      </w:r>
      <w:r w:rsidR="00FB703A" w:rsidRPr="005B79BA">
        <w:rPr>
          <w:rFonts w:asciiTheme="majorHAnsi" w:hAnsiTheme="majorHAnsi" w:cs="Times New Roman"/>
          <w:sz w:val="20"/>
          <w:szCs w:val="20"/>
          <w:lang w:val="en-US"/>
        </w:rPr>
        <w:t>stroke, death and the composite of ‘stroke and death’ in young patients with AF</w:t>
      </w:r>
      <w:r w:rsidR="00D114C7" w:rsidRPr="005B79BA">
        <w:rPr>
          <w:rFonts w:asciiTheme="majorHAnsi" w:hAnsiTheme="majorHAnsi" w:cs="Times New Roman"/>
          <w:sz w:val="20"/>
          <w:szCs w:val="20"/>
          <w:lang w:val="en-US"/>
        </w:rPr>
        <w:t xml:space="preserve">. </w:t>
      </w:r>
    </w:p>
    <w:p w14:paraId="1AC81B6D" w14:textId="77777777" w:rsidR="008D147E" w:rsidRPr="008D147E" w:rsidRDefault="008D147E" w:rsidP="008D147E">
      <w:pPr>
        <w:autoSpaceDE w:val="0"/>
        <w:autoSpaceDN w:val="0"/>
        <w:adjustRightInd w:val="0"/>
        <w:jc w:val="both"/>
        <w:rPr>
          <w:rFonts w:asciiTheme="majorHAnsi" w:hAnsiTheme="majorHAnsi" w:cs="Times New Roman"/>
          <w:sz w:val="20"/>
          <w:szCs w:val="20"/>
          <w:lang w:val="en-US"/>
        </w:rPr>
      </w:pPr>
    </w:p>
    <w:p w14:paraId="62AA9E38" w14:textId="07D2C6E4" w:rsidR="00FB703A" w:rsidRPr="005B79BA" w:rsidRDefault="00F551E0" w:rsidP="005B79BA">
      <w:pPr>
        <w:spacing w:after="200"/>
        <w:rPr>
          <w:rFonts w:asciiTheme="majorHAnsi" w:hAnsiTheme="majorHAnsi" w:cs="Times New Roman"/>
          <w:b/>
          <w:sz w:val="20"/>
          <w:szCs w:val="20"/>
          <w:lang w:val="en-US"/>
        </w:rPr>
      </w:pPr>
      <w:r w:rsidRPr="005B79BA">
        <w:rPr>
          <w:rFonts w:asciiTheme="majorHAnsi" w:hAnsiTheme="majorHAnsi" w:cs="Times New Roman"/>
          <w:b/>
          <w:sz w:val="20"/>
          <w:szCs w:val="20"/>
          <w:lang w:val="en-US"/>
        </w:rPr>
        <w:t>M</w:t>
      </w:r>
      <w:r w:rsidR="0017116B" w:rsidRPr="005B79BA">
        <w:rPr>
          <w:rFonts w:asciiTheme="majorHAnsi" w:hAnsiTheme="majorHAnsi" w:cs="Times New Roman"/>
          <w:b/>
          <w:sz w:val="20"/>
          <w:szCs w:val="20"/>
          <w:lang w:val="en-US"/>
        </w:rPr>
        <w:t>ethods</w:t>
      </w:r>
    </w:p>
    <w:p w14:paraId="4684BC16" w14:textId="77777777" w:rsidR="0017116B" w:rsidRPr="005B79BA" w:rsidRDefault="0017116B" w:rsidP="005B79BA">
      <w:pPr>
        <w:jc w:val="both"/>
        <w:rPr>
          <w:rFonts w:asciiTheme="majorHAnsi" w:hAnsiTheme="majorHAnsi" w:cs="Times New Roman"/>
          <w:i/>
          <w:sz w:val="20"/>
          <w:szCs w:val="20"/>
          <w:lang w:val="en-US"/>
        </w:rPr>
      </w:pPr>
      <w:r w:rsidRPr="005B79BA">
        <w:rPr>
          <w:rFonts w:asciiTheme="majorHAnsi" w:hAnsiTheme="majorHAnsi" w:cs="Times New Roman"/>
          <w:i/>
          <w:sz w:val="20"/>
          <w:szCs w:val="20"/>
          <w:lang w:val="en-US"/>
        </w:rPr>
        <w:t>Registry Data Sources</w:t>
      </w:r>
    </w:p>
    <w:p w14:paraId="6D30677D" w14:textId="1C587A5C" w:rsidR="0017116B" w:rsidRPr="005B79BA" w:rsidRDefault="0017116B" w:rsidP="005B79BA">
      <w:pPr>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Using </w:t>
      </w:r>
      <w:r w:rsidR="00FB703A" w:rsidRPr="005B79BA">
        <w:rPr>
          <w:rFonts w:asciiTheme="majorHAnsi" w:hAnsiTheme="majorHAnsi" w:cs="Times New Roman"/>
          <w:sz w:val="20"/>
          <w:szCs w:val="20"/>
          <w:lang w:val="en-US"/>
        </w:rPr>
        <w:t xml:space="preserve">nationwide cohort </w:t>
      </w:r>
      <w:r w:rsidRPr="005B79BA">
        <w:rPr>
          <w:rFonts w:asciiTheme="majorHAnsi" w:hAnsiTheme="majorHAnsi" w:cs="Times New Roman"/>
          <w:sz w:val="20"/>
          <w:szCs w:val="20"/>
          <w:lang w:val="en-US"/>
        </w:rPr>
        <w:t>registers, we identified patients discharged with non-valvular AF (1 Jan</w:t>
      </w:r>
      <w:r w:rsidR="00127EE9" w:rsidRPr="005B79BA">
        <w:rPr>
          <w:rFonts w:asciiTheme="majorHAnsi" w:hAnsiTheme="majorHAnsi" w:cs="Times New Roman"/>
          <w:sz w:val="20"/>
          <w:szCs w:val="20"/>
          <w:lang w:val="en-US"/>
        </w:rPr>
        <w:t>uary</w:t>
      </w:r>
      <w:r w:rsidRPr="005B79BA">
        <w:rPr>
          <w:rFonts w:asciiTheme="majorHAnsi" w:hAnsiTheme="majorHAnsi" w:cs="Times New Roman"/>
          <w:sz w:val="20"/>
          <w:szCs w:val="20"/>
          <w:lang w:val="en-US"/>
        </w:rPr>
        <w:t xml:space="preserve"> 2000 - 31 Dec</w:t>
      </w:r>
      <w:r w:rsidR="00127EE9" w:rsidRPr="005B79BA">
        <w:rPr>
          <w:rFonts w:asciiTheme="majorHAnsi" w:hAnsiTheme="majorHAnsi" w:cs="Times New Roman"/>
          <w:sz w:val="20"/>
          <w:szCs w:val="20"/>
          <w:lang w:val="en-US"/>
        </w:rPr>
        <w:t>ember</w:t>
      </w:r>
      <w:r w:rsidRPr="005B79BA">
        <w:rPr>
          <w:rFonts w:asciiTheme="majorHAnsi" w:hAnsiTheme="majorHAnsi" w:cs="Times New Roman"/>
          <w:sz w:val="20"/>
          <w:szCs w:val="20"/>
          <w:lang w:val="en-US"/>
        </w:rPr>
        <w:t xml:space="preserve"> 2011) and follow</w:t>
      </w:r>
      <w:r w:rsidR="00127EE9" w:rsidRPr="005B79BA">
        <w:rPr>
          <w:rFonts w:asciiTheme="majorHAnsi" w:hAnsiTheme="majorHAnsi" w:cs="Times New Roman"/>
          <w:sz w:val="20"/>
          <w:szCs w:val="20"/>
          <w:lang w:val="en-US"/>
        </w:rPr>
        <w:t>ed</w:t>
      </w:r>
      <w:r w:rsidRPr="005B79BA">
        <w:rPr>
          <w:rFonts w:asciiTheme="majorHAnsi" w:hAnsiTheme="majorHAnsi" w:cs="Times New Roman"/>
          <w:sz w:val="20"/>
          <w:szCs w:val="20"/>
          <w:lang w:val="en-US"/>
        </w:rPr>
        <w:t xml:space="preserve"> them in a period of 5 years, giving at least 1 year of full follow-up</w:t>
      </w:r>
      <w:r w:rsidRPr="005B79BA">
        <w:rPr>
          <w:rFonts w:asciiTheme="majorHAnsi" w:hAnsiTheme="majorHAnsi"/>
          <w:sz w:val="20"/>
          <w:szCs w:val="20"/>
          <w:lang w:val="en-US"/>
        </w:rPr>
        <w:t>, at least 3 years pre-baseline hospital history (start ICD-10) and 5 years</w:t>
      </w:r>
      <w:r w:rsidR="00127EE9" w:rsidRPr="005B79BA">
        <w:rPr>
          <w:rFonts w:asciiTheme="majorHAnsi" w:hAnsiTheme="majorHAnsi"/>
          <w:sz w:val="20"/>
          <w:szCs w:val="20"/>
          <w:lang w:val="en-US"/>
        </w:rPr>
        <w:t xml:space="preserve"> of</w:t>
      </w:r>
      <w:r w:rsidRPr="005B79BA">
        <w:rPr>
          <w:rFonts w:asciiTheme="majorHAnsi" w:hAnsiTheme="majorHAnsi"/>
          <w:sz w:val="20"/>
          <w:szCs w:val="20"/>
          <w:lang w:val="en-US"/>
        </w:rPr>
        <w:t xml:space="preserve"> medical history</w:t>
      </w:r>
      <w:r w:rsidRPr="005B79BA">
        <w:rPr>
          <w:rFonts w:asciiTheme="majorHAnsi" w:hAnsiTheme="majorHAnsi" w:cs="Times New Roman"/>
          <w:sz w:val="20"/>
          <w:szCs w:val="20"/>
          <w:lang w:val="en-US"/>
        </w:rPr>
        <w:t xml:space="preserve">. </w:t>
      </w:r>
    </w:p>
    <w:p w14:paraId="79DE1933" w14:textId="095AD259" w:rsidR="00D61311" w:rsidRPr="005B79BA" w:rsidRDefault="008D147E" w:rsidP="005B79BA">
      <w:pPr>
        <w:autoSpaceDE w:val="0"/>
        <w:autoSpaceDN w:val="0"/>
        <w:adjustRightInd w:val="0"/>
        <w:jc w:val="both"/>
        <w:rPr>
          <w:rFonts w:asciiTheme="majorHAnsi" w:hAnsiTheme="majorHAnsi" w:cs="Times New Roman"/>
          <w:sz w:val="20"/>
          <w:szCs w:val="20"/>
          <w:lang w:val="en-US"/>
        </w:rPr>
      </w:pPr>
      <w:r w:rsidRPr="00E55835">
        <w:rPr>
          <w:rFonts w:asciiTheme="majorHAnsi" w:eastAsia="AdvTimes" w:hAnsiTheme="majorHAnsi" w:cs="Times New Roman"/>
          <w:noProof/>
          <w:sz w:val="20"/>
          <w:szCs w:val="20"/>
          <w:lang w:bidi="ar-SA"/>
        </w:rPr>
        <w:lastRenderedPageBreak/>
        <mc:AlternateContent>
          <mc:Choice Requires="wps">
            <w:drawing>
              <wp:anchor distT="0" distB="0" distL="114300" distR="114300" simplePos="0" relativeHeight="251662336" behindDoc="0" locked="0" layoutInCell="1" allowOverlap="1" wp14:anchorId="307B9BCD" wp14:editId="285AC92A">
                <wp:simplePos x="0" y="0"/>
                <wp:positionH relativeFrom="margin">
                  <wp:align>center</wp:align>
                </wp:positionH>
                <wp:positionV relativeFrom="margin">
                  <wp:align>bottom</wp:align>
                </wp:positionV>
                <wp:extent cx="6113780" cy="4066540"/>
                <wp:effectExtent l="0" t="0" r="20320" b="1016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4066540"/>
                        </a:xfrm>
                        <a:prstGeom prst="rect">
                          <a:avLst/>
                        </a:prstGeom>
                        <a:solidFill>
                          <a:srgbClr val="FFFFFF"/>
                        </a:solidFill>
                        <a:ln w="9525">
                          <a:solidFill>
                            <a:schemeClr val="bg1"/>
                          </a:solidFill>
                          <a:miter lim="800000"/>
                          <a:headEnd/>
                          <a:tailEnd/>
                        </a:ln>
                      </wps:spPr>
                      <wps:txbx>
                        <w:txbxContent>
                          <w:p w14:paraId="3358137F" w14:textId="77777777" w:rsidR="00AD312A" w:rsidRDefault="00AD312A" w:rsidP="00E55835">
                            <w:pPr>
                              <w:jc w:val="both"/>
                              <w:rPr>
                                <w:rFonts w:cs="Times New Roman"/>
                                <w:b/>
                                <w:i/>
                                <w:sz w:val="20"/>
                                <w:szCs w:val="20"/>
                                <w:lang w:val="en-GB"/>
                              </w:rPr>
                            </w:pPr>
                          </w:p>
                          <w:p w14:paraId="6920EE02" w14:textId="77777777" w:rsidR="00AD312A" w:rsidRDefault="00AD312A" w:rsidP="00E55835">
                            <w:pPr>
                              <w:jc w:val="both"/>
                              <w:rPr>
                                <w:rFonts w:cs="Times New Roman"/>
                                <w:i/>
                                <w:sz w:val="20"/>
                                <w:szCs w:val="20"/>
                                <w:lang w:val="en-GB"/>
                              </w:rPr>
                            </w:pPr>
                            <w:r w:rsidRPr="00E55835">
                              <w:rPr>
                                <w:rFonts w:cs="Times New Roman"/>
                                <w:b/>
                                <w:i/>
                                <w:sz w:val="20"/>
                                <w:szCs w:val="20"/>
                                <w:lang w:val="en-GB"/>
                              </w:rPr>
                              <w:t xml:space="preserve">Figure 1: </w:t>
                            </w:r>
                            <w:r w:rsidRPr="00E55835">
                              <w:rPr>
                                <w:rFonts w:cs="Times New Roman"/>
                                <w:i/>
                                <w:sz w:val="20"/>
                                <w:szCs w:val="20"/>
                                <w:lang w:val="en-GB"/>
                              </w:rPr>
                              <w:t>Flowchart of Patients Included in the Final Study Population</w:t>
                            </w:r>
                          </w:p>
                          <w:p w14:paraId="5FF14F98" w14:textId="77777777" w:rsidR="00AD312A" w:rsidRPr="00E55835" w:rsidRDefault="00AD312A" w:rsidP="00E55835">
                            <w:pPr>
                              <w:jc w:val="both"/>
                              <w:rPr>
                                <w:rFonts w:cs="Times New Roman"/>
                                <w:b/>
                                <w:i/>
                                <w:sz w:val="20"/>
                                <w:szCs w:val="20"/>
                                <w:lang w:val="en-GB"/>
                              </w:rPr>
                            </w:pPr>
                          </w:p>
                          <w:p w14:paraId="32692793" w14:textId="7A93A840" w:rsidR="00AD312A" w:rsidRDefault="00AD312A" w:rsidP="006824FA">
                            <w:pPr>
                              <w:jc w:val="center"/>
                            </w:pPr>
                            <w:r w:rsidRPr="008D147E">
                              <w:rPr>
                                <w:noProof/>
                                <w:lang w:bidi="ar-SA"/>
                              </w:rPr>
                              <w:drawing>
                                <wp:inline distT="0" distB="0" distL="0" distR="0" wp14:anchorId="402E2A6D" wp14:editId="7AC72DEC">
                                  <wp:extent cx="4913194" cy="344923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5008" cy="3464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0;margin-top:0;width:481.4pt;height:320.2pt;z-index:2516623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" strokecolor="white [3212]">
                <v:textbox>
                  <w:txbxContent>
                    <w:p w14:paraId="3358137F" w14:textId="77777777" w:rsidR="00AD312A" w:rsidRDefault="00AD312A" w:rsidP="00E55835">
                      <w:pPr>
                        <w:jc w:val="both"/>
                        <w:rPr>
                          <w:rFonts w:cs="Times New Roman"/>
                          <w:b/>
                          <w:i/>
                          <w:sz w:val="20"/>
                          <w:szCs w:val="20"/>
                          <w:lang w:val="en-GB"/>
                        </w:rPr>
                      </w:pPr>
                    </w:p>
                    <w:p w14:paraId="6920EE02" w14:textId="77777777" w:rsidR="00AD312A" w:rsidRDefault="00AD312A" w:rsidP="00E55835">
                      <w:pPr>
                        <w:jc w:val="both"/>
                        <w:rPr>
                          <w:rFonts w:cs="Times New Roman"/>
                          <w:i/>
                          <w:sz w:val="20"/>
                          <w:szCs w:val="20"/>
                          <w:lang w:val="en-GB"/>
                        </w:rPr>
                      </w:pPr>
                      <w:r w:rsidRPr="00E55835">
                        <w:rPr>
                          <w:rFonts w:cs="Times New Roman"/>
                          <w:b/>
                          <w:i/>
                          <w:sz w:val="20"/>
                          <w:szCs w:val="20"/>
                          <w:lang w:val="en-GB"/>
                        </w:rPr>
                        <w:t xml:space="preserve">Figure 1: </w:t>
                      </w:r>
                      <w:r w:rsidRPr="00E55835">
                        <w:rPr>
                          <w:rFonts w:cs="Times New Roman"/>
                          <w:i/>
                          <w:sz w:val="20"/>
                          <w:szCs w:val="20"/>
                          <w:lang w:val="en-GB"/>
                        </w:rPr>
                        <w:t>Flowchart of Patients Included in the Final Study Population</w:t>
                      </w:r>
                    </w:p>
                    <w:p w14:paraId="5FF14F98" w14:textId="77777777" w:rsidR="00AD312A" w:rsidRPr="00E55835" w:rsidRDefault="00AD312A" w:rsidP="00E55835">
                      <w:pPr>
                        <w:jc w:val="both"/>
                        <w:rPr>
                          <w:rFonts w:cs="Times New Roman"/>
                          <w:b/>
                          <w:i/>
                          <w:sz w:val="20"/>
                          <w:szCs w:val="20"/>
                          <w:lang w:val="en-GB"/>
                        </w:rPr>
                      </w:pPr>
                    </w:p>
                    <w:p w14:paraId="32692793" w14:textId="7A93A840" w:rsidR="00AD312A" w:rsidRDefault="00AD312A" w:rsidP="006824FA">
                      <w:pPr>
                        <w:jc w:val="center"/>
                      </w:pPr>
                      <w:r w:rsidRPr="008D147E">
                        <w:rPr>
                          <w:noProof/>
                          <w:lang w:bidi="ar-SA"/>
                        </w:rPr>
                        <w:drawing>
                          <wp:inline distT="0" distB="0" distL="0" distR="0" wp14:anchorId="402E2A6D" wp14:editId="7AC72DEC">
                            <wp:extent cx="4913194" cy="344923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5008" cy="3464545"/>
                                    </a:xfrm>
                                    <a:prstGeom prst="rect">
                                      <a:avLst/>
                                    </a:prstGeom>
                                    <a:noFill/>
                                    <a:ln>
                                      <a:noFill/>
                                    </a:ln>
                                  </pic:spPr>
                                </pic:pic>
                              </a:graphicData>
                            </a:graphic>
                          </wp:inline>
                        </w:drawing>
                      </w:r>
                    </w:p>
                  </w:txbxContent>
                </v:textbox>
                <w10:wrap type="square" anchorx="margin" anchory="margin"/>
              </v:shape>
            </w:pict>
          </mc:Fallback>
        </mc:AlternateContent>
      </w:r>
      <w:r w:rsidR="00D61311" w:rsidRPr="005B79BA">
        <w:rPr>
          <w:rFonts w:asciiTheme="majorHAnsi" w:hAnsiTheme="majorHAnsi" w:cs="Times New Roman"/>
          <w:sz w:val="20"/>
          <w:szCs w:val="20"/>
          <w:lang w:val="en-US"/>
        </w:rPr>
        <w:t>I</w:t>
      </w:r>
      <w:r w:rsidR="0017116B" w:rsidRPr="005B79BA">
        <w:rPr>
          <w:rFonts w:asciiTheme="majorHAnsi" w:hAnsiTheme="majorHAnsi" w:cs="Times New Roman"/>
          <w:sz w:val="20"/>
          <w:szCs w:val="20"/>
          <w:lang w:val="en-US"/>
        </w:rPr>
        <w:t xml:space="preserve">ndependent risk factors were identified using the Danish National Patient Registry which </w:t>
      </w:r>
      <w:r w:rsidR="0017116B" w:rsidRPr="005B79BA">
        <w:rPr>
          <w:rFonts w:asciiTheme="majorHAnsi" w:eastAsia="AdvTimes" w:hAnsiTheme="majorHAnsi" w:cs="Times New Roman"/>
          <w:sz w:val="20"/>
          <w:szCs w:val="20"/>
          <w:lang w:val="en-US"/>
        </w:rPr>
        <w:t>has registered all hospital admissions along with diagnoses since 1978 coding all diagnoses according to the 10</w:t>
      </w:r>
      <w:r w:rsidR="0017116B" w:rsidRPr="005B79BA">
        <w:rPr>
          <w:rFonts w:asciiTheme="majorHAnsi" w:eastAsia="AdvTimes" w:hAnsiTheme="majorHAnsi" w:cs="Times New Roman"/>
          <w:sz w:val="20"/>
          <w:szCs w:val="20"/>
          <w:vertAlign w:val="superscript"/>
          <w:lang w:val="en-US"/>
        </w:rPr>
        <w:t>th</w:t>
      </w:r>
      <w:r w:rsidR="0017116B" w:rsidRPr="005B79BA">
        <w:rPr>
          <w:rFonts w:asciiTheme="majorHAnsi" w:eastAsia="AdvTimes" w:hAnsiTheme="majorHAnsi" w:cs="Times New Roman"/>
          <w:sz w:val="20"/>
          <w:szCs w:val="20"/>
          <w:lang w:val="en-US"/>
        </w:rPr>
        <w:t xml:space="preserve"> revision of the International Classification of Diseases since 1994, </w:t>
      </w:r>
      <w:r w:rsidR="0017116B" w:rsidRPr="005B79BA">
        <w:rPr>
          <w:rFonts w:asciiTheme="majorHAnsi" w:hAnsiTheme="majorHAnsi" w:cs="Times New Roman"/>
          <w:sz w:val="20"/>
          <w:szCs w:val="20"/>
          <w:lang w:val="en-US"/>
        </w:rPr>
        <w:t xml:space="preserve">and further using the Danish Registry of Medicinal Product Statistics which </w:t>
      </w:r>
      <w:r w:rsidR="0017116B" w:rsidRPr="005B79BA">
        <w:rPr>
          <w:rFonts w:asciiTheme="majorHAnsi" w:eastAsia="AdvTimes" w:hAnsiTheme="majorHAnsi" w:cs="Times New Roman"/>
          <w:sz w:val="20"/>
          <w:szCs w:val="20"/>
          <w:lang w:val="en-US"/>
        </w:rPr>
        <w:t xml:space="preserve">keeps data on all prescriptions dispensed from Danish pharmacies, coded according to the Anatomical Therapeutic Chemical </w:t>
      </w:r>
      <w:r w:rsidR="000C49EE" w:rsidRPr="005B79BA">
        <w:rPr>
          <w:rFonts w:asciiTheme="majorHAnsi" w:eastAsia="AdvTimes" w:hAnsiTheme="majorHAnsi" w:cs="Times New Roman"/>
          <w:sz w:val="20"/>
          <w:szCs w:val="20"/>
          <w:lang w:val="en-US"/>
        </w:rPr>
        <w:t xml:space="preserve">(ATC) </w:t>
      </w:r>
      <w:r w:rsidR="0017116B" w:rsidRPr="005B79BA">
        <w:rPr>
          <w:rFonts w:asciiTheme="majorHAnsi" w:eastAsia="AdvTimes" w:hAnsiTheme="majorHAnsi" w:cs="Times New Roman"/>
          <w:sz w:val="20"/>
          <w:szCs w:val="20"/>
          <w:lang w:val="en-US"/>
        </w:rPr>
        <w:t>Classification System</w:t>
      </w:r>
      <w:r w:rsidR="0017116B" w:rsidRPr="005B79BA">
        <w:rPr>
          <w:rFonts w:asciiTheme="majorHAnsi" w:hAnsiTheme="majorHAnsi" w:cs="Times New Roman"/>
          <w:sz w:val="20"/>
          <w:szCs w:val="20"/>
          <w:lang w:val="en-US"/>
        </w:rPr>
        <w:t xml:space="preserve">. To identify the events of interest we used the abovementioned Danish National Patient Registry, and further used the National Civil Registration System that </w:t>
      </w:r>
      <w:r w:rsidR="0017116B" w:rsidRPr="005B79BA">
        <w:rPr>
          <w:rFonts w:asciiTheme="majorHAnsi" w:eastAsia="AdvTimes" w:hAnsiTheme="majorHAnsi" w:cs="Times New Roman"/>
          <w:sz w:val="20"/>
          <w:szCs w:val="20"/>
          <w:lang w:val="en-US"/>
        </w:rPr>
        <w:t>holds information on date of birth, vital status, date of death and sex of all citizens</w:t>
      </w:r>
      <w:r w:rsidR="009F7CE0" w:rsidRPr="005B79BA">
        <w:rPr>
          <w:rFonts w:asciiTheme="majorHAnsi" w:eastAsia="AdvTimes" w:hAnsiTheme="majorHAnsi" w:cs="Times New Roman"/>
          <w:sz w:val="20"/>
          <w:szCs w:val="20"/>
          <w:lang w:val="en-US"/>
        </w:rPr>
        <w:fldChar w:fldCharType="begin" w:fldLock="1"/>
      </w:r>
      <w:r w:rsidR="00F27147" w:rsidRPr="005B79BA">
        <w:rPr>
          <w:rFonts w:asciiTheme="majorHAnsi" w:eastAsia="AdvTimes" w:hAnsiTheme="majorHAnsi" w:cs="Times New Roman"/>
          <w:sz w:val="20"/>
          <w:szCs w:val="20"/>
          <w:lang w:val="en-US"/>
        </w:rPr>
        <w:instrText xml:space="preserve">ADDIN Mendeley Citation{3c2f2456-ed1f-43fd-af5b-1fd45924df5a} CSL_CITATION  { "citationItems" : [ { "id" : "ITEM-1", "itemData" : { "DOI" : "10.1111/j.1538-7836.2012.04853.x", "abstract" : "Background: Female sex has been suggested as a risk factor for stroke/thromboembolism in patients with non-valvular atrial fibrillation (AF) and therefore been included within risk scores, e.g. the CHA(2) DS(2) -VASc score, and guidelines. Objectives: We investigated the risk of stroke/thromboembolism associated with female sex in non-valvular AF patients. Patients/Methods: Using the national Danish registers we identified non-anticoagulated patients discharged with non-valvular AF (1997-2008), and subdivided the population into three age intervals: \u003c65, 65-74, and \u226575 years. We calculated stroke rates according to sex, and assessed the stroke risk associated with female sex using Cox regression analysis. Results: We included 87,202 AF patients, and 42,458 (51.3%) were female. The rate of stroke/thromboembolism for females aged \u003c65 and 65-74 years, was not increased compared to men, while the rate for females aged \u226575 years was increased. At both 1- and 12-years follow-up, female sex did not increase the risk of stroke for patients aged \u003c75 years. At 1-year follow-up, the hazard ratio associated with female sex was 0.89 (95% confidence interval: 0.70-1.13) and 0.91 (0.79-1.05) for patients aged \u003c65 and 65-74 years, respectively, while female sex\u226575 years was associated with an increased risk of stroke of 1.20 (1.12-1.28). Conclusion: Female sex was only associated with an increased risk of stroke for AF patients aged \u226575 years. Our study suggests that female sex should not be automatically included as an independent stroke/thromboembolic risk factor in guidelines or in the CHA(2) DS(2) -VASc score, without careful prior consideration of the 'age \u003c65 and lone AF' criterion. \u00a9 2012 International Society on Thrombosis and Haemostasis.", "author" : [ { "family" : "Mikkelsen", "given" : "a" }, { "family" : "Lindhardsen", "given" : "J" }, { "family" : "Lip", "given" : "G" }, { "family" : "Gislason", "given" : "G H" }, { "family" : "Torp-Pedersen", "given" : "C" }, { "family" : "Olesen", "given" : "J B" } ], "container-title" : "Journal of thrombosis and haemostasis : JTH", "id" : "ITEM-1", "issue" : "July", "issued" : { "date-parts" : [ [ "2012", "7", "14" ] ] }, "note" : "\u003cm:note\u003e\u003c/m:note\u003e", "page" : "1745-1751", "title" : "Female sex asa risk factor for stroke in atrial fibrillation: A nationwide cohort study.", "type" : "article-journal" }, "uris" : [ "http://www.mendeley.com/documents/?uuid=3c2f2456-ed1f-43fd-af5b-1fd45924df5a" ] } ], "mendeley" : { "previouslyFormattedCitation" : "\u003csup\u003e12\u003c/sup\u003e" }, "properties" : { "noteIndex" : 0 }, "schema" : "https://github.com/citation-style-language/schema/raw/master/csl-citation.json" } </w:instrText>
      </w:r>
      <w:r w:rsidR="009F7CE0" w:rsidRPr="005B79BA">
        <w:rPr>
          <w:rFonts w:asciiTheme="majorHAnsi" w:eastAsia="AdvTimes" w:hAnsiTheme="majorHAnsi" w:cs="Times New Roman"/>
          <w:sz w:val="20"/>
          <w:szCs w:val="20"/>
          <w:lang w:val="en-US"/>
        </w:rPr>
        <w:fldChar w:fldCharType="separate"/>
      </w:r>
      <w:r w:rsidR="00F27147" w:rsidRPr="005B79BA">
        <w:rPr>
          <w:rFonts w:asciiTheme="majorHAnsi" w:eastAsia="AdvTimes" w:hAnsiTheme="majorHAnsi" w:cs="Times New Roman"/>
          <w:noProof/>
          <w:sz w:val="20"/>
          <w:szCs w:val="20"/>
          <w:vertAlign w:val="superscript"/>
          <w:lang w:val="en-US"/>
        </w:rPr>
        <w:t>12</w:t>
      </w:r>
      <w:r w:rsidR="009F7CE0" w:rsidRPr="005B79BA">
        <w:rPr>
          <w:rFonts w:asciiTheme="majorHAnsi" w:eastAsia="AdvTimes" w:hAnsiTheme="majorHAnsi" w:cs="Times New Roman"/>
          <w:sz w:val="20"/>
          <w:szCs w:val="20"/>
          <w:lang w:val="en-US"/>
        </w:rPr>
        <w:fldChar w:fldCharType="end"/>
      </w:r>
      <w:r w:rsidR="0017116B" w:rsidRPr="005B79BA">
        <w:rPr>
          <w:rFonts w:asciiTheme="majorHAnsi" w:hAnsiTheme="majorHAnsi" w:cs="Times New Roman"/>
          <w:sz w:val="20"/>
          <w:szCs w:val="20"/>
          <w:lang w:val="en-US"/>
        </w:rPr>
        <w:t>. Data from the Danish National Prescription Registry was used to ascertain the antithrombotic treatment status of each patient. Data were linked using a unique person identification number (CPR number) which is used through all Danish national registries.</w:t>
      </w:r>
      <w:r w:rsidR="00284D91" w:rsidRPr="005B79BA">
        <w:rPr>
          <w:rFonts w:asciiTheme="majorHAnsi" w:hAnsiTheme="majorHAnsi" w:cs="Times New Roman"/>
          <w:sz w:val="20"/>
          <w:szCs w:val="20"/>
          <w:lang w:val="en-US"/>
        </w:rPr>
        <w:t xml:space="preserve"> These registries have previously been validated</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Citation{35d11811-34bf-4bc0-b739-56612708ef6e};{e293a548-f100-4582-a52e-f0b5e1917503} CSL_CITATION  { "citationItems" : [ { "id" : "ITEM-1", "itemData" : { "DOI" : "10.1177/1403494810394717", "abstract" : "Individual-level data on all prescription drugs sold in Danish community pharmacies has since 1994 been recorded in the Register of Medicinal Products Statistics of the Danish Medicines Agency.", "author" : [ { "family" : "Kildemoes", "given" : "Helle Wallach" }, { "family" : "S\u00f8rensen", "given" : "Henrik Toft" }, { "family" : "Hallas", "given" : "Jesper" } ], "container-title" : "Scandinavian journal of public health", "id" : "ITEM-1", "issue" : "7 Suppl", "issued" : { "date-parts" : [ [ "2011", "7" ] ] }, "page" : "38-41", "title" : "The Danish National Prescription Registry.", "type" : "article-journal", "volume" : "39" }, "uris" : [ "http://www.mendeley.com/documents/?uuid=35d11811-34bf-4bc0-b739-56612708ef6e" ] }, { "id" : "ITEM-2", "itemData" : { "DOI" : "10.1159/000102143", "abstract" : "Many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 "author" : [ { "family" : "Krarup", "given" : "Lars-Henrik" }, { "family" : "Boysen", "given" : "Gudrun" }, { "family" : "Janjua", "given" : "Huma" }, { "family" : "Prescott", "given" : "Eva" }, { "family" : "Truelsen", "given" : "Thomas" } ], "container-title" : "Neuroepidemiology", "id" : "ITEM-2", "issue" : "3", "issued" : { "date-parts" : [ [ "2007", "1" ] ] }, "page" : "150-4", "title" : "Validity of stroke diagnoses in a National Register of Patients.", "type" : "article-journal", "volume" : "28" }, "uris" : [ "http://www.mendeley.com/documents/?uuid=e293a548-f100-4582-a52e-f0b5e1917503" ] } ], "mendeley" : { "previouslyFormattedCitation" : "\u003csup\u003e13,14\u003c/sup\u003e"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13,14</w:t>
      </w:r>
      <w:r w:rsidR="009F7CE0" w:rsidRPr="005B79BA">
        <w:rPr>
          <w:rFonts w:asciiTheme="majorHAnsi" w:hAnsiTheme="majorHAnsi" w:cs="Times New Roman"/>
          <w:sz w:val="20"/>
          <w:szCs w:val="20"/>
          <w:lang w:val="en-US"/>
        </w:rPr>
        <w:fldChar w:fldCharType="end"/>
      </w:r>
      <w:r w:rsidR="00FA1B29" w:rsidRPr="005B79BA">
        <w:rPr>
          <w:rFonts w:asciiTheme="majorHAnsi" w:hAnsiTheme="majorHAnsi" w:cs="Times New Roman"/>
          <w:sz w:val="20"/>
          <w:szCs w:val="20"/>
          <w:lang w:val="en-US"/>
        </w:rPr>
        <w:t xml:space="preserve"> and the</w:t>
      </w:r>
      <w:r w:rsidR="00284D91" w:rsidRPr="005B79BA">
        <w:rPr>
          <w:rFonts w:asciiTheme="majorHAnsi" w:hAnsiTheme="majorHAnsi" w:cs="Times New Roman"/>
          <w:color w:val="000000"/>
          <w:sz w:val="20"/>
          <w:szCs w:val="20"/>
          <w:lang w:val="en-US"/>
        </w:rPr>
        <w:t xml:space="preserve"> predictive value of AF diagnosis was found to b</w:t>
      </w:r>
      <w:r w:rsidR="00FA1B29" w:rsidRPr="005B79BA">
        <w:rPr>
          <w:rFonts w:asciiTheme="majorHAnsi" w:hAnsiTheme="majorHAnsi" w:cs="Times New Roman"/>
          <w:color w:val="000000"/>
          <w:sz w:val="20"/>
          <w:szCs w:val="20"/>
          <w:lang w:val="en-US"/>
        </w:rPr>
        <w:t>e high (99%)</w:t>
      </w:r>
      <w:r w:rsidR="00151FF6" w:rsidRPr="005B79BA">
        <w:rPr>
          <w:rFonts w:asciiTheme="majorHAnsi" w:hAnsiTheme="majorHAnsi" w:cs="Times New Roman"/>
          <w:color w:val="000000"/>
          <w:sz w:val="20"/>
          <w:szCs w:val="20"/>
          <w:lang w:val="en-US"/>
        </w:rPr>
        <w:t xml:space="preserve"> with a sensitivity of 88% and a specificity of 88-99%</w:t>
      </w:r>
      <w:r w:rsidR="00FA1B29" w:rsidRPr="005B79BA">
        <w:rPr>
          <w:rFonts w:asciiTheme="majorHAnsi" w:hAnsiTheme="majorHAnsi" w:cs="Times New Roman"/>
          <w:color w:val="000000"/>
          <w:sz w:val="20"/>
          <w:szCs w:val="20"/>
          <w:lang w:val="en-US"/>
        </w:rPr>
        <w:t xml:space="preserve"> in these registries</w:t>
      </w:r>
      <w:r w:rsidR="009F7CE0" w:rsidRPr="005B79BA">
        <w:rPr>
          <w:rFonts w:asciiTheme="majorHAnsi" w:hAnsiTheme="majorHAnsi" w:cs="Times New Roman"/>
          <w:color w:val="000000"/>
          <w:sz w:val="20"/>
          <w:szCs w:val="20"/>
          <w:lang w:val="en-US"/>
        </w:rPr>
        <w:fldChar w:fldCharType="begin" w:fldLock="1"/>
      </w:r>
      <w:r w:rsidR="00F27147" w:rsidRPr="005B79BA">
        <w:rPr>
          <w:rFonts w:asciiTheme="majorHAnsi" w:hAnsiTheme="majorHAnsi" w:cs="Times New Roman"/>
          <w:color w:val="000000"/>
          <w:sz w:val="20"/>
          <w:szCs w:val="20"/>
          <w:lang w:val="en-US"/>
        </w:rPr>
        <w:instrText xml:space="preserve">ADDIN Mendeley Citation{fe03bf0c-b412-4a3e-aaab-2675bbdcf09d} CSL_CITATION  { "citationItems" : [ { "id" : "ITEM-1", "itemData" : { "DOI" : "10.1016/j.amjmed.2005.12.027", "abstract" : "To evaluate trend in mortality in stroke associated with atrial fibrillation, we examined mortality trend after stroke with atrial fibrillation by calendar year period (1980-1984, 1985-1989, 1990-1994, 1995-1999, and 2000-2002). We estimated trends separately for each sex in unadjusted analyses. We also adjusted for age, comorbid conditions, and general trend in mortality in the background population.", "author" : [ { "family" : "Frost", "given" : "Lars" }, { "family" : "Andersen", "given" : "Ljubica Vukelic" }, { "family" : "Vestergaard", "given" : "Peter" }, { "family" : "Husted", "given" : "Steen" }, { "family" : "Mortensen", "given" : "Leif Spange" } ], "container-title" : "The American journal of medicine", "id" : "ITEM-1", "issue" : "1", "issued" : { "date-parts" : [ [ "2007", "1" ] ] }, "page" : "47-53", "title" : "Trend in mortality after stroke with atrial fibrillation.", "type" : "article-journal", "volume" : "120" }, "uris" : [ "http://www.mendeley.com/documents/?uuid=fe03bf0c-b412-4a3e-aaab-2675bbdcf09d" ] } ], "mendeley" : { "previouslyFormattedCitation" : "\u003csup\u003e15\u003c/sup\u003e" }, "properties" : { "noteIndex" : 0 }, "schema" : "https://github.com/citation-style-language/schema/raw/master/csl-citation.json" } </w:instrText>
      </w:r>
      <w:r w:rsidR="009F7CE0" w:rsidRPr="005B79BA">
        <w:rPr>
          <w:rFonts w:asciiTheme="majorHAnsi" w:hAnsiTheme="majorHAnsi" w:cs="Times New Roman"/>
          <w:color w:val="000000"/>
          <w:sz w:val="20"/>
          <w:szCs w:val="20"/>
          <w:lang w:val="en-US"/>
        </w:rPr>
        <w:fldChar w:fldCharType="separate"/>
      </w:r>
      <w:r w:rsidR="00F27147" w:rsidRPr="005B79BA">
        <w:rPr>
          <w:rFonts w:asciiTheme="majorHAnsi" w:hAnsiTheme="majorHAnsi" w:cs="Times New Roman"/>
          <w:noProof/>
          <w:color w:val="000000"/>
          <w:sz w:val="20"/>
          <w:szCs w:val="20"/>
          <w:vertAlign w:val="superscript"/>
          <w:lang w:val="en-US"/>
        </w:rPr>
        <w:t>15</w:t>
      </w:r>
      <w:r w:rsidR="009F7CE0" w:rsidRPr="005B79BA">
        <w:rPr>
          <w:rFonts w:asciiTheme="majorHAnsi" w:hAnsiTheme="majorHAnsi" w:cs="Times New Roman"/>
          <w:color w:val="000000"/>
          <w:sz w:val="20"/>
          <w:szCs w:val="20"/>
          <w:lang w:val="en-US"/>
        </w:rPr>
        <w:fldChar w:fldCharType="end"/>
      </w:r>
      <w:r w:rsidR="00F733E8" w:rsidRPr="005B79BA">
        <w:rPr>
          <w:rFonts w:asciiTheme="majorHAnsi" w:hAnsiTheme="majorHAnsi" w:cs="Times New Roman"/>
          <w:color w:val="000000"/>
          <w:sz w:val="20"/>
          <w:szCs w:val="20"/>
          <w:lang w:val="en-US"/>
        </w:rPr>
        <w:t>.</w:t>
      </w:r>
    </w:p>
    <w:p w14:paraId="5879A0DA" w14:textId="77777777" w:rsidR="0017116B" w:rsidRPr="005B79BA" w:rsidRDefault="0017116B" w:rsidP="005B79BA">
      <w:pPr>
        <w:autoSpaceDE w:val="0"/>
        <w:autoSpaceDN w:val="0"/>
        <w:adjustRightInd w:val="0"/>
        <w:jc w:val="both"/>
        <w:rPr>
          <w:rFonts w:asciiTheme="majorHAnsi" w:hAnsiTheme="majorHAnsi" w:cs="Times New Roman"/>
          <w:i/>
          <w:sz w:val="20"/>
          <w:szCs w:val="20"/>
          <w:lang w:val="en-US"/>
        </w:rPr>
      </w:pPr>
    </w:p>
    <w:p w14:paraId="4D1CB79E" w14:textId="77777777" w:rsidR="0017116B" w:rsidRPr="005B79BA" w:rsidRDefault="0017116B" w:rsidP="005B79BA">
      <w:pPr>
        <w:autoSpaceDE w:val="0"/>
        <w:autoSpaceDN w:val="0"/>
        <w:adjustRightInd w:val="0"/>
        <w:jc w:val="both"/>
        <w:rPr>
          <w:rFonts w:asciiTheme="majorHAnsi" w:hAnsiTheme="majorHAnsi" w:cs="Times New Roman"/>
          <w:i/>
          <w:sz w:val="20"/>
          <w:szCs w:val="20"/>
          <w:lang w:val="en-US"/>
        </w:rPr>
      </w:pPr>
      <w:r w:rsidRPr="005B79BA">
        <w:rPr>
          <w:rFonts w:asciiTheme="majorHAnsi" w:hAnsiTheme="majorHAnsi" w:cs="Times New Roman"/>
          <w:i/>
          <w:sz w:val="20"/>
          <w:szCs w:val="20"/>
          <w:lang w:val="en-US"/>
        </w:rPr>
        <w:t>Study Population</w:t>
      </w:r>
    </w:p>
    <w:p w14:paraId="7441FB1B" w14:textId="5C605377" w:rsidR="00F61E14" w:rsidRDefault="0017116B" w:rsidP="005B79BA">
      <w:pPr>
        <w:jc w:val="both"/>
        <w:rPr>
          <w:rFonts w:asciiTheme="majorHAnsi" w:eastAsia="AdvTimes" w:hAnsiTheme="majorHAnsi" w:cs="Times New Roman"/>
          <w:sz w:val="20"/>
          <w:szCs w:val="20"/>
          <w:lang w:val="en-US"/>
        </w:rPr>
      </w:pPr>
      <w:r w:rsidRPr="005B79BA">
        <w:rPr>
          <w:rFonts w:asciiTheme="majorHAnsi" w:eastAsia="AdvTimes" w:hAnsiTheme="majorHAnsi" w:cs="Times New Roman"/>
          <w:sz w:val="20"/>
          <w:szCs w:val="20"/>
          <w:lang w:val="en-US"/>
        </w:rPr>
        <w:t xml:space="preserve">The study population consisted of patients with non-valvular AF aged 20-90 years. </w:t>
      </w:r>
      <w:r w:rsidR="004A081A" w:rsidRPr="005B79BA">
        <w:rPr>
          <w:rFonts w:asciiTheme="majorHAnsi" w:eastAsia="AdvTimes" w:hAnsiTheme="majorHAnsi" w:cs="Times New Roman"/>
          <w:sz w:val="20"/>
          <w:szCs w:val="20"/>
          <w:lang w:val="en-US"/>
        </w:rPr>
        <w:t>Non-valvular AF</w:t>
      </w:r>
      <w:r w:rsidRPr="005B79BA">
        <w:rPr>
          <w:rFonts w:asciiTheme="majorHAnsi" w:eastAsia="AdvTimes" w:hAnsiTheme="majorHAnsi" w:cs="Times New Roman"/>
          <w:sz w:val="20"/>
          <w:szCs w:val="20"/>
          <w:lang w:val="en-US"/>
        </w:rPr>
        <w:t xml:space="preserve"> </w:t>
      </w:r>
      <w:r w:rsidRPr="005B79BA">
        <w:rPr>
          <w:rFonts w:asciiTheme="majorHAnsi" w:eastAsia="AdvTimes" w:hAnsiTheme="majorHAnsi" w:cs="Times New Roman"/>
          <w:sz w:val="20"/>
          <w:szCs w:val="20"/>
          <w:lang w:val="en-US"/>
        </w:rPr>
        <w:lastRenderedPageBreak/>
        <w:t>was defined by a discharge diagnosis of AF or atrial flutter, but without an ICD-10 code of valvular disease or mechanical cardiac valve. This is consistent with the definition used in similar cohort studies</w:t>
      </w:r>
      <w:r w:rsidR="009F7CE0" w:rsidRPr="005B79BA">
        <w:rPr>
          <w:rFonts w:asciiTheme="majorHAnsi" w:eastAsia="AdvTimes" w:hAnsiTheme="majorHAnsi" w:cs="Times New Roman"/>
          <w:sz w:val="20"/>
          <w:szCs w:val="20"/>
          <w:lang w:val="en-US"/>
        </w:rPr>
        <w:fldChar w:fldCharType="begin" w:fldLock="1"/>
      </w:r>
      <w:r w:rsidR="00F27147" w:rsidRPr="005B79BA">
        <w:rPr>
          <w:rFonts w:asciiTheme="majorHAnsi" w:eastAsia="AdvTimes" w:hAnsiTheme="majorHAnsi" w:cs="Times New Roman"/>
          <w:sz w:val="20"/>
          <w:szCs w:val="20"/>
          <w:lang w:val="en-US"/>
        </w:rPr>
        <w:instrText xml:space="preserve">ADDIN Mendeley Citation{c2e9cf56-d70c-41eb-a0ae-00a257472c91};{3c2f2456-ed1f-43fd-af5b-1fd45924df5a} CSL_CITATION  { "citationItems" : [ { "id" : "ITEM-1", "itemData" : { "author" : [ { "family" : "Olesen", "given" : "J. B." }, { "family" : "Lip", "given" : "G. Y. H." }, { "family" : "Hansen", "given" : "M. L." }, { "family" : "Hansen", "given" : "P. R." }, { "family" : "Tolstrup", "given" : "J. S." }, { "family" : "Lindhardsen", "given" : "J." }, { "family" : "Selmer", "given" : "C." }, { "family" : "Ahlehoff", "given" : "O." }, { "family" : "Olsen", "given" : "a.-M. S." }, { "family" : "Gislason", "given" : "G. H." }, { "family" : "Torp-Pedersen", "given" : "C." } ], "container-title" : "BMJ", "id" : "ITEM-1", "issue" : "jan31 1", "issued" : { "date-parts" : [ [ "2011", "1", "31" ] ] }, "page" : "d124-d124", "title" : "Validation of risk stratification schemes for predicting stroke and thromboembolism in patients with atrial fibrillation: nationwide cohort study", "type" : "article-journal", "volume" : "342" }, "uris" : [ "http://www.mendeley.com/documents/?uuid=c2e9cf56-d70c-41eb-a0ae-00a257472c91" ] }, { "id" : "ITEM-2", "itemData" : { "DOI" : "10.1111/j.1538-7836.2012.04853.x", "abstract" : "Background: Female sex has been suggested as a risk factor for stroke/thromboembolism in patients with non-valvular atrial fibrillation (AF) and therefore been included within risk scores, e.g. the CHA(2) DS(2) -VASc score, and guidelines. Objectives: We investigated the risk of stroke/thromboembolism associated with female sex in non-valvular AF patients. Patients/Methods: Using the national Danish registers we identified non-anticoagulated patients discharged with non-valvular AF (1997-2008), and subdivided the population into three age intervals: \u003c65, 65-74, and \u226575 years. We calculated stroke rates according to sex, and assessed the stroke risk associated with female sex using Cox regression analysis. Results: We included 87,202 AF patients, and 42,458 (51.3%) were female. The rate of stroke/thromboembolism for females aged \u003c65 and 65-74 years, was not increased compared to men, while the rate for females aged \u226575 years was increased. At both 1- and 12-years follow-up, female sex did not increase the risk of stroke for patients aged \u003c75 years. At 1-year follow-up, the hazard ratio associated with female sex was 0.89 (95% confidence interval: 0.70-1.13) and 0.91 (0.79-1.05) for patients aged \u003c65 and 65-74 years, respectively, while female sex\u226575 years was associated with an increased risk of stroke of 1.20 (1.12-1.28). Conclusion: Female sex was only associated with an increased risk of stroke for AF patients aged \u226575 years. Our study suggests that female sex should not be automatically included as an independent stroke/thromboembolic risk factor in guidelines or in the CHA(2) DS(2) -VASc score, without careful prior consideration of the 'age \u003c65 and lone AF' criterion. \u00a9 2012 International Society on Thrombosis and Haemostasis.", "author" : [ { "family" : "Mikkelsen", "given" : "a" }, { "family" : "Lindhardsen", "given" : "J" }, { "family" : "Lip", "given" : "G" }, { "family" : "Gislason", "given" : "G H" }, { "family" : "Torp-Pedersen", "given" : "C" }, { "family" : "Olesen", "given" : "J B" } ], "container-title" : "Journal of thrombosis and haemostasis : JTH", "id" : "ITEM-2", "issue" : "July", "issued" : { "date-parts" : [ [ "2012", "7", "14" ] ] }, "note" : "\u003cm:note\u003e\u003c/m:note\u003e", "page" : "1745-1751", "title" : "Female sex asa risk factor for stroke in atrial fibrillation: A nationwide cohort study.", "type" : "article-journal" }, "uris" : [ "http://www.mendeley.com/documents/?uuid=3c2f2456-ed1f-43fd-af5b-1fd45924df5a" ] } ], "mendeley" : { "previouslyFormattedCitation" : "\u003csup\u003e9,12\u003c/sup\u003e" }, "properties" : { "noteIndex" : 0 }, "schema" : "https://github.com/citation-style-language/schema/raw/master/csl-citation.json" } </w:instrText>
      </w:r>
      <w:r w:rsidR="009F7CE0" w:rsidRPr="005B79BA">
        <w:rPr>
          <w:rFonts w:asciiTheme="majorHAnsi" w:eastAsia="AdvTimes" w:hAnsiTheme="majorHAnsi" w:cs="Times New Roman"/>
          <w:sz w:val="20"/>
          <w:szCs w:val="20"/>
          <w:lang w:val="en-US"/>
        </w:rPr>
        <w:fldChar w:fldCharType="separate"/>
      </w:r>
      <w:r w:rsidR="00F27147" w:rsidRPr="005B79BA">
        <w:rPr>
          <w:rFonts w:asciiTheme="majorHAnsi" w:eastAsia="AdvTimes" w:hAnsiTheme="majorHAnsi" w:cs="Times New Roman"/>
          <w:noProof/>
          <w:sz w:val="20"/>
          <w:szCs w:val="20"/>
          <w:vertAlign w:val="superscript"/>
          <w:lang w:val="en-US"/>
        </w:rPr>
        <w:t>9,12</w:t>
      </w:r>
      <w:r w:rsidR="009F7CE0" w:rsidRPr="005B79BA">
        <w:rPr>
          <w:rFonts w:asciiTheme="majorHAnsi" w:eastAsia="AdvTimes" w:hAnsiTheme="majorHAnsi" w:cs="Times New Roman"/>
          <w:sz w:val="20"/>
          <w:szCs w:val="20"/>
          <w:lang w:val="en-US"/>
        </w:rPr>
        <w:fldChar w:fldCharType="end"/>
      </w:r>
      <w:r w:rsidRPr="005B79BA">
        <w:rPr>
          <w:rFonts w:asciiTheme="majorHAnsi" w:eastAsia="AdvTimes" w:hAnsiTheme="majorHAnsi" w:cs="Times New Roman"/>
          <w:sz w:val="20"/>
          <w:szCs w:val="20"/>
          <w:lang w:val="en-US"/>
        </w:rPr>
        <w:t>. The cohort consisted of patients both treated with anticoagulation and untreated. However, patie</w:t>
      </w:r>
      <w:r w:rsidR="00CC1162" w:rsidRPr="005B79BA">
        <w:rPr>
          <w:rFonts w:asciiTheme="majorHAnsi" w:eastAsia="AdvTimes" w:hAnsiTheme="majorHAnsi" w:cs="Times New Roman"/>
          <w:sz w:val="20"/>
          <w:szCs w:val="20"/>
          <w:lang w:val="en-US"/>
        </w:rPr>
        <w:t xml:space="preserve">nts with a diagnosis of cancer (according to ICD-10) </w:t>
      </w:r>
      <w:r w:rsidRPr="005B79BA">
        <w:rPr>
          <w:rFonts w:asciiTheme="majorHAnsi" w:eastAsia="AdvTimes" w:hAnsiTheme="majorHAnsi" w:cs="Times New Roman"/>
          <w:sz w:val="20"/>
          <w:szCs w:val="20"/>
          <w:lang w:val="en-US"/>
        </w:rPr>
        <w:t xml:space="preserve">or </w:t>
      </w:r>
      <w:r w:rsidR="00CC1162" w:rsidRPr="005B79BA">
        <w:rPr>
          <w:rFonts w:asciiTheme="majorHAnsi" w:eastAsia="AdvTimes" w:hAnsiTheme="majorHAnsi" w:cs="Times New Roman"/>
          <w:sz w:val="20"/>
          <w:szCs w:val="20"/>
          <w:lang w:val="en-US"/>
        </w:rPr>
        <w:t>HIV/</w:t>
      </w:r>
      <w:r w:rsidRPr="005B79BA">
        <w:rPr>
          <w:rFonts w:asciiTheme="majorHAnsi" w:eastAsia="AdvTimes" w:hAnsiTheme="majorHAnsi" w:cs="Times New Roman"/>
          <w:sz w:val="20"/>
          <w:szCs w:val="20"/>
          <w:lang w:val="en-US"/>
        </w:rPr>
        <w:t xml:space="preserve">AIDS (according to </w:t>
      </w:r>
      <w:proofErr w:type="spellStart"/>
      <w:r w:rsidRPr="005B79BA">
        <w:rPr>
          <w:rFonts w:asciiTheme="majorHAnsi" w:eastAsia="AdvTimes" w:hAnsiTheme="majorHAnsi" w:cs="Times New Roman"/>
          <w:sz w:val="20"/>
          <w:szCs w:val="20"/>
          <w:lang w:val="en-US"/>
        </w:rPr>
        <w:t>Charlson’s</w:t>
      </w:r>
      <w:proofErr w:type="spellEnd"/>
      <w:r w:rsidRPr="005B79BA">
        <w:rPr>
          <w:rFonts w:asciiTheme="majorHAnsi" w:eastAsia="AdvTimes" w:hAnsiTheme="majorHAnsi" w:cs="Times New Roman"/>
          <w:sz w:val="20"/>
          <w:szCs w:val="20"/>
          <w:lang w:val="en-US"/>
        </w:rPr>
        <w:t xml:space="preserve"> AIDS definition; </w:t>
      </w:r>
      <w:r w:rsidRPr="005B79BA">
        <w:rPr>
          <w:rFonts w:asciiTheme="majorHAnsi" w:hAnsiTheme="majorHAnsi"/>
          <w:sz w:val="20"/>
          <w:szCs w:val="20"/>
          <w:lang w:val="en-US"/>
        </w:rPr>
        <w:t>ICD-10: B2</w:t>
      </w:r>
      <w:r w:rsidR="00CC1162" w:rsidRPr="005B79BA">
        <w:rPr>
          <w:rFonts w:asciiTheme="majorHAnsi" w:hAnsiTheme="majorHAnsi"/>
          <w:sz w:val="20"/>
          <w:szCs w:val="20"/>
          <w:lang w:val="en-US"/>
        </w:rPr>
        <w:t>0</w:t>
      </w:r>
      <w:r w:rsidRPr="005B79BA">
        <w:rPr>
          <w:rFonts w:asciiTheme="majorHAnsi" w:hAnsiTheme="majorHAnsi"/>
          <w:sz w:val="20"/>
          <w:szCs w:val="20"/>
          <w:lang w:val="en-US"/>
        </w:rPr>
        <w:t>-B24</w:t>
      </w:r>
      <w:r w:rsidRPr="005B79BA">
        <w:rPr>
          <w:rFonts w:asciiTheme="majorHAnsi" w:eastAsia="AdvTimes" w:hAnsiTheme="majorHAnsi" w:cs="Times New Roman"/>
          <w:sz w:val="20"/>
          <w:szCs w:val="20"/>
          <w:lang w:val="en-US"/>
        </w:rPr>
        <w:t>) were excluded. Similarly, patients with an invalid CPR number</w:t>
      </w:r>
      <w:r w:rsidR="000D04DA" w:rsidRPr="005B79BA">
        <w:rPr>
          <w:rFonts w:asciiTheme="majorHAnsi" w:eastAsia="AdvTimes" w:hAnsiTheme="majorHAnsi" w:cs="Times New Roman"/>
          <w:sz w:val="20"/>
          <w:szCs w:val="20"/>
          <w:lang w:val="en-US"/>
        </w:rPr>
        <w:t xml:space="preserve"> (personal </w:t>
      </w:r>
      <w:r w:rsidR="000C49EE" w:rsidRPr="005B79BA">
        <w:rPr>
          <w:rFonts w:asciiTheme="majorHAnsi" w:hAnsiTheme="majorHAnsi" w:cs="Times New Roman"/>
          <w:sz w:val="20"/>
          <w:szCs w:val="20"/>
          <w:lang w:val="en-US"/>
        </w:rPr>
        <w:t>identification</w:t>
      </w:r>
      <w:r w:rsidR="000C49EE" w:rsidRPr="005B79BA">
        <w:rPr>
          <w:rFonts w:asciiTheme="majorHAnsi" w:eastAsia="AdvTimes" w:hAnsiTheme="majorHAnsi" w:cs="Times New Roman"/>
          <w:sz w:val="20"/>
          <w:szCs w:val="20"/>
          <w:lang w:val="en-US"/>
        </w:rPr>
        <w:t xml:space="preserve"> </w:t>
      </w:r>
      <w:r w:rsidR="000D04DA" w:rsidRPr="005B79BA">
        <w:rPr>
          <w:rFonts w:asciiTheme="majorHAnsi" w:eastAsia="AdvTimes" w:hAnsiTheme="majorHAnsi" w:cs="Times New Roman"/>
          <w:sz w:val="20"/>
          <w:szCs w:val="20"/>
          <w:lang w:val="en-US"/>
        </w:rPr>
        <w:t>number)</w:t>
      </w:r>
      <w:r w:rsidRPr="005B79BA">
        <w:rPr>
          <w:rFonts w:asciiTheme="majorHAnsi" w:eastAsia="AdvTimes" w:hAnsiTheme="majorHAnsi" w:cs="Times New Roman"/>
          <w:sz w:val="20"/>
          <w:szCs w:val="20"/>
          <w:lang w:val="en-US"/>
        </w:rPr>
        <w:t>, inconsistent death information (death before AF diagnosis), a date of death equal to the date of AF diagnosis, and immigration within 1 year prior to AF di</w:t>
      </w:r>
      <w:r w:rsidR="002F1F5D">
        <w:rPr>
          <w:rFonts w:asciiTheme="majorHAnsi" w:eastAsia="AdvTimes" w:hAnsiTheme="majorHAnsi" w:cs="Times New Roman"/>
          <w:sz w:val="20"/>
          <w:szCs w:val="20"/>
          <w:lang w:val="en-US"/>
        </w:rPr>
        <w:t>agnosis were also excluded [</w:t>
      </w:r>
      <w:r w:rsidRPr="005B79BA">
        <w:rPr>
          <w:rFonts w:asciiTheme="majorHAnsi" w:eastAsia="AdvTimes" w:hAnsiTheme="majorHAnsi" w:cs="Times New Roman"/>
          <w:sz w:val="20"/>
          <w:szCs w:val="20"/>
          <w:lang w:val="en-US"/>
        </w:rPr>
        <w:t xml:space="preserve">Figure </w:t>
      </w:r>
      <w:r w:rsidR="00EA5E9A" w:rsidRPr="005B79BA">
        <w:rPr>
          <w:rFonts w:asciiTheme="majorHAnsi" w:eastAsia="AdvTimes" w:hAnsiTheme="majorHAnsi" w:cs="Times New Roman"/>
          <w:sz w:val="20"/>
          <w:szCs w:val="20"/>
          <w:lang w:val="en-US"/>
        </w:rPr>
        <w:t>1</w:t>
      </w:r>
      <w:r w:rsidR="002F1F5D">
        <w:rPr>
          <w:rFonts w:asciiTheme="majorHAnsi" w:eastAsia="AdvTimes" w:hAnsiTheme="majorHAnsi" w:cs="Times New Roman"/>
          <w:sz w:val="20"/>
          <w:szCs w:val="20"/>
          <w:lang w:val="en-US"/>
        </w:rPr>
        <w:t>]</w:t>
      </w:r>
      <w:r w:rsidR="008D147E">
        <w:rPr>
          <w:rFonts w:asciiTheme="majorHAnsi" w:eastAsia="AdvTimes" w:hAnsiTheme="majorHAnsi" w:cs="Times New Roman"/>
          <w:sz w:val="20"/>
          <w:szCs w:val="20"/>
          <w:lang w:val="en-US"/>
        </w:rPr>
        <w:t>.</w:t>
      </w:r>
    </w:p>
    <w:p w14:paraId="77AE4961" w14:textId="77777777" w:rsidR="00F61E14" w:rsidRPr="005B79BA" w:rsidRDefault="00F61E14" w:rsidP="005B79BA">
      <w:pPr>
        <w:jc w:val="both"/>
        <w:rPr>
          <w:rFonts w:asciiTheme="majorHAnsi" w:eastAsia="AdvTimes" w:hAnsiTheme="majorHAnsi" w:cs="Times New Roman"/>
          <w:sz w:val="20"/>
          <w:szCs w:val="20"/>
          <w:lang w:val="en-US"/>
        </w:rPr>
      </w:pPr>
    </w:p>
    <w:p w14:paraId="6B2CF389" w14:textId="268C83F0" w:rsidR="00F61E14" w:rsidRPr="005B79BA" w:rsidRDefault="000525F1" w:rsidP="005B79BA">
      <w:pPr>
        <w:autoSpaceDE w:val="0"/>
        <w:autoSpaceDN w:val="0"/>
        <w:adjustRightInd w:val="0"/>
        <w:jc w:val="both"/>
        <w:rPr>
          <w:rFonts w:asciiTheme="majorHAnsi" w:eastAsia="AdvTimes" w:hAnsiTheme="majorHAnsi" w:cs="Times New Roman"/>
          <w:sz w:val="20"/>
          <w:szCs w:val="20"/>
          <w:lang w:val="en-US" w:eastAsia="en-US" w:bidi="ar-SA"/>
        </w:rPr>
      </w:pPr>
      <w:r w:rsidRPr="005B79BA">
        <w:rPr>
          <w:rFonts w:asciiTheme="majorHAnsi" w:eastAsia="AdvTimes" w:hAnsiTheme="majorHAnsi" w:cs="Times New Roman"/>
          <w:sz w:val="20"/>
          <w:szCs w:val="20"/>
          <w:lang w:val="en-US" w:eastAsia="en-US" w:bidi="ar-SA"/>
        </w:rPr>
        <w:t xml:space="preserve">Comorbidities were assessed by the components of the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w:t>
      </w:r>
      <w:r w:rsidR="00B769E7" w:rsidRPr="005B79BA">
        <w:rPr>
          <w:rFonts w:asciiTheme="majorHAnsi" w:hAnsiTheme="majorHAnsi" w:cs="Times New Roman"/>
          <w:sz w:val="20"/>
          <w:szCs w:val="20"/>
          <w:lang w:val="en-US"/>
        </w:rPr>
        <w:t xml:space="preserve"> at time of AF diagnosis</w:t>
      </w:r>
      <w:r w:rsidRPr="005B79BA">
        <w:rPr>
          <w:rFonts w:asciiTheme="majorHAnsi" w:hAnsiTheme="majorHAnsi" w:cs="Times New Roman"/>
          <w:sz w:val="20"/>
          <w:szCs w:val="20"/>
          <w:lang w:val="en-US"/>
        </w:rPr>
        <w:t xml:space="preserve">. </w:t>
      </w:r>
      <w:r w:rsidRPr="005B79BA">
        <w:rPr>
          <w:rFonts w:asciiTheme="majorHAnsi" w:eastAsia="AdvTimes" w:hAnsiTheme="majorHAnsi" w:cs="Times New Roman"/>
          <w:sz w:val="20"/>
          <w:szCs w:val="20"/>
          <w:lang w:val="en-US" w:eastAsia="en-US" w:bidi="ar-SA"/>
        </w:rPr>
        <w:t>Patients</w:t>
      </w:r>
      <w:r w:rsidR="0017116B" w:rsidRPr="005B79BA">
        <w:rPr>
          <w:rFonts w:asciiTheme="majorHAnsi" w:eastAsia="AdvTimes" w:hAnsiTheme="majorHAnsi" w:cs="Times New Roman"/>
          <w:sz w:val="20"/>
          <w:szCs w:val="20"/>
          <w:lang w:val="en-US" w:eastAsia="en-US" w:bidi="ar-SA"/>
        </w:rPr>
        <w:t xml:space="preserve"> with congestive heart failure were identified from the combination of a diagnosis of previous heart failure or left ventricular dysfunction and treatment with loop diuretics. Patients with hypertension were identified from a diagnosis of hypertension and a combination therapy with at least two of the following antihypertensive medications: adrenergic antagonist, b</w:t>
      </w:r>
      <w:r w:rsidR="00D61311" w:rsidRPr="005B79BA">
        <w:rPr>
          <w:rFonts w:asciiTheme="majorHAnsi" w:eastAsia="AdvTimes" w:hAnsiTheme="majorHAnsi" w:cs="Times New Roman"/>
          <w:sz w:val="20"/>
          <w:szCs w:val="20"/>
          <w:lang w:val="en-US" w:eastAsia="en-US" w:bidi="ar-SA"/>
        </w:rPr>
        <w:t>eta</w:t>
      </w:r>
      <w:r w:rsidR="0017116B" w:rsidRPr="005B79BA">
        <w:rPr>
          <w:rFonts w:asciiTheme="majorHAnsi" w:eastAsia="AdvTimes" w:hAnsiTheme="majorHAnsi" w:cs="Times New Roman"/>
          <w:sz w:val="20"/>
          <w:szCs w:val="20"/>
          <w:lang w:val="en-US" w:eastAsia="en-US" w:bidi="ar-SA"/>
        </w:rPr>
        <w:t>-blockers, calcium channel blockers, non-loop diuretics, renin–angiotensin system inhibitors, and vasodilators. Patients with diabetes mellitus were identified as those who had a</w:t>
      </w:r>
      <w:r w:rsidR="000D04DA" w:rsidRPr="005B79BA">
        <w:rPr>
          <w:rFonts w:asciiTheme="majorHAnsi" w:eastAsia="AdvTimes" w:hAnsiTheme="majorHAnsi" w:cs="Times New Roman"/>
          <w:sz w:val="20"/>
          <w:szCs w:val="20"/>
          <w:lang w:val="en-US" w:eastAsia="en-US" w:bidi="ar-SA"/>
        </w:rPr>
        <w:t>ny</w:t>
      </w:r>
      <w:r w:rsidR="0017116B" w:rsidRPr="005B79BA">
        <w:rPr>
          <w:rFonts w:asciiTheme="majorHAnsi" w:eastAsia="AdvTimes" w:hAnsiTheme="majorHAnsi" w:cs="Times New Roman"/>
          <w:sz w:val="20"/>
          <w:szCs w:val="20"/>
          <w:lang w:val="en-US" w:eastAsia="en-US" w:bidi="ar-SA"/>
        </w:rPr>
        <w:t xml:space="preserve"> diagnosis of diabetes and claimed prescriptions for glucose-lowering medication. To identify patients who had suffered a previous stroke, we searched for patients diagnosed with ischemic stroke, hemorrhagic stroke, and transient cerebral ischemia. Information on vascular disease, such as myocardial infarction</w:t>
      </w:r>
      <w:r w:rsidR="000D04DA" w:rsidRPr="005B79BA">
        <w:rPr>
          <w:rFonts w:asciiTheme="majorHAnsi" w:eastAsia="AdvTimes" w:hAnsiTheme="majorHAnsi" w:cs="Times New Roman"/>
          <w:sz w:val="20"/>
          <w:szCs w:val="20"/>
          <w:lang w:val="en-US" w:eastAsia="en-US" w:bidi="ar-SA"/>
        </w:rPr>
        <w:t xml:space="preserve"> and peripheral artery </w:t>
      </w:r>
      <w:proofErr w:type="gramStart"/>
      <w:r w:rsidR="000D04DA" w:rsidRPr="005B79BA">
        <w:rPr>
          <w:rFonts w:asciiTheme="majorHAnsi" w:eastAsia="AdvTimes" w:hAnsiTheme="majorHAnsi" w:cs="Times New Roman"/>
          <w:sz w:val="20"/>
          <w:szCs w:val="20"/>
          <w:lang w:val="en-US" w:eastAsia="en-US" w:bidi="ar-SA"/>
        </w:rPr>
        <w:t>disease,</w:t>
      </w:r>
      <w:proofErr w:type="gramEnd"/>
      <w:r w:rsidR="0017116B" w:rsidRPr="005B79BA">
        <w:rPr>
          <w:rFonts w:asciiTheme="majorHAnsi" w:eastAsia="AdvTimes" w:hAnsiTheme="majorHAnsi" w:cs="Times New Roman"/>
          <w:sz w:val="20"/>
          <w:szCs w:val="20"/>
          <w:lang w:val="en-US" w:eastAsia="en-US" w:bidi="ar-SA"/>
        </w:rPr>
        <w:t xml:space="preserve"> was also retrieved from the National Patient Registry</w:t>
      </w:r>
      <w:r w:rsidR="00223B48" w:rsidRPr="005B79BA">
        <w:rPr>
          <w:rFonts w:asciiTheme="majorHAnsi" w:eastAsia="AdvTimes" w:hAnsiTheme="majorHAnsi" w:cs="Times New Roman"/>
          <w:sz w:val="20"/>
          <w:szCs w:val="20"/>
          <w:lang w:val="en-US" w:eastAsia="en-US" w:bidi="ar-SA"/>
        </w:rPr>
        <w:t xml:space="preserve"> (see web-only Table for ICD and ATC codes)</w:t>
      </w:r>
      <w:r w:rsidR="0017116B" w:rsidRPr="005B79BA">
        <w:rPr>
          <w:rFonts w:asciiTheme="majorHAnsi" w:eastAsia="AdvTimes" w:hAnsiTheme="majorHAnsi" w:cs="Times New Roman"/>
          <w:sz w:val="20"/>
          <w:szCs w:val="20"/>
          <w:lang w:val="en-US" w:eastAsia="en-US" w:bidi="ar-SA"/>
        </w:rPr>
        <w:t>.</w:t>
      </w:r>
    </w:p>
    <w:p w14:paraId="048E4D8F" w14:textId="77777777" w:rsidR="00D61311" w:rsidRPr="005B79BA" w:rsidRDefault="00D61311" w:rsidP="005B79BA">
      <w:pPr>
        <w:autoSpaceDE w:val="0"/>
        <w:autoSpaceDN w:val="0"/>
        <w:adjustRightInd w:val="0"/>
        <w:jc w:val="both"/>
        <w:rPr>
          <w:rFonts w:asciiTheme="majorHAnsi" w:eastAsia="AdvTimes" w:hAnsiTheme="majorHAnsi" w:cs="Times New Roman"/>
          <w:sz w:val="20"/>
          <w:szCs w:val="20"/>
          <w:lang w:val="en-US" w:eastAsia="en-US" w:bidi="ar-SA"/>
        </w:rPr>
      </w:pPr>
    </w:p>
    <w:p w14:paraId="62422B22" w14:textId="77777777" w:rsidR="0017116B" w:rsidRPr="005B79BA" w:rsidRDefault="0017116B" w:rsidP="005B79BA">
      <w:pPr>
        <w:jc w:val="both"/>
        <w:rPr>
          <w:rFonts w:asciiTheme="majorHAnsi" w:hAnsiTheme="majorHAnsi"/>
          <w:sz w:val="20"/>
          <w:szCs w:val="20"/>
          <w:lang w:val="en-US"/>
        </w:rPr>
      </w:pPr>
      <w:r w:rsidRPr="005B79BA">
        <w:rPr>
          <w:rFonts w:asciiTheme="majorHAnsi" w:hAnsiTheme="majorHAnsi"/>
          <w:sz w:val="20"/>
          <w:szCs w:val="20"/>
          <w:lang w:val="en-US"/>
        </w:rPr>
        <w:t>Treatment of warfarin was defined by first prescription and assumed to last until the package was assumed used with a standard daily dosage</w:t>
      </w:r>
      <w:r w:rsidR="00594E7D" w:rsidRPr="005B79BA">
        <w:rPr>
          <w:rFonts w:asciiTheme="majorHAnsi" w:hAnsiTheme="majorHAnsi"/>
          <w:sz w:val="20"/>
          <w:szCs w:val="20"/>
          <w:lang w:val="en-US"/>
        </w:rPr>
        <w:t xml:space="preserve"> (5 mg per day)</w:t>
      </w:r>
      <w:r w:rsidRPr="005B79BA">
        <w:rPr>
          <w:rFonts w:asciiTheme="majorHAnsi" w:hAnsiTheme="majorHAnsi"/>
          <w:sz w:val="20"/>
          <w:szCs w:val="20"/>
          <w:lang w:val="en-US"/>
        </w:rPr>
        <w:t>. With repeated prescriptions</w:t>
      </w:r>
      <w:r w:rsidR="000D04DA" w:rsidRPr="005B79BA">
        <w:rPr>
          <w:rFonts w:asciiTheme="majorHAnsi" w:hAnsiTheme="majorHAnsi"/>
          <w:sz w:val="20"/>
          <w:szCs w:val="20"/>
          <w:lang w:val="en-US"/>
        </w:rPr>
        <w:t>,</w:t>
      </w:r>
      <w:r w:rsidRPr="005B79BA">
        <w:rPr>
          <w:rFonts w:asciiTheme="majorHAnsi" w:hAnsiTheme="majorHAnsi"/>
          <w:sz w:val="20"/>
          <w:szCs w:val="20"/>
          <w:lang w:val="en-US"/>
        </w:rPr>
        <w:t xml:space="preserve"> dosage was estimated based on time between prescriptions. Treatment was assumed terminated if there were more than 180 days between end of treatment and next new prescription. If treatment was initiated less than 30 days after diagnosis of AF, treatment was assumed to start at the date of the AF diagnosis, assuming that warfarin was handed out from the hospital.</w:t>
      </w:r>
    </w:p>
    <w:p w14:paraId="1F7D9C6F" w14:textId="77777777" w:rsidR="00D61311" w:rsidRPr="005B79BA" w:rsidRDefault="00D61311" w:rsidP="005B79BA">
      <w:pPr>
        <w:jc w:val="both"/>
        <w:rPr>
          <w:rFonts w:asciiTheme="majorHAnsi" w:hAnsiTheme="majorHAnsi"/>
          <w:sz w:val="20"/>
          <w:szCs w:val="20"/>
          <w:lang w:val="en-US"/>
        </w:rPr>
      </w:pPr>
    </w:p>
    <w:p w14:paraId="30E70313" w14:textId="30F8E7CA" w:rsidR="0017116B" w:rsidRPr="005B79BA" w:rsidRDefault="0017116B" w:rsidP="005B79BA">
      <w:pPr>
        <w:autoSpaceDE w:val="0"/>
        <w:autoSpaceDN w:val="0"/>
        <w:adjustRightInd w:val="0"/>
        <w:jc w:val="both"/>
        <w:rPr>
          <w:rFonts w:asciiTheme="majorHAnsi" w:eastAsia="AdvTimes" w:hAnsiTheme="majorHAnsi" w:cs="Times New Roman"/>
          <w:strike/>
          <w:sz w:val="20"/>
          <w:szCs w:val="20"/>
          <w:lang w:val="en-US" w:eastAsia="en-US" w:bidi="ar-SA"/>
        </w:rPr>
      </w:pPr>
      <w:r w:rsidRPr="005B79BA">
        <w:rPr>
          <w:rFonts w:asciiTheme="majorHAnsi" w:hAnsiTheme="majorHAnsi" w:cs="Times New Roman"/>
          <w:sz w:val="20"/>
          <w:szCs w:val="20"/>
          <w:lang w:val="en-US"/>
        </w:rPr>
        <w:t>According to the 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w:t>
      </w:r>
      <w:r w:rsidRPr="005B79BA">
        <w:rPr>
          <w:rFonts w:asciiTheme="majorHAnsi" w:eastAsia="AdvTimes" w:hAnsiTheme="majorHAnsi" w:cs="Times New Roman"/>
          <w:sz w:val="20"/>
          <w:szCs w:val="20"/>
          <w:lang w:val="en-US" w:eastAsia="en-US" w:bidi="ar-SA"/>
        </w:rPr>
        <w:t xml:space="preserve"> scheme, patients are given one point for congestive heart failure, hypertension, diabetes mellitus, vascular disease,  and two points for previous thromboembolism</w:t>
      </w:r>
      <w:r w:rsidR="009F7CE0" w:rsidRPr="005B79BA">
        <w:rPr>
          <w:rFonts w:asciiTheme="majorHAnsi" w:eastAsia="AdvTimes" w:hAnsiTheme="majorHAnsi" w:cs="Times New Roman"/>
          <w:sz w:val="20"/>
          <w:szCs w:val="20"/>
          <w:lang w:val="en-US" w:eastAsia="en-US" w:bidi="ar-SA"/>
        </w:rPr>
        <w:fldChar w:fldCharType="begin" w:fldLock="1"/>
      </w:r>
      <w:r w:rsidR="00F27147" w:rsidRPr="005B79BA">
        <w:rPr>
          <w:rFonts w:asciiTheme="majorHAnsi" w:eastAsia="AdvTimes" w:hAnsiTheme="majorHAnsi" w:cs="Times New Roman"/>
          <w:sz w:val="20"/>
          <w:szCs w:val="20"/>
          <w:lang w:val="en-US" w:eastAsia="en-US" w:bidi="ar-SA"/>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"\u003csup\u003e16\u003c/sup\u003e" }, "properties" : { "noteIndex" : 0 }, "schema" : "https://github.com/citation-style-language/schema/raw/master/csl-citation.json" } </w:instrText>
      </w:r>
      <w:r w:rsidR="009F7CE0" w:rsidRPr="005B79BA">
        <w:rPr>
          <w:rFonts w:asciiTheme="majorHAnsi" w:eastAsia="AdvTimes" w:hAnsiTheme="majorHAnsi" w:cs="Times New Roman"/>
          <w:sz w:val="20"/>
          <w:szCs w:val="20"/>
          <w:lang w:val="en-US" w:eastAsia="en-US" w:bidi="ar-SA"/>
        </w:rPr>
        <w:fldChar w:fldCharType="separate"/>
      </w:r>
      <w:r w:rsidR="00F27147" w:rsidRPr="005B79BA">
        <w:rPr>
          <w:rFonts w:asciiTheme="majorHAnsi" w:eastAsia="AdvTimes" w:hAnsiTheme="majorHAnsi" w:cs="Times New Roman"/>
          <w:noProof/>
          <w:sz w:val="20"/>
          <w:szCs w:val="20"/>
          <w:vertAlign w:val="superscript"/>
          <w:lang w:val="en-US" w:eastAsia="en-US" w:bidi="ar-SA"/>
        </w:rPr>
        <w:t>16</w:t>
      </w:r>
      <w:r w:rsidR="009F7CE0" w:rsidRPr="005B79BA">
        <w:rPr>
          <w:rFonts w:asciiTheme="majorHAnsi" w:eastAsia="AdvTimes" w:hAnsiTheme="majorHAnsi" w:cs="Times New Roman"/>
          <w:sz w:val="20"/>
          <w:szCs w:val="20"/>
          <w:lang w:val="en-US" w:eastAsia="en-US" w:bidi="ar-SA"/>
        </w:rPr>
        <w:fldChar w:fldCharType="end"/>
      </w:r>
      <w:r w:rsidRPr="005B79BA">
        <w:rPr>
          <w:rFonts w:asciiTheme="majorHAnsi" w:eastAsia="AdvTimes" w:hAnsiTheme="majorHAnsi" w:cs="Times New Roman"/>
          <w:sz w:val="20"/>
          <w:szCs w:val="20"/>
          <w:lang w:val="en-US" w:eastAsia="en-US" w:bidi="ar-SA"/>
        </w:rPr>
        <w:t xml:space="preserve">. </w:t>
      </w:r>
      <w:r w:rsidR="000525F1" w:rsidRPr="005B79BA">
        <w:rPr>
          <w:rFonts w:asciiTheme="majorHAnsi" w:eastAsia="AdvTimes" w:hAnsiTheme="majorHAnsi" w:cs="Times New Roman"/>
          <w:sz w:val="20"/>
          <w:szCs w:val="20"/>
          <w:lang w:val="en-US" w:eastAsia="en-US" w:bidi="ar-SA"/>
        </w:rPr>
        <w:lastRenderedPageBreak/>
        <w:t>Age group</w:t>
      </w:r>
      <w:r w:rsidR="00DA5BE8" w:rsidRPr="005B79BA">
        <w:rPr>
          <w:rFonts w:asciiTheme="majorHAnsi" w:eastAsia="AdvTimes" w:hAnsiTheme="majorHAnsi" w:cs="Times New Roman"/>
          <w:sz w:val="20"/>
          <w:szCs w:val="20"/>
          <w:lang w:val="en-US" w:eastAsia="en-US" w:bidi="ar-SA"/>
        </w:rPr>
        <w:t xml:space="preserve"> was handled separately in the analysis and therefore not included. </w:t>
      </w:r>
      <w:r w:rsidR="00FA1B29" w:rsidRPr="005B79BA">
        <w:rPr>
          <w:rFonts w:asciiTheme="majorHAnsi" w:eastAsia="AdvTimes" w:hAnsiTheme="majorHAnsi" w:cs="Times New Roman"/>
          <w:sz w:val="20"/>
          <w:szCs w:val="20"/>
          <w:lang w:val="en-US" w:eastAsia="en-US" w:bidi="ar-SA"/>
        </w:rPr>
        <w:t xml:space="preserve"> </w:t>
      </w:r>
      <w:r w:rsidR="00DA5BE8" w:rsidRPr="005B79BA">
        <w:rPr>
          <w:rFonts w:asciiTheme="majorHAnsi" w:eastAsia="AdvTimes" w:hAnsiTheme="majorHAnsi" w:cs="Times New Roman"/>
          <w:sz w:val="20"/>
          <w:szCs w:val="20"/>
          <w:lang w:val="en-US" w:eastAsia="en-US" w:bidi="ar-SA"/>
        </w:rPr>
        <w:t xml:space="preserve">Female </w:t>
      </w:r>
      <w:r w:rsidR="00751F23" w:rsidRPr="005B79BA">
        <w:rPr>
          <w:rFonts w:asciiTheme="majorHAnsi" w:eastAsia="AdvTimes" w:hAnsiTheme="majorHAnsi" w:cs="Times New Roman"/>
          <w:sz w:val="20"/>
          <w:szCs w:val="20"/>
          <w:lang w:val="en-US" w:eastAsia="en-US" w:bidi="ar-SA"/>
        </w:rPr>
        <w:t xml:space="preserve">sex </w:t>
      </w:r>
      <w:r w:rsidR="00DA5BE8" w:rsidRPr="005B79BA">
        <w:rPr>
          <w:rFonts w:asciiTheme="majorHAnsi" w:eastAsia="AdvTimes" w:hAnsiTheme="majorHAnsi" w:cs="Times New Roman"/>
          <w:sz w:val="20"/>
          <w:szCs w:val="20"/>
          <w:lang w:val="en-US" w:eastAsia="en-US" w:bidi="ar-SA"/>
        </w:rPr>
        <w:t xml:space="preserve">count for one point in the </w:t>
      </w:r>
      <w:r w:rsidR="00DA5BE8" w:rsidRPr="005B79BA">
        <w:rPr>
          <w:rFonts w:asciiTheme="majorHAnsi" w:hAnsiTheme="majorHAnsi" w:cs="Times New Roman"/>
          <w:sz w:val="20"/>
          <w:szCs w:val="20"/>
          <w:lang w:val="en-US"/>
        </w:rPr>
        <w:t>CHA</w:t>
      </w:r>
      <w:r w:rsidR="00DA5BE8" w:rsidRPr="005B79BA">
        <w:rPr>
          <w:rFonts w:asciiTheme="majorHAnsi" w:hAnsiTheme="majorHAnsi" w:cs="Times New Roman"/>
          <w:sz w:val="20"/>
          <w:szCs w:val="20"/>
          <w:vertAlign w:val="subscript"/>
          <w:lang w:val="en-US"/>
        </w:rPr>
        <w:t>2</w:t>
      </w:r>
      <w:r w:rsidR="00DA5BE8" w:rsidRPr="005B79BA">
        <w:rPr>
          <w:rFonts w:asciiTheme="majorHAnsi" w:hAnsiTheme="majorHAnsi" w:cs="Times New Roman"/>
          <w:sz w:val="20"/>
          <w:szCs w:val="20"/>
          <w:lang w:val="en-US"/>
        </w:rPr>
        <w:t>DS</w:t>
      </w:r>
      <w:r w:rsidR="00DA5BE8" w:rsidRPr="005B79BA">
        <w:rPr>
          <w:rFonts w:asciiTheme="majorHAnsi" w:hAnsiTheme="majorHAnsi" w:cs="Times New Roman"/>
          <w:sz w:val="20"/>
          <w:szCs w:val="20"/>
          <w:vertAlign w:val="subscript"/>
          <w:lang w:val="en-US"/>
        </w:rPr>
        <w:t>2</w:t>
      </w:r>
      <w:r w:rsidR="00DA5BE8" w:rsidRPr="005B79BA">
        <w:rPr>
          <w:rFonts w:asciiTheme="majorHAnsi" w:hAnsiTheme="majorHAnsi" w:cs="Times New Roman"/>
          <w:sz w:val="20"/>
          <w:szCs w:val="20"/>
          <w:lang w:val="en-US"/>
        </w:rPr>
        <w:t xml:space="preserve">-VASc scheme, but </w:t>
      </w:r>
      <w:r w:rsidR="00751F23" w:rsidRPr="005B79BA">
        <w:rPr>
          <w:rFonts w:asciiTheme="majorHAnsi" w:eastAsia="AdvTimes" w:hAnsiTheme="majorHAnsi" w:cs="Times New Roman"/>
          <w:sz w:val="20"/>
          <w:szCs w:val="20"/>
          <w:lang w:val="en-US" w:eastAsia="en-US" w:bidi="ar-SA"/>
        </w:rPr>
        <w:t xml:space="preserve">was not included </w:t>
      </w:r>
      <w:r w:rsidR="00DA5BE8" w:rsidRPr="005B79BA">
        <w:rPr>
          <w:rFonts w:asciiTheme="majorHAnsi" w:eastAsia="AdvTimes" w:hAnsiTheme="majorHAnsi" w:cs="Times New Roman"/>
          <w:sz w:val="20"/>
          <w:szCs w:val="20"/>
          <w:lang w:val="en-US" w:eastAsia="en-US" w:bidi="ar-SA"/>
        </w:rPr>
        <w:t>this analysis</w:t>
      </w:r>
      <w:r w:rsidR="00751F23" w:rsidRPr="005B79BA">
        <w:rPr>
          <w:rFonts w:asciiTheme="majorHAnsi" w:eastAsia="AdvTimes" w:hAnsiTheme="majorHAnsi" w:cs="Times New Roman"/>
          <w:sz w:val="20"/>
          <w:szCs w:val="20"/>
          <w:lang w:val="en-US" w:eastAsia="en-US" w:bidi="ar-SA"/>
        </w:rPr>
        <w:t xml:space="preserve"> to avoid </w:t>
      </w:r>
      <w:r w:rsidR="00A23825" w:rsidRPr="005B79BA">
        <w:rPr>
          <w:rFonts w:asciiTheme="majorHAnsi" w:eastAsia="AdvTimes" w:hAnsiTheme="majorHAnsi" w:cs="Times New Roman"/>
          <w:sz w:val="20"/>
          <w:szCs w:val="20"/>
          <w:lang w:val="en-US" w:eastAsia="en-US" w:bidi="ar-SA"/>
        </w:rPr>
        <w:t xml:space="preserve">a </w:t>
      </w:r>
      <w:r w:rsidR="002B42E6" w:rsidRPr="005B79BA">
        <w:rPr>
          <w:rFonts w:asciiTheme="majorHAnsi" w:eastAsia="AdvTimes" w:hAnsiTheme="majorHAnsi" w:cs="Times New Roman"/>
          <w:sz w:val="20"/>
          <w:szCs w:val="20"/>
          <w:lang w:val="en-US" w:eastAsia="en-US" w:bidi="ar-SA"/>
        </w:rPr>
        <w:t>score of 1 to consist of males only.</w:t>
      </w:r>
      <w:r w:rsidR="00F551E0" w:rsidRPr="005B79BA">
        <w:rPr>
          <w:rFonts w:asciiTheme="majorHAnsi" w:eastAsia="AdvTimes" w:hAnsiTheme="majorHAnsi" w:cs="Times New Roman"/>
          <w:sz w:val="20"/>
          <w:szCs w:val="20"/>
          <w:lang w:val="en-US" w:eastAsia="en-US" w:bidi="ar-SA"/>
        </w:rPr>
        <w:t xml:space="preserve"> </w:t>
      </w:r>
      <w:r w:rsidR="00B769E7" w:rsidRPr="005B79BA">
        <w:rPr>
          <w:rFonts w:asciiTheme="majorHAnsi" w:eastAsia="AdvTimes" w:hAnsiTheme="majorHAnsi" w:cs="Times New Roman"/>
          <w:sz w:val="20"/>
          <w:szCs w:val="20"/>
          <w:lang w:val="en-US" w:eastAsia="en-US" w:bidi="ar-SA"/>
        </w:rPr>
        <w:t xml:space="preserve">This </w:t>
      </w:r>
      <w:r w:rsidR="008D115F" w:rsidRPr="005B79BA">
        <w:rPr>
          <w:rFonts w:asciiTheme="majorHAnsi" w:eastAsia="AdvTimes" w:hAnsiTheme="majorHAnsi" w:cs="Times New Roman"/>
          <w:sz w:val="20"/>
          <w:szCs w:val="20"/>
          <w:lang w:val="en-US" w:eastAsia="en-US" w:bidi="ar-SA"/>
        </w:rPr>
        <w:t xml:space="preserve">modified </w:t>
      </w:r>
      <w:r w:rsidR="00B769E7" w:rsidRPr="005B79BA">
        <w:rPr>
          <w:rFonts w:asciiTheme="majorHAnsi" w:hAnsiTheme="majorHAnsi" w:cs="Times New Roman"/>
          <w:sz w:val="20"/>
          <w:szCs w:val="20"/>
          <w:lang w:val="en-US"/>
        </w:rPr>
        <w:t>CHA</w:t>
      </w:r>
      <w:r w:rsidR="00B769E7" w:rsidRPr="005B79BA">
        <w:rPr>
          <w:rFonts w:asciiTheme="majorHAnsi" w:hAnsiTheme="majorHAnsi" w:cs="Times New Roman"/>
          <w:sz w:val="20"/>
          <w:szCs w:val="20"/>
          <w:vertAlign w:val="subscript"/>
          <w:lang w:val="en-US"/>
        </w:rPr>
        <w:t>2</w:t>
      </w:r>
      <w:r w:rsidR="00B769E7" w:rsidRPr="005B79BA">
        <w:rPr>
          <w:rFonts w:asciiTheme="majorHAnsi" w:hAnsiTheme="majorHAnsi" w:cs="Times New Roman"/>
          <w:sz w:val="20"/>
          <w:szCs w:val="20"/>
          <w:lang w:val="en-US"/>
        </w:rPr>
        <w:t>DS</w:t>
      </w:r>
      <w:r w:rsidR="00B769E7" w:rsidRPr="005B79BA">
        <w:rPr>
          <w:rFonts w:asciiTheme="majorHAnsi" w:hAnsiTheme="majorHAnsi" w:cs="Times New Roman"/>
          <w:sz w:val="20"/>
          <w:szCs w:val="20"/>
          <w:vertAlign w:val="subscript"/>
          <w:lang w:val="en-US"/>
        </w:rPr>
        <w:t>2</w:t>
      </w:r>
      <w:r w:rsidR="00B769E7" w:rsidRPr="005B79BA">
        <w:rPr>
          <w:rFonts w:asciiTheme="majorHAnsi" w:hAnsiTheme="majorHAnsi" w:cs="Times New Roman"/>
          <w:sz w:val="20"/>
          <w:szCs w:val="20"/>
          <w:lang w:val="en-US"/>
        </w:rPr>
        <w:t>-V</w:t>
      </w:r>
      <w:r w:rsidR="00332352" w:rsidRPr="005B79BA">
        <w:rPr>
          <w:rFonts w:asciiTheme="majorHAnsi" w:hAnsiTheme="majorHAnsi" w:cs="Times New Roman"/>
          <w:sz w:val="20"/>
          <w:szCs w:val="20"/>
          <w:lang w:val="en-US"/>
        </w:rPr>
        <w:t>ASc score is hereafter denoted m</w:t>
      </w:r>
      <w:r w:rsidR="00B769E7" w:rsidRPr="005B79BA">
        <w:rPr>
          <w:rFonts w:asciiTheme="majorHAnsi" w:hAnsiTheme="majorHAnsi" w:cs="Times New Roman"/>
          <w:sz w:val="20"/>
          <w:szCs w:val="20"/>
          <w:lang w:val="en-US"/>
        </w:rPr>
        <w:t>CHA</w:t>
      </w:r>
      <w:r w:rsidR="00B769E7" w:rsidRPr="005B79BA">
        <w:rPr>
          <w:rFonts w:asciiTheme="majorHAnsi" w:hAnsiTheme="majorHAnsi" w:cs="Times New Roman"/>
          <w:sz w:val="20"/>
          <w:szCs w:val="20"/>
          <w:vertAlign w:val="subscript"/>
          <w:lang w:val="en-US"/>
        </w:rPr>
        <w:t>2</w:t>
      </w:r>
      <w:r w:rsidR="00B769E7" w:rsidRPr="005B79BA">
        <w:rPr>
          <w:rFonts w:asciiTheme="majorHAnsi" w:hAnsiTheme="majorHAnsi" w:cs="Times New Roman"/>
          <w:sz w:val="20"/>
          <w:szCs w:val="20"/>
          <w:lang w:val="en-US"/>
        </w:rPr>
        <w:t>DS</w:t>
      </w:r>
      <w:r w:rsidR="00B769E7" w:rsidRPr="005B79BA">
        <w:rPr>
          <w:rFonts w:asciiTheme="majorHAnsi" w:hAnsiTheme="majorHAnsi" w:cs="Times New Roman"/>
          <w:sz w:val="20"/>
          <w:szCs w:val="20"/>
          <w:vertAlign w:val="subscript"/>
          <w:lang w:val="en-US"/>
        </w:rPr>
        <w:t>2</w:t>
      </w:r>
      <w:r w:rsidR="00B769E7" w:rsidRPr="005B79BA">
        <w:rPr>
          <w:rFonts w:asciiTheme="majorHAnsi" w:hAnsiTheme="majorHAnsi" w:cs="Times New Roman"/>
          <w:sz w:val="20"/>
          <w:szCs w:val="20"/>
          <w:lang w:val="en-US"/>
        </w:rPr>
        <w:t>-VASc.</w:t>
      </w:r>
      <w:r w:rsidR="00B769E7" w:rsidRPr="005B79BA">
        <w:rPr>
          <w:rFonts w:asciiTheme="majorHAnsi" w:eastAsia="AdvTimes" w:hAnsiTheme="majorHAnsi" w:cs="Times New Roman"/>
          <w:sz w:val="20"/>
          <w:szCs w:val="20"/>
          <w:lang w:val="en-US" w:eastAsia="en-US" w:bidi="ar-SA"/>
        </w:rPr>
        <w:t xml:space="preserve"> </w:t>
      </w:r>
      <w:r w:rsidR="00DA5BE8" w:rsidRPr="005B79BA">
        <w:rPr>
          <w:rFonts w:asciiTheme="majorHAnsi" w:eastAsia="AdvTimes" w:hAnsiTheme="majorHAnsi" w:cs="Times New Roman"/>
          <w:sz w:val="20"/>
          <w:szCs w:val="20"/>
          <w:lang w:val="en-US" w:eastAsia="en-US" w:bidi="ar-SA"/>
        </w:rPr>
        <w:t>According to ESC guidelines per 2012</w:t>
      </w:r>
      <w:r w:rsidR="00C763EA" w:rsidRPr="005B79BA">
        <w:rPr>
          <w:rFonts w:asciiTheme="majorHAnsi" w:eastAsia="AdvTimes" w:hAnsiTheme="majorHAnsi" w:cs="Times New Roman"/>
          <w:sz w:val="20"/>
          <w:szCs w:val="20"/>
          <w:lang w:val="en-US" w:eastAsia="en-US" w:bidi="ar-SA"/>
        </w:rPr>
        <w:t>,</w:t>
      </w:r>
      <w:r w:rsidR="00DA5BE8" w:rsidRPr="005B79BA">
        <w:rPr>
          <w:rFonts w:asciiTheme="majorHAnsi" w:eastAsia="AdvTimes" w:hAnsiTheme="majorHAnsi" w:cs="Times New Roman"/>
          <w:sz w:val="20"/>
          <w:szCs w:val="20"/>
          <w:lang w:val="en-US" w:eastAsia="en-US" w:bidi="ar-SA"/>
        </w:rPr>
        <w:t xml:space="preserve"> a</w:t>
      </w:r>
      <w:r w:rsidR="00C763EA" w:rsidRPr="005B79BA">
        <w:rPr>
          <w:rFonts w:asciiTheme="majorHAnsi" w:eastAsia="AdvTimes" w:hAnsiTheme="majorHAnsi" w:cs="Times New Roman"/>
          <w:sz w:val="20"/>
          <w:szCs w:val="20"/>
          <w:lang w:val="en-US" w:eastAsia="en-US" w:bidi="ar-SA"/>
        </w:rPr>
        <w:t xml:space="preserve"> score of 0</w:t>
      </w:r>
      <w:r w:rsidR="00DA5BE8" w:rsidRPr="005B79BA">
        <w:rPr>
          <w:rFonts w:asciiTheme="majorHAnsi" w:eastAsia="AdvTimes" w:hAnsiTheme="majorHAnsi" w:cs="Times New Roman"/>
          <w:sz w:val="20"/>
          <w:szCs w:val="20"/>
          <w:lang w:val="en-US" w:eastAsia="en-US" w:bidi="ar-SA"/>
        </w:rPr>
        <w:t xml:space="preserve"> </w:t>
      </w:r>
      <w:r w:rsidR="00FC7E47" w:rsidRPr="005B79BA">
        <w:rPr>
          <w:rFonts w:asciiTheme="majorHAnsi" w:eastAsia="AdvTimes" w:hAnsiTheme="majorHAnsi" w:cs="Times New Roman"/>
          <w:sz w:val="20"/>
          <w:szCs w:val="20"/>
          <w:lang w:val="en-US" w:eastAsia="en-US" w:bidi="ar-SA"/>
        </w:rPr>
        <w:t xml:space="preserve">(or a </w:t>
      </w:r>
      <w:r w:rsidR="00FC7E47" w:rsidRPr="005B79BA">
        <w:rPr>
          <w:rFonts w:asciiTheme="majorHAnsi" w:hAnsiTheme="majorHAnsi" w:cs="Times New Roman"/>
          <w:sz w:val="20"/>
          <w:szCs w:val="20"/>
          <w:lang w:val="en-US"/>
        </w:rPr>
        <w:t>CHA</w:t>
      </w:r>
      <w:r w:rsidR="00FC7E47" w:rsidRPr="005B79BA">
        <w:rPr>
          <w:rFonts w:asciiTheme="majorHAnsi" w:hAnsiTheme="majorHAnsi" w:cs="Times New Roman"/>
          <w:sz w:val="20"/>
          <w:szCs w:val="20"/>
          <w:vertAlign w:val="subscript"/>
          <w:lang w:val="en-US"/>
        </w:rPr>
        <w:t>2</w:t>
      </w:r>
      <w:r w:rsidR="00FC7E47" w:rsidRPr="005B79BA">
        <w:rPr>
          <w:rFonts w:asciiTheme="majorHAnsi" w:hAnsiTheme="majorHAnsi" w:cs="Times New Roman"/>
          <w:sz w:val="20"/>
          <w:szCs w:val="20"/>
          <w:lang w:val="en-US"/>
        </w:rPr>
        <w:t>DS</w:t>
      </w:r>
      <w:r w:rsidR="00FC7E47" w:rsidRPr="005B79BA">
        <w:rPr>
          <w:rFonts w:asciiTheme="majorHAnsi" w:hAnsiTheme="majorHAnsi" w:cs="Times New Roman"/>
          <w:sz w:val="20"/>
          <w:szCs w:val="20"/>
          <w:vertAlign w:val="subscript"/>
          <w:lang w:val="en-US"/>
        </w:rPr>
        <w:t>2</w:t>
      </w:r>
      <w:r w:rsidR="00FC7E47" w:rsidRPr="005B79BA">
        <w:rPr>
          <w:rFonts w:asciiTheme="majorHAnsi" w:hAnsiTheme="majorHAnsi" w:cs="Times New Roman"/>
          <w:sz w:val="20"/>
          <w:szCs w:val="20"/>
          <w:lang w:val="en-US"/>
        </w:rPr>
        <w:t xml:space="preserve">-VASc score=1 in females) </w:t>
      </w:r>
      <w:r w:rsidR="00DA5BE8" w:rsidRPr="005B79BA">
        <w:rPr>
          <w:rFonts w:asciiTheme="majorHAnsi" w:eastAsia="AdvTimes" w:hAnsiTheme="majorHAnsi" w:cs="Times New Roman"/>
          <w:sz w:val="20"/>
          <w:szCs w:val="20"/>
          <w:lang w:val="en-US" w:eastAsia="en-US" w:bidi="ar-SA"/>
        </w:rPr>
        <w:t>is</w:t>
      </w:r>
      <w:r w:rsidR="00F551E0" w:rsidRPr="005B79BA">
        <w:rPr>
          <w:rFonts w:asciiTheme="majorHAnsi" w:eastAsia="AdvTimes" w:hAnsiTheme="majorHAnsi" w:cs="Times New Roman"/>
          <w:sz w:val="20"/>
          <w:szCs w:val="20"/>
          <w:lang w:val="en-US" w:eastAsia="en-US" w:bidi="ar-SA"/>
        </w:rPr>
        <w:t xml:space="preserve"> considered as “truly low risk” and no antithrombotic therapy needed. </w:t>
      </w:r>
      <w:r w:rsidR="002B42E6" w:rsidRPr="005B79BA">
        <w:rPr>
          <w:rFonts w:asciiTheme="majorHAnsi" w:eastAsia="AdvTimes" w:hAnsiTheme="majorHAnsi" w:cs="Times New Roman"/>
          <w:sz w:val="20"/>
          <w:szCs w:val="20"/>
          <w:lang w:val="en-US" w:eastAsia="en-US" w:bidi="ar-SA"/>
        </w:rPr>
        <w:t xml:space="preserve"> </w:t>
      </w:r>
      <w:r w:rsidR="00F551E0" w:rsidRPr="005B79BA">
        <w:rPr>
          <w:rFonts w:asciiTheme="majorHAnsi" w:eastAsia="AdvTimes" w:hAnsiTheme="majorHAnsi" w:cs="Times New Roman"/>
          <w:strike/>
          <w:sz w:val="20"/>
          <w:szCs w:val="20"/>
          <w:lang w:val="en-US" w:eastAsia="en-US" w:bidi="ar-SA"/>
        </w:rPr>
        <w:t xml:space="preserve"> </w:t>
      </w:r>
    </w:p>
    <w:p w14:paraId="296DC4F3" w14:textId="77777777" w:rsidR="0017116B" w:rsidRPr="005B79BA" w:rsidRDefault="0017116B" w:rsidP="005B79BA">
      <w:pPr>
        <w:autoSpaceDE w:val="0"/>
        <w:autoSpaceDN w:val="0"/>
        <w:adjustRightInd w:val="0"/>
        <w:jc w:val="both"/>
        <w:rPr>
          <w:rFonts w:asciiTheme="majorHAnsi" w:hAnsiTheme="majorHAnsi" w:cs="Times New Roman"/>
          <w:i/>
          <w:sz w:val="20"/>
          <w:szCs w:val="20"/>
          <w:lang w:val="en-US"/>
        </w:rPr>
      </w:pPr>
    </w:p>
    <w:p w14:paraId="732957F8" w14:textId="77777777" w:rsidR="0017116B" w:rsidRPr="005B79BA" w:rsidRDefault="0017116B" w:rsidP="005B79BA">
      <w:pPr>
        <w:autoSpaceDE w:val="0"/>
        <w:autoSpaceDN w:val="0"/>
        <w:adjustRightInd w:val="0"/>
        <w:jc w:val="both"/>
        <w:rPr>
          <w:rFonts w:asciiTheme="majorHAnsi" w:hAnsiTheme="majorHAnsi" w:cs="Times New Roman"/>
          <w:i/>
          <w:sz w:val="20"/>
          <w:szCs w:val="20"/>
          <w:lang w:val="en-US"/>
        </w:rPr>
      </w:pPr>
      <w:r w:rsidRPr="005B79BA">
        <w:rPr>
          <w:rFonts w:asciiTheme="majorHAnsi" w:hAnsiTheme="majorHAnsi" w:cs="Times New Roman"/>
          <w:i/>
          <w:sz w:val="20"/>
          <w:szCs w:val="20"/>
          <w:lang w:val="en-US"/>
        </w:rPr>
        <w:t>Outcomes</w:t>
      </w:r>
    </w:p>
    <w:p w14:paraId="1420C00E" w14:textId="51EF5459" w:rsidR="0017116B" w:rsidRPr="005B79BA" w:rsidRDefault="0017116B" w:rsidP="005B79BA">
      <w:pPr>
        <w:autoSpaceDE w:val="0"/>
        <w:autoSpaceDN w:val="0"/>
        <w:adjustRightInd w:val="0"/>
        <w:jc w:val="both"/>
        <w:rPr>
          <w:rFonts w:asciiTheme="majorHAnsi" w:eastAsia="AdvTimes" w:hAnsiTheme="majorHAnsi" w:cs="Times New Roman"/>
          <w:sz w:val="20"/>
          <w:szCs w:val="20"/>
          <w:lang w:val="en-US"/>
        </w:rPr>
      </w:pPr>
      <w:r w:rsidRPr="005B79BA">
        <w:rPr>
          <w:rFonts w:asciiTheme="majorHAnsi" w:hAnsiTheme="majorHAnsi" w:cs="Times New Roman"/>
          <w:sz w:val="20"/>
          <w:szCs w:val="20"/>
          <w:lang w:val="en-US"/>
        </w:rPr>
        <w:t>We defined our primary outcome as the composite of stroke or death resulting in an ICD-10 code of stroke or a date of death.</w:t>
      </w:r>
      <w:r w:rsidR="00B37D6F" w:rsidRPr="005B79BA">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Information on emigration or death was available from the National Civil Registration System, and incident cases of stroke after AF using ICD-10 (I60, I61, I62, I63, and I64) were found in the National Patient Register.</w:t>
      </w:r>
    </w:p>
    <w:p w14:paraId="47748F69" w14:textId="77777777" w:rsidR="0017116B" w:rsidRPr="005B79BA" w:rsidRDefault="0017116B" w:rsidP="005B79BA">
      <w:pPr>
        <w:jc w:val="both"/>
        <w:rPr>
          <w:rFonts w:asciiTheme="majorHAnsi" w:hAnsiTheme="majorHAnsi" w:cs="Times New Roman"/>
          <w:sz w:val="20"/>
          <w:szCs w:val="20"/>
          <w:lang w:val="en-US"/>
        </w:rPr>
      </w:pPr>
    </w:p>
    <w:p w14:paraId="5DAE7D12" w14:textId="77777777" w:rsidR="0017116B" w:rsidRPr="005B79BA" w:rsidRDefault="0017116B" w:rsidP="005B79BA">
      <w:pPr>
        <w:jc w:val="both"/>
        <w:rPr>
          <w:rFonts w:asciiTheme="majorHAnsi" w:hAnsiTheme="majorHAnsi" w:cs="Times New Roman"/>
          <w:i/>
          <w:sz w:val="20"/>
          <w:szCs w:val="20"/>
          <w:lang w:val="en-US"/>
        </w:rPr>
      </w:pPr>
      <w:r w:rsidRPr="005B79BA">
        <w:rPr>
          <w:rFonts w:asciiTheme="majorHAnsi" w:hAnsiTheme="majorHAnsi" w:cs="Times New Roman"/>
          <w:i/>
          <w:sz w:val="20"/>
          <w:szCs w:val="20"/>
          <w:lang w:val="en-US"/>
        </w:rPr>
        <w:t>Statistical Methods</w:t>
      </w:r>
    </w:p>
    <w:p w14:paraId="0A00F1C9" w14:textId="4BECAE0F" w:rsidR="00DA5BE8" w:rsidRPr="005B79BA" w:rsidRDefault="0017116B" w:rsidP="005B79BA">
      <w:pPr>
        <w:autoSpaceDE w:val="0"/>
        <w:autoSpaceDN w:val="0"/>
        <w:adjustRightInd w:val="0"/>
        <w:jc w:val="both"/>
        <w:rPr>
          <w:rFonts w:asciiTheme="majorHAnsi" w:eastAsia="AdvTimes" w:hAnsiTheme="majorHAnsi" w:cs="Times New Roman"/>
          <w:sz w:val="20"/>
          <w:szCs w:val="20"/>
          <w:lang w:val="en-US" w:eastAsia="en-US" w:bidi="ar-SA"/>
        </w:rPr>
      </w:pPr>
      <w:r w:rsidRPr="005B79BA">
        <w:rPr>
          <w:rFonts w:asciiTheme="majorHAnsi" w:eastAsia="AdvTimes" w:hAnsiTheme="majorHAnsi" w:cs="Times New Roman"/>
          <w:sz w:val="20"/>
          <w:szCs w:val="20"/>
          <w:lang w:val="en-US"/>
        </w:rPr>
        <w:t>The study population was stratified into five groups according to age</w:t>
      </w:r>
      <w:r w:rsidR="00B47A69" w:rsidRPr="005B79BA">
        <w:rPr>
          <w:rFonts w:asciiTheme="majorHAnsi" w:eastAsia="AdvTimes" w:hAnsiTheme="majorHAnsi" w:cs="Times New Roman"/>
          <w:sz w:val="20"/>
          <w:szCs w:val="20"/>
          <w:lang w:val="en-US"/>
        </w:rPr>
        <w:t xml:space="preserve"> at </w:t>
      </w:r>
      <w:r w:rsidR="004A081A" w:rsidRPr="005B79BA">
        <w:rPr>
          <w:rFonts w:asciiTheme="majorHAnsi" w:eastAsia="AdvTimes" w:hAnsiTheme="majorHAnsi" w:cs="Times New Roman"/>
          <w:sz w:val="20"/>
          <w:szCs w:val="20"/>
          <w:lang w:val="en-US"/>
        </w:rPr>
        <w:t>non-valvular</w:t>
      </w:r>
      <w:r w:rsidR="00B81391" w:rsidRPr="005B79BA">
        <w:rPr>
          <w:rFonts w:asciiTheme="majorHAnsi" w:eastAsia="AdvTimes" w:hAnsiTheme="majorHAnsi" w:cs="Times New Roman"/>
          <w:sz w:val="20"/>
          <w:szCs w:val="20"/>
          <w:lang w:val="en-US"/>
        </w:rPr>
        <w:t xml:space="preserve"> </w:t>
      </w:r>
      <w:r w:rsidR="00B47A69" w:rsidRPr="005B79BA">
        <w:rPr>
          <w:rFonts w:asciiTheme="majorHAnsi" w:eastAsia="AdvTimes" w:hAnsiTheme="majorHAnsi" w:cs="Times New Roman"/>
          <w:sz w:val="20"/>
          <w:szCs w:val="20"/>
          <w:lang w:val="en-US"/>
        </w:rPr>
        <w:t>AF diagnos</w:t>
      </w:r>
      <w:r w:rsidR="00B81391" w:rsidRPr="005B79BA">
        <w:rPr>
          <w:rFonts w:asciiTheme="majorHAnsi" w:eastAsia="AdvTimes" w:hAnsiTheme="majorHAnsi" w:cs="Times New Roman"/>
          <w:sz w:val="20"/>
          <w:szCs w:val="20"/>
          <w:lang w:val="en-US"/>
        </w:rPr>
        <w:t>is</w:t>
      </w:r>
      <w:r w:rsidRPr="005B79BA">
        <w:rPr>
          <w:rFonts w:asciiTheme="majorHAnsi" w:eastAsia="AdvTimes" w:hAnsiTheme="majorHAnsi" w:cs="Times New Roman"/>
          <w:sz w:val="20"/>
          <w:szCs w:val="20"/>
          <w:lang w:val="en-US"/>
        </w:rPr>
        <w:t xml:space="preserve">; age </w:t>
      </w:r>
      <w:r w:rsidRPr="005B79BA">
        <w:rPr>
          <w:rFonts w:asciiTheme="majorHAnsi" w:eastAsia="AdvTimes" w:hAnsiTheme="majorHAnsi" w:cs="Times New Roman"/>
          <w:sz w:val="20"/>
          <w:szCs w:val="20"/>
          <w:lang w:val="en-US" w:eastAsia="en-US" w:bidi="ar-SA"/>
        </w:rPr>
        <w:t>20-</w:t>
      </w:r>
      <w:r w:rsidR="00B359DC" w:rsidRPr="005B79BA">
        <w:rPr>
          <w:rFonts w:asciiTheme="majorHAnsi" w:eastAsia="AdvTimes" w:hAnsiTheme="majorHAnsi" w:cs="Times New Roman"/>
          <w:sz w:val="20"/>
          <w:szCs w:val="20"/>
          <w:lang w:val="en-US" w:eastAsia="en-US" w:bidi="ar-SA"/>
        </w:rPr>
        <w:t>35</w:t>
      </w:r>
      <w:r w:rsidRPr="005B79BA">
        <w:rPr>
          <w:rFonts w:asciiTheme="majorHAnsi" w:eastAsia="AdvTimes" w:hAnsiTheme="majorHAnsi" w:cs="Times New Roman"/>
          <w:sz w:val="20"/>
          <w:szCs w:val="20"/>
          <w:lang w:val="en-US" w:eastAsia="en-US" w:bidi="ar-SA"/>
        </w:rPr>
        <w:t>, 35-</w:t>
      </w:r>
      <w:r w:rsidR="00B359DC" w:rsidRPr="005B79BA">
        <w:rPr>
          <w:rFonts w:asciiTheme="majorHAnsi" w:eastAsia="AdvTimes" w:hAnsiTheme="majorHAnsi" w:cs="Times New Roman"/>
          <w:sz w:val="20"/>
          <w:szCs w:val="20"/>
          <w:lang w:val="en-US" w:eastAsia="en-US" w:bidi="ar-SA"/>
        </w:rPr>
        <w:t>50</w:t>
      </w:r>
      <w:r w:rsidRPr="005B79BA">
        <w:rPr>
          <w:rFonts w:asciiTheme="majorHAnsi" w:eastAsia="AdvTimes" w:hAnsiTheme="majorHAnsi" w:cs="Times New Roman"/>
          <w:sz w:val="20"/>
          <w:szCs w:val="20"/>
          <w:lang w:val="en-US" w:eastAsia="en-US" w:bidi="ar-SA"/>
        </w:rPr>
        <w:t>, 50-</w:t>
      </w:r>
      <w:r w:rsidR="00B359DC" w:rsidRPr="005B79BA">
        <w:rPr>
          <w:rFonts w:asciiTheme="majorHAnsi" w:eastAsia="AdvTimes" w:hAnsiTheme="majorHAnsi" w:cs="Times New Roman"/>
          <w:sz w:val="20"/>
          <w:szCs w:val="20"/>
          <w:lang w:val="en-US" w:eastAsia="en-US" w:bidi="ar-SA"/>
        </w:rPr>
        <w:t>65</w:t>
      </w:r>
      <w:r w:rsidRPr="005B79BA">
        <w:rPr>
          <w:rFonts w:asciiTheme="majorHAnsi" w:eastAsia="AdvTimes" w:hAnsiTheme="majorHAnsi" w:cs="Times New Roman"/>
          <w:sz w:val="20"/>
          <w:szCs w:val="20"/>
          <w:lang w:val="en-US" w:eastAsia="en-US" w:bidi="ar-SA"/>
        </w:rPr>
        <w:t>, 65-</w:t>
      </w:r>
      <w:r w:rsidR="00B359DC" w:rsidRPr="005B79BA">
        <w:rPr>
          <w:rFonts w:asciiTheme="majorHAnsi" w:eastAsia="AdvTimes" w:hAnsiTheme="majorHAnsi" w:cs="Times New Roman"/>
          <w:sz w:val="20"/>
          <w:szCs w:val="20"/>
          <w:lang w:val="en-US" w:eastAsia="en-US" w:bidi="ar-SA"/>
        </w:rPr>
        <w:t>75</w:t>
      </w:r>
      <w:r w:rsidRPr="005B79BA">
        <w:rPr>
          <w:rFonts w:asciiTheme="majorHAnsi" w:eastAsia="AdvTimes" w:hAnsiTheme="majorHAnsi" w:cs="Times New Roman"/>
          <w:sz w:val="20"/>
          <w:szCs w:val="20"/>
          <w:lang w:val="en-US" w:eastAsia="en-US" w:bidi="ar-SA"/>
        </w:rPr>
        <w:t>, and 75-90</w:t>
      </w:r>
      <w:r w:rsidRPr="005B79BA">
        <w:rPr>
          <w:rFonts w:asciiTheme="majorHAnsi" w:eastAsia="AdvTimes" w:hAnsiTheme="majorHAnsi" w:cs="Times New Roman"/>
          <w:sz w:val="20"/>
          <w:szCs w:val="20"/>
          <w:lang w:val="en-US"/>
        </w:rPr>
        <w:t xml:space="preserve"> years. </w:t>
      </w:r>
      <w:r w:rsidR="00DA5BE8" w:rsidRPr="005B79BA">
        <w:rPr>
          <w:rFonts w:asciiTheme="majorHAnsi" w:eastAsia="AdvTimes" w:hAnsiTheme="majorHAnsi" w:cs="Times New Roman"/>
          <w:sz w:val="20"/>
          <w:szCs w:val="20"/>
          <w:lang w:val="en-US"/>
        </w:rPr>
        <w:t xml:space="preserve">Baseline characteristics and </w:t>
      </w:r>
      <w:r w:rsidR="00DA5BE8" w:rsidRPr="005B79BA">
        <w:rPr>
          <w:rFonts w:asciiTheme="majorHAnsi" w:eastAsia="AdvTimes" w:hAnsiTheme="majorHAnsi" w:cs="Times New Roman"/>
          <w:sz w:val="20"/>
          <w:szCs w:val="20"/>
          <w:lang w:val="en-US" w:eastAsia="en-US" w:bidi="ar-SA"/>
        </w:rPr>
        <w:t xml:space="preserve">independent risk factors </w:t>
      </w:r>
      <w:r w:rsidR="00DA5BE8" w:rsidRPr="005B79BA">
        <w:rPr>
          <w:rFonts w:asciiTheme="majorHAnsi" w:eastAsia="AdvTimes" w:hAnsiTheme="majorHAnsi" w:cs="Times New Roman"/>
          <w:sz w:val="20"/>
          <w:szCs w:val="20"/>
          <w:lang w:val="en-US"/>
        </w:rPr>
        <w:t xml:space="preserve">were described separately for each of the five age strata with means and standard deviation for </w:t>
      </w:r>
      <w:r w:rsidR="00B769E7" w:rsidRPr="005B79BA">
        <w:rPr>
          <w:rFonts w:asciiTheme="majorHAnsi" w:eastAsia="AdvTimes" w:hAnsiTheme="majorHAnsi" w:cs="Times New Roman"/>
          <w:sz w:val="20"/>
          <w:szCs w:val="20"/>
          <w:lang w:val="en-US"/>
        </w:rPr>
        <w:t>continuous</w:t>
      </w:r>
      <w:r w:rsidR="00DA5BE8" w:rsidRPr="005B79BA">
        <w:rPr>
          <w:rFonts w:asciiTheme="majorHAnsi" w:eastAsia="AdvTimes" w:hAnsiTheme="majorHAnsi" w:cs="Times New Roman"/>
          <w:sz w:val="20"/>
          <w:szCs w:val="20"/>
          <w:lang w:val="en-US"/>
        </w:rPr>
        <w:t xml:space="preserve"> measures and proportions for categorical measures</w:t>
      </w:r>
      <w:r w:rsidR="00DA5BE8" w:rsidRPr="005B79BA">
        <w:rPr>
          <w:rFonts w:asciiTheme="majorHAnsi" w:eastAsia="AdvTimes" w:hAnsiTheme="majorHAnsi" w:cs="Times New Roman"/>
          <w:sz w:val="20"/>
          <w:szCs w:val="20"/>
          <w:lang w:val="en-US" w:eastAsia="en-US" w:bidi="ar-SA"/>
        </w:rPr>
        <w:t xml:space="preserve">. </w:t>
      </w:r>
    </w:p>
    <w:p w14:paraId="30E8F849" w14:textId="1B6510BA" w:rsidR="00B81391" w:rsidRPr="005B79BA" w:rsidRDefault="00F551E0" w:rsidP="005B79BA">
      <w:pPr>
        <w:autoSpaceDE w:val="0"/>
        <w:autoSpaceDN w:val="0"/>
        <w:adjustRightInd w:val="0"/>
        <w:jc w:val="both"/>
        <w:rPr>
          <w:rFonts w:asciiTheme="majorHAnsi" w:eastAsia="AdvTimes" w:hAnsiTheme="majorHAnsi" w:cs="Times New Roman"/>
          <w:sz w:val="20"/>
          <w:szCs w:val="20"/>
          <w:lang w:val="en-US"/>
        </w:rPr>
      </w:pPr>
      <w:r w:rsidRPr="005B79BA">
        <w:rPr>
          <w:rFonts w:asciiTheme="majorHAnsi" w:eastAsia="AdvTimes" w:hAnsiTheme="majorHAnsi" w:cs="Times New Roman"/>
          <w:sz w:val="20"/>
          <w:szCs w:val="20"/>
          <w:lang w:val="en-US" w:eastAsia="en-US" w:bidi="ar-SA"/>
        </w:rPr>
        <w:t xml:space="preserve"> </w:t>
      </w:r>
    </w:p>
    <w:p w14:paraId="7489C4C2" w14:textId="63A93C84" w:rsidR="0017116B" w:rsidRPr="005B79BA" w:rsidRDefault="0017116B" w:rsidP="005B79BA">
      <w:pPr>
        <w:autoSpaceDE w:val="0"/>
        <w:autoSpaceDN w:val="0"/>
        <w:adjustRightInd w:val="0"/>
        <w:jc w:val="both"/>
        <w:rPr>
          <w:rFonts w:asciiTheme="majorHAnsi" w:eastAsia="AdvTimes" w:hAnsiTheme="majorHAnsi" w:cs="Times New Roman"/>
          <w:sz w:val="20"/>
          <w:szCs w:val="20"/>
          <w:lang w:val="en-US"/>
        </w:rPr>
      </w:pPr>
      <w:r w:rsidRPr="005B79BA">
        <w:rPr>
          <w:rFonts w:asciiTheme="majorHAnsi" w:eastAsia="AdvTimes" w:hAnsiTheme="majorHAnsi" w:cs="Times New Roman"/>
          <w:sz w:val="20"/>
          <w:szCs w:val="20"/>
          <w:lang w:val="en-US"/>
        </w:rPr>
        <w:t xml:space="preserve">In each of the five age categories, estimates for remaining event free up to 5 years after </w:t>
      </w:r>
      <w:r w:rsidR="004A081A" w:rsidRPr="005B79BA">
        <w:rPr>
          <w:rFonts w:asciiTheme="majorHAnsi" w:eastAsia="AdvTimes" w:hAnsiTheme="majorHAnsi" w:cs="Times New Roman"/>
          <w:sz w:val="20"/>
          <w:szCs w:val="20"/>
          <w:lang w:val="en-US"/>
        </w:rPr>
        <w:t>non-valvular</w:t>
      </w:r>
      <w:r w:rsidR="00B81391" w:rsidRPr="005B79BA">
        <w:rPr>
          <w:rFonts w:asciiTheme="majorHAnsi" w:eastAsia="AdvTimes" w:hAnsiTheme="majorHAnsi" w:cs="Times New Roman"/>
          <w:sz w:val="20"/>
          <w:szCs w:val="20"/>
          <w:lang w:val="en-US"/>
        </w:rPr>
        <w:t xml:space="preserve"> </w:t>
      </w:r>
      <w:r w:rsidRPr="005B79BA">
        <w:rPr>
          <w:rFonts w:asciiTheme="majorHAnsi" w:eastAsia="AdvTimes" w:hAnsiTheme="majorHAnsi" w:cs="Times New Roman"/>
          <w:sz w:val="20"/>
          <w:szCs w:val="20"/>
          <w:lang w:val="en-US"/>
        </w:rPr>
        <w:t xml:space="preserve">AF were calculated for </w:t>
      </w:r>
      <w:r w:rsidR="00583F08" w:rsidRPr="005B79BA">
        <w:rPr>
          <w:rFonts w:asciiTheme="majorHAnsi" w:eastAsia="AdvTimes" w:hAnsiTheme="majorHAnsi" w:cs="Times New Roman"/>
          <w:sz w:val="20"/>
          <w:szCs w:val="20"/>
          <w:lang w:val="en-US"/>
        </w:rPr>
        <w:t xml:space="preserve">all patients </w:t>
      </w:r>
      <w:r w:rsidRPr="005B79BA">
        <w:rPr>
          <w:rFonts w:asciiTheme="majorHAnsi" w:eastAsia="AdvTimes" w:hAnsiTheme="majorHAnsi" w:cs="Times New Roman"/>
          <w:sz w:val="20"/>
          <w:szCs w:val="20"/>
          <w:lang w:val="en-US"/>
        </w:rPr>
        <w:t xml:space="preserve">and stratified on </w:t>
      </w:r>
      <w:r w:rsidR="00332352" w:rsidRPr="005B79BA">
        <w:rPr>
          <w:rFonts w:asciiTheme="majorHAnsi" w:eastAsia="AdvTimes" w:hAnsiTheme="majorHAnsi" w:cs="Times New Roman"/>
          <w:sz w:val="20"/>
          <w:szCs w:val="20"/>
          <w:lang w:val="en-US"/>
        </w:rPr>
        <w:t>m</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00FA1B29" w:rsidRPr="005B79BA">
        <w:rPr>
          <w:rFonts w:asciiTheme="majorHAnsi" w:hAnsiTheme="majorHAnsi" w:cs="Times New Roman"/>
          <w:sz w:val="20"/>
          <w:szCs w:val="20"/>
          <w:lang w:val="en-US"/>
        </w:rPr>
        <w:t>-VASc score of</w:t>
      </w:r>
      <w:r w:rsidRPr="005B79BA">
        <w:rPr>
          <w:rFonts w:asciiTheme="majorHAnsi" w:hAnsiTheme="majorHAnsi" w:cs="Times New Roman"/>
          <w:sz w:val="20"/>
          <w:szCs w:val="20"/>
          <w:lang w:val="en-US"/>
        </w:rPr>
        <w:t xml:space="preserve"> 0, 1, 2, and ≥3.</w:t>
      </w:r>
      <w:r w:rsidR="00603886" w:rsidRPr="005B79BA">
        <w:rPr>
          <w:rFonts w:asciiTheme="majorHAnsi" w:hAnsiTheme="majorHAnsi" w:cs="Times New Roman"/>
          <w:sz w:val="20"/>
          <w:szCs w:val="20"/>
          <w:lang w:val="en-US"/>
        </w:rPr>
        <w:t xml:space="preserve"> Stroke event probabilities were obtained as cumulative incidence rate</w:t>
      </w:r>
      <w:r w:rsidR="005D6488" w:rsidRPr="005B79BA">
        <w:rPr>
          <w:rFonts w:asciiTheme="majorHAnsi" w:hAnsiTheme="majorHAnsi" w:cs="Times New Roman"/>
          <w:sz w:val="20"/>
          <w:szCs w:val="20"/>
          <w:lang w:val="en-US"/>
        </w:rPr>
        <w:t xml:space="preserve">s assuming death as a competing event, whereas </w:t>
      </w:r>
      <w:r w:rsidR="00BD1E72" w:rsidRPr="005B79BA">
        <w:rPr>
          <w:rFonts w:asciiTheme="majorHAnsi" w:hAnsiTheme="majorHAnsi" w:cs="Times New Roman"/>
          <w:sz w:val="20"/>
          <w:szCs w:val="20"/>
          <w:lang w:val="en-US"/>
        </w:rPr>
        <w:t>risk for death and the composite of stroke and death were based on the Kaplan-Meier estimator.</w:t>
      </w:r>
      <w:r w:rsidR="00603886" w:rsidRPr="005B79BA">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 xml:space="preserve"> </w:t>
      </w:r>
      <w:r w:rsidRPr="005B79BA">
        <w:rPr>
          <w:rFonts w:asciiTheme="majorHAnsi" w:eastAsia="AdvTimes" w:hAnsiTheme="majorHAnsi" w:cs="Times New Roman"/>
          <w:sz w:val="20"/>
          <w:szCs w:val="20"/>
          <w:lang w:val="en-US"/>
        </w:rPr>
        <w:t xml:space="preserve">The effect </w:t>
      </w:r>
      <w:r w:rsidR="00DA5BE8" w:rsidRPr="005B79BA">
        <w:rPr>
          <w:rFonts w:asciiTheme="majorHAnsi" w:eastAsia="AdvTimes" w:hAnsiTheme="majorHAnsi" w:cs="Times New Roman"/>
          <w:sz w:val="20"/>
          <w:szCs w:val="20"/>
          <w:lang w:val="en-US"/>
        </w:rPr>
        <w:t>of</w:t>
      </w:r>
      <w:r w:rsidR="00F27CBD" w:rsidRPr="005B79BA">
        <w:rPr>
          <w:rFonts w:asciiTheme="majorHAnsi" w:eastAsia="AdvTimes" w:hAnsiTheme="majorHAnsi" w:cs="Times New Roman"/>
          <w:sz w:val="20"/>
          <w:szCs w:val="20"/>
          <w:lang w:val="en-US"/>
        </w:rPr>
        <w:t xml:space="preserve"> </w:t>
      </w:r>
      <w:r w:rsidR="00594E7D" w:rsidRPr="005B79BA">
        <w:rPr>
          <w:rFonts w:asciiTheme="majorHAnsi" w:eastAsia="AdvTimes" w:hAnsiTheme="majorHAnsi" w:cs="Times New Roman"/>
          <w:sz w:val="20"/>
          <w:szCs w:val="20"/>
          <w:lang w:val="en-US"/>
        </w:rPr>
        <w:t xml:space="preserve">an </w:t>
      </w:r>
      <w:r w:rsidRPr="005B79BA">
        <w:rPr>
          <w:rFonts w:asciiTheme="majorHAnsi" w:eastAsia="AdvTimes" w:hAnsiTheme="majorHAnsi" w:cs="Times New Roman"/>
          <w:sz w:val="20"/>
          <w:szCs w:val="20"/>
          <w:lang w:val="en-US"/>
        </w:rPr>
        <w:t xml:space="preserve">increasing </w:t>
      </w:r>
      <w:r w:rsidR="00332352" w:rsidRPr="005B79BA">
        <w:rPr>
          <w:rFonts w:asciiTheme="majorHAnsi" w:eastAsia="AdvTimes" w:hAnsiTheme="majorHAnsi" w:cs="Times New Roman"/>
          <w:sz w:val="20"/>
          <w:szCs w:val="20"/>
          <w:lang w:val="en-US"/>
        </w:rPr>
        <w:t>m</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 xml:space="preserve">-VASc </w:t>
      </w:r>
      <w:r w:rsidR="00594E7D" w:rsidRPr="005B79BA">
        <w:rPr>
          <w:rFonts w:asciiTheme="majorHAnsi" w:hAnsiTheme="majorHAnsi" w:cs="Times New Roman"/>
          <w:sz w:val="20"/>
          <w:szCs w:val="20"/>
          <w:lang w:val="en-US"/>
        </w:rPr>
        <w:t xml:space="preserve">score </w:t>
      </w:r>
      <w:r w:rsidR="00594E7D" w:rsidRPr="005B79BA">
        <w:rPr>
          <w:rFonts w:asciiTheme="majorHAnsi" w:eastAsia="AdvTimes" w:hAnsiTheme="majorHAnsi" w:cs="Times New Roman"/>
          <w:sz w:val="20"/>
          <w:szCs w:val="20"/>
          <w:lang w:val="en-US"/>
        </w:rPr>
        <w:t xml:space="preserve">was </w:t>
      </w:r>
      <w:r w:rsidRPr="005B79BA">
        <w:rPr>
          <w:rFonts w:asciiTheme="majorHAnsi" w:eastAsia="AdvTimes" w:hAnsiTheme="majorHAnsi" w:cs="Times New Roman"/>
          <w:sz w:val="20"/>
          <w:szCs w:val="20"/>
          <w:lang w:val="en-US"/>
        </w:rPr>
        <w:t xml:space="preserve">assessed by a Cox proportional-hazards model stratified by separate analyses on age </w:t>
      </w:r>
      <w:r w:rsidR="00B769E7" w:rsidRPr="005B79BA">
        <w:rPr>
          <w:rFonts w:asciiTheme="majorHAnsi" w:eastAsia="AdvTimes" w:hAnsiTheme="majorHAnsi" w:cs="Times New Roman"/>
          <w:sz w:val="20"/>
          <w:szCs w:val="20"/>
          <w:lang w:val="en-US"/>
        </w:rPr>
        <w:t>group</w:t>
      </w:r>
      <w:r w:rsidR="00F15726" w:rsidRPr="005B79BA">
        <w:rPr>
          <w:rFonts w:asciiTheme="majorHAnsi" w:eastAsia="AdvTimes" w:hAnsiTheme="majorHAnsi" w:cs="Times New Roman"/>
          <w:sz w:val="20"/>
          <w:szCs w:val="20"/>
          <w:lang w:val="en-US"/>
        </w:rPr>
        <w:t xml:space="preserve"> </w:t>
      </w:r>
      <w:r w:rsidRPr="005B79BA">
        <w:rPr>
          <w:rFonts w:asciiTheme="majorHAnsi" w:eastAsia="AdvTimes" w:hAnsiTheme="majorHAnsi" w:cs="Times New Roman"/>
          <w:sz w:val="20"/>
          <w:szCs w:val="20"/>
          <w:lang w:val="en-US"/>
        </w:rPr>
        <w:t xml:space="preserve">with </w:t>
      </w:r>
      <w:r w:rsidR="00F15726" w:rsidRPr="005B79BA">
        <w:rPr>
          <w:rFonts w:asciiTheme="majorHAnsi" w:eastAsia="AdvTimes" w:hAnsiTheme="majorHAnsi" w:cs="Times New Roman"/>
          <w:sz w:val="20"/>
          <w:szCs w:val="20"/>
          <w:lang w:val="en-US"/>
        </w:rPr>
        <w:t xml:space="preserve">no risk factors as reference. The analyses were </w:t>
      </w:r>
      <w:r w:rsidR="00F733E8" w:rsidRPr="005B79BA">
        <w:rPr>
          <w:rFonts w:asciiTheme="majorHAnsi" w:eastAsia="AdvTimes" w:hAnsiTheme="majorHAnsi" w:cs="Times New Roman"/>
          <w:sz w:val="20"/>
          <w:szCs w:val="20"/>
          <w:lang w:val="en-US"/>
        </w:rPr>
        <w:t xml:space="preserve">adjusted for </w:t>
      </w:r>
      <w:r w:rsidR="00B769E7" w:rsidRPr="005B79BA">
        <w:rPr>
          <w:rFonts w:asciiTheme="majorHAnsi" w:eastAsia="AdvTimes" w:hAnsiTheme="majorHAnsi" w:cs="Times New Roman"/>
          <w:sz w:val="20"/>
          <w:szCs w:val="20"/>
          <w:lang w:val="en-US"/>
        </w:rPr>
        <w:t>VKA-</w:t>
      </w:r>
      <w:r w:rsidR="00F733E8" w:rsidRPr="005B79BA">
        <w:rPr>
          <w:rFonts w:asciiTheme="majorHAnsi" w:eastAsia="AdvTimes" w:hAnsiTheme="majorHAnsi" w:cs="Times New Roman"/>
          <w:sz w:val="20"/>
          <w:szCs w:val="20"/>
          <w:lang w:val="en-US"/>
        </w:rPr>
        <w:t>treatment, by including an indicator</w:t>
      </w:r>
      <w:r w:rsidR="00B769E7" w:rsidRPr="005B79BA">
        <w:rPr>
          <w:rFonts w:asciiTheme="majorHAnsi" w:eastAsia="AdvTimes" w:hAnsiTheme="majorHAnsi" w:cs="Times New Roman"/>
          <w:sz w:val="20"/>
          <w:szCs w:val="20"/>
          <w:lang w:val="en-US"/>
        </w:rPr>
        <w:t xml:space="preserve"> for </w:t>
      </w:r>
      <w:r w:rsidR="00F733E8" w:rsidRPr="005B79BA">
        <w:rPr>
          <w:rFonts w:asciiTheme="majorHAnsi" w:eastAsia="AdvTimes" w:hAnsiTheme="majorHAnsi" w:cs="Times New Roman"/>
          <w:sz w:val="20"/>
          <w:szCs w:val="20"/>
          <w:lang w:val="en-US"/>
        </w:rPr>
        <w:t>treatment, as a time-varying covariate.</w:t>
      </w:r>
      <w:r w:rsidRPr="005B79BA">
        <w:rPr>
          <w:rFonts w:asciiTheme="majorHAnsi" w:eastAsia="AdvTimes" w:hAnsiTheme="majorHAnsi" w:cs="Times New Roman"/>
          <w:sz w:val="20"/>
          <w:szCs w:val="20"/>
          <w:lang w:val="en-US"/>
        </w:rPr>
        <w:t xml:space="preserve"> </w:t>
      </w:r>
    </w:p>
    <w:p w14:paraId="644E482D" w14:textId="77777777" w:rsidR="00B81391" w:rsidRPr="005B79BA" w:rsidRDefault="00B81391" w:rsidP="005B79BA">
      <w:pPr>
        <w:autoSpaceDE w:val="0"/>
        <w:autoSpaceDN w:val="0"/>
        <w:adjustRightInd w:val="0"/>
        <w:jc w:val="both"/>
        <w:rPr>
          <w:rFonts w:asciiTheme="majorHAnsi" w:eastAsia="AdvTimes" w:hAnsiTheme="majorHAnsi" w:cs="Times New Roman"/>
          <w:sz w:val="20"/>
          <w:szCs w:val="20"/>
          <w:lang w:val="en-US"/>
        </w:rPr>
      </w:pPr>
    </w:p>
    <w:p w14:paraId="2A33D05F" w14:textId="77777777" w:rsidR="0017116B" w:rsidRPr="005B79BA" w:rsidRDefault="009B1E32"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The analys</w:t>
      </w:r>
      <w:r w:rsidR="000055B1" w:rsidRPr="005B79BA">
        <w:rPr>
          <w:rFonts w:asciiTheme="majorHAnsi" w:hAnsiTheme="majorHAnsi" w:cs="Times New Roman"/>
          <w:sz w:val="20"/>
          <w:szCs w:val="20"/>
          <w:lang w:val="en-US"/>
        </w:rPr>
        <w:t>es</w:t>
      </w:r>
      <w:r w:rsidRPr="005B79BA">
        <w:rPr>
          <w:rFonts w:asciiTheme="majorHAnsi" w:hAnsiTheme="majorHAnsi" w:cs="Times New Roman"/>
          <w:sz w:val="20"/>
          <w:szCs w:val="20"/>
          <w:lang w:val="en-US"/>
        </w:rPr>
        <w:t xml:space="preserve"> w</w:t>
      </w:r>
      <w:r w:rsidR="000055B1" w:rsidRPr="005B79BA">
        <w:rPr>
          <w:rFonts w:asciiTheme="majorHAnsi" w:hAnsiTheme="majorHAnsi" w:cs="Times New Roman"/>
          <w:sz w:val="20"/>
          <w:szCs w:val="20"/>
          <w:lang w:val="en-US"/>
        </w:rPr>
        <w:t>ere</w:t>
      </w:r>
      <w:r w:rsidRPr="005B79BA">
        <w:rPr>
          <w:rFonts w:asciiTheme="majorHAnsi" w:hAnsiTheme="majorHAnsi" w:cs="Times New Roman"/>
          <w:sz w:val="20"/>
          <w:szCs w:val="20"/>
          <w:lang w:val="en-US"/>
        </w:rPr>
        <w:t xml:space="preserve"> performed using</w:t>
      </w:r>
      <w:r w:rsidR="0017116B" w:rsidRPr="005B79BA">
        <w:rPr>
          <w:rFonts w:asciiTheme="majorHAnsi" w:hAnsiTheme="majorHAnsi" w:cs="Times New Roman"/>
          <w:sz w:val="20"/>
          <w:szCs w:val="20"/>
          <w:lang w:val="en-US"/>
        </w:rPr>
        <w:t xml:space="preserve"> </w:t>
      </w:r>
      <w:r w:rsidR="0017116B" w:rsidRPr="005B79BA">
        <w:rPr>
          <w:rFonts w:asciiTheme="majorHAnsi" w:hAnsiTheme="majorHAnsi"/>
          <w:sz w:val="20"/>
          <w:szCs w:val="20"/>
          <w:lang w:val="en-US"/>
        </w:rPr>
        <w:t xml:space="preserve">SAS/STAT software, Version 9.2 </w:t>
      </w:r>
      <w:r w:rsidRPr="005B79BA">
        <w:rPr>
          <w:rFonts w:asciiTheme="majorHAnsi" w:hAnsiTheme="majorHAnsi"/>
          <w:sz w:val="20"/>
          <w:szCs w:val="20"/>
          <w:lang w:val="en-US"/>
        </w:rPr>
        <w:t xml:space="preserve">for Windows </w:t>
      </w:r>
      <w:r w:rsidR="000055B1" w:rsidRPr="005B79BA">
        <w:rPr>
          <w:rFonts w:asciiTheme="majorHAnsi" w:hAnsiTheme="majorHAnsi"/>
          <w:sz w:val="20"/>
          <w:szCs w:val="20"/>
          <w:lang w:val="en-US"/>
        </w:rPr>
        <w:t>(</w:t>
      </w:r>
      <w:r w:rsidR="0017116B" w:rsidRPr="005B79BA">
        <w:rPr>
          <w:rFonts w:asciiTheme="majorHAnsi" w:hAnsiTheme="majorHAnsi"/>
          <w:sz w:val="20"/>
          <w:szCs w:val="20"/>
          <w:lang w:val="en-US"/>
        </w:rPr>
        <w:t xml:space="preserve">SAS Institute Inc. </w:t>
      </w:r>
      <w:r w:rsidR="000055B1" w:rsidRPr="005B79BA">
        <w:rPr>
          <w:rFonts w:asciiTheme="majorHAnsi" w:hAnsiTheme="majorHAnsi"/>
          <w:sz w:val="20"/>
          <w:szCs w:val="20"/>
          <w:lang w:val="en-US"/>
        </w:rPr>
        <w:t>(2008), Cary, NC, USA)</w:t>
      </w:r>
      <w:r w:rsidR="005539CC" w:rsidRPr="005B79BA">
        <w:rPr>
          <w:rFonts w:asciiTheme="majorHAnsi" w:hAnsiTheme="majorHAnsi"/>
          <w:sz w:val="20"/>
          <w:szCs w:val="20"/>
          <w:lang w:val="en-US"/>
        </w:rPr>
        <w:t xml:space="preserve"> and</w:t>
      </w:r>
      <w:r w:rsidR="0017116B" w:rsidRPr="005B79BA">
        <w:rPr>
          <w:rFonts w:asciiTheme="majorHAnsi" w:hAnsiTheme="majorHAnsi" w:cs="Times New Roman"/>
          <w:sz w:val="20"/>
          <w:szCs w:val="20"/>
          <w:lang w:val="en-US"/>
        </w:rPr>
        <w:t xml:space="preserve"> </w:t>
      </w:r>
      <w:proofErr w:type="spellStart"/>
      <w:r w:rsidR="0017116B" w:rsidRPr="005B79BA">
        <w:rPr>
          <w:rFonts w:asciiTheme="majorHAnsi" w:hAnsiTheme="majorHAnsi" w:cs="Times New Roman"/>
          <w:sz w:val="20"/>
          <w:szCs w:val="20"/>
          <w:lang w:val="en-US"/>
        </w:rPr>
        <w:t>Stata</w:t>
      </w:r>
      <w:proofErr w:type="spellEnd"/>
      <w:r w:rsidR="0017116B" w:rsidRPr="005B79BA">
        <w:rPr>
          <w:rFonts w:asciiTheme="majorHAnsi" w:hAnsiTheme="majorHAnsi" w:cs="Times New Roman"/>
          <w:sz w:val="20"/>
          <w:szCs w:val="20"/>
          <w:lang w:val="en-US"/>
        </w:rPr>
        <w:t xml:space="preserve"> version 11 (</w:t>
      </w:r>
      <w:proofErr w:type="spellStart"/>
      <w:r w:rsidR="0017116B" w:rsidRPr="005B79BA">
        <w:rPr>
          <w:rFonts w:asciiTheme="majorHAnsi" w:hAnsiTheme="majorHAnsi" w:cs="Times New Roman"/>
          <w:sz w:val="20"/>
          <w:szCs w:val="20"/>
          <w:lang w:val="en-US"/>
        </w:rPr>
        <w:t>Stata</w:t>
      </w:r>
      <w:proofErr w:type="spellEnd"/>
      <w:r w:rsidR="0017116B" w:rsidRPr="005B79BA">
        <w:rPr>
          <w:rFonts w:asciiTheme="majorHAnsi" w:hAnsiTheme="majorHAnsi" w:cs="Times New Roman"/>
          <w:sz w:val="20"/>
          <w:szCs w:val="20"/>
          <w:lang w:val="en-US"/>
        </w:rPr>
        <w:t xml:space="preserve"> C</w:t>
      </w:r>
      <w:r w:rsidR="000055B1" w:rsidRPr="005B79BA">
        <w:rPr>
          <w:rFonts w:asciiTheme="majorHAnsi" w:hAnsiTheme="majorHAnsi" w:cs="Times New Roman"/>
          <w:sz w:val="20"/>
          <w:szCs w:val="20"/>
          <w:lang w:val="en-US"/>
        </w:rPr>
        <w:t>orporation, College Station, TX, USA</w:t>
      </w:r>
      <w:r w:rsidR="0017116B" w:rsidRPr="005B79BA">
        <w:rPr>
          <w:rFonts w:asciiTheme="majorHAnsi" w:hAnsiTheme="majorHAnsi" w:cs="Times New Roman"/>
          <w:sz w:val="20"/>
          <w:szCs w:val="20"/>
          <w:lang w:val="en-US"/>
        </w:rPr>
        <w:t>). A two-sided p-value of &lt;0.05 was considered statistically significant.</w:t>
      </w:r>
    </w:p>
    <w:p w14:paraId="20CDA72D" w14:textId="77777777" w:rsidR="00F5504F" w:rsidRPr="005B79BA" w:rsidRDefault="00F5504F" w:rsidP="005B79BA">
      <w:pPr>
        <w:autoSpaceDE w:val="0"/>
        <w:autoSpaceDN w:val="0"/>
        <w:adjustRightInd w:val="0"/>
        <w:jc w:val="both"/>
        <w:rPr>
          <w:rFonts w:asciiTheme="majorHAnsi" w:hAnsiTheme="majorHAnsi" w:cs="Times New Roman"/>
          <w:sz w:val="20"/>
          <w:szCs w:val="20"/>
          <w:lang w:val="en-US"/>
        </w:rPr>
      </w:pPr>
    </w:p>
    <w:p w14:paraId="0C933AF3" w14:textId="77777777" w:rsidR="00F5504F" w:rsidRPr="005B79BA" w:rsidRDefault="00F5504F" w:rsidP="005B79BA">
      <w:pPr>
        <w:autoSpaceDE w:val="0"/>
        <w:autoSpaceDN w:val="0"/>
        <w:adjustRightInd w:val="0"/>
        <w:jc w:val="both"/>
        <w:rPr>
          <w:rFonts w:asciiTheme="majorHAnsi" w:hAnsiTheme="majorHAnsi" w:cs="Times New Roman"/>
          <w:i/>
          <w:sz w:val="20"/>
          <w:szCs w:val="20"/>
          <w:lang w:val="en-US"/>
        </w:rPr>
      </w:pPr>
      <w:r w:rsidRPr="005B79BA">
        <w:rPr>
          <w:rFonts w:asciiTheme="majorHAnsi" w:hAnsiTheme="majorHAnsi" w:cs="Times New Roman"/>
          <w:i/>
          <w:sz w:val="20"/>
          <w:szCs w:val="20"/>
          <w:lang w:val="en-US"/>
        </w:rPr>
        <w:t>Ethical Considerations</w:t>
      </w:r>
    </w:p>
    <w:p w14:paraId="07492857" w14:textId="77777777" w:rsidR="00F5504F" w:rsidRPr="005B79BA" w:rsidRDefault="00F5504F"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No ethical approval is required for </w:t>
      </w:r>
      <w:r w:rsidR="00085E7C" w:rsidRPr="005B79BA">
        <w:rPr>
          <w:rFonts w:asciiTheme="majorHAnsi" w:hAnsiTheme="majorHAnsi" w:cs="Times New Roman"/>
          <w:sz w:val="20"/>
          <w:szCs w:val="20"/>
          <w:lang w:val="en-US"/>
        </w:rPr>
        <w:t xml:space="preserve">anonymous </w:t>
      </w:r>
      <w:r w:rsidRPr="005B79BA">
        <w:rPr>
          <w:rFonts w:asciiTheme="majorHAnsi" w:hAnsiTheme="majorHAnsi" w:cs="Times New Roman"/>
          <w:sz w:val="20"/>
          <w:szCs w:val="20"/>
          <w:lang w:val="en-US"/>
        </w:rPr>
        <w:t>register studies in Den</w:t>
      </w:r>
      <w:r w:rsidR="006D4BDE" w:rsidRPr="005B79BA">
        <w:rPr>
          <w:rFonts w:asciiTheme="majorHAnsi" w:hAnsiTheme="majorHAnsi" w:cs="Times New Roman"/>
          <w:sz w:val="20"/>
          <w:szCs w:val="20"/>
          <w:lang w:val="en-US"/>
        </w:rPr>
        <w:t>mark. The study was approved by t</w:t>
      </w:r>
      <w:r w:rsidRPr="005B79BA">
        <w:rPr>
          <w:rFonts w:asciiTheme="majorHAnsi" w:hAnsiTheme="majorHAnsi" w:cs="Times New Roman"/>
          <w:sz w:val="20"/>
          <w:szCs w:val="20"/>
          <w:lang w:val="en-US"/>
        </w:rPr>
        <w:t xml:space="preserve">he Danish Data Protection Agency </w:t>
      </w:r>
      <w:r w:rsidRPr="005B79BA">
        <w:rPr>
          <w:rFonts w:asciiTheme="majorHAnsi" w:eastAsia="AdvTimes" w:hAnsiTheme="majorHAnsi" w:cs="Times New Roman"/>
          <w:sz w:val="20"/>
          <w:szCs w:val="20"/>
          <w:lang w:val="en-US"/>
        </w:rPr>
        <w:t>(J. No. 2012-41-063).</w:t>
      </w:r>
    </w:p>
    <w:p w14:paraId="407BDAE1" w14:textId="3F1EBAC9" w:rsidR="008D115F" w:rsidRPr="005B79BA" w:rsidRDefault="00F551E0" w:rsidP="005B79BA">
      <w:pPr>
        <w:spacing w:after="200"/>
        <w:rPr>
          <w:rFonts w:asciiTheme="majorHAnsi" w:hAnsiTheme="majorHAnsi" w:cs="Times New Roman"/>
          <w:b/>
          <w:sz w:val="20"/>
          <w:szCs w:val="20"/>
          <w:lang w:val="en-US"/>
        </w:rPr>
      </w:pPr>
      <w:r w:rsidRPr="005B79BA">
        <w:rPr>
          <w:rFonts w:asciiTheme="majorHAnsi" w:hAnsiTheme="majorHAnsi" w:cs="Times New Roman"/>
          <w:b/>
          <w:sz w:val="20"/>
          <w:szCs w:val="20"/>
          <w:lang w:val="en-US"/>
        </w:rPr>
        <w:lastRenderedPageBreak/>
        <w:t>R</w:t>
      </w:r>
      <w:r w:rsidR="00F5504F" w:rsidRPr="005B79BA">
        <w:rPr>
          <w:rFonts w:asciiTheme="majorHAnsi" w:hAnsiTheme="majorHAnsi" w:cs="Times New Roman"/>
          <w:b/>
          <w:sz w:val="20"/>
          <w:szCs w:val="20"/>
          <w:lang w:val="en-US"/>
        </w:rPr>
        <w:t xml:space="preserve">esults </w:t>
      </w:r>
    </w:p>
    <w:p w14:paraId="2FDC4C1F" w14:textId="7EEFCAB4" w:rsidR="00F61E14" w:rsidRDefault="00136B68" w:rsidP="005B79BA">
      <w:pPr>
        <w:jc w:val="both"/>
        <w:rPr>
          <w:rFonts w:asciiTheme="majorHAnsi" w:eastAsia="AdvTimes" w:hAnsiTheme="majorHAnsi" w:cs="Times New Roman"/>
          <w:sz w:val="20"/>
          <w:szCs w:val="20"/>
          <w:lang w:val="en-US"/>
        </w:rPr>
      </w:pPr>
      <w:r w:rsidRPr="005B79BA">
        <w:rPr>
          <w:rFonts w:asciiTheme="majorHAnsi" w:eastAsia="AdvTimes" w:hAnsiTheme="majorHAnsi" w:cs="Times New Roman"/>
          <w:sz w:val="20"/>
          <w:szCs w:val="20"/>
          <w:lang w:val="en-US"/>
        </w:rPr>
        <w:t xml:space="preserve">The study population </w:t>
      </w:r>
      <w:r w:rsidR="00085E7C" w:rsidRPr="005B79BA">
        <w:rPr>
          <w:rFonts w:asciiTheme="majorHAnsi" w:eastAsia="AdvTimes" w:hAnsiTheme="majorHAnsi" w:cs="Times New Roman"/>
          <w:sz w:val="20"/>
          <w:szCs w:val="20"/>
          <w:lang w:val="en-US"/>
        </w:rPr>
        <w:t>comprised</w:t>
      </w:r>
      <w:r w:rsidRPr="005B79BA">
        <w:rPr>
          <w:rFonts w:asciiTheme="majorHAnsi" w:eastAsia="AdvTimes" w:hAnsiTheme="majorHAnsi" w:cs="Times New Roman"/>
          <w:sz w:val="20"/>
          <w:szCs w:val="20"/>
          <w:lang w:val="en-US"/>
        </w:rPr>
        <w:t xml:space="preserve"> </w:t>
      </w:r>
      <w:r w:rsidR="008B7E08" w:rsidRPr="005B79BA">
        <w:rPr>
          <w:rFonts w:asciiTheme="majorHAnsi" w:hAnsiTheme="majorHAnsi"/>
          <w:sz w:val="20"/>
          <w:szCs w:val="20"/>
          <w:lang w:val="en-US"/>
        </w:rPr>
        <w:t>139</w:t>
      </w:r>
      <w:r w:rsidR="00B27CE4" w:rsidRPr="005B79BA">
        <w:rPr>
          <w:rFonts w:asciiTheme="majorHAnsi" w:hAnsiTheme="majorHAnsi"/>
          <w:sz w:val="20"/>
          <w:szCs w:val="20"/>
          <w:lang w:val="en-US"/>
        </w:rPr>
        <w:t>,</w:t>
      </w:r>
      <w:r w:rsidR="008B7E08" w:rsidRPr="005B79BA">
        <w:rPr>
          <w:rFonts w:asciiTheme="majorHAnsi" w:hAnsiTheme="majorHAnsi"/>
          <w:sz w:val="20"/>
          <w:szCs w:val="20"/>
          <w:lang w:val="en-US"/>
        </w:rPr>
        <w:t>071</w:t>
      </w:r>
      <w:r w:rsidR="00B27CE4" w:rsidRPr="005B79BA">
        <w:rPr>
          <w:rFonts w:asciiTheme="majorHAnsi" w:hAnsiTheme="majorHAnsi"/>
          <w:sz w:val="20"/>
          <w:szCs w:val="20"/>
          <w:lang w:val="en-US"/>
        </w:rPr>
        <w:t xml:space="preserve"> </w:t>
      </w:r>
      <w:r w:rsidR="004A081A" w:rsidRPr="005B79BA">
        <w:rPr>
          <w:rFonts w:asciiTheme="majorHAnsi" w:eastAsia="AdvTimes" w:hAnsiTheme="majorHAnsi" w:cs="Times New Roman"/>
          <w:sz w:val="20"/>
          <w:szCs w:val="20"/>
          <w:lang w:val="en-US"/>
        </w:rPr>
        <w:t>non-valvular AF</w:t>
      </w:r>
      <w:r w:rsidR="006B2DD3" w:rsidRPr="005B79BA">
        <w:rPr>
          <w:rFonts w:asciiTheme="majorHAnsi" w:eastAsia="AdvTimes" w:hAnsiTheme="majorHAnsi" w:cs="Times New Roman"/>
          <w:sz w:val="20"/>
          <w:szCs w:val="20"/>
          <w:lang w:val="en-US"/>
        </w:rPr>
        <w:t xml:space="preserve"> patients</w:t>
      </w:r>
      <w:r w:rsidRPr="005B79BA">
        <w:rPr>
          <w:rFonts w:asciiTheme="majorHAnsi" w:eastAsia="AdvTimes" w:hAnsiTheme="majorHAnsi" w:cs="Times New Roman"/>
          <w:sz w:val="20"/>
          <w:szCs w:val="20"/>
          <w:lang w:val="en-US"/>
        </w:rPr>
        <w:t xml:space="preserve"> aged </w:t>
      </w:r>
      <w:r w:rsidR="00B27CE4" w:rsidRPr="005B79BA">
        <w:rPr>
          <w:rFonts w:asciiTheme="majorHAnsi" w:eastAsia="AdvTimes" w:hAnsiTheme="majorHAnsi" w:cs="Times New Roman"/>
          <w:sz w:val="20"/>
          <w:szCs w:val="20"/>
          <w:lang w:val="en-US"/>
        </w:rPr>
        <w:t xml:space="preserve">20-90 years (mean age </w:t>
      </w:r>
      <w:r w:rsidR="009C20AF" w:rsidRPr="005B79BA">
        <w:rPr>
          <w:rFonts w:asciiTheme="majorHAnsi" w:eastAsia="AdvTimes" w:hAnsiTheme="majorHAnsi" w:cs="Times New Roman"/>
          <w:sz w:val="20"/>
          <w:szCs w:val="20"/>
          <w:lang w:val="en-US"/>
        </w:rPr>
        <w:t>71.</w:t>
      </w:r>
      <w:r w:rsidR="001B6E5C" w:rsidRPr="005B79BA">
        <w:rPr>
          <w:rFonts w:asciiTheme="majorHAnsi" w:eastAsia="AdvTimes" w:hAnsiTheme="majorHAnsi" w:cs="Times New Roman"/>
          <w:sz w:val="20"/>
          <w:szCs w:val="20"/>
          <w:lang w:val="en-US"/>
        </w:rPr>
        <w:t>2</w:t>
      </w:r>
      <w:r w:rsidR="00B27CE4" w:rsidRPr="005B79BA">
        <w:rPr>
          <w:rFonts w:asciiTheme="majorHAnsi" w:eastAsia="AdvTimes" w:hAnsiTheme="majorHAnsi" w:cs="Times New Roman"/>
          <w:sz w:val="20"/>
          <w:szCs w:val="20"/>
          <w:lang w:val="en-US"/>
        </w:rPr>
        <w:t xml:space="preserve"> years</w:t>
      </w:r>
      <w:r w:rsidR="00B81391" w:rsidRPr="005B79BA">
        <w:rPr>
          <w:rFonts w:asciiTheme="majorHAnsi" w:eastAsia="AdvTimes" w:hAnsiTheme="majorHAnsi" w:cs="Times New Roman"/>
          <w:sz w:val="20"/>
          <w:szCs w:val="20"/>
          <w:lang w:val="en-US"/>
        </w:rPr>
        <w:t xml:space="preserve">; </w:t>
      </w:r>
      <w:r w:rsidR="009C20AF" w:rsidRPr="005B79BA">
        <w:rPr>
          <w:rFonts w:asciiTheme="majorHAnsi" w:eastAsia="AdvTimes" w:hAnsiTheme="majorHAnsi" w:cs="Times New Roman"/>
          <w:sz w:val="20"/>
          <w:szCs w:val="20"/>
          <w:lang w:val="en-US"/>
        </w:rPr>
        <w:t>45</w:t>
      </w:r>
      <w:r w:rsidR="00182879" w:rsidRPr="005B79BA">
        <w:rPr>
          <w:rFonts w:asciiTheme="majorHAnsi" w:eastAsia="AdvTimes" w:hAnsiTheme="majorHAnsi" w:cs="Times New Roman"/>
          <w:sz w:val="20"/>
          <w:szCs w:val="20"/>
          <w:lang w:val="en-US"/>
        </w:rPr>
        <w:t>.</w:t>
      </w:r>
      <w:r w:rsidR="008B7E08" w:rsidRPr="005B79BA">
        <w:rPr>
          <w:rFonts w:asciiTheme="majorHAnsi" w:eastAsia="AdvTimes" w:hAnsiTheme="majorHAnsi" w:cs="Times New Roman"/>
          <w:sz w:val="20"/>
          <w:szCs w:val="20"/>
          <w:lang w:val="en-US"/>
        </w:rPr>
        <w:t>1</w:t>
      </w:r>
      <w:r w:rsidR="00182879" w:rsidRPr="005B79BA">
        <w:rPr>
          <w:rFonts w:asciiTheme="majorHAnsi" w:eastAsia="AdvTimes" w:hAnsiTheme="majorHAnsi" w:cs="Times New Roman"/>
          <w:sz w:val="20"/>
          <w:szCs w:val="20"/>
          <w:lang w:val="en-US"/>
        </w:rPr>
        <w:t>% female</w:t>
      </w:r>
      <w:r w:rsidR="00B81391" w:rsidRPr="005B79BA">
        <w:rPr>
          <w:rFonts w:asciiTheme="majorHAnsi" w:eastAsia="AdvTimes" w:hAnsiTheme="majorHAnsi" w:cs="Times New Roman"/>
          <w:sz w:val="20"/>
          <w:szCs w:val="20"/>
          <w:lang w:val="en-US"/>
        </w:rPr>
        <w:t xml:space="preserve">; mean </w:t>
      </w:r>
      <w:r w:rsidR="00B81391" w:rsidRPr="005B79BA">
        <w:rPr>
          <w:rFonts w:asciiTheme="majorHAnsi" w:hAnsiTheme="majorHAnsi" w:cs="Times New Roman"/>
          <w:sz w:val="20"/>
          <w:szCs w:val="20"/>
          <w:lang w:val="en-US"/>
        </w:rPr>
        <w:t>CHA</w:t>
      </w:r>
      <w:r w:rsidR="00B81391" w:rsidRPr="005B79BA">
        <w:rPr>
          <w:rFonts w:asciiTheme="majorHAnsi" w:hAnsiTheme="majorHAnsi" w:cs="Times New Roman"/>
          <w:sz w:val="20"/>
          <w:szCs w:val="20"/>
          <w:vertAlign w:val="subscript"/>
          <w:lang w:val="en-US"/>
        </w:rPr>
        <w:t>2</w:t>
      </w:r>
      <w:r w:rsidR="00B81391" w:rsidRPr="005B79BA">
        <w:rPr>
          <w:rFonts w:asciiTheme="majorHAnsi" w:hAnsiTheme="majorHAnsi" w:cs="Times New Roman"/>
          <w:sz w:val="20"/>
          <w:szCs w:val="20"/>
          <w:lang w:val="en-US"/>
        </w:rPr>
        <w:t>DS</w:t>
      </w:r>
      <w:r w:rsidR="00B81391" w:rsidRPr="005B79BA">
        <w:rPr>
          <w:rFonts w:asciiTheme="majorHAnsi" w:hAnsiTheme="majorHAnsi" w:cs="Times New Roman"/>
          <w:sz w:val="20"/>
          <w:szCs w:val="20"/>
          <w:vertAlign w:val="subscript"/>
          <w:lang w:val="en-US"/>
        </w:rPr>
        <w:t>2</w:t>
      </w:r>
      <w:r w:rsidR="00B81391" w:rsidRPr="005B79BA">
        <w:rPr>
          <w:rFonts w:asciiTheme="majorHAnsi" w:hAnsiTheme="majorHAnsi" w:cs="Times New Roman"/>
          <w:sz w:val="20"/>
          <w:szCs w:val="20"/>
          <w:lang w:val="en-US"/>
        </w:rPr>
        <w:t>-VASc score</w:t>
      </w:r>
      <w:r w:rsidR="00B81391" w:rsidRPr="005B79BA">
        <w:rPr>
          <w:rFonts w:asciiTheme="majorHAnsi" w:eastAsia="AdvTimes" w:hAnsiTheme="majorHAnsi" w:cs="Times New Roman"/>
          <w:sz w:val="20"/>
          <w:szCs w:val="20"/>
          <w:lang w:val="en-US"/>
        </w:rPr>
        <w:t xml:space="preserve"> 2.0 ±1.5)</w:t>
      </w:r>
      <w:r w:rsidR="00641F11" w:rsidRPr="005B79BA">
        <w:rPr>
          <w:rFonts w:asciiTheme="majorHAnsi" w:eastAsia="AdvTimes" w:hAnsiTheme="majorHAnsi" w:cs="Times New Roman"/>
          <w:sz w:val="20"/>
          <w:szCs w:val="20"/>
          <w:lang w:val="en-US"/>
        </w:rPr>
        <w:t xml:space="preserve">. </w:t>
      </w:r>
      <w:r w:rsidR="00B81391" w:rsidRPr="005B79BA">
        <w:rPr>
          <w:rFonts w:asciiTheme="majorHAnsi" w:eastAsia="AdvTimes" w:hAnsiTheme="majorHAnsi" w:cs="Times New Roman"/>
          <w:sz w:val="20"/>
          <w:szCs w:val="20"/>
          <w:lang w:val="en-US"/>
        </w:rPr>
        <w:t xml:space="preserve">Of this, </w:t>
      </w:r>
      <w:r w:rsidR="00F551E0" w:rsidRPr="005B79BA">
        <w:rPr>
          <w:rFonts w:asciiTheme="majorHAnsi" w:eastAsia="AdvTimes" w:hAnsiTheme="majorHAnsi" w:cs="Times New Roman"/>
          <w:sz w:val="20"/>
          <w:szCs w:val="20"/>
          <w:lang w:val="en-US"/>
        </w:rPr>
        <w:t>39,496</w:t>
      </w:r>
      <w:r w:rsidR="00B81391" w:rsidRPr="005B79BA">
        <w:rPr>
          <w:rFonts w:asciiTheme="majorHAnsi" w:eastAsia="AdvTimes" w:hAnsiTheme="majorHAnsi" w:cs="Times New Roman"/>
          <w:sz w:val="20"/>
          <w:szCs w:val="20"/>
          <w:lang w:val="en-US"/>
        </w:rPr>
        <w:t xml:space="preserve"> (</w:t>
      </w:r>
      <w:r w:rsidR="00641F11" w:rsidRPr="005B79BA">
        <w:rPr>
          <w:rFonts w:asciiTheme="majorHAnsi" w:eastAsia="AdvTimes" w:hAnsiTheme="majorHAnsi" w:cs="Times New Roman"/>
          <w:sz w:val="20"/>
          <w:szCs w:val="20"/>
          <w:lang w:val="en-US"/>
        </w:rPr>
        <w:t>28.4%</w:t>
      </w:r>
      <w:r w:rsidR="00B81391" w:rsidRPr="005B79BA">
        <w:rPr>
          <w:rFonts w:asciiTheme="majorHAnsi" w:eastAsia="AdvTimes" w:hAnsiTheme="majorHAnsi" w:cs="Times New Roman"/>
          <w:sz w:val="20"/>
          <w:szCs w:val="20"/>
          <w:lang w:val="en-US"/>
        </w:rPr>
        <w:t xml:space="preserve">) </w:t>
      </w:r>
      <w:r w:rsidR="00641F11" w:rsidRPr="005B79BA">
        <w:rPr>
          <w:rFonts w:asciiTheme="majorHAnsi" w:eastAsia="AdvTimes" w:hAnsiTheme="majorHAnsi" w:cs="Times New Roman"/>
          <w:sz w:val="20"/>
          <w:szCs w:val="20"/>
          <w:lang w:val="en-US"/>
        </w:rPr>
        <w:t>were aged &lt;65</w:t>
      </w:r>
      <w:r w:rsidR="009C1E65" w:rsidRPr="005B79BA">
        <w:rPr>
          <w:rFonts w:asciiTheme="majorHAnsi" w:eastAsia="AdvTimes" w:hAnsiTheme="majorHAnsi" w:cs="Times New Roman"/>
          <w:sz w:val="20"/>
          <w:szCs w:val="20"/>
          <w:lang w:val="en-US"/>
        </w:rPr>
        <w:t xml:space="preserve"> (mean age 54.9 years)</w:t>
      </w:r>
      <w:r w:rsidR="00B81391" w:rsidRPr="005B79BA">
        <w:rPr>
          <w:rFonts w:asciiTheme="majorHAnsi" w:eastAsia="AdvTimes" w:hAnsiTheme="majorHAnsi" w:cs="Times New Roman"/>
          <w:sz w:val="20"/>
          <w:szCs w:val="20"/>
          <w:lang w:val="en-US"/>
        </w:rPr>
        <w:t xml:space="preserve"> and used for our main analyses</w:t>
      </w:r>
      <w:r w:rsidR="008D115F" w:rsidRPr="005B79BA">
        <w:rPr>
          <w:rFonts w:asciiTheme="majorHAnsi" w:eastAsia="AdvTimes" w:hAnsiTheme="majorHAnsi" w:cs="Times New Roman"/>
          <w:sz w:val="20"/>
          <w:szCs w:val="20"/>
          <w:lang w:val="en-US"/>
        </w:rPr>
        <w:t xml:space="preserve"> [Figure 1]</w:t>
      </w:r>
      <w:r w:rsidRPr="005B79BA">
        <w:rPr>
          <w:rFonts w:asciiTheme="majorHAnsi" w:eastAsia="AdvTimes" w:hAnsiTheme="majorHAnsi" w:cs="Times New Roman"/>
          <w:sz w:val="20"/>
          <w:szCs w:val="20"/>
          <w:lang w:val="en-US"/>
        </w:rPr>
        <w:t>.</w:t>
      </w:r>
      <w:r w:rsidR="00A957C7" w:rsidRPr="005B79BA">
        <w:rPr>
          <w:rFonts w:asciiTheme="majorHAnsi" w:eastAsia="AdvTimes" w:hAnsiTheme="majorHAnsi" w:cs="Times New Roman"/>
          <w:sz w:val="20"/>
          <w:szCs w:val="20"/>
          <w:lang w:val="en-US"/>
        </w:rPr>
        <w:t xml:space="preserve"> </w:t>
      </w:r>
      <w:r w:rsidR="0020229C" w:rsidRPr="005B79BA">
        <w:rPr>
          <w:rFonts w:asciiTheme="majorHAnsi" w:eastAsia="AdvTimes" w:hAnsiTheme="majorHAnsi" w:cs="Times New Roman"/>
          <w:sz w:val="20"/>
          <w:szCs w:val="20"/>
          <w:lang w:val="en-US"/>
        </w:rPr>
        <w:t>F</w:t>
      </w:r>
      <w:r w:rsidR="00D91A3D" w:rsidRPr="005B79BA">
        <w:rPr>
          <w:rFonts w:asciiTheme="majorHAnsi" w:eastAsia="AdvTimes" w:hAnsiTheme="majorHAnsi" w:cs="Times New Roman"/>
          <w:sz w:val="20"/>
          <w:szCs w:val="20"/>
          <w:lang w:val="en-US"/>
        </w:rPr>
        <w:t>o</w:t>
      </w:r>
      <w:r w:rsidR="006D4BDE" w:rsidRPr="005B79BA">
        <w:rPr>
          <w:rFonts w:asciiTheme="majorHAnsi" w:eastAsia="AdvTimes" w:hAnsiTheme="majorHAnsi" w:cs="Times New Roman"/>
          <w:sz w:val="20"/>
          <w:szCs w:val="20"/>
          <w:lang w:val="en-US"/>
        </w:rPr>
        <w:t>r the 5-year</w:t>
      </w:r>
      <w:r w:rsidR="00B27CE4" w:rsidRPr="005B79BA">
        <w:rPr>
          <w:rFonts w:asciiTheme="majorHAnsi" w:eastAsia="AdvTimes" w:hAnsiTheme="majorHAnsi" w:cs="Times New Roman"/>
          <w:sz w:val="20"/>
          <w:szCs w:val="20"/>
          <w:lang w:val="en-US"/>
        </w:rPr>
        <w:t>s</w:t>
      </w:r>
      <w:r w:rsidR="006D4BDE" w:rsidRPr="005B79BA">
        <w:rPr>
          <w:rFonts w:asciiTheme="majorHAnsi" w:eastAsia="AdvTimes" w:hAnsiTheme="majorHAnsi" w:cs="Times New Roman"/>
          <w:sz w:val="20"/>
          <w:szCs w:val="20"/>
          <w:lang w:val="en-US"/>
        </w:rPr>
        <w:t xml:space="preserve"> follow-up analyses</w:t>
      </w:r>
      <w:r w:rsidR="00D91A3D" w:rsidRPr="005B79BA">
        <w:rPr>
          <w:rFonts w:asciiTheme="majorHAnsi" w:eastAsia="AdvTimes" w:hAnsiTheme="majorHAnsi" w:cs="Times New Roman"/>
          <w:sz w:val="20"/>
          <w:szCs w:val="20"/>
          <w:lang w:val="en-US"/>
        </w:rPr>
        <w:t xml:space="preserve">, the median follow-up period were </w:t>
      </w:r>
      <w:r w:rsidR="00EC084F" w:rsidRPr="005B79BA">
        <w:rPr>
          <w:rFonts w:asciiTheme="majorHAnsi" w:eastAsia="AdvTimes" w:hAnsiTheme="majorHAnsi" w:cs="Times New Roman"/>
          <w:sz w:val="20"/>
          <w:szCs w:val="20"/>
          <w:lang w:val="en-US"/>
        </w:rPr>
        <w:t>1405</w:t>
      </w:r>
      <w:r w:rsidR="00D91A3D" w:rsidRPr="005B79BA">
        <w:rPr>
          <w:rFonts w:asciiTheme="majorHAnsi" w:eastAsia="AdvTimes" w:hAnsiTheme="majorHAnsi" w:cs="Times New Roman"/>
          <w:sz w:val="20"/>
          <w:szCs w:val="20"/>
          <w:lang w:val="en-US"/>
        </w:rPr>
        <w:t xml:space="preserve"> days overall</w:t>
      </w:r>
      <w:r w:rsidR="008D115F" w:rsidRPr="005B79BA">
        <w:rPr>
          <w:rFonts w:asciiTheme="majorHAnsi" w:eastAsia="AdvTimes" w:hAnsiTheme="majorHAnsi" w:cs="Times New Roman"/>
          <w:sz w:val="20"/>
          <w:szCs w:val="20"/>
          <w:lang w:val="en-US"/>
        </w:rPr>
        <w:t xml:space="preserve"> (I</w:t>
      </w:r>
      <w:r w:rsidR="00F74FA8" w:rsidRPr="005B79BA">
        <w:rPr>
          <w:rFonts w:asciiTheme="majorHAnsi" w:eastAsia="AdvTimes" w:hAnsiTheme="majorHAnsi" w:cs="Times New Roman"/>
          <w:sz w:val="20"/>
          <w:szCs w:val="20"/>
          <w:lang w:val="en-US"/>
        </w:rPr>
        <w:t>QR 602</w:t>
      </w:r>
      <w:r w:rsidR="008D115F" w:rsidRPr="005B79BA">
        <w:rPr>
          <w:rFonts w:asciiTheme="majorHAnsi" w:eastAsia="AdvTimes" w:hAnsiTheme="majorHAnsi" w:cs="Times New Roman"/>
          <w:sz w:val="20"/>
          <w:szCs w:val="20"/>
          <w:lang w:val="en-US"/>
        </w:rPr>
        <w:t>-</w:t>
      </w:r>
      <w:r w:rsidR="00F74FA8" w:rsidRPr="005B79BA">
        <w:rPr>
          <w:rFonts w:asciiTheme="majorHAnsi" w:eastAsia="AdvTimes" w:hAnsiTheme="majorHAnsi" w:cs="Times New Roman"/>
          <w:sz w:val="20"/>
          <w:szCs w:val="20"/>
          <w:lang w:val="en-US"/>
        </w:rPr>
        <w:t>2515</w:t>
      </w:r>
      <w:r w:rsidR="008D115F" w:rsidRPr="005B79BA">
        <w:rPr>
          <w:rFonts w:asciiTheme="majorHAnsi" w:eastAsia="AdvTimes" w:hAnsiTheme="majorHAnsi" w:cs="Times New Roman"/>
          <w:sz w:val="20"/>
          <w:szCs w:val="20"/>
          <w:lang w:val="en-US"/>
        </w:rPr>
        <w:t>)</w:t>
      </w:r>
      <w:r w:rsidR="00D91A3D" w:rsidRPr="005B79BA">
        <w:rPr>
          <w:rFonts w:asciiTheme="majorHAnsi" w:eastAsia="AdvTimes" w:hAnsiTheme="majorHAnsi" w:cs="Times New Roman"/>
          <w:sz w:val="20"/>
          <w:szCs w:val="20"/>
          <w:lang w:val="en-US"/>
        </w:rPr>
        <w:t xml:space="preserve">. </w:t>
      </w:r>
      <w:r w:rsidR="0062186B" w:rsidRPr="005B79BA">
        <w:rPr>
          <w:rFonts w:asciiTheme="majorHAnsi" w:eastAsia="AdvTimes" w:hAnsiTheme="majorHAnsi" w:cs="Times New Roman"/>
          <w:sz w:val="20"/>
          <w:szCs w:val="20"/>
          <w:lang w:val="en-US" w:eastAsia="en-US" w:bidi="ar-SA"/>
        </w:rPr>
        <w:t xml:space="preserve">We had at least one year of follow-up data on all patients for the entire study period.  </w:t>
      </w:r>
      <w:r w:rsidR="00D91A3D" w:rsidRPr="005B79BA">
        <w:rPr>
          <w:rFonts w:asciiTheme="majorHAnsi" w:eastAsia="AdvTimes" w:hAnsiTheme="majorHAnsi" w:cs="Times New Roman"/>
          <w:sz w:val="20"/>
          <w:szCs w:val="20"/>
          <w:lang w:val="en-US" w:eastAsia="en-US" w:bidi="ar-SA"/>
        </w:rPr>
        <w:t xml:space="preserve">During follow-up, </w:t>
      </w:r>
      <w:r w:rsidR="00EC084F" w:rsidRPr="005B79BA">
        <w:rPr>
          <w:rFonts w:asciiTheme="majorHAnsi" w:hAnsiTheme="majorHAnsi" w:cs="Times New Roman"/>
          <w:sz w:val="20"/>
          <w:szCs w:val="20"/>
          <w:lang w:val="en-US"/>
        </w:rPr>
        <w:t>76</w:t>
      </w:r>
      <w:r w:rsidR="00F15726" w:rsidRPr="005B79BA">
        <w:rPr>
          <w:rFonts w:asciiTheme="majorHAnsi" w:hAnsiTheme="majorHAnsi" w:cs="Times New Roman"/>
          <w:sz w:val="20"/>
          <w:szCs w:val="20"/>
          <w:lang w:val="en-US"/>
        </w:rPr>
        <w:t>,</w:t>
      </w:r>
      <w:r w:rsidR="00EC084F" w:rsidRPr="005B79BA">
        <w:rPr>
          <w:rFonts w:asciiTheme="majorHAnsi" w:hAnsiTheme="majorHAnsi" w:cs="Times New Roman"/>
          <w:sz w:val="20"/>
          <w:szCs w:val="20"/>
          <w:lang w:val="en-US"/>
        </w:rPr>
        <w:t xml:space="preserve">589 (57%) </w:t>
      </w:r>
      <w:r w:rsidR="00D91A3D" w:rsidRPr="005B79BA">
        <w:rPr>
          <w:rFonts w:asciiTheme="majorHAnsi" w:eastAsia="AdvTimes" w:hAnsiTheme="majorHAnsi" w:cs="Times New Roman"/>
          <w:sz w:val="20"/>
          <w:szCs w:val="20"/>
          <w:lang w:val="en-US" w:eastAsia="en-US" w:bidi="ar-SA"/>
        </w:rPr>
        <w:t xml:space="preserve">initiated </w:t>
      </w:r>
      <w:r w:rsidR="00E923F9" w:rsidRPr="005B79BA">
        <w:rPr>
          <w:rFonts w:asciiTheme="majorHAnsi" w:eastAsia="AdvTimes" w:hAnsiTheme="majorHAnsi" w:cs="Times New Roman"/>
          <w:sz w:val="20"/>
          <w:szCs w:val="20"/>
          <w:lang w:val="en-US" w:eastAsia="en-US" w:bidi="ar-SA"/>
        </w:rPr>
        <w:t>anticoagulant treatment</w:t>
      </w:r>
      <w:r w:rsidR="001B6E5C" w:rsidRPr="005B79BA">
        <w:rPr>
          <w:rFonts w:asciiTheme="majorHAnsi" w:eastAsia="AdvTimes" w:hAnsiTheme="majorHAnsi" w:cs="Times New Roman"/>
          <w:sz w:val="20"/>
          <w:szCs w:val="20"/>
          <w:lang w:val="en-US" w:eastAsia="en-US" w:bidi="ar-SA"/>
        </w:rPr>
        <w:t xml:space="preserve"> and </w:t>
      </w:r>
      <w:r w:rsidR="00B81391" w:rsidRPr="005B79BA">
        <w:rPr>
          <w:rFonts w:asciiTheme="majorHAnsi" w:eastAsia="AdvTimes" w:hAnsiTheme="majorHAnsi" w:cs="Times New Roman"/>
          <w:sz w:val="20"/>
          <w:szCs w:val="20"/>
          <w:lang w:val="en-US" w:eastAsia="en-US" w:bidi="ar-SA"/>
        </w:rPr>
        <w:t xml:space="preserve">of these, </w:t>
      </w:r>
      <w:r w:rsidR="00EC084F" w:rsidRPr="005B79BA">
        <w:rPr>
          <w:rFonts w:asciiTheme="majorHAnsi" w:hAnsiTheme="majorHAnsi" w:cs="Times New Roman"/>
          <w:sz w:val="20"/>
          <w:szCs w:val="20"/>
          <w:lang w:val="en-US"/>
        </w:rPr>
        <w:t>66</w:t>
      </w:r>
      <w:r w:rsidR="00F15726" w:rsidRPr="005B79BA">
        <w:rPr>
          <w:rFonts w:asciiTheme="majorHAnsi" w:hAnsiTheme="majorHAnsi" w:cs="Times New Roman"/>
          <w:sz w:val="20"/>
          <w:szCs w:val="20"/>
          <w:lang w:val="en-US"/>
        </w:rPr>
        <w:t>,</w:t>
      </w:r>
      <w:r w:rsidR="00EC084F" w:rsidRPr="005B79BA">
        <w:rPr>
          <w:rFonts w:asciiTheme="majorHAnsi" w:hAnsiTheme="majorHAnsi" w:cs="Times New Roman"/>
          <w:sz w:val="20"/>
          <w:szCs w:val="20"/>
          <w:lang w:val="en-US"/>
        </w:rPr>
        <w:t xml:space="preserve">973 (48%) </w:t>
      </w:r>
      <w:r w:rsidR="00B81391" w:rsidRPr="005B79BA">
        <w:rPr>
          <w:rFonts w:asciiTheme="majorHAnsi" w:hAnsiTheme="majorHAnsi" w:cs="Times New Roman"/>
          <w:sz w:val="20"/>
          <w:szCs w:val="20"/>
          <w:lang w:val="en-US"/>
        </w:rPr>
        <w:t>were</w:t>
      </w:r>
      <w:r w:rsidR="00F15726" w:rsidRPr="005B79BA">
        <w:rPr>
          <w:rFonts w:asciiTheme="majorHAnsi" w:hAnsiTheme="majorHAnsi" w:cs="Times New Roman"/>
          <w:sz w:val="20"/>
          <w:szCs w:val="20"/>
          <w:lang w:val="en-US"/>
        </w:rPr>
        <w:t xml:space="preserve"> initiated </w:t>
      </w:r>
      <w:r w:rsidR="00D91A3D" w:rsidRPr="005B79BA">
        <w:rPr>
          <w:rFonts w:asciiTheme="majorHAnsi" w:eastAsia="AdvTimes" w:hAnsiTheme="majorHAnsi" w:cs="Times New Roman"/>
          <w:sz w:val="20"/>
          <w:szCs w:val="20"/>
          <w:lang w:val="en-US" w:eastAsia="en-US" w:bidi="ar-SA"/>
        </w:rPr>
        <w:t>within the first year of follow-up.</w:t>
      </w:r>
    </w:p>
    <w:p w14:paraId="51D106F1" w14:textId="5F67789B" w:rsidR="00FB6B25" w:rsidRPr="005B79BA" w:rsidRDefault="008D147E" w:rsidP="005B79BA">
      <w:pPr>
        <w:jc w:val="both"/>
        <w:rPr>
          <w:rFonts w:asciiTheme="majorHAnsi" w:eastAsia="AdvTimes" w:hAnsiTheme="majorHAnsi" w:cs="Times New Roman"/>
          <w:sz w:val="20"/>
          <w:szCs w:val="20"/>
          <w:lang w:val="en-US"/>
        </w:rPr>
      </w:pPr>
      <w:r w:rsidRPr="00D03691">
        <w:rPr>
          <w:rFonts w:asciiTheme="majorHAnsi" w:hAnsiTheme="majorHAnsi" w:cs="Times New Roman"/>
          <w:noProof/>
          <w:color w:val="000000"/>
          <w:sz w:val="20"/>
          <w:szCs w:val="20"/>
          <w:lang w:bidi="ar-SA"/>
        </w:rPr>
        <w:lastRenderedPageBreak/>
        <mc:AlternateContent>
          <mc:Choice Requires="wps">
            <w:drawing>
              <wp:anchor distT="0" distB="0" distL="114300" distR="114300" simplePos="0" relativeHeight="251658240" behindDoc="0" locked="0" layoutInCell="1" allowOverlap="1" wp14:anchorId="41A6AA27" wp14:editId="7F15733A">
                <wp:simplePos x="0" y="0"/>
                <wp:positionH relativeFrom="margin">
                  <wp:align>center</wp:align>
                </wp:positionH>
                <wp:positionV relativeFrom="margin">
                  <wp:align>bottom</wp:align>
                </wp:positionV>
                <wp:extent cx="6115050" cy="5829300"/>
                <wp:effectExtent l="0" t="0" r="19050" b="19050"/>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29300"/>
                        </a:xfrm>
                        <a:prstGeom prst="rect">
                          <a:avLst/>
                        </a:prstGeom>
                        <a:solidFill>
                          <a:srgbClr val="FFFFFF"/>
                        </a:solidFill>
                        <a:ln w="9525">
                          <a:solidFill>
                            <a:schemeClr val="bg1"/>
                          </a:solidFill>
                          <a:miter lim="800000"/>
                          <a:headEnd/>
                          <a:tailEnd/>
                        </a:ln>
                      </wps:spPr>
                      <wps:txbx>
                        <w:txbxContent>
                          <w:p w14:paraId="658396E5" w14:textId="77777777" w:rsidR="00AD312A" w:rsidRPr="000B6CFC" w:rsidRDefault="00AD312A" w:rsidP="00D03691">
                            <w:pPr>
                              <w:rPr>
                                <w:i/>
                                <w:sz w:val="20"/>
                                <w:szCs w:val="20"/>
                                <w:lang w:val="en-US"/>
                              </w:rPr>
                            </w:pPr>
                            <w:r w:rsidRPr="000B6CFC">
                              <w:rPr>
                                <w:b/>
                                <w:sz w:val="20"/>
                                <w:szCs w:val="20"/>
                                <w:lang w:val="en-US"/>
                              </w:rPr>
                              <w:t>Table 1</w:t>
                            </w:r>
                            <w:r w:rsidRPr="000B6CFC">
                              <w:rPr>
                                <w:sz w:val="20"/>
                                <w:szCs w:val="20"/>
                                <w:lang w:val="en-US"/>
                              </w:rPr>
                              <w:t xml:space="preserve">: </w:t>
                            </w:r>
                            <w:r w:rsidRPr="000B6CFC">
                              <w:rPr>
                                <w:i/>
                                <w:sz w:val="20"/>
                                <w:szCs w:val="20"/>
                                <w:lang w:val="en-US"/>
                              </w:rPr>
                              <w:t xml:space="preserve">Baseline Characteristics of Study Population According to Age. </w:t>
                            </w:r>
                          </w:p>
                          <w:p w14:paraId="2A6BA45C" w14:textId="5FE50F3F" w:rsidR="00AD312A" w:rsidRDefault="00AD312A"/>
                          <w:tbl>
                            <w:tblPr>
                              <w:tblW w:w="9318"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559"/>
                              <w:gridCol w:w="1354"/>
                              <w:gridCol w:w="1080"/>
                              <w:gridCol w:w="1078"/>
                              <w:gridCol w:w="1078"/>
                              <w:gridCol w:w="1078"/>
                              <w:gridCol w:w="1091"/>
                            </w:tblGrid>
                            <w:tr w:rsidR="00AD312A" w:rsidRPr="00D03691" w14:paraId="096D2B55" w14:textId="77777777" w:rsidTr="00D03691">
                              <w:trPr>
                                <w:trHeight w:val="252"/>
                              </w:trPr>
                              <w:tc>
                                <w:tcPr>
                                  <w:tcW w:w="2559" w:type="dxa"/>
                                  <w:shd w:val="clear" w:color="auto" w:fill="auto"/>
                                  <w:noWrap/>
                                  <w:vAlign w:val="bottom"/>
                                  <w:hideMark/>
                                </w:tcPr>
                                <w:p w14:paraId="08AB278A"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29189FF1"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080" w:type="dxa"/>
                                  <w:shd w:val="clear" w:color="auto" w:fill="auto"/>
                                  <w:noWrap/>
                                  <w:vAlign w:val="bottom"/>
                                  <w:hideMark/>
                                </w:tcPr>
                                <w:p w14:paraId="30BCACFB"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5144D726"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58FEAEF6"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3D8AEB42" w14:textId="77777777" w:rsidR="00AD312A" w:rsidRPr="00D03691" w:rsidRDefault="00AD312A" w:rsidP="00D03691">
                                  <w:pPr>
                                    <w:rPr>
                                      <w:rFonts w:ascii="Calibri" w:hAnsi="Calibri" w:cs="Times New Roman"/>
                                      <w:color w:val="000000"/>
                                      <w:sz w:val="16"/>
                                      <w:szCs w:val="16"/>
                                      <w:lang w:bidi="ar-SA"/>
                                    </w:rPr>
                                  </w:pPr>
                                </w:p>
                              </w:tc>
                              <w:tc>
                                <w:tcPr>
                                  <w:tcW w:w="1091" w:type="dxa"/>
                                  <w:shd w:val="clear" w:color="auto" w:fill="auto"/>
                                  <w:noWrap/>
                                  <w:vAlign w:val="bottom"/>
                                  <w:hideMark/>
                                </w:tcPr>
                                <w:p w14:paraId="15701F4B"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3908DA6A" w14:textId="77777777" w:rsidTr="00D03691">
                              <w:trPr>
                                <w:trHeight w:val="252"/>
                              </w:trPr>
                              <w:tc>
                                <w:tcPr>
                                  <w:tcW w:w="2559" w:type="dxa"/>
                                  <w:shd w:val="clear" w:color="auto" w:fill="auto"/>
                                  <w:noWrap/>
                                  <w:vAlign w:val="bottom"/>
                                  <w:hideMark/>
                                </w:tcPr>
                                <w:p w14:paraId="3C24205D"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50FA6A5F" w14:textId="77777777" w:rsidR="00AD312A" w:rsidRPr="00D03691" w:rsidRDefault="00AD312A" w:rsidP="00D03691">
                                  <w:pPr>
                                    <w:rPr>
                                      <w:rFonts w:ascii="Calibri" w:hAnsi="Calibri" w:cs="Times New Roman"/>
                                      <w:b/>
                                      <w:bCs/>
                                      <w:i/>
                                      <w:iCs/>
                                      <w:sz w:val="16"/>
                                      <w:szCs w:val="16"/>
                                      <w:lang w:bidi="ar-SA"/>
                                    </w:rPr>
                                  </w:pPr>
                                  <w:r w:rsidRPr="00D03691">
                                    <w:rPr>
                                      <w:rFonts w:ascii="Calibri" w:hAnsi="Calibri" w:cs="Times New Roman"/>
                                      <w:b/>
                                      <w:bCs/>
                                      <w:i/>
                                      <w:iCs/>
                                      <w:sz w:val="16"/>
                                      <w:szCs w:val="16"/>
                                      <w:lang w:bidi="ar-SA"/>
                                    </w:rPr>
                                    <w:t xml:space="preserve">All (Age 20-90 </w:t>
                                  </w:r>
                                  <w:proofErr w:type="spellStart"/>
                                  <w:r w:rsidRPr="00D03691">
                                    <w:rPr>
                                      <w:rFonts w:ascii="Calibri" w:hAnsi="Calibri" w:cs="Times New Roman"/>
                                      <w:b/>
                                      <w:bCs/>
                                      <w:i/>
                                      <w:iCs/>
                                      <w:sz w:val="16"/>
                                      <w:szCs w:val="16"/>
                                      <w:lang w:bidi="ar-SA"/>
                                    </w:rPr>
                                    <w:t>years</w:t>
                                  </w:r>
                                  <w:proofErr w:type="spellEnd"/>
                                  <w:r w:rsidRPr="00D03691">
                                    <w:rPr>
                                      <w:rFonts w:ascii="Calibri" w:hAnsi="Calibri" w:cs="Times New Roman"/>
                                      <w:b/>
                                      <w:bCs/>
                                      <w:i/>
                                      <w:iCs/>
                                      <w:sz w:val="16"/>
                                      <w:szCs w:val="16"/>
                                      <w:lang w:bidi="ar-SA"/>
                                    </w:rPr>
                                    <w:t>)</w:t>
                                  </w:r>
                                </w:p>
                              </w:tc>
                              <w:tc>
                                <w:tcPr>
                                  <w:tcW w:w="1080" w:type="dxa"/>
                                  <w:shd w:val="clear" w:color="auto" w:fill="auto"/>
                                  <w:noWrap/>
                                  <w:vAlign w:val="bottom"/>
                                  <w:hideMark/>
                                </w:tcPr>
                                <w:p w14:paraId="31CFAF81"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20-35 </w:t>
                                  </w:r>
                                  <w:proofErr w:type="spellStart"/>
                                  <w:r w:rsidRPr="00D03691">
                                    <w:rPr>
                                      <w:rFonts w:ascii="Calibri" w:hAnsi="Calibri" w:cs="Times New Roman"/>
                                      <w:b/>
                                      <w:bCs/>
                                      <w:i/>
                                      <w:iCs/>
                                      <w:color w:val="000000"/>
                                      <w:sz w:val="16"/>
                                      <w:szCs w:val="16"/>
                                      <w:lang w:bidi="ar-SA"/>
                                    </w:rPr>
                                    <w:t>years</w:t>
                                  </w:r>
                                  <w:proofErr w:type="spellEnd"/>
                                </w:p>
                              </w:tc>
                              <w:tc>
                                <w:tcPr>
                                  <w:tcW w:w="1078" w:type="dxa"/>
                                  <w:shd w:val="clear" w:color="auto" w:fill="auto"/>
                                  <w:noWrap/>
                                  <w:vAlign w:val="bottom"/>
                                  <w:hideMark/>
                                </w:tcPr>
                                <w:p w14:paraId="078CBE69"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35-50 </w:t>
                                  </w:r>
                                  <w:proofErr w:type="spellStart"/>
                                  <w:r w:rsidRPr="00D03691">
                                    <w:rPr>
                                      <w:rFonts w:ascii="Calibri" w:hAnsi="Calibri" w:cs="Times New Roman"/>
                                      <w:b/>
                                      <w:bCs/>
                                      <w:i/>
                                      <w:iCs/>
                                      <w:color w:val="000000"/>
                                      <w:sz w:val="16"/>
                                      <w:szCs w:val="16"/>
                                      <w:lang w:bidi="ar-SA"/>
                                    </w:rPr>
                                    <w:t>years</w:t>
                                  </w:r>
                                  <w:proofErr w:type="spellEnd"/>
                                </w:p>
                              </w:tc>
                              <w:tc>
                                <w:tcPr>
                                  <w:tcW w:w="1078" w:type="dxa"/>
                                  <w:shd w:val="clear" w:color="auto" w:fill="auto"/>
                                  <w:noWrap/>
                                  <w:vAlign w:val="bottom"/>
                                  <w:hideMark/>
                                </w:tcPr>
                                <w:p w14:paraId="3D716DC1"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50-65 </w:t>
                                  </w:r>
                                  <w:proofErr w:type="spellStart"/>
                                  <w:r w:rsidRPr="00D03691">
                                    <w:rPr>
                                      <w:rFonts w:ascii="Calibri" w:hAnsi="Calibri" w:cs="Times New Roman"/>
                                      <w:b/>
                                      <w:bCs/>
                                      <w:i/>
                                      <w:iCs/>
                                      <w:color w:val="000000"/>
                                      <w:sz w:val="16"/>
                                      <w:szCs w:val="16"/>
                                      <w:lang w:bidi="ar-SA"/>
                                    </w:rPr>
                                    <w:t>years</w:t>
                                  </w:r>
                                  <w:proofErr w:type="spellEnd"/>
                                </w:p>
                              </w:tc>
                              <w:tc>
                                <w:tcPr>
                                  <w:tcW w:w="1078" w:type="dxa"/>
                                  <w:shd w:val="clear" w:color="auto" w:fill="auto"/>
                                  <w:noWrap/>
                                  <w:vAlign w:val="bottom"/>
                                  <w:hideMark/>
                                </w:tcPr>
                                <w:p w14:paraId="438C5403"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65-75 </w:t>
                                  </w:r>
                                  <w:proofErr w:type="spellStart"/>
                                  <w:r w:rsidRPr="00D03691">
                                    <w:rPr>
                                      <w:rFonts w:ascii="Calibri" w:hAnsi="Calibri" w:cs="Times New Roman"/>
                                      <w:b/>
                                      <w:bCs/>
                                      <w:i/>
                                      <w:iCs/>
                                      <w:color w:val="000000"/>
                                      <w:sz w:val="16"/>
                                      <w:szCs w:val="16"/>
                                      <w:lang w:bidi="ar-SA"/>
                                    </w:rPr>
                                    <w:t>years</w:t>
                                  </w:r>
                                  <w:proofErr w:type="spellEnd"/>
                                </w:p>
                              </w:tc>
                              <w:tc>
                                <w:tcPr>
                                  <w:tcW w:w="1091" w:type="dxa"/>
                                  <w:shd w:val="clear" w:color="auto" w:fill="auto"/>
                                  <w:noWrap/>
                                  <w:vAlign w:val="bottom"/>
                                  <w:hideMark/>
                                </w:tcPr>
                                <w:p w14:paraId="797FDB31"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75-90 </w:t>
                                  </w:r>
                                  <w:proofErr w:type="spellStart"/>
                                  <w:r w:rsidRPr="00D03691">
                                    <w:rPr>
                                      <w:rFonts w:ascii="Calibri" w:hAnsi="Calibri" w:cs="Times New Roman"/>
                                      <w:b/>
                                      <w:bCs/>
                                      <w:i/>
                                      <w:iCs/>
                                      <w:color w:val="000000"/>
                                      <w:sz w:val="16"/>
                                      <w:szCs w:val="16"/>
                                      <w:lang w:bidi="ar-SA"/>
                                    </w:rPr>
                                    <w:t>years</w:t>
                                  </w:r>
                                  <w:proofErr w:type="spellEnd"/>
                                </w:p>
                              </w:tc>
                            </w:tr>
                            <w:tr w:rsidR="00AD312A" w:rsidRPr="00D03691" w14:paraId="0BFEC2F2" w14:textId="77777777" w:rsidTr="00D03691">
                              <w:trPr>
                                <w:trHeight w:val="252"/>
                              </w:trPr>
                              <w:tc>
                                <w:tcPr>
                                  <w:tcW w:w="2559" w:type="dxa"/>
                                  <w:shd w:val="clear" w:color="auto" w:fill="auto"/>
                                  <w:noWrap/>
                                  <w:vAlign w:val="bottom"/>
                                  <w:hideMark/>
                                </w:tcPr>
                                <w:p w14:paraId="23AFF8D7"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30EA0BE6" w14:textId="77777777" w:rsidR="00AD312A" w:rsidRPr="00D03691" w:rsidRDefault="00AD312A" w:rsidP="00D03691">
                                  <w:pPr>
                                    <w:rPr>
                                      <w:rFonts w:ascii="Calibri" w:hAnsi="Calibri" w:cs="Times New Roman"/>
                                      <w:color w:val="FFC000"/>
                                      <w:sz w:val="16"/>
                                      <w:szCs w:val="16"/>
                                      <w:lang w:bidi="ar-SA"/>
                                    </w:rPr>
                                  </w:pPr>
                                  <w:r w:rsidRPr="00D03691">
                                    <w:rPr>
                                      <w:rFonts w:ascii="Calibri" w:hAnsi="Calibri" w:cs="Times New Roman"/>
                                      <w:color w:val="FFC000"/>
                                      <w:sz w:val="16"/>
                                      <w:szCs w:val="16"/>
                                      <w:lang w:bidi="ar-SA"/>
                                    </w:rPr>
                                    <w:t> </w:t>
                                  </w:r>
                                </w:p>
                              </w:tc>
                              <w:tc>
                                <w:tcPr>
                                  <w:tcW w:w="1080" w:type="dxa"/>
                                  <w:shd w:val="clear" w:color="auto" w:fill="auto"/>
                                  <w:noWrap/>
                                  <w:vAlign w:val="bottom"/>
                                  <w:hideMark/>
                                </w:tcPr>
                                <w:p w14:paraId="1DD74E73"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67E947B9"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7B717C04"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4BAF904D" w14:textId="77777777" w:rsidR="00AD312A" w:rsidRPr="00D03691" w:rsidRDefault="00AD312A" w:rsidP="00D03691">
                                  <w:pPr>
                                    <w:rPr>
                                      <w:rFonts w:ascii="Calibri" w:hAnsi="Calibri" w:cs="Times New Roman"/>
                                      <w:color w:val="000000"/>
                                      <w:sz w:val="16"/>
                                      <w:szCs w:val="16"/>
                                      <w:lang w:bidi="ar-SA"/>
                                    </w:rPr>
                                  </w:pPr>
                                </w:p>
                              </w:tc>
                              <w:tc>
                                <w:tcPr>
                                  <w:tcW w:w="1091" w:type="dxa"/>
                                  <w:shd w:val="clear" w:color="auto" w:fill="auto"/>
                                  <w:noWrap/>
                                  <w:vAlign w:val="bottom"/>
                                  <w:hideMark/>
                                </w:tcPr>
                                <w:p w14:paraId="293FB490"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7826554E" w14:textId="77777777" w:rsidTr="00D03691">
                              <w:trPr>
                                <w:trHeight w:val="252"/>
                              </w:trPr>
                              <w:tc>
                                <w:tcPr>
                                  <w:tcW w:w="2559" w:type="dxa"/>
                                  <w:shd w:val="clear" w:color="auto" w:fill="auto"/>
                                  <w:noWrap/>
                                  <w:vAlign w:val="bottom"/>
                                  <w:hideMark/>
                                </w:tcPr>
                                <w:p w14:paraId="47896E18"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N</w:t>
                                  </w:r>
                                </w:p>
                              </w:tc>
                              <w:tc>
                                <w:tcPr>
                                  <w:tcW w:w="1354" w:type="dxa"/>
                                  <w:shd w:val="clear" w:color="auto" w:fill="auto"/>
                                  <w:noWrap/>
                                  <w:vAlign w:val="bottom"/>
                                  <w:hideMark/>
                                </w:tcPr>
                                <w:p w14:paraId="7E5160B0"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139071</w:t>
                                  </w:r>
                                  <w:proofErr w:type="gramEnd"/>
                                </w:p>
                              </w:tc>
                              <w:tc>
                                <w:tcPr>
                                  <w:tcW w:w="1080" w:type="dxa"/>
                                  <w:shd w:val="clear" w:color="auto" w:fill="auto"/>
                                  <w:noWrap/>
                                  <w:vAlign w:val="bottom"/>
                                  <w:hideMark/>
                                </w:tcPr>
                                <w:p w14:paraId="12F73534"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1784</w:t>
                                  </w:r>
                                </w:p>
                              </w:tc>
                              <w:tc>
                                <w:tcPr>
                                  <w:tcW w:w="1078" w:type="dxa"/>
                                  <w:shd w:val="clear" w:color="auto" w:fill="auto"/>
                                  <w:noWrap/>
                                  <w:vAlign w:val="bottom"/>
                                  <w:hideMark/>
                                </w:tcPr>
                                <w:p w14:paraId="30C0C9B5"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7253</w:t>
                                  </w:r>
                                </w:p>
                              </w:tc>
                              <w:tc>
                                <w:tcPr>
                                  <w:tcW w:w="1078" w:type="dxa"/>
                                  <w:shd w:val="clear" w:color="auto" w:fill="auto"/>
                                  <w:noWrap/>
                                  <w:vAlign w:val="bottom"/>
                                  <w:hideMark/>
                                </w:tcPr>
                                <w:p w14:paraId="6F06F8F9"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30474</w:t>
                                  </w:r>
                                  <w:proofErr w:type="gramEnd"/>
                                </w:p>
                              </w:tc>
                              <w:tc>
                                <w:tcPr>
                                  <w:tcW w:w="1078" w:type="dxa"/>
                                  <w:shd w:val="clear" w:color="auto" w:fill="auto"/>
                                  <w:noWrap/>
                                  <w:vAlign w:val="bottom"/>
                                  <w:hideMark/>
                                </w:tcPr>
                                <w:p w14:paraId="798A4896"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36937</w:t>
                                  </w:r>
                                  <w:proofErr w:type="gramEnd"/>
                                </w:p>
                              </w:tc>
                              <w:tc>
                                <w:tcPr>
                                  <w:tcW w:w="1091" w:type="dxa"/>
                                  <w:shd w:val="clear" w:color="auto" w:fill="auto"/>
                                  <w:noWrap/>
                                  <w:vAlign w:val="bottom"/>
                                  <w:hideMark/>
                                </w:tcPr>
                                <w:p w14:paraId="490FA47E"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62623</w:t>
                                  </w:r>
                                  <w:proofErr w:type="gramEnd"/>
                                </w:p>
                              </w:tc>
                            </w:tr>
                            <w:tr w:rsidR="00AD312A" w:rsidRPr="00D03691" w14:paraId="05DEC9B5" w14:textId="77777777" w:rsidTr="00D03691">
                              <w:trPr>
                                <w:trHeight w:val="252"/>
                              </w:trPr>
                              <w:tc>
                                <w:tcPr>
                                  <w:tcW w:w="2559" w:type="dxa"/>
                                  <w:shd w:val="clear" w:color="auto" w:fill="auto"/>
                                  <w:noWrap/>
                                  <w:vAlign w:val="bottom"/>
                                  <w:hideMark/>
                                </w:tcPr>
                                <w:p w14:paraId="71A381E0"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Average Age (</w:t>
                                  </w:r>
                                  <w:proofErr w:type="spellStart"/>
                                  <w:r w:rsidRPr="00D03691">
                                    <w:rPr>
                                      <w:rFonts w:ascii="Calibri" w:hAnsi="Calibri" w:cs="Times New Roman"/>
                                      <w:i/>
                                      <w:iCs/>
                                      <w:color w:val="000000"/>
                                      <w:sz w:val="16"/>
                                      <w:szCs w:val="16"/>
                                      <w:lang w:bidi="ar-SA"/>
                                    </w:rPr>
                                    <w:t>years</w:t>
                                  </w:r>
                                  <w:proofErr w:type="spellEnd"/>
                                  <w:r w:rsidRPr="00D03691">
                                    <w:rPr>
                                      <w:rFonts w:ascii="Calibri" w:hAnsi="Calibri" w:cs="Times New Roman"/>
                                      <w:i/>
                                      <w:iCs/>
                                      <w:color w:val="000000"/>
                                      <w:sz w:val="16"/>
                                      <w:szCs w:val="16"/>
                                      <w:lang w:bidi="ar-SA"/>
                                    </w:rPr>
                                    <w:t>)</w:t>
                                  </w:r>
                                </w:p>
                              </w:tc>
                              <w:tc>
                                <w:tcPr>
                                  <w:tcW w:w="1354" w:type="dxa"/>
                                  <w:shd w:val="clear" w:color="auto" w:fill="auto"/>
                                  <w:noWrap/>
                                  <w:vAlign w:val="bottom"/>
                                  <w:hideMark/>
                                </w:tcPr>
                                <w:p w14:paraId="28BA67D6"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71.2</w:t>
                                  </w:r>
                                </w:p>
                              </w:tc>
                              <w:tc>
                                <w:tcPr>
                                  <w:tcW w:w="1080" w:type="dxa"/>
                                  <w:shd w:val="clear" w:color="auto" w:fill="auto"/>
                                  <w:noWrap/>
                                  <w:vAlign w:val="bottom"/>
                                  <w:hideMark/>
                                </w:tcPr>
                                <w:p w14:paraId="122E4128"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29.1</w:t>
                                  </w:r>
                                </w:p>
                              </w:tc>
                              <w:tc>
                                <w:tcPr>
                                  <w:tcW w:w="1078" w:type="dxa"/>
                                  <w:shd w:val="clear" w:color="auto" w:fill="auto"/>
                                  <w:noWrap/>
                                  <w:vAlign w:val="bottom"/>
                                  <w:hideMark/>
                                </w:tcPr>
                                <w:p w14:paraId="138648CA"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44.1</w:t>
                                  </w:r>
                                </w:p>
                              </w:tc>
                              <w:tc>
                                <w:tcPr>
                                  <w:tcW w:w="1078" w:type="dxa"/>
                                  <w:shd w:val="clear" w:color="auto" w:fill="auto"/>
                                  <w:noWrap/>
                                  <w:vAlign w:val="bottom"/>
                                  <w:hideMark/>
                                </w:tcPr>
                                <w:p w14:paraId="21A33C22"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59.0</w:t>
                                  </w:r>
                                </w:p>
                              </w:tc>
                              <w:tc>
                                <w:tcPr>
                                  <w:tcW w:w="1078" w:type="dxa"/>
                                  <w:shd w:val="clear" w:color="auto" w:fill="auto"/>
                                  <w:noWrap/>
                                  <w:vAlign w:val="bottom"/>
                                  <w:hideMark/>
                                </w:tcPr>
                                <w:p w14:paraId="0E46BA86"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70.3</w:t>
                                  </w:r>
                                </w:p>
                              </w:tc>
                              <w:tc>
                                <w:tcPr>
                                  <w:tcW w:w="1091" w:type="dxa"/>
                                  <w:shd w:val="clear" w:color="auto" w:fill="auto"/>
                                  <w:noWrap/>
                                  <w:vAlign w:val="bottom"/>
                                  <w:hideMark/>
                                </w:tcPr>
                                <w:p w14:paraId="4A6E55CF"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82.0</w:t>
                                  </w:r>
                                </w:p>
                              </w:tc>
                            </w:tr>
                            <w:tr w:rsidR="00AD312A" w:rsidRPr="00D03691" w14:paraId="58177DF2" w14:textId="77777777" w:rsidTr="00D03691">
                              <w:trPr>
                                <w:trHeight w:val="252"/>
                              </w:trPr>
                              <w:tc>
                                <w:tcPr>
                                  <w:tcW w:w="2559" w:type="dxa"/>
                                  <w:shd w:val="clear" w:color="auto" w:fill="auto"/>
                                  <w:noWrap/>
                                  <w:vAlign w:val="bottom"/>
                                  <w:hideMark/>
                                </w:tcPr>
                                <w:p w14:paraId="4EECE09F"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Sex (</w:t>
                                  </w:r>
                                  <w:proofErr w:type="spellStart"/>
                                  <w:r w:rsidRPr="00D03691">
                                    <w:rPr>
                                      <w:rFonts w:ascii="Calibri" w:hAnsi="Calibri" w:cs="Times New Roman"/>
                                      <w:i/>
                                      <w:iCs/>
                                      <w:color w:val="000000"/>
                                      <w:sz w:val="16"/>
                                      <w:szCs w:val="16"/>
                                      <w:lang w:bidi="ar-SA"/>
                                    </w:rPr>
                                    <w:t>Female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7072129E"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62704</w:t>
                                  </w:r>
                                  <w:proofErr w:type="gramEnd"/>
                                  <w:r w:rsidRPr="00D03691">
                                    <w:rPr>
                                      <w:rFonts w:ascii="Calibri" w:hAnsi="Calibri" w:cs="Times New Roman"/>
                                      <w:color w:val="000000"/>
                                      <w:sz w:val="16"/>
                                      <w:szCs w:val="16"/>
                                      <w:lang w:bidi="ar-SA"/>
                                    </w:rPr>
                                    <w:t xml:space="preserve"> (45.1)</w:t>
                                  </w:r>
                                </w:p>
                              </w:tc>
                              <w:tc>
                                <w:tcPr>
                                  <w:tcW w:w="1080" w:type="dxa"/>
                                  <w:shd w:val="clear" w:color="auto" w:fill="auto"/>
                                  <w:vAlign w:val="center"/>
                                  <w:hideMark/>
                                </w:tcPr>
                                <w:p w14:paraId="634135F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568 (31.8)</w:t>
                                  </w:r>
                                </w:p>
                              </w:tc>
                              <w:tc>
                                <w:tcPr>
                                  <w:tcW w:w="1078" w:type="dxa"/>
                                  <w:shd w:val="clear" w:color="auto" w:fill="auto"/>
                                  <w:vAlign w:val="center"/>
                                  <w:hideMark/>
                                </w:tcPr>
                                <w:p w14:paraId="57BFA38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2130 (29.4)</w:t>
                                  </w:r>
                                </w:p>
                              </w:tc>
                              <w:tc>
                                <w:tcPr>
                                  <w:tcW w:w="1078" w:type="dxa"/>
                                  <w:shd w:val="clear" w:color="auto" w:fill="auto"/>
                                  <w:vAlign w:val="center"/>
                                  <w:hideMark/>
                                </w:tcPr>
                                <w:p w14:paraId="6DF1AD1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9448 (31.0)</w:t>
                                  </w:r>
                                </w:p>
                              </w:tc>
                              <w:tc>
                                <w:tcPr>
                                  <w:tcW w:w="1078" w:type="dxa"/>
                                  <w:shd w:val="clear" w:color="auto" w:fill="auto"/>
                                  <w:vAlign w:val="center"/>
                                  <w:hideMark/>
                                </w:tcPr>
                                <w:p w14:paraId="6B892709"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14978</w:t>
                                  </w:r>
                                  <w:proofErr w:type="gramEnd"/>
                                  <w:r w:rsidRPr="00D03691">
                                    <w:rPr>
                                      <w:rFonts w:ascii="Calibri" w:hAnsi="Calibri" w:cs="Times New Roman"/>
                                      <w:color w:val="000000"/>
                                      <w:sz w:val="16"/>
                                      <w:szCs w:val="16"/>
                                      <w:lang w:bidi="ar-SA"/>
                                    </w:rPr>
                                    <w:t xml:space="preserve"> (40.6)</w:t>
                                  </w:r>
                                </w:p>
                              </w:tc>
                              <w:tc>
                                <w:tcPr>
                                  <w:tcW w:w="1091" w:type="dxa"/>
                                  <w:shd w:val="clear" w:color="auto" w:fill="auto"/>
                                  <w:vAlign w:val="center"/>
                                  <w:hideMark/>
                                </w:tcPr>
                                <w:p w14:paraId="07AB7797"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35580</w:t>
                                  </w:r>
                                  <w:proofErr w:type="gramEnd"/>
                                  <w:r w:rsidRPr="00D03691">
                                    <w:rPr>
                                      <w:rFonts w:ascii="Calibri" w:hAnsi="Calibri" w:cs="Times New Roman"/>
                                      <w:color w:val="000000"/>
                                      <w:sz w:val="16"/>
                                      <w:szCs w:val="16"/>
                                      <w:lang w:bidi="ar-SA"/>
                                    </w:rPr>
                                    <w:t xml:space="preserve"> (56.8)</w:t>
                                  </w:r>
                                </w:p>
                              </w:tc>
                            </w:tr>
                            <w:tr w:rsidR="00AD312A" w:rsidRPr="00D03691" w14:paraId="41285FC9" w14:textId="77777777" w:rsidTr="00D03691">
                              <w:trPr>
                                <w:trHeight w:val="252"/>
                              </w:trPr>
                              <w:tc>
                                <w:tcPr>
                                  <w:tcW w:w="2559" w:type="dxa"/>
                                  <w:shd w:val="clear" w:color="auto" w:fill="auto"/>
                                  <w:noWrap/>
                                  <w:vAlign w:val="bottom"/>
                                  <w:hideMark/>
                                </w:tcPr>
                                <w:p w14:paraId="18479F8F"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Previous</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Ischemic</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Stroke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0EC0E0FB"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15980</w:t>
                                  </w:r>
                                  <w:proofErr w:type="gramEnd"/>
                                  <w:r w:rsidRPr="00D03691">
                                    <w:rPr>
                                      <w:rFonts w:ascii="Calibri" w:hAnsi="Calibri" w:cs="Times New Roman"/>
                                      <w:color w:val="000000"/>
                                      <w:sz w:val="16"/>
                                      <w:szCs w:val="16"/>
                                      <w:lang w:bidi="ar-SA"/>
                                    </w:rPr>
                                    <w:t xml:space="preserve"> (11.5)</w:t>
                                  </w:r>
                                </w:p>
                              </w:tc>
                              <w:tc>
                                <w:tcPr>
                                  <w:tcW w:w="1080" w:type="dxa"/>
                                  <w:shd w:val="clear" w:color="auto" w:fill="auto"/>
                                  <w:vAlign w:val="center"/>
                                  <w:hideMark/>
                                </w:tcPr>
                                <w:p w14:paraId="1883C1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16 (</w:t>
                                  </w: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1198587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187 (2.6)</w:t>
                                  </w:r>
                                </w:p>
                              </w:tc>
                              <w:tc>
                                <w:tcPr>
                                  <w:tcW w:w="1078" w:type="dxa"/>
                                  <w:shd w:val="clear" w:color="auto" w:fill="auto"/>
                                  <w:vAlign w:val="center"/>
                                  <w:hideMark/>
                                </w:tcPr>
                                <w:p w14:paraId="1C87706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1847 (6.1)</w:t>
                                  </w:r>
                                </w:p>
                              </w:tc>
                              <w:tc>
                                <w:tcPr>
                                  <w:tcW w:w="1078" w:type="dxa"/>
                                  <w:shd w:val="clear" w:color="auto" w:fill="auto"/>
                                  <w:vAlign w:val="center"/>
                                  <w:hideMark/>
                                </w:tcPr>
                                <w:p w14:paraId="12EFF3B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4002 (10.8)</w:t>
                                  </w:r>
                                </w:p>
                              </w:tc>
                              <w:tc>
                                <w:tcPr>
                                  <w:tcW w:w="1091" w:type="dxa"/>
                                  <w:shd w:val="clear" w:color="auto" w:fill="auto"/>
                                  <w:vAlign w:val="center"/>
                                  <w:hideMark/>
                                </w:tcPr>
                                <w:p w14:paraId="1A6574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9928 (15.9)</w:t>
                                  </w:r>
                                </w:p>
                              </w:tc>
                            </w:tr>
                            <w:tr w:rsidR="00AD312A" w:rsidRPr="00D03691" w14:paraId="4674EAD3" w14:textId="77777777" w:rsidTr="00D03691">
                              <w:trPr>
                                <w:trHeight w:val="252"/>
                              </w:trPr>
                              <w:tc>
                                <w:tcPr>
                                  <w:tcW w:w="2559" w:type="dxa"/>
                                  <w:shd w:val="clear" w:color="auto" w:fill="auto"/>
                                  <w:noWrap/>
                                  <w:vAlign w:val="bottom"/>
                                  <w:hideMark/>
                                </w:tcPr>
                                <w:p w14:paraId="44EF7AE2"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Previous</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Hemorrhagic</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Stroke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324A1A4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1421 (1.0)</w:t>
                                  </w:r>
                                </w:p>
                              </w:tc>
                              <w:tc>
                                <w:tcPr>
                                  <w:tcW w:w="1080" w:type="dxa"/>
                                  <w:shd w:val="clear" w:color="auto" w:fill="auto"/>
                                  <w:vAlign w:val="center"/>
                                  <w:hideMark/>
                                </w:tcPr>
                                <w:p w14:paraId="5FDED80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 (</w:t>
                                  </w: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312744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39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7603018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249 (</w:t>
                                  </w:r>
                                  <w:proofErr w:type="gramStart"/>
                                  <w:r w:rsidRPr="00D03691">
                                    <w:rPr>
                                      <w:rFonts w:ascii="Calibri" w:hAnsi="Calibri" w:cs="Times New Roman"/>
                                      <w:color w:val="000000"/>
                                      <w:sz w:val="16"/>
                                      <w:szCs w:val="16"/>
                                      <w:lang w:bidi="ar-SA"/>
                                    </w:rPr>
                                    <w:t>0.8</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6C5DC9E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383 (1.0)</w:t>
                                  </w:r>
                                </w:p>
                              </w:tc>
                              <w:tc>
                                <w:tcPr>
                                  <w:tcW w:w="1091" w:type="dxa"/>
                                  <w:shd w:val="clear" w:color="auto" w:fill="auto"/>
                                  <w:vAlign w:val="center"/>
                                  <w:hideMark/>
                                </w:tcPr>
                                <w:p w14:paraId="651735B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744 (1.2)</w:t>
                                  </w:r>
                                </w:p>
                              </w:tc>
                            </w:tr>
                            <w:tr w:rsidR="00AD312A" w:rsidRPr="00D03691" w14:paraId="6AEB2282" w14:textId="77777777" w:rsidTr="00D03691">
                              <w:trPr>
                                <w:trHeight w:val="252"/>
                              </w:trPr>
                              <w:tc>
                                <w:tcPr>
                                  <w:tcW w:w="2559" w:type="dxa"/>
                                  <w:shd w:val="clear" w:color="auto" w:fill="auto"/>
                                  <w:noWrap/>
                                  <w:vAlign w:val="bottom"/>
                                  <w:hideMark/>
                                </w:tcPr>
                                <w:p w14:paraId="0E617AB8" w14:textId="77777777" w:rsidR="00AD312A" w:rsidRPr="00D03691" w:rsidRDefault="00AD312A" w:rsidP="00D03691">
                                  <w:pPr>
                                    <w:rPr>
                                      <w:rFonts w:ascii="Calibri" w:hAnsi="Calibri" w:cs="Times New Roman"/>
                                      <w:i/>
                                      <w:iCs/>
                                      <w:sz w:val="16"/>
                                      <w:szCs w:val="16"/>
                                      <w:lang w:bidi="ar-SA"/>
                                    </w:rPr>
                                  </w:pPr>
                                  <w:proofErr w:type="spellStart"/>
                                  <w:r w:rsidRPr="00D03691">
                                    <w:rPr>
                                      <w:rFonts w:ascii="Calibri" w:hAnsi="Calibri" w:cs="Times New Roman"/>
                                      <w:i/>
                                      <w:iCs/>
                                      <w:sz w:val="16"/>
                                      <w:szCs w:val="16"/>
                                      <w:lang w:bidi="ar-SA"/>
                                    </w:rPr>
                                    <w:t>Systemic</w:t>
                                  </w:r>
                                  <w:proofErr w:type="spellEnd"/>
                                  <w:r w:rsidRPr="00D03691">
                                    <w:rPr>
                                      <w:rFonts w:ascii="Calibri" w:hAnsi="Calibri" w:cs="Times New Roman"/>
                                      <w:i/>
                                      <w:iCs/>
                                      <w:sz w:val="16"/>
                                      <w:szCs w:val="16"/>
                                      <w:lang w:bidi="ar-SA"/>
                                    </w:rPr>
                                    <w:t xml:space="preserve"> </w:t>
                                  </w:r>
                                  <w:proofErr w:type="spellStart"/>
                                  <w:r w:rsidRPr="00D03691">
                                    <w:rPr>
                                      <w:rFonts w:ascii="Calibri" w:hAnsi="Calibri" w:cs="Times New Roman"/>
                                      <w:i/>
                                      <w:iCs/>
                                      <w:sz w:val="16"/>
                                      <w:szCs w:val="16"/>
                                      <w:lang w:bidi="ar-SA"/>
                                    </w:rPr>
                                    <w:t>Embolism</w:t>
                                  </w:r>
                                  <w:proofErr w:type="spellEnd"/>
                                  <w:r w:rsidRPr="00D03691">
                                    <w:rPr>
                                      <w:rFonts w:ascii="Calibri" w:hAnsi="Calibri" w:cs="Times New Roman"/>
                                      <w:i/>
                                      <w:iCs/>
                                      <w:sz w:val="16"/>
                                      <w:szCs w:val="16"/>
                                      <w:lang w:bidi="ar-SA"/>
                                    </w:rPr>
                                    <w:t>, No. (%)</w:t>
                                  </w:r>
                                </w:p>
                              </w:tc>
                              <w:tc>
                                <w:tcPr>
                                  <w:tcW w:w="1354" w:type="dxa"/>
                                  <w:shd w:val="clear" w:color="auto" w:fill="auto"/>
                                  <w:vAlign w:val="center"/>
                                  <w:hideMark/>
                                </w:tcPr>
                                <w:p w14:paraId="4CADA50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936 (</w:t>
                                  </w:r>
                                  <w:proofErr w:type="gramStart"/>
                                  <w:r w:rsidRPr="00D03691">
                                    <w:rPr>
                                      <w:rFonts w:ascii="Calibri" w:hAnsi="Calibri" w:cs="Times New Roman"/>
                                      <w:color w:val="000000"/>
                                      <w:sz w:val="16"/>
                                      <w:szCs w:val="16"/>
                                      <w:lang w:bidi="ar-SA"/>
                                    </w:rPr>
                                    <w:t>0.7</w:t>
                                  </w:r>
                                  <w:proofErr w:type="gramEnd"/>
                                  <w:r w:rsidRPr="00D03691">
                                    <w:rPr>
                                      <w:rFonts w:ascii="Calibri" w:hAnsi="Calibri" w:cs="Times New Roman"/>
                                      <w:color w:val="000000"/>
                                      <w:sz w:val="16"/>
                                      <w:szCs w:val="16"/>
                                      <w:lang w:bidi="ar-SA"/>
                                    </w:rPr>
                                    <w:t>)</w:t>
                                  </w:r>
                                </w:p>
                              </w:tc>
                              <w:tc>
                                <w:tcPr>
                                  <w:tcW w:w="1080" w:type="dxa"/>
                                  <w:shd w:val="clear" w:color="auto" w:fill="auto"/>
                                  <w:vAlign w:val="center"/>
                                  <w:hideMark/>
                                </w:tcPr>
                                <w:p w14:paraId="3CA1FD7A"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xml:space="preserve"> 1 (</w:t>
                                  </w: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2D8600AC"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25 (</w:t>
                                  </w: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8D487A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141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5C65AC5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219 (</w:t>
                                  </w:r>
                                  <w:proofErr w:type="gramStart"/>
                                  <w:r w:rsidRPr="00D03691">
                                    <w:rPr>
                                      <w:rFonts w:ascii="Calibri" w:hAnsi="Calibri" w:cs="Times New Roman"/>
                                      <w:color w:val="000000"/>
                                      <w:sz w:val="16"/>
                                      <w:szCs w:val="16"/>
                                      <w:lang w:bidi="ar-SA"/>
                                    </w:rPr>
                                    <w:t>0.6</w:t>
                                  </w:r>
                                  <w:proofErr w:type="gramEnd"/>
                                  <w:r w:rsidRPr="00D03691">
                                    <w:rPr>
                                      <w:rFonts w:ascii="Calibri" w:hAnsi="Calibri" w:cs="Times New Roman"/>
                                      <w:color w:val="000000"/>
                                      <w:sz w:val="16"/>
                                      <w:szCs w:val="16"/>
                                      <w:lang w:bidi="ar-SA"/>
                                    </w:rPr>
                                    <w:t>)</w:t>
                                  </w:r>
                                </w:p>
                              </w:tc>
                              <w:tc>
                                <w:tcPr>
                                  <w:tcW w:w="1091" w:type="dxa"/>
                                  <w:shd w:val="clear" w:color="auto" w:fill="auto"/>
                                  <w:vAlign w:val="center"/>
                                  <w:hideMark/>
                                </w:tcPr>
                                <w:p w14:paraId="43929F0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550 (</w:t>
                                  </w:r>
                                  <w:proofErr w:type="gramStart"/>
                                  <w:r w:rsidRPr="00D03691">
                                    <w:rPr>
                                      <w:rFonts w:ascii="Calibri" w:hAnsi="Calibri" w:cs="Times New Roman"/>
                                      <w:color w:val="000000"/>
                                      <w:sz w:val="16"/>
                                      <w:szCs w:val="16"/>
                                      <w:lang w:bidi="ar-SA"/>
                                    </w:rPr>
                                    <w:t>0.9</w:t>
                                  </w:r>
                                  <w:proofErr w:type="gramEnd"/>
                                  <w:r w:rsidRPr="00D03691">
                                    <w:rPr>
                                      <w:rFonts w:ascii="Calibri" w:hAnsi="Calibri" w:cs="Times New Roman"/>
                                      <w:color w:val="000000"/>
                                      <w:sz w:val="16"/>
                                      <w:szCs w:val="16"/>
                                      <w:lang w:bidi="ar-SA"/>
                                    </w:rPr>
                                    <w:t>)</w:t>
                                  </w:r>
                                </w:p>
                              </w:tc>
                            </w:tr>
                            <w:tr w:rsidR="00AD312A" w:rsidRPr="00D03691" w14:paraId="770D36F6" w14:textId="77777777" w:rsidTr="00D03691">
                              <w:trPr>
                                <w:trHeight w:val="252"/>
                              </w:trPr>
                              <w:tc>
                                <w:tcPr>
                                  <w:tcW w:w="2559" w:type="dxa"/>
                                  <w:shd w:val="clear" w:color="auto" w:fill="auto"/>
                                  <w:noWrap/>
                                  <w:vAlign w:val="bottom"/>
                                  <w:hideMark/>
                                </w:tcPr>
                                <w:p w14:paraId="5997CF0F" w14:textId="77777777" w:rsidR="00AD312A" w:rsidRPr="00D03691" w:rsidRDefault="00AD312A" w:rsidP="00D03691">
                                  <w:pPr>
                                    <w:rPr>
                                      <w:rFonts w:ascii="Calibri" w:hAnsi="Calibri" w:cs="Times New Roman"/>
                                      <w:i/>
                                      <w:iCs/>
                                      <w:color w:val="000000"/>
                                      <w:sz w:val="16"/>
                                      <w:szCs w:val="16"/>
                                      <w:lang w:val="en-US" w:bidi="ar-SA"/>
                                    </w:rPr>
                                  </w:pPr>
                                  <w:r w:rsidRPr="00D03691">
                                    <w:rPr>
                                      <w:rFonts w:ascii="Calibri" w:hAnsi="Calibri" w:cs="Times New Roman"/>
                                      <w:i/>
                                      <w:iCs/>
                                      <w:color w:val="000000"/>
                                      <w:sz w:val="16"/>
                                      <w:szCs w:val="16"/>
                                      <w:lang w:val="en-US" w:bidi="ar-SA"/>
                                    </w:rPr>
                                    <w:t>Previous Transient Cerebral Ischemia, No. (%)</w:t>
                                  </w:r>
                                </w:p>
                              </w:tc>
                              <w:tc>
                                <w:tcPr>
                                  <w:tcW w:w="1354" w:type="dxa"/>
                                  <w:shd w:val="clear" w:color="auto" w:fill="auto"/>
                                  <w:vAlign w:val="center"/>
                                  <w:hideMark/>
                                </w:tcPr>
                                <w:p w14:paraId="2FEF59A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5841 (4.2)</w:t>
                                  </w:r>
                                </w:p>
                              </w:tc>
                              <w:tc>
                                <w:tcPr>
                                  <w:tcW w:w="1080" w:type="dxa"/>
                                  <w:shd w:val="clear" w:color="auto" w:fill="auto"/>
                                  <w:vAlign w:val="center"/>
                                  <w:hideMark/>
                                </w:tcPr>
                                <w:p w14:paraId="0C4E2D8A"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2E35B58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77 (1.1)</w:t>
                                  </w:r>
                                </w:p>
                              </w:tc>
                              <w:tc>
                                <w:tcPr>
                                  <w:tcW w:w="1078" w:type="dxa"/>
                                  <w:shd w:val="clear" w:color="auto" w:fill="auto"/>
                                  <w:vAlign w:val="center"/>
                                  <w:hideMark/>
                                </w:tcPr>
                                <w:p w14:paraId="5D814D2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780 (2.6)</w:t>
                                  </w:r>
                                </w:p>
                              </w:tc>
                              <w:tc>
                                <w:tcPr>
                                  <w:tcW w:w="1078" w:type="dxa"/>
                                  <w:shd w:val="clear" w:color="auto" w:fill="auto"/>
                                  <w:vAlign w:val="center"/>
                                  <w:hideMark/>
                                </w:tcPr>
                                <w:p w14:paraId="44791CC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1523 (4.1)</w:t>
                                  </w:r>
                                </w:p>
                              </w:tc>
                              <w:tc>
                                <w:tcPr>
                                  <w:tcW w:w="1091" w:type="dxa"/>
                                  <w:shd w:val="clear" w:color="auto" w:fill="auto"/>
                                  <w:vAlign w:val="center"/>
                                  <w:hideMark/>
                                </w:tcPr>
                                <w:p w14:paraId="755272D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3452 (5.5)</w:t>
                                  </w:r>
                                </w:p>
                              </w:tc>
                            </w:tr>
                            <w:tr w:rsidR="00AD312A" w:rsidRPr="00D03691" w14:paraId="29B9CA3B" w14:textId="77777777" w:rsidTr="00D03691">
                              <w:trPr>
                                <w:trHeight w:val="252"/>
                              </w:trPr>
                              <w:tc>
                                <w:tcPr>
                                  <w:tcW w:w="2559" w:type="dxa"/>
                                  <w:shd w:val="clear" w:color="auto" w:fill="auto"/>
                                  <w:noWrap/>
                                  <w:vAlign w:val="bottom"/>
                                  <w:hideMark/>
                                </w:tcPr>
                                <w:p w14:paraId="510281DD"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Previous</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Stroke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683CD6EC"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20814</w:t>
                                  </w:r>
                                  <w:proofErr w:type="gramEnd"/>
                                  <w:r w:rsidRPr="00D03691">
                                    <w:rPr>
                                      <w:rFonts w:ascii="Calibri" w:hAnsi="Calibri" w:cs="Times New Roman"/>
                                      <w:color w:val="000000"/>
                                      <w:sz w:val="16"/>
                                      <w:szCs w:val="16"/>
                                      <w:lang w:bidi="ar-SA"/>
                                    </w:rPr>
                                    <w:t xml:space="preserve"> (15.0)</w:t>
                                  </w:r>
                                </w:p>
                              </w:tc>
                              <w:tc>
                                <w:tcPr>
                                  <w:tcW w:w="1080" w:type="dxa"/>
                                  <w:shd w:val="clear" w:color="auto" w:fill="auto"/>
                                  <w:vAlign w:val="center"/>
                                  <w:hideMark/>
                                </w:tcPr>
                                <w:p w14:paraId="010DFB3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29 (1.6)</w:t>
                                  </w:r>
                                </w:p>
                              </w:tc>
                              <w:tc>
                                <w:tcPr>
                                  <w:tcW w:w="1078" w:type="dxa"/>
                                  <w:shd w:val="clear" w:color="auto" w:fill="auto"/>
                                  <w:vAlign w:val="center"/>
                                  <w:hideMark/>
                                </w:tcPr>
                                <w:p w14:paraId="106A706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267 (3.7)</w:t>
                                  </w:r>
                                </w:p>
                              </w:tc>
                              <w:tc>
                                <w:tcPr>
                                  <w:tcW w:w="1078" w:type="dxa"/>
                                  <w:shd w:val="clear" w:color="auto" w:fill="auto"/>
                                  <w:vAlign w:val="center"/>
                                  <w:hideMark/>
                                </w:tcPr>
                                <w:p w14:paraId="5E65EA1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2557 (8.4)</w:t>
                                  </w:r>
                                </w:p>
                              </w:tc>
                              <w:tc>
                                <w:tcPr>
                                  <w:tcW w:w="1078" w:type="dxa"/>
                                  <w:shd w:val="clear" w:color="auto" w:fill="auto"/>
                                  <w:vAlign w:val="center"/>
                                  <w:hideMark/>
                                </w:tcPr>
                                <w:p w14:paraId="06D26A2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5285 (14.3)</w:t>
                                  </w:r>
                                </w:p>
                              </w:tc>
                              <w:tc>
                                <w:tcPr>
                                  <w:tcW w:w="1091" w:type="dxa"/>
                                  <w:shd w:val="clear" w:color="auto" w:fill="auto"/>
                                  <w:vAlign w:val="center"/>
                                  <w:hideMark/>
                                </w:tcPr>
                                <w:p w14:paraId="51404592"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12676</w:t>
                                  </w:r>
                                  <w:proofErr w:type="gramEnd"/>
                                  <w:r w:rsidRPr="00D03691">
                                    <w:rPr>
                                      <w:rFonts w:ascii="Calibri" w:hAnsi="Calibri" w:cs="Times New Roman"/>
                                      <w:color w:val="000000"/>
                                      <w:sz w:val="16"/>
                                      <w:szCs w:val="16"/>
                                      <w:lang w:bidi="ar-SA"/>
                                    </w:rPr>
                                    <w:t xml:space="preserve"> (20.2)</w:t>
                                  </w:r>
                                </w:p>
                              </w:tc>
                            </w:tr>
                            <w:tr w:rsidR="00AD312A" w:rsidRPr="00D03691" w14:paraId="7829F53E" w14:textId="77777777" w:rsidTr="00D03691">
                              <w:trPr>
                                <w:trHeight w:val="252"/>
                              </w:trPr>
                              <w:tc>
                                <w:tcPr>
                                  <w:tcW w:w="2559" w:type="dxa"/>
                                  <w:shd w:val="clear" w:color="auto" w:fill="auto"/>
                                  <w:noWrap/>
                                  <w:vAlign w:val="bottom"/>
                                  <w:hideMark/>
                                </w:tcPr>
                                <w:p w14:paraId="57900B41"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xml:space="preserve">Heart </w:t>
                                  </w:r>
                                  <w:proofErr w:type="spellStart"/>
                                  <w:r w:rsidRPr="00D03691">
                                    <w:rPr>
                                      <w:rFonts w:ascii="Calibri" w:hAnsi="Calibri" w:cs="Times New Roman"/>
                                      <w:i/>
                                      <w:iCs/>
                                      <w:color w:val="000000"/>
                                      <w:sz w:val="16"/>
                                      <w:szCs w:val="16"/>
                                      <w:lang w:bidi="ar-SA"/>
                                    </w:rPr>
                                    <w:t>Failure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4C0CA3F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23359</w:t>
                                  </w:r>
                                  <w:proofErr w:type="gramEnd"/>
                                  <w:r w:rsidRPr="00D03691">
                                    <w:rPr>
                                      <w:rFonts w:ascii="Calibri" w:hAnsi="Calibri" w:cs="Times New Roman"/>
                                      <w:color w:val="000000"/>
                                      <w:sz w:val="16"/>
                                      <w:szCs w:val="16"/>
                                      <w:lang w:bidi="ar-SA"/>
                                    </w:rPr>
                                    <w:t xml:space="preserve"> (16.8)</w:t>
                                  </w:r>
                                </w:p>
                              </w:tc>
                              <w:tc>
                                <w:tcPr>
                                  <w:tcW w:w="1080" w:type="dxa"/>
                                  <w:shd w:val="clear" w:color="auto" w:fill="auto"/>
                                  <w:vAlign w:val="center"/>
                                  <w:hideMark/>
                                </w:tcPr>
                                <w:p w14:paraId="1BFA1A8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50 (2.8)</w:t>
                                  </w:r>
                                </w:p>
                              </w:tc>
                              <w:tc>
                                <w:tcPr>
                                  <w:tcW w:w="1078" w:type="dxa"/>
                                  <w:shd w:val="clear" w:color="auto" w:fill="auto"/>
                                  <w:vAlign w:val="center"/>
                                  <w:hideMark/>
                                </w:tcPr>
                                <w:p w14:paraId="64D8C64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461 (6.4)</w:t>
                                  </w:r>
                                </w:p>
                              </w:tc>
                              <w:tc>
                                <w:tcPr>
                                  <w:tcW w:w="1078" w:type="dxa"/>
                                  <w:shd w:val="clear" w:color="auto" w:fill="auto"/>
                                  <w:vAlign w:val="center"/>
                                  <w:hideMark/>
                                </w:tcPr>
                                <w:p w14:paraId="6B3B305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3406 (11.2)</w:t>
                                  </w:r>
                                </w:p>
                              </w:tc>
                              <w:tc>
                                <w:tcPr>
                                  <w:tcW w:w="1078" w:type="dxa"/>
                                  <w:shd w:val="clear" w:color="auto" w:fill="auto"/>
                                  <w:vAlign w:val="center"/>
                                  <w:hideMark/>
                                </w:tcPr>
                                <w:p w14:paraId="58BB3DD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5849 (15.8)</w:t>
                                  </w:r>
                                </w:p>
                              </w:tc>
                              <w:tc>
                                <w:tcPr>
                                  <w:tcW w:w="1091" w:type="dxa"/>
                                  <w:shd w:val="clear" w:color="auto" w:fill="auto"/>
                                  <w:vAlign w:val="center"/>
                                  <w:hideMark/>
                                </w:tcPr>
                                <w:p w14:paraId="223F79A2"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13593</w:t>
                                  </w:r>
                                  <w:proofErr w:type="gramEnd"/>
                                  <w:r w:rsidRPr="00D03691">
                                    <w:rPr>
                                      <w:rFonts w:ascii="Calibri" w:hAnsi="Calibri" w:cs="Times New Roman"/>
                                      <w:color w:val="000000"/>
                                      <w:sz w:val="16"/>
                                      <w:szCs w:val="16"/>
                                      <w:lang w:bidi="ar-SA"/>
                                    </w:rPr>
                                    <w:t xml:space="preserve"> (21.7)</w:t>
                                  </w:r>
                                </w:p>
                              </w:tc>
                            </w:tr>
                            <w:tr w:rsidR="00AD312A" w:rsidRPr="00D03691" w14:paraId="0AB31558" w14:textId="77777777" w:rsidTr="00D03691">
                              <w:trPr>
                                <w:trHeight w:val="252"/>
                              </w:trPr>
                              <w:tc>
                                <w:tcPr>
                                  <w:tcW w:w="2559" w:type="dxa"/>
                                  <w:shd w:val="clear" w:color="auto" w:fill="auto"/>
                                  <w:noWrap/>
                                  <w:vAlign w:val="bottom"/>
                                  <w:hideMark/>
                                </w:tcPr>
                                <w:p w14:paraId="7CB250F8"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xml:space="preserve">Prior </w:t>
                                  </w:r>
                                  <w:proofErr w:type="spellStart"/>
                                  <w:r w:rsidRPr="00D03691">
                                    <w:rPr>
                                      <w:rFonts w:ascii="Calibri" w:hAnsi="Calibri" w:cs="Times New Roman"/>
                                      <w:i/>
                                      <w:iCs/>
                                      <w:color w:val="000000"/>
                                      <w:sz w:val="16"/>
                                      <w:szCs w:val="16"/>
                                      <w:lang w:bidi="ar-SA"/>
                                    </w:rPr>
                                    <w:t>Myocardial</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Infarction</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5FD92743"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14342</w:t>
                                  </w:r>
                                  <w:proofErr w:type="gramEnd"/>
                                  <w:r w:rsidRPr="00D03691">
                                    <w:rPr>
                                      <w:rFonts w:ascii="Calibri" w:hAnsi="Calibri" w:cs="Times New Roman"/>
                                      <w:color w:val="000000"/>
                                      <w:sz w:val="16"/>
                                      <w:szCs w:val="16"/>
                                      <w:lang w:bidi="ar-SA"/>
                                    </w:rPr>
                                    <w:t xml:space="preserve"> (10.3)</w:t>
                                  </w:r>
                                </w:p>
                              </w:tc>
                              <w:tc>
                                <w:tcPr>
                                  <w:tcW w:w="1080" w:type="dxa"/>
                                  <w:shd w:val="clear" w:color="auto" w:fill="auto"/>
                                  <w:vAlign w:val="center"/>
                                  <w:hideMark/>
                                </w:tcPr>
                                <w:p w14:paraId="28C4283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12 (</w:t>
                                  </w:r>
                                  <w:proofErr w:type="gramStart"/>
                                  <w:r w:rsidRPr="00D03691">
                                    <w:rPr>
                                      <w:rFonts w:ascii="Calibri" w:hAnsi="Calibri" w:cs="Times New Roman"/>
                                      <w:color w:val="000000"/>
                                      <w:sz w:val="16"/>
                                      <w:szCs w:val="16"/>
                                      <w:lang w:bidi="ar-SA"/>
                                    </w:rPr>
                                    <w:t>0.7</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8473E3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235 (3.2)</w:t>
                                  </w:r>
                                </w:p>
                              </w:tc>
                              <w:tc>
                                <w:tcPr>
                                  <w:tcW w:w="1078" w:type="dxa"/>
                                  <w:shd w:val="clear" w:color="auto" w:fill="auto"/>
                                  <w:vAlign w:val="center"/>
                                  <w:hideMark/>
                                </w:tcPr>
                                <w:p w14:paraId="3029957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2355 (7.7)</w:t>
                                  </w:r>
                                </w:p>
                              </w:tc>
                              <w:tc>
                                <w:tcPr>
                                  <w:tcW w:w="1078" w:type="dxa"/>
                                  <w:shd w:val="clear" w:color="auto" w:fill="auto"/>
                                  <w:vAlign w:val="center"/>
                                  <w:hideMark/>
                                </w:tcPr>
                                <w:p w14:paraId="46581B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4159 (11.3)</w:t>
                                  </w:r>
                                </w:p>
                              </w:tc>
                              <w:tc>
                                <w:tcPr>
                                  <w:tcW w:w="1091" w:type="dxa"/>
                                  <w:shd w:val="clear" w:color="auto" w:fill="auto"/>
                                  <w:vAlign w:val="center"/>
                                  <w:hideMark/>
                                </w:tcPr>
                                <w:p w14:paraId="3D19327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7581 (12.1)</w:t>
                                  </w:r>
                                </w:p>
                              </w:tc>
                            </w:tr>
                            <w:tr w:rsidR="00AD312A" w:rsidRPr="00D03691" w14:paraId="10067162" w14:textId="77777777" w:rsidTr="00D03691">
                              <w:trPr>
                                <w:trHeight w:val="252"/>
                              </w:trPr>
                              <w:tc>
                                <w:tcPr>
                                  <w:tcW w:w="2559" w:type="dxa"/>
                                  <w:shd w:val="clear" w:color="auto" w:fill="auto"/>
                                  <w:noWrap/>
                                  <w:vAlign w:val="bottom"/>
                                  <w:hideMark/>
                                </w:tcPr>
                                <w:p w14:paraId="13469754" w14:textId="77777777" w:rsidR="00AD312A" w:rsidRPr="00D03691" w:rsidRDefault="00AD312A" w:rsidP="00D03691">
                                  <w:pPr>
                                    <w:rPr>
                                      <w:rFonts w:ascii="Calibri" w:hAnsi="Calibri" w:cs="Times New Roman"/>
                                      <w:i/>
                                      <w:iCs/>
                                      <w:sz w:val="16"/>
                                      <w:szCs w:val="16"/>
                                      <w:lang w:bidi="ar-SA"/>
                                    </w:rPr>
                                  </w:pPr>
                                  <w:proofErr w:type="spellStart"/>
                                  <w:r w:rsidRPr="00D03691">
                                    <w:rPr>
                                      <w:rFonts w:ascii="Calibri" w:hAnsi="Calibri" w:cs="Times New Roman"/>
                                      <w:i/>
                                      <w:iCs/>
                                      <w:sz w:val="16"/>
                                      <w:szCs w:val="16"/>
                                      <w:lang w:bidi="ar-SA"/>
                                    </w:rPr>
                                    <w:t>Periphery</w:t>
                                  </w:r>
                                  <w:proofErr w:type="spellEnd"/>
                                  <w:r w:rsidRPr="00D03691">
                                    <w:rPr>
                                      <w:rFonts w:ascii="Calibri" w:hAnsi="Calibri" w:cs="Times New Roman"/>
                                      <w:i/>
                                      <w:iCs/>
                                      <w:sz w:val="16"/>
                                      <w:szCs w:val="16"/>
                                      <w:lang w:bidi="ar-SA"/>
                                    </w:rPr>
                                    <w:t xml:space="preserve"> </w:t>
                                  </w:r>
                                  <w:proofErr w:type="spellStart"/>
                                  <w:r w:rsidRPr="00D03691">
                                    <w:rPr>
                                      <w:rFonts w:ascii="Calibri" w:hAnsi="Calibri" w:cs="Times New Roman"/>
                                      <w:i/>
                                      <w:iCs/>
                                      <w:sz w:val="16"/>
                                      <w:szCs w:val="16"/>
                                      <w:lang w:bidi="ar-SA"/>
                                    </w:rPr>
                                    <w:t>Ischemic</w:t>
                                  </w:r>
                                  <w:proofErr w:type="spellEnd"/>
                                  <w:r w:rsidRPr="00D03691">
                                    <w:rPr>
                                      <w:rFonts w:ascii="Calibri" w:hAnsi="Calibri" w:cs="Times New Roman"/>
                                      <w:i/>
                                      <w:iCs/>
                                      <w:sz w:val="16"/>
                                      <w:szCs w:val="16"/>
                                      <w:lang w:bidi="ar-SA"/>
                                    </w:rPr>
                                    <w:t xml:space="preserve"> </w:t>
                                  </w:r>
                                  <w:proofErr w:type="spellStart"/>
                                  <w:r w:rsidRPr="00D03691">
                                    <w:rPr>
                                      <w:rFonts w:ascii="Calibri" w:hAnsi="Calibri" w:cs="Times New Roman"/>
                                      <w:i/>
                                      <w:iCs/>
                                      <w:sz w:val="16"/>
                                      <w:szCs w:val="16"/>
                                      <w:lang w:bidi="ar-SA"/>
                                    </w:rPr>
                                    <w:t>Disease</w:t>
                                  </w:r>
                                  <w:proofErr w:type="spellEnd"/>
                                  <w:r w:rsidRPr="00D03691">
                                    <w:rPr>
                                      <w:rFonts w:ascii="Calibri" w:hAnsi="Calibri" w:cs="Times New Roman"/>
                                      <w:i/>
                                      <w:iCs/>
                                      <w:sz w:val="16"/>
                                      <w:szCs w:val="16"/>
                                      <w:lang w:bidi="ar-SA"/>
                                    </w:rPr>
                                    <w:t>, No. (%)</w:t>
                                  </w:r>
                                </w:p>
                              </w:tc>
                              <w:tc>
                                <w:tcPr>
                                  <w:tcW w:w="1354" w:type="dxa"/>
                                  <w:shd w:val="clear" w:color="auto" w:fill="auto"/>
                                  <w:vAlign w:val="center"/>
                                  <w:hideMark/>
                                </w:tcPr>
                                <w:p w14:paraId="16283A8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10813</w:t>
                                  </w:r>
                                  <w:proofErr w:type="gramEnd"/>
                                  <w:r w:rsidRPr="00D03691">
                                    <w:rPr>
                                      <w:rFonts w:ascii="Calibri" w:hAnsi="Calibri" w:cs="Times New Roman"/>
                                      <w:color w:val="000000"/>
                                      <w:sz w:val="16"/>
                                      <w:szCs w:val="16"/>
                                      <w:lang w:bidi="ar-SA"/>
                                    </w:rPr>
                                    <w:t xml:space="preserve"> (7.8)</w:t>
                                  </w:r>
                                </w:p>
                              </w:tc>
                              <w:tc>
                                <w:tcPr>
                                  <w:tcW w:w="1080" w:type="dxa"/>
                                  <w:shd w:val="clear" w:color="auto" w:fill="auto"/>
                                  <w:vAlign w:val="center"/>
                                  <w:hideMark/>
                                </w:tcPr>
                                <w:p w14:paraId="2058F0D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 (</w:t>
                                  </w:r>
                                  <w:proofErr w:type="gramStart"/>
                                  <w:r w:rsidRPr="00D03691">
                                    <w:rPr>
                                      <w:rFonts w:ascii="Calibri" w:hAnsi="Calibri" w:cs="Times New Roman"/>
                                      <w:color w:val="000000"/>
                                      <w:sz w:val="16"/>
                                      <w:szCs w:val="16"/>
                                      <w:lang w:bidi="ar-SA"/>
                                    </w:rPr>
                                    <w:t>0.8</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F1BD4E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131 (1.8)</w:t>
                                  </w:r>
                                </w:p>
                              </w:tc>
                              <w:tc>
                                <w:tcPr>
                                  <w:tcW w:w="1078" w:type="dxa"/>
                                  <w:shd w:val="clear" w:color="auto" w:fill="auto"/>
                                  <w:vAlign w:val="center"/>
                                  <w:hideMark/>
                                </w:tcPr>
                                <w:p w14:paraId="39C44EC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1410 (4.6)</w:t>
                                  </w:r>
                                </w:p>
                              </w:tc>
                              <w:tc>
                                <w:tcPr>
                                  <w:tcW w:w="1078" w:type="dxa"/>
                                  <w:shd w:val="clear" w:color="auto" w:fill="auto"/>
                                  <w:vAlign w:val="center"/>
                                  <w:hideMark/>
                                </w:tcPr>
                                <w:p w14:paraId="3B0E26F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3133 (8.5)</w:t>
                                  </w:r>
                                </w:p>
                              </w:tc>
                              <w:tc>
                                <w:tcPr>
                                  <w:tcW w:w="1091" w:type="dxa"/>
                                  <w:shd w:val="clear" w:color="auto" w:fill="auto"/>
                                  <w:vAlign w:val="center"/>
                                  <w:hideMark/>
                                </w:tcPr>
                                <w:p w14:paraId="28F9BE4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6125 (9.8)</w:t>
                                  </w:r>
                                </w:p>
                              </w:tc>
                            </w:tr>
                            <w:tr w:rsidR="00AD312A" w:rsidRPr="00D03691" w14:paraId="015179D2" w14:textId="77777777" w:rsidTr="00D03691">
                              <w:trPr>
                                <w:trHeight w:val="252"/>
                              </w:trPr>
                              <w:tc>
                                <w:tcPr>
                                  <w:tcW w:w="2559" w:type="dxa"/>
                                  <w:shd w:val="clear" w:color="auto" w:fill="auto"/>
                                  <w:noWrap/>
                                  <w:vAlign w:val="bottom"/>
                                  <w:hideMark/>
                                </w:tcPr>
                                <w:p w14:paraId="6238752C"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Vascular</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Disease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2AF3F825"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22929</w:t>
                                  </w:r>
                                  <w:proofErr w:type="gramEnd"/>
                                  <w:r w:rsidRPr="00D03691">
                                    <w:rPr>
                                      <w:rFonts w:ascii="Calibri" w:hAnsi="Calibri" w:cs="Times New Roman"/>
                                      <w:color w:val="000000"/>
                                      <w:sz w:val="16"/>
                                      <w:szCs w:val="16"/>
                                      <w:lang w:bidi="ar-SA"/>
                                    </w:rPr>
                                    <w:t xml:space="preserve"> (16.5)</w:t>
                                  </w:r>
                                </w:p>
                              </w:tc>
                              <w:tc>
                                <w:tcPr>
                                  <w:tcW w:w="1080" w:type="dxa"/>
                                  <w:shd w:val="clear" w:color="auto" w:fill="auto"/>
                                  <w:vAlign w:val="center"/>
                                  <w:hideMark/>
                                </w:tcPr>
                                <w:p w14:paraId="6C83712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26 (1.5)</w:t>
                                  </w:r>
                                </w:p>
                              </w:tc>
                              <w:tc>
                                <w:tcPr>
                                  <w:tcW w:w="1078" w:type="dxa"/>
                                  <w:shd w:val="clear" w:color="auto" w:fill="auto"/>
                                  <w:vAlign w:val="center"/>
                                  <w:hideMark/>
                                </w:tcPr>
                                <w:p w14:paraId="099859C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342 (4.7)</w:t>
                                  </w:r>
                                </w:p>
                              </w:tc>
                              <w:tc>
                                <w:tcPr>
                                  <w:tcW w:w="1078" w:type="dxa"/>
                                  <w:shd w:val="clear" w:color="auto" w:fill="auto"/>
                                  <w:vAlign w:val="center"/>
                                  <w:hideMark/>
                                </w:tcPr>
                                <w:p w14:paraId="34B9101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3491 (11.5)</w:t>
                                  </w:r>
                                </w:p>
                              </w:tc>
                              <w:tc>
                                <w:tcPr>
                                  <w:tcW w:w="1078" w:type="dxa"/>
                                  <w:shd w:val="clear" w:color="auto" w:fill="auto"/>
                                  <w:vAlign w:val="center"/>
                                  <w:hideMark/>
                                </w:tcPr>
                                <w:p w14:paraId="3AAC2D2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6617 (17.9)</w:t>
                                  </w:r>
                                </w:p>
                              </w:tc>
                              <w:tc>
                                <w:tcPr>
                                  <w:tcW w:w="1091" w:type="dxa"/>
                                  <w:shd w:val="clear" w:color="auto" w:fill="auto"/>
                                  <w:vAlign w:val="center"/>
                                  <w:hideMark/>
                                </w:tcPr>
                                <w:p w14:paraId="7A4D44B3"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12453</w:t>
                                  </w:r>
                                  <w:proofErr w:type="gramEnd"/>
                                  <w:r w:rsidRPr="00D03691">
                                    <w:rPr>
                                      <w:rFonts w:ascii="Calibri" w:hAnsi="Calibri" w:cs="Times New Roman"/>
                                      <w:color w:val="000000"/>
                                      <w:sz w:val="16"/>
                                      <w:szCs w:val="16"/>
                                      <w:lang w:bidi="ar-SA"/>
                                    </w:rPr>
                                    <w:t xml:space="preserve"> (19.9)</w:t>
                                  </w:r>
                                </w:p>
                              </w:tc>
                            </w:tr>
                            <w:tr w:rsidR="00AD312A" w:rsidRPr="00D03691" w14:paraId="3A8639AC" w14:textId="77777777" w:rsidTr="00D03691">
                              <w:trPr>
                                <w:trHeight w:val="252"/>
                              </w:trPr>
                              <w:tc>
                                <w:tcPr>
                                  <w:tcW w:w="2559" w:type="dxa"/>
                                  <w:shd w:val="clear" w:color="auto" w:fill="auto"/>
                                  <w:noWrap/>
                                  <w:vAlign w:val="bottom"/>
                                  <w:hideMark/>
                                </w:tcPr>
                                <w:p w14:paraId="2DBB2B42"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Diabetes, No. (%)</w:t>
                                  </w:r>
                                </w:p>
                              </w:tc>
                              <w:tc>
                                <w:tcPr>
                                  <w:tcW w:w="1354" w:type="dxa"/>
                                  <w:shd w:val="clear" w:color="auto" w:fill="auto"/>
                                  <w:vAlign w:val="center"/>
                                  <w:hideMark/>
                                </w:tcPr>
                                <w:p w14:paraId="00773EC6"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15312</w:t>
                                  </w:r>
                                  <w:proofErr w:type="gramEnd"/>
                                  <w:r w:rsidRPr="00D03691">
                                    <w:rPr>
                                      <w:rFonts w:ascii="Calibri" w:hAnsi="Calibri" w:cs="Times New Roman"/>
                                      <w:color w:val="000000"/>
                                      <w:sz w:val="16"/>
                                      <w:szCs w:val="16"/>
                                      <w:lang w:bidi="ar-SA"/>
                                    </w:rPr>
                                    <w:t xml:space="preserve"> (11.0)</w:t>
                                  </w:r>
                                </w:p>
                              </w:tc>
                              <w:tc>
                                <w:tcPr>
                                  <w:tcW w:w="1080" w:type="dxa"/>
                                  <w:shd w:val="clear" w:color="auto" w:fill="auto"/>
                                  <w:vAlign w:val="center"/>
                                  <w:hideMark/>
                                </w:tcPr>
                                <w:p w14:paraId="79AFEEF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24 (1.3)</w:t>
                                  </w:r>
                                </w:p>
                              </w:tc>
                              <w:tc>
                                <w:tcPr>
                                  <w:tcW w:w="1078" w:type="dxa"/>
                                  <w:shd w:val="clear" w:color="auto" w:fill="auto"/>
                                  <w:vAlign w:val="center"/>
                                  <w:hideMark/>
                                </w:tcPr>
                                <w:p w14:paraId="6D6F17F6"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346 (4.8)</w:t>
                                  </w:r>
                                </w:p>
                              </w:tc>
                              <w:tc>
                                <w:tcPr>
                                  <w:tcW w:w="1078" w:type="dxa"/>
                                  <w:shd w:val="clear" w:color="auto" w:fill="auto"/>
                                  <w:vAlign w:val="center"/>
                                  <w:hideMark/>
                                </w:tcPr>
                                <w:p w14:paraId="59F73C0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3231 (10.6)</w:t>
                                  </w:r>
                                </w:p>
                              </w:tc>
                              <w:tc>
                                <w:tcPr>
                                  <w:tcW w:w="1078" w:type="dxa"/>
                                  <w:shd w:val="clear" w:color="auto" w:fill="auto"/>
                                  <w:vAlign w:val="center"/>
                                  <w:hideMark/>
                                </w:tcPr>
                                <w:p w14:paraId="7CC644D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4855 (13.1)</w:t>
                                  </w:r>
                                </w:p>
                              </w:tc>
                              <w:tc>
                                <w:tcPr>
                                  <w:tcW w:w="1091" w:type="dxa"/>
                                  <w:shd w:val="clear" w:color="auto" w:fill="auto"/>
                                  <w:vAlign w:val="center"/>
                                  <w:hideMark/>
                                </w:tcPr>
                                <w:p w14:paraId="5D4BA85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6856 (10.9)</w:t>
                                  </w:r>
                                </w:p>
                              </w:tc>
                            </w:tr>
                            <w:tr w:rsidR="00AD312A" w:rsidRPr="00D03691" w14:paraId="41B37C41" w14:textId="77777777" w:rsidTr="00D03691">
                              <w:trPr>
                                <w:trHeight w:val="252"/>
                              </w:trPr>
                              <w:tc>
                                <w:tcPr>
                                  <w:tcW w:w="2559" w:type="dxa"/>
                                  <w:shd w:val="clear" w:color="auto" w:fill="auto"/>
                                  <w:noWrap/>
                                  <w:vAlign w:val="bottom"/>
                                  <w:hideMark/>
                                </w:tcPr>
                                <w:p w14:paraId="4A5F3F12"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Hypertension</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4303693C"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16083</w:t>
                                  </w:r>
                                  <w:proofErr w:type="gramEnd"/>
                                  <w:r w:rsidRPr="00D03691">
                                    <w:rPr>
                                      <w:rFonts w:ascii="Calibri" w:hAnsi="Calibri" w:cs="Times New Roman"/>
                                      <w:color w:val="000000"/>
                                      <w:sz w:val="16"/>
                                      <w:szCs w:val="16"/>
                                      <w:lang w:bidi="ar-SA"/>
                                    </w:rPr>
                                    <w:t xml:space="preserve"> (11.6)</w:t>
                                  </w:r>
                                </w:p>
                              </w:tc>
                              <w:tc>
                                <w:tcPr>
                                  <w:tcW w:w="1080" w:type="dxa"/>
                                  <w:shd w:val="clear" w:color="auto" w:fill="auto"/>
                                  <w:vAlign w:val="center"/>
                                  <w:hideMark/>
                                </w:tcPr>
                                <w:p w14:paraId="74E8F88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2892B20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281 (3.9)</w:t>
                                  </w:r>
                                </w:p>
                              </w:tc>
                              <w:tc>
                                <w:tcPr>
                                  <w:tcW w:w="1078" w:type="dxa"/>
                                  <w:shd w:val="clear" w:color="auto" w:fill="auto"/>
                                  <w:vAlign w:val="center"/>
                                  <w:hideMark/>
                                </w:tcPr>
                                <w:p w14:paraId="1EC37FF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3256 (10.7)</w:t>
                                  </w:r>
                                </w:p>
                              </w:tc>
                              <w:tc>
                                <w:tcPr>
                                  <w:tcW w:w="1078" w:type="dxa"/>
                                  <w:shd w:val="clear" w:color="auto" w:fill="auto"/>
                                  <w:vAlign w:val="center"/>
                                  <w:hideMark/>
                                </w:tcPr>
                                <w:p w14:paraId="4D10278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4928 (13.3)</w:t>
                                  </w:r>
                                </w:p>
                              </w:tc>
                              <w:tc>
                                <w:tcPr>
                                  <w:tcW w:w="1091" w:type="dxa"/>
                                  <w:shd w:val="clear" w:color="auto" w:fill="auto"/>
                                  <w:vAlign w:val="center"/>
                                  <w:hideMark/>
                                </w:tcPr>
                                <w:p w14:paraId="7FC8495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7609 (12.2)</w:t>
                                  </w:r>
                                </w:p>
                              </w:tc>
                            </w:tr>
                            <w:tr w:rsidR="00AD312A" w:rsidRPr="00D03691" w14:paraId="3B65B94C" w14:textId="77777777" w:rsidTr="00D03691">
                              <w:trPr>
                                <w:trHeight w:val="252"/>
                              </w:trPr>
                              <w:tc>
                                <w:tcPr>
                                  <w:tcW w:w="2559" w:type="dxa"/>
                                  <w:shd w:val="clear" w:color="auto" w:fill="auto"/>
                                  <w:noWrap/>
                                  <w:vAlign w:val="bottom"/>
                                  <w:hideMark/>
                                </w:tcPr>
                                <w:p w14:paraId="1DB2B30A"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Renal</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Disease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6B8B4FE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5687 (4.1)</w:t>
                                  </w:r>
                                </w:p>
                              </w:tc>
                              <w:tc>
                                <w:tcPr>
                                  <w:tcW w:w="1080" w:type="dxa"/>
                                  <w:shd w:val="clear" w:color="auto" w:fill="auto"/>
                                  <w:vAlign w:val="center"/>
                                  <w:hideMark/>
                                </w:tcPr>
                                <w:p w14:paraId="5A85903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 (1.9)</w:t>
                                  </w:r>
                                </w:p>
                              </w:tc>
                              <w:tc>
                                <w:tcPr>
                                  <w:tcW w:w="1078" w:type="dxa"/>
                                  <w:shd w:val="clear" w:color="auto" w:fill="auto"/>
                                  <w:vAlign w:val="center"/>
                                  <w:hideMark/>
                                </w:tcPr>
                                <w:p w14:paraId="50FA371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188 (2.6)</w:t>
                                  </w:r>
                                </w:p>
                              </w:tc>
                              <w:tc>
                                <w:tcPr>
                                  <w:tcW w:w="1078" w:type="dxa"/>
                                  <w:shd w:val="clear" w:color="auto" w:fill="auto"/>
                                  <w:vAlign w:val="center"/>
                                  <w:hideMark/>
                                </w:tcPr>
                                <w:p w14:paraId="2A214906"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1000 (3.3)</w:t>
                                  </w:r>
                                </w:p>
                              </w:tc>
                              <w:tc>
                                <w:tcPr>
                                  <w:tcW w:w="1078" w:type="dxa"/>
                                  <w:shd w:val="clear" w:color="auto" w:fill="auto"/>
                                  <w:vAlign w:val="center"/>
                                  <w:hideMark/>
                                </w:tcPr>
                                <w:p w14:paraId="59FB3DD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1554 (4.2)</w:t>
                                  </w:r>
                                </w:p>
                              </w:tc>
                              <w:tc>
                                <w:tcPr>
                                  <w:tcW w:w="1091" w:type="dxa"/>
                                  <w:shd w:val="clear" w:color="auto" w:fill="auto"/>
                                  <w:vAlign w:val="center"/>
                                  <w:hideMark/>
                                </w:tcPr>
                                <w:p w14:paraId="167FAEE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2911 (4.6)</w:t>
                                  </w:r>
                                </w:p>
                              </w:tc>
                            </w:tr>
                            <w:tr w:rsidR="00AD312A" w:rsidRPr="00D03691" w14:paraId="21EFD83F" w14:textId="77777777" w:rsidTr="00D03691">
                              <w:trPr>
                                <w:trHeight w:val="252"/>
                              </w:trPr>
                              <w:tc>
                                <w:tcPr>
                                  <w:tcW w:w="2559" w:type="dxa"/>
                                  <w:shd w:val="clear" w:color="auto" w:fill="auto"/>
                                  <w:noWrap/>
                                  <w:vAlign w:val="bottom"/>
                                  <w:hideMark/>
                                </w:tcPr>
                                <w:p w14:paraId="4882693B"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xml:space="preserve">Liver </w:t>
                                  </w:r>
                                  <w:proofErr w:type="spellStart"/>
                                  <w:r w:rsidRPr="00D03691">
                                    <w:rPr>
                                      <w:rFonts w:ascii="Calibri" w:hAnsi="Calibri" w:cs="Times New Roman"/>
                                      <w:i/>
                                      <w:iCs/>
                                      <w:color w:val="000000"/>
                                      <w:sz w:val="16"/>
                                      <w:szCs w:val="16"/>
                                      <w:lang w:bidi="ar-SA"/>
                                    </w:rPr>
                                    <w:t>Disease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4E0BE75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509 (</w:t>
                                  </w:r>
                                  <w:proofErr w:type="gramStart"/>
                                  <w:r w:rsidRPr="00D03691">
                                    <w:rPr>
                                      <w:rFonts w:ascii="Calibri" w:hAnsi="Calibri" w:cs="Times New Roman"/>
                                      <w:color w:val="000000"/>
                                      <w:sz w:val="16"/>
                                      <w:szCs w:val="16"/>
                                      <w:lang w:bidi="ar-SA"/>
                                    </w:rPr>
                                    <w:t>0.4</w:t>
                                  </w:r>
                                  <w:proofErr w:type="gramEnd"/>
                                  <w:r w:rsidRPr="00D03691">
                                    <w:rPr>
                                      <w:rFonts w:ascii="Calibri" w:hAnsi="Calibri" w:cs="Times New Roman"/>
                                      <w:color w:val="000000"/>
                                      <w:sz w:val="16"/>
                                      <w:szCs w:val="16"/>
                                      <w:lang w:bidi="ar-SA"/>
                                    </w:rPr>
                                    <w:t>)</w:t>
                                  </w:r>
                                </w:p>
                              </w:tc>
                              <w:tc>
                                <w:tcPr>
                                  <w:tcW w:w="1080" w:type="dxa"/>
                                  <w:shd w:val="clear" w:color="auto" w:fill="auto"/>
                                  <w:vAlign w:val="center"/>
                                  <w:hideMark/>
                                </w:tcPr>
                                <w:p w14:paraId="39B76F9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 (</w:t>
                                  </w: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4D41C6E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36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6F78893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xml:space="preserve"> 220 (</w:t>
                                  </w:r>
                                  <w:proofErr w:type="gramStart"/>
                                  <w:r w:rsidRPr="00D03691">
                                    <w:rPr>
                                      <w:rFonts w:ascii="Calibri" w:hAnsi="Calibri" w:cs="Times New Roman"/>
                                      <w:color w:val="000000"/>
                                      <w:sz w:val="16"/>
                                      <w:szCs w:val="16"/>
                                      <w:lang w:bidi="ar-SA"/>
                                    </w:rPr>
                                    <w:t>0.7</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7E3437F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154 (</w:t>
                                  </w:r>
                                  <w:proofErr w:type="gramStart"/>
                                  <w:r w:rsidRPr="00D03691">
                                    <w:rPr>
                                      <w:rFonts w:ascii="Calibri" w:hAnsi="Calibri" w:cs="Times New Roman"/>
                                      <w:color w:val="000000"/>
                                      <w:sz w:val="16"/>
                                      <w:szCs w:val="16"/>
                                      <w:lang w:bidi="ar-SA"/>
                                    </w:rPr>
                                    <w:t>0.4</w:t>
                                  </w:r>
                                  <w:proofErr w:type="gramEnd"/>
                                  <w:r w:rsidRPr="00D03691">
                                    <w:rPr>
                                      <w:rFonts w:ascii="Calibri" w:hAnsi="Calibri" w:cs="Times New Roman"/>
                                      <w:color w:val="000000"/>
                                      <w:sz w:val="16"/>
                                      <w:szCs w:val="16"/>
                                      <w:lang w:bidi="ar-SA"/>
                                    </w:rPr>
                                    <w:t>)</w:t>
                                  </w:r>
                                </w:p>
                              </w:tc>
                              <w:tc>
                                <w:tcPr>
                                  <w:tcW w:w="1091" w:type="dxa"/>
                                  <w:shd w:val="clear" w:color="auto" w:fill="auto"/>
                                  <w:vAlign w:val="center"/>
                                  <w:hideMark/>
                                </w:tcPr>
                                <w:p w14:paraId="3454528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98 (</w:t>
                                  </w:r>
                                  <w:proofErr w:type="gramStart"/>
                                  <w:r w:rsidRPr="00D03691">
                                    <w:rPr>
                                      <w:rFonts w:ascii="Calibri" w:hAnsi="Calibri" w:cs="Times New Roman"/>
                                      <w:color w:val="000000"/>
                                      <w:sz w:val="16"/>
                                      <w:szCs w:val="16"/>
                                      <w:lang w:bidi="ar-SA"/>
                                    </w:rPr>
                                    <w:t>0.2</w:t>
                                  </w:r>
                                  <w:proofErr w:type="gramEnd"/>
                                  <w:r w:rsidRPr="00D03691">
                                    <w:rPr>
                                      <w:rFonts w:ascii="Calibri" w:hAnsi="Calibri" w:cs="Times New Roman"/>
                                      <w:color w:val="000000"/>
                                      <w:sz w:val="16"/>
                                      <w:szCs w:val="16"/>
                                      <w:lang w:bidi="ar-SA"/>
                                    </w:rPr>
                                    <w:t>)</w:t>
                                  </w:r>
                                </w:p>
                              </w:tc>
                            </w:tr>
                            <w:tr w:rsidR="00AD312A" w:rsidRPr="00D03691" w14:paraId="6390FFBB" w14:textId="77777777" w:rsidTr="00D03691">
                              <w:trPr>
                                <w:trHeight w:val="252"/>
                              </w:trPr>
                              <w:tc>
                                <w:tcPr>
                                  <w:tcW w:w="2559" w:type="dxa"/>
                                  <w:shd w:val="clear" w:color="auto" w:fill="auto"/>
                                  <w:noWrap/>
                                  <w:vAlign w:val="bottom"/>
                                  <w:hideMark/>
                                </w:tcPr>
                                <w:p w14:paraId="0947A761"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w:t>
                                  </w:r>
                                </w:p>
                              </w:tc>
                              <w:tc>
                                <w:tcPr>
                                  <w:tcW w:w="1354" w:type="dxa"/>
                                  <w:shd w:val="clear" w:color="auto" w:fill="auto"/>
                                  <w:noWrap/>
                                  <w:vAlign w:val="bottom"/>
                                  <w:hideMark/>
                                </w:tcPr>
                                <w:p w14:paraId="1CECFA7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080" w:type="dxa"/>
                                  <w:shd w:val="clear" w:color="auto" w:fill="auto"/>
                                  <w:noWrap/>
                                  <w:vAlign w:val="bottom"/>
                                  <w:hideMark/>
                                </w:tcPr>
                                <w:p w14:paraId="4A50C8D2"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1834FF3A"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44300CDE"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026A6E5A" w14:textId="77777777" w:rsidR="00AD312A" w:rsidRPr="00D03691" w:rsidRDefault="00AD312A" w:rsidP="00D03691">
                                  <w:pPr>
                                    <w:jc w:val="right"/>
                                    <w:rPr>
                                      <w:rFonts w:ascii="Calibri" w:hAnsi="Calibri" w:cs="Times New Roman"/>
                                      <w:color w:val="000000"/>
                                      <w:sz w:val="16"/>
                                      <w:szCs w:val="16"/>
                                      <w:lang w:bidi="ar-SA"/>
                                    </w:rPr>
                                  </w:pPr>
                                </w:p>
                              </w:tc>
                              <w:tc>
                                <w:tcPr>
                                  <w:tcW w:w="1091" w:type="dxa"/>
                                  <w:shd w:val="clear" w:color="auto" w:fill="auto"/>
                                  <w:noWrap/>
                                  <w:vAlign w:val="bottom"/>
                                  <w:hideMark/>
                                </w:tcPr>
                                <w:p w14:paraId="48183408"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371A3B81" w14:textId="77777777" w:rsidTr="00D03691">
                              <w:trPr>
                                <w:trHeight w:val="252"/>
                              </w:trPr>
                              <w:tc>
                                <w:tcPr>
                                  <w:tcW w:w="2559" w:type="dxa"/>
                                  <w:shd w:val="clear" w:color="auto" w:fill="auto"/>
                                  <w:noWrap/>
                                  <w:vAlign w:val="bottom"/>
                                  <w:hideMark/>
                                </w:tcPr>
                                <w:p w14:paraId="4CAF9E32"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CHA2DS2-VASc score, No. (%)</w:t>
                                  </w:r>
                                </w:p>
                              </w:tc>
                              <w:tc>
                                <w:tcPr>
                                  <w:tcW w:w="1354" w:type="dxa"/>
                                  <w:shd w:val="clear" w:color="auto" w:fill="auto"/>
                                  <w:noWrap/>
                                  <w:vAlign w:val="bottom"/>
                                  <w:hideMark/>
                                </w:tcPr>
                                <w:p w14:paraId="0854C846"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080" w:type="dxa"/>
                                  <w:shd w:val="clear" w:color="auto" w:fill="auto"/>
                                  <w:noWrap/>
                                  <w:vAlign w:val="bottom"/>
                                  <w:hideMark/>
                                </w:tcPr>
                                <w:p w14:paraId="3793CC51"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3C1223AE"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1EEFA567"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6AA91610" w14:textId="77777777" w:rsidR="00AD312A" w:rsidRPr="00D03691" w:rsidRDefault="00AD312A" w:rsidP="00D03691">
                                  <w:pPr>
                                    <w:jc w:val="right"/>
                                    <w:rPr>
                                      <w:rFonts w:ascii="Calibri" w:hAnsi="Calibri" w:cs="Times New Roman"/>
                                      <w:color w:val="000000"/>
                                      <w:sz w:val="16"/>
                                      <w:szCs w:val="16"/>
                                      <w:lang w:bidi="ar-SA"/>
                                    </w:rPr>
                                  </w:pPr>
                                </w:p>
                              </w:tc>
                              <w:tc>
                                <w:tcPr>
                                  <w:tcW w:w="1091" w:type="dxa"/>
                                  <w:shd w:val="clear" w:color="auto" w:fill="auto"/>
                                  <w:noWrap/>
                                  <w:vAlign w:val="bottom"/>
                                  <w:hideMark/>
                                </w:tcPr>
                                <w:p w14:paraId="73C0661C"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0DA7E7F2" w14:textId="77777777" w:rsidTr="00D03691">
                              <w:trPr>
                                <w:trHeight w:val="252"/>
                              </w:trPr>
                              <w:tc>
                                <w:tcPr>
                                  <w:tcW w:w="2559" w:type="dxa"/>
                                  <w:shd w:val="clear" w:color="auto" w:fill="auto"/>
                                  <w:noWrap/>
                                  <w:vAlign w:val="bottom"/>
                                  <w:hideMark/>
                                </w:tcPr>
                                <w:p w14:paraId="04699CF5"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0</w:t>
                                  </w:r>
                                </w:p>
                              </w:tc>
                              <w:tc>
                                <w:tcPr>
                                  <w:tcW w:w="1354" w:type="dxa"/>
                                  <w:shd w:val="clear" w:color="auto" w:fill="auto"/>
                                  <w:noWrap/>
                                  <w:vAlign w:val="bottom"/>
                                  <w:hideMark/>
                                </w:tcPr>
                                <w:p w14:paraId="62B7155B"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26674</w:t>
                                  </w:r>
                                  <w:proofErr w:type="gramEnd"/>
                                  <w:r w:rsidRPr="00D03691">
                                    <w:rPr>
                                      <w:rFonts w:ascii="Calibri" w:hAnsi="Calibri" w:cs="Times New Roman"/>
                                      <w:color w:val="000000"/>
                                      <w:sz w:val="16"/>
                                      <w:szCs w:val="16"/>
                                      <w:lang w:bidi="ar-SA"/>
                                    </w:rPr>
                                    <w:t xml:space="preserve"> (19.2)</w:t>
                                  </w:r>
                                </w:p>
                              </w:tc>
                              <w:tc>
                                <w:tcPr>
                                  <w:tcW w:w="1080" w:type="dxa"/>
                                  <w:shd w:val="clear" w:color="auto" w:fill="auto"/>
                                  <w:noWrap/>
                                  <w:vAlign w:val="bottom"/>
                                  <w:hideMark/>
                                </w:tcPr>
                                <w:p w14:paraId="24BB204C"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1664 (93.3)</w:t>
                                  </w:r>
                                </w:p>
                              </w:tc>
                              <w:tc>
                                <w:tcPr>
                                  <w:tcW w:w="1078" w:type="dxa"/>
                                  <w:shd w:val="clear" w:color="auto" w:fill="auto"/>
                                  <w:noWrap/>
                                  <w:vAlign w:val="bottom"/>
                                  <w:hideMark/>
                                </w:tcPr>
                                <w:p w14:paraId="39D2CE1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5913 (81.5)</w:t>
                                  </w:r>
                                </w:p>
                              </w:tc>
                              <w:tc>
                                <w:tcPr>
                                  <w:tcW w:w="1078" w:type="dxa"/>
                                  <w:shd w:val="clear" w:color="auto" w:fill="auto"/>
                                  <w:noWrap/>
                                  <w:vAlign w:val="bottom"/>
                                  <w:hideMark/>
                                </w:tcPr>
                                <w:p w14:paraId="673910F5"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19097</w:t>
                                  </w:r>
                                  <w:proofErr w:type="gramEnd"/>
                                  <w:r w:rsidRPr="00D03691">
                                    <w:rPr>
                                      <w:rFonts w:ascii="Calibri" w:hAnsi="Calibri" w:cs="Times New Roman"/>
                                      <w:color w:val="000000"/>
                                      <w:sz w:val="16"/>
                                      <w:szCs w:val="16"/>
                                      <w:lang w:bidi="ar-SA"/>
                                    </w:rPr>
                                    <w:t xml:space="preserve"> (62.7)</w:t>
                                  </w:r>
                                </w:p>
                              </w:tc>
                              <w:tc>
                                <w:tcPr>
                                  <w:tcW w:w="1078" w:type="dxa"/>
                                  <w:shd w:val="clear" w:color="auto" w:fill="auto"/>
                                  <w:noWrap/>
                                  <w:vAlign w:val="bottom"/>
                                  <w:hideMark/>
                                </w:tcPr>
                                <w:p w14:paraId="134C879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0 (</w:t>
                                  </w:r>
                                  <w:proofErr w:type="gramStart"/>
                                  <w:r w:rsidRPr="00D03691">
                                    <w:rPr>
                                      <w:rFonts w:ascii="Calibri" w:hAnsi="Calibri" w:cs="Times New Roman"/>
                                      <w:color w:val="000000"/>
                                      <w:sz w:val="16"/>
                                      <w:szCs w:val="16"/>
                                      <w:lang w:bidi="ar-SA"/>
                                    </w:rPr>
                                    <w:t>0.0</w:t>
                                  </w:r>
                                  <w:proofErr w:type="gramEnd"/>
                                  <w:r w:rsidRPr="00D03691">
                                    <w:rPr>
                                      <w:rFonts w:ascii="Calibri" w:hAnsi="Calibri" w:cs="Times New Roman"/>
                                      <w:color w:val="000000"/>
                                      <w:sz w:val="16"/>
                                      <w:szCs w:val="16"/>
                                      <w:lang w:bidi="ar-SA"/>
                                    </w:rPr>
                                    <w:t>)</w:t>
                                  </w:r>
                                </w:p>
                              </w:tc>
                              <w:tc>
                                <w:tcPr>
                                  <w:tcW w:w="1091" w:type="dxa"/>
                                  <w:shd w:val="clear" w:color="auto" w:fill="auto"/>
                                  <w:noWrap/>
                                  <w:vAlign w:val="bottom"/>
                                  <w:hideMark/>
                                </w:tcPr>
                                <w:p w14:paraId="79FA2D4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0 (</w:t>
                                  </w:r>
                                  <w:proofErr w:type="gramStart"/>
                                  <w:r w:rsidRPr="00D03691">
                                    <w:rPr>
                                      <w:rFonts w:ascii="Calibri" w:hAnsi="Calibri" w:cs="Times New Roman"/>
                                      <w:color w:val="000000"/>
                                      <w:sz w:val="16"/>
                                      <w:szCs w:val="16"/>
                                      <w:lang w:bidi="ar-SA"/>
                                    </w:rPr>
                                    <w:t>0.0</w:t>
                                  </w:r>
                                  <w:proofErr w:type="gramEnd"/>
                                  <w:r w:rsidRPr="00D03691">
                                    <w:rPr>
                                      <w:rFonts w:ascii="Calibri" w:hAnsi="Calibri" w:cs="Times New Roman"/>
                                      <w:color w:val="000000"/>
                                      <w:sz w:val="16"/>
                                      <w:szCs w:val="16"/>
                                      <w:lang w:bidi="ar-SA"/>
                                    </w:rPr>
                                    <w:t>)</w:t>
                                  </w:r>
                                </w:p>
                              </w:tc>
                            </w:tr>
                            <w:tr w:rsidR="00AD312A" w:rsidRPr="00D03691" w14:paraId="59D6CB9B" w14:textId="77777777" w:rsidTr="00D03691">
                              <w:trPr>
                                <w:trHeight w:val="252"/>
                              </w:trPr>
                              <w:tc>
                                <w:tcPr>
                                  <w:tcW w:w="2559" w:type="dxa"/>
                                  <w:shd w:val="clear" w:color="auto" w:fill="auto"/>
                                  <w:noWrap/>
                                  <w:vAlign w:val="bottom"/>
                                  <w:hideMark/>
                                </w:tcPr>
                                <w:p w14:paraId="7D79D8A5"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1</w:t>
                                  </w:r>
                                </w:p>
                              </w:tc>
                              <w:tc>
                                <w:tcPr>
                                  <w:tcW w:w="1354" w:type="dxa"/>
                                  <w:shd w:val="clear" w:color="auto" w:fill="auto"/>
                                  <w:noWrap/>
                                  <w:vAlign w:val="bottom"/>
                                  <w:hideMark/>
                                </w:tcPr>
                                <w:p w14:paraId="467938D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25882</w:t>
                                  </w:r>
                                  <w:proofErr w:type="gramEnd"/>
                                  <w:r w:rsidRPr="00D03691">
                                    <w:rPr>
                                      <w:rFonts w:ascii="Calibri" w:hAnsi="Calibri" w:cs="Times New Roman"/>
                                      <w:color w:val="000000"/>
                                      <w:sz w:val="16"/>
                                      <w:szCs w:val="16"/>
                                      <w:lang w:bidi="ar-SA"/>
                                    </w:rPr>
                                    <w:t xml:space="preserve"> (18.6)</w:t>
                                  </w:r>
                                </w:p>
                              </w:tc>
                              <w:tc>
                                <w:tcPr>
                                  <w:tcW w:w="1080" w:type="dxa"/>
                                  <w:shd w:val="clear" w:color="auto" w:fill="auto"/>
                                  <w:noWrap/>
                                  <w:vAlign w:val="bottom"/>
                                  <w:hideMark/>
                                </w:tcPr>
                                <w:p w14:paraId="33855B9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79 (4.4)</w:t>
                                  </w:r>
                                </w:p>
                              </w:tc>
                              <w:tc>
                                <w:tcPr>
                                  <w:tcW w:w="1078" w:type="dxa"/>
                                  <w:shd w:val="clear" w:color="auto" w:fill="auto"/>
                                  <w:noWrap/>
                                  <w:vAlign w:val="bottom"/>
                                  <w:hideMark/>
                                </w:tcPr>
                                <w:p w14:paraId="1E180D3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875 (12.1)</w:t>
                                  </w:r>
                                </w:p>
                              </w:tc>
                              <w:tc>
                                <w:tcPr>
                                  <w:tcW w:w="1078" w:type="dxa"/>
                                  <w:shd w:val="clear" w:color="auto" w:fill="auto"/>
                                  <w:noWrap/>
                                  <w:vAlign w:val="bottom"/>
                                  <w:hideMark/>
                                </w:tcPr>
                                <w:p w14:paraId="1BBF005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6461 (21.2)</w:t>
                                  </w:r>
                                </w:p>
                              </w:tc>
                              <w:tc>
                                <w:tcPr>
                                  <w:tcW w:w="1078" w:type="dxa"/>
                                  <w:shd w:val="clear" w:color="auto" w:fill="auto"/>
                                  <w:noWrap/>
                                  <w:vAlign w:val="bottom"/>
                                  <w:hideMark/>
                                </w:tcPr>
                                <w:p w14:paraId="097E01C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18467</w:t>
                                  </w:r>
                                  <w:proofErr w:type="gramEnd"/>
                                  <w:r w:rsidRPr="00D03691">
                                    <w:rPr>
                                      <w:rFonts w:ascii="Calibri" w:hAnsi="Calibri" w:cs="Times New Roman"/>
                                      <w:color w:val="000000"/>
                                      <w:sz w:val="16"/>
                                      <w:szCs w:val="16"/>
                                      <w:lang w:bidi="ar-SA"/>
                                    </w:rPr>
                                    <w:t xml:space="preserve"> (50.0)</w:t>
                                  </w:r>
                                </w:p>
                              </w:tc>
                              <w:tc>
                                <w:tcPr>
                                  <w:tcW w:w="1091" w:type="dxa"/>
                                  <w:shd w:val="clear" w:color="auto" w:fill="auto"/>
                                  <w:noWrap/>
                                  <w:vAlign w:val="bottom"/>
                                  <w:hideMark/>
                                </w:tcPr>
                                <w:p w14:paraId="4215CFE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0 (</w:t>
                                  </w:r>
                                  <w:proofErr w:type="gramStart"/>
                                  <w:r w:rsidRPr="00D03691">
                                    <w:rPr>
                                      <w:rFonts w:ascii="Calibri" w:hAnsi="Calibri" w:cs="Times New Roman"/>
                                      <w:color w:val="000000"/>
                                      <w:sz w:val="16"/>
                                      <w:szCs w:val="16"/>
                                      <w:lang w:bidi="ar-SA"/>
                                    </w:rPr>
                                    <w:t>0.0</w:t>
                                  </w:r>
                                  <w:proofErr w:type="gramEnd"/>
                                  <w:r w:rsidRPr="00D03691">
                                    <w:rPr>
                                      <w:rFonts w:ascii="Calibri" w:hAnsi="Calibri" w:cs="Times New Roman"/>
                                      <w:color w:val="000000"/>
                                      <w:sz w:val="16"/>
                                      <w:szCs w:val="16"/>
                                      <w:lang w:bidi="ar-SA"/>
                                    </w:rPr>
                                    <w:t>)</w:t>
                                  </w:r>
                                </w:p>
                              </w:tc>
                            </w:tr>
                            <w:tr w:rsidR="00AD312A" w:rsidRPr="00D03691" w14:paraId="6FD9470F" w14:textId="77777777" w:rsidTr="00D03691">
                              <w:trPr>
                                <w:trHeight w:val="252"/>
                              </w:trPr>
                              <w:tc>
                                <w:tcPr>
                                  <w:tcW w:w="2559" w:type="dxa"/>
                                  <w:shd w:val="clear" w:color="auto" w:fill="auto"/>
                                  <w:noWrap/>
                                  <w:vAlign w:val="bottom"/>
                                  <w:hideMark/>
                                </w:tcPr>
                                <w:p w14:paraId="204DD399"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2</w:t>
                                  </w:r>
                                </w:p>
                              </w:tc>
                              <w:tc>
                                <w:tcPr>
                                  <w:tcW w:w="1354" w:type="dxa"/>
                                  <w:shd w:val="clear" w:color="auto" w:fill="auto"/>
                                  <w:noWrap/>
                                  <w:vAlign w:val="bottom"/>
                                  <w:hideMark/>
                                </w:tcPr>
                                <w:p w14:paraId="64BB69B3"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39390</w:t>
                                  </w:r>
                                  <w:proofErr w:type="gramEnd"/>
                                  <w:r w:rsidRPr="00D03691">
                                    <w:rPr>
                                      <w:rFonts w:ascii="Calibri" w:hAnsi="Calibri" w:cs="Times New Roman"/>
                                      <w:color w:val="000000"/>
                                      <w:sz w:val="16"/>
                                      <w:szCs w:val="16"/>
                                      <w:lang w:bidi="ar-SA"/>
                                    </w:rPr>
                                    <w:t xml:space="preserve"> (28.3)</w:t>
                                  </w:r>
                                </w:p>
                              </w:tc>
                              <w:tc>
                                <w:tcPr>
                                  <w:tcW w:w="1080" w:type="dxa"/>
                                  <w:shd w:val="clear" w:color="auto" w:fill="auto"/>
                                  <w:noWrap/>
                                  <w:vAlign w:val="bottom"/>
                                  <w:hideMark/>
                                </w:tcPr>
                                <w:p w14:paraId="04D2DF0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35 (2.0)</w:t>
                                  </w:r>
                                </w:p>
                              </w:tc>
                              <w:tc>
                                <w:tcPr>
                                  <w:tcW w:w="1078" w:type="dxa"/>
                                  <w:shd w:val="clear" w:color="auto" w:fill="auto"/>
                                  <w:noWrap/>
                                  <w:vAlign w:val="bottom"/>
                                  <w:hideMark/>
                                </w:tcPr>
                                <w:p w14:paraId="28C3EC9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342 (4.7)</w:t>
                                  </w:r>
                                </w:p>
                              </w:tc>
                              <w:tc>
                                <w:tcPr>
                                  <w:tcW w:w="1078" w:type="dxa"/>
                                  <w:shd w:val="clear" w:color="auto" w:fill="auto"/>
                                  <w:noWrap/>
                                  <w:vAlign w:val="bottom"/>
                                  <w:hideMark/>
                                </w:tcPr>
                                <w:p w14:paraId="7F5706E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3341 (11.0)</w:t>
                                  </w:r>
                                </w:p>
                              </w:tc>
                              <w:tc>
                                <w:tcPr>
                                  <w:tcW w:w="1078" w:type="dxa"/>
                                  <w:shd w:val="clear" w:color="auto" w:fill="auto"/>
                                  <w:noWrap/>
                                  <w:vAlign w:val="bottom"/>
                                  <w:hideMark/>
                                </w:tcPr>
                                <w:p w14:paraId="48B1E89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9046 (24.5)</w:t>
                                  </w:r>
                                </w:p>
                              </w:tc>
                              <w:tc>
                                <w:tcPr>
                                  <w:tcW w:w="1091" w:type="dxa"/>
                                  <w:shd w:val="clear" w:color="auto" w:fill="auto"/>
                                  <w:noWrap/>
                                  <w:vAlign w:val="bottom"/>
                                  <w:hideMark/>
                                </w:tcPr>
                                <w:p w14:paraId="6C3607E2"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26626</w:t>
                                  </w:r>
                                  <w:proofErr w:type="gramEnd"/>
                                  <w:r w:rsidRPr="00D03691">
                                    <w:rPr>
                                      <w:rFonts w:ascii="Calibri" w:hAnsi="Calibri" w:cs="Times New Roman"/>
                                      <w:color w:val="000000"/>
                                      <w:sz w:val="16"/>
                                      <w:szCs w:val="16"/>
                                      <w:lang w:bidi="ar-SA"/>
                                    </w:rPr>
                                    <w:t xml:space="preserve"> (42.5)</w:t>
                                  </w:r>
                                </w:p>
                              </w:tc>
                            </w:tr>
                            <w:tr w:rsidR="00AD312A" w:rsidRPr="00D03691" w14:paraId="0A629803" w14:textId="77777777" w:rsidTr="00D03691">
                              <w:trPr>
                                <w:trHeight w:val="252"/>
                              </w:trPr>
                              <w:tc>
                                <w:tcPr>
                                  <w:tcW w:w="2559" w:type="dxa"/>
                                  <w:shd w:val="clear" w:color="auto" w:fill="auto"/>
                                  <w:noWrap/>
                                  <w:vAlign w:val="bottom"/>
                                  <w:hideMark/>
                                </w:tcPr>
                                <w:p w14:paraId="7D88021B"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3</w:t>
                                  </w:r>
                                </w:p>
                              </w:tc>
                              <w:tc>
                                <w:tcPr>
                                  <w:tcW w:w="1354" w:type="dxa"/>
                                  <w:shd w:val="clear" w:color="auto" w:fill="auto"/>
                                  <w:noWrap/>
                                  <w:vAlign w:val="bottom"/>
                                  <w:hideMark/>
                                </w:tcPr>
                                <w:p w14:paraId="65C5C928"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47125</w:t>
                                  </w:r>
                                  <w:proofErr w:type="gramEnd"/>
                                  <w:r w:rsidRPr="00D03691">
                                    <w:rPr>
                                      <w:rFonts w:ascii="Calibri" w:hAnsi="Calibri" w:cs="Times New Roman"/>
                                      <w:color w:val="000000"/>
                                      <w:sz w:val="16"/>
                                      <w:szCs w:val="16"/>
                                      <w:lang w:bidi="ar-SA"/>
                                    </w:rPr>
                                    <w:t xml:space="preserve"> (33.9)</w:t>
                                  </w:r>
                                </w:p>
                              </w:tc>
                              <w:tc>
                                <w:tcPr>
                                  <w:tcW w:w="1080" w:type="dxa"/>
                                  <w:shd w:val="clear" w:color="auto" w:fill="auto"/>
                                  <w:noWrap/>
                                  <w:vAlign w:val="bottom"/>
                                  <w:hideMark/>
                                </w:tcPr>
                                <w:p w14:paraId="6FC2ED6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 (</w:t>
                                  </w: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w:t>
                                  </w:r>
                                </w:p>
                              </w:tc>
                              <w:tc>
                                <w:tcPr>
                                  <w:tcW w:w="1078" w:type="dxa"/>
                                  <w:shd w:val="clear" w:color="auto" w:fill="auto"/>
                                  <w:noWrap/>
                                  <w:vAlign w:val="bottom"/>
                                  <w:hideMark/>
                                </w:tcPr>
                                <w:p w14:paraId="241A7B8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123 (1.7)</w:t>
                                  </w:r>
                                </w:p>
                              </w:tc>
                              <w:tc>
                                <w:tcPr>
                                  <w:tcW w:w="1078" w:type="dxa"/>
                                  <w:shd w:val="clear" w:color="auto" w:fill="auto"/>
                                  <w:noWrap/>
                                  <w:vAlign w:val="bottom"/>
                                  <w:hideMark/>
                                </w:tcPr>
                                <w:p w14:paraId="2701041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1205 (5.2)</w:t>
                                  </w:r>
                                </w:p>
                              </w:tc>
                              <w:tc>
                                <w:tcPr>
                                  <w:tcW w:w="1078" w:type="dxa"/>
                                  <w:shd w:val="clear" w:color="auto" w:fill="auto"/>
                                  <w:noWrap/>
                                  <w:vAlign w:val="bottom"/>
                                  <w:hideMark/>
                                </w:tcPr>
                                <w:p w14:paraId="6D05D1D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9424 (25.5)</w:t>
                                  </w:r>
                                </w:p>
                              </w:tc>
                              <w:tc>
                                <w:tcPr>
                                  <w:tcW w:w="1091" w:type="dxa"/>
                                  <w:shd w:val="clear" w:color="auto" w:fill="auto"/>
                                  <w:noWrap/>
                                  <w:vAlign w:val="bottom"/>
                                  <w:hideMark/>
                                </w:tcPr>
                                <w:p w14:paraId="13504B39"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35997</w:t>
                                  </w:r>
                                  <w:proofErr w:type="gramEnd"/>
                                  <w:r w:rsidRPr="00D03691">
                                    <w:rPr>
                                      <w:rFonts w:ascii="Calibri" w:hAnsi="Calibri" w:cs="Times New Roman"/>
                                      <w:color w:val="000000"/>
                                      <w:sz w:val="16"/>
                                      <w:szCs w:val="16"/>
                                      <w:lang w:bidi="ar-SA"/>
                                    </w:rPr>
                                    <w:t xml:space="preserve"> (57.5)</w:t>
                                  </w:r>
                                </w:p>
                              </w:tc>
                            </w:tr>
                            <w:tr w:rsidR="00AD312A" w:rsidRPr="00D03691" w14:paraId="5B27D2CF" w14:textId="77777777" w:rsidTr="00D03691">
                              <w:trPr>
                                <w:trHeight w:val="252"/>
                              </w:trPr>
                              <w:tc>
                                <w:tcPr>
                                  <w:tcW w:w="2559" w:type="dxa"/>
                                  <w:shd w:val="clear" w:color="auto" w:fill="auto"/>
                                  <w:noWrap/>
                                  <w:vAlign w:val="bottom"/>
                                  <w:hideMark/>
                                </w:tcPr>
                                <w:p w14:paraId="036E5774"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w:t>
                                  </w:r>
                                </w:p>
                              </w:tc>
                              <w:tc>
                                <w:tcPr>
                                  <w:tcW w:w="1354" w:type="dxa"/>
                                  <w:shd w:val="clear" w:color="auto" w:fill="auto"/>
                                  <w:noWrap/>
                                  <w:vAlign w:val="bottom"/>
                                  <w:hideMark/>
                                </w:tcPr>
                                <w:p w14:paraId="3B1D9EA2" w14:textId="77777777" w:rsidR="00AD312A" w:rsidRPr="00D03691" w:rsidRDefault="00AD312A" w:rsidP="00D03691">
                                  <w:pPr>
                                    <w:jc w:val="right"/>
                                    <w:rPr>
                                      <w:rFonts w:ascii="Calibri" w:hAnsi="Calibri" w:cs="Times New Roman"/>
                                      <w:color w:val="000000"/>
                                      <w:sz w:val="16"/>
                                      <w:szCs w:val="16"/>
                                      <w:lang w:bidi="ar-SA"/>
                                    </w:rPr>
                                  </w:pPr>
                                </w:p>
                              </w:tc>
                              <w:tc>
                                <w:tcPr>
                                  <w:tcW w:w="1080" w:type="dxa"/>
                                  <w:shd w:val="clear" w:color="auto" w:fill="auto"/>
                                  <w:noWrap/>
                                  <w:vAlign w:val="bottom"/>
                                  <w:hideMark/>
                                </w:tcPr>
                                <w:p w14:paraId="7A5B8E1B"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2567992C"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126BEE1A"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519A0900" w14:textId="77777777" w:rsidR="00AD312A" w:rsidRPr="00D03691" w:rsidRDefault="00AD312A" w:rsidP="00D03691">
                                  <w:pPr>
                                    <w:jc w:val="right"/>
                                    <w:rPr>
                                      <w:rFonts w:ascii="Calibri" w:hAnsi="Calibri" w:cs="Times New Roman"/>
                                      <w:color w:val="000000"/>
                                      <w:sz w:val="16"/>
                                      <w:szCs w:val="16"/>
                                      <w:lang w:bidi="ar-SA"/>
                                    </w:rPr>
                                  </w:pPr>
                                </w:p>
                              </w:tc>
                              <w:tc>
                                <w:tcPr>
                                  <w:tcW w:w="1091" w:type="dxa"/>
                                  <w:shd w:val="clear" w:color="auto" w:fill="auto"/>
                                  <w:noWrap/>
                                  <w:vAlign w:val="bottom"/>
                                  <w:hideMark/>
                                </w:tcPr>
                                <w:p w14:paraId="1D582FA0"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0844F63A" w14:textId="77777777" w:rsidTr="00D03691">
                              <w:trPr>
                                <w:trHeight w:val="252"/>
                              </w:trPr>
                              <w:tc>
                                <w:tcPr>
                                  <w:tcW w:w="2559" w:type="dxa"/>
                                  <w:shd w:val="clear" w:color="auto" w:fill="auto"/>
                                  <w:noWrap/>
                                  <w:vAlign w:val="bottom"/>
                                  <w:hideMark/>
                                </w:tcPr>
                                <w:p w14:paraId="21CF2631" w14:textId="77777777" w:rsidR="00AD312A" w:rsidRPr="00D03691" w:rsidRDefault="00AD312A" w:rsidP="00D03691">
                                  <w:pPr>
                                    <w:rPr>
                                      <w:rFonts w:ascii="Calibri" w:hAnsi="Calibri" w:cs="Times New Roman"/>
                                      <w:i/>
                                      <w:iCs/>
                                      <w:color w:val="000000"/>
                                      <w:sz w:val="16"/>
                                      <w:szCs w:val="16"/>
                                      <w:lang w:val="en-US" w:bidi="ar-SA"/>
                                    </w:rPr>
                                  </w:pPr>
                                  <w:r w:rsidRPr="00D03691">
                                    <w:rPr>
                                      <w:rFonts w:ascii="Calibri" w:hAnsi="Calibri" w:cs="Times New Roman"/>
                                      <w:i/>
                                      <w:iCs/>
                                      <w:color w:val="000000"/>
                                      <w:sz w:val="16"/>
                                      <w:szCs w:val="16"/>
                                      <w:lang w:val="en-US" w:bidi="ar-SA"/>
                                    </w:rPr>
                                    <w:t>Mean CHA2DS2-VASc score (Standard deviation)</w:t>
                                  </w:r>
                                </w:p>
                              </w:tc>
                              <w:tc>
                                <w:tcPr>
                                  <w:tcW w:w="1354" w:type="dxa"/>
                                  <w:shd w:val="clear" w:color="auto" w:fill="auto"/>
                                  <w:noWrap/>
                                  <w:vAlign w:val="bottom"/>
                                  <w:hideMark/>
                                </w:tcPr>
                                <w:p w14:paraId="22F8FB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2.0 (1.5)</w:t>
                                  </w:r>
                                </w:p>
                              </w:tc>
                              <w:tc>
                                <w:tcPr>
                                  <w:tcW w:w="1080" w:type="dxa"/>
                                  <w:shd w:val="clear" w:color="auto" w:fill="auto"/>
                                  <w:noWrap/>
                                  <w:vAlign w:val="bottom"/>
                                  <w:hideMark/>
                                </w:tcPr>
                                <w:p w14:paraId="44CA6FE1"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 xml:space="preserve"> (0.4)</w:t>
                                  </w:r>
                                </w:p>
                              </w:tc>
                              <w:tc>
                                <w:tcPr>
                                  <w:tcW w:w="1078" w:type="dxa"/>
                                  <w:shd w:val="clear" w:color="auto" w:fill="auto"/>
                                  <w:noWrap/>
                                  <w:vAlign w:val="bottom"/>
                                  <w:hideMark/>
                                </w:tcPr>
                                <w:p w14:paraId="2532F118"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 xml:space="preserve"> (0.7)</w:t>
                                  </w:r>
                                </w:p>
                              </w:tc>
                              <w:tc>
                                <w:tcPr>
                                  <w:tcW w:w="1078" w:type="dxa"/>
                                  <w:shd w:val="clear" w:color="auto" w:fill="auto"/>
                                  <w:noWrap/>
                                  <w:vAlign w:val="bottom"/>
                                  <w:hideMark/>
                                </w:tcPr>
                                <w:p w14:paraId="2E57DDD7"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0.6</w:t>
                                  </w:r>
                                  <w:proofErr w:type="gramEnd"/>
                                  <w:r w:rsidRPr="00D03691">
                                    <w:rPr>
                                      <w:rFonts w:ascii="Calibri" w:hAnsi="Calibri" w:cs="Times New Roman"/>
                                      <w:color w:val="000000"/>
                                      <w:sz w:val="16"/>
                                      <w:szCs w:val="16"/>
                                      <w:lang w:bidi="ar-SA"/>
                                    </w:rPr>
                                    <w:t xml:space="preserve"> (1.0)</w:t>
                                  </w:r>
                                </w:p>
                              </w:tc>
                              <w:tc>
                                <w:tcPr>
                                  <w:tcW w:w="1078" w:type="dxa"/>
                                  <w:shd w:val="clear" w:color="auto" w:fill="auto"/>
                                  <w:noWrap/>
                                  <w:vAlign w:val="bottom"/>
                                  <w:hideMark/>
                                </w:tcPr>
                                <w:p w14:paraId="7BE65CD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1.9 (1.1)</w:t>
                                  </w:r>
                                </w:p>
                              </w:tc>
                              <w:tc>
                                <w:tcPr>
                                  <w:tcW w:w="1091" w:type="dxa"/>
                                  <w:shd w:val="clear" w:color="auto" w:fill="auto"/>
                                  <w:noWrap/>
                                  <w:vAlign w:val="bottom"/>
                                  <w:hideMark/>
                                </w:tcPr>
                                <w:p w14:paraId="4F83A45A"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3.1 (1.2)</w:t>
                                  </w:r>
                                </w:p>
                              </w:tc>
                            </w:tr>
                            <w:tr w:rsidR="00AD312A" w:rsidRPr="00D03691" w14:paraId="4085C4FE" w14:textId="77777777" w:rsidTr="00D03691">
                              <w:trPr>
                                <w:trHeight w:val="252"/>
                              </w:trPr>
                              <w:tc>
                                <w:tcPr>
                                  <w:tcW w:w="2559" w:type="dxa"/>
                                  <w:shd w:val="clear" w:color="auto" w:fill="auto"/>
                                  <w:noWrap/>
                                  <w:vAlign w:val="bottom"/>
                                  <w:hideMark/>
                                </w:tcPr>
                                <w:p w14:paraId="58A6C744"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11375E63" w14:textId="77777777" w:rsidR="00AD312A" w:rsidRPr="00D03691" w:rsidRDefault="00AD312A" w:rsidP="00D03691">
                                  <w:pPr>
                                    <w:rPr>
                                      <w:rFonts w:ascii="Calibri" w:hAnsi="Calibri" w:cs="Times New Roman"/>
                                      <w:color w:val="000000"/>
                                      <w:sz w:val="16"/>
                                      <w:szCs w:val="16"/>
                                      <w:lang w:bidi="ar-SA"/>
                                    </w:rPr>
                                  </w:pPr>
                                </w:p>
                              </w:tc>
                              <w:tc>
                                <w:tcPr>
                                  <w:tcW w:w="1080" w:type="dxa"/>
                                  <w:shd w:val="clear" w:color="auto" w:fill="auto"/>
                                  <w:noWrap/>
                                  <w:vAlign w:val="bottom"/>
                                  <w:hideMark/>
                                </w:tcPr>
                                <w:p w14:paraId="142CB7E9"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1298251D"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71D4773D"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7EEF57B7" w14:textId="77777777" w:rsidR="00AD312A" w:rsidRPr="00D03691" w:rsidRDefault="00AD312A" w:rsidP="00D03691">
                                  <w:pPr>
                                    <w:rPr>
                                      <w:rFonts w:ascii="Calibri" w:hAnsi="Calibri" w:cs="Times New Roman"/>
                                      <w:color w:val="000000"/>
                                      <w:sz w:val="16"/>
                                      <w:szCs w:val="16"/>
                                      <w:lang w:bidi="ar-SA"/>
                                    </w:rPr>
                                  </w:pPr>
                                </w:p>
                              </w:tc>
                              <w:tc>
                                <w:tcPr>
                                  <w:tcW w:w="1091" w:type="dxa"/>
                                  <w:shd w:val="clear" w:color="auto" w:fill="auto"/>
                                  <w:noWrap/>
                                  <w:vAlign w:val="bottom"/>
                                  <w:hideMark/>
                                </w:tcPr>
                                <w:p w14:paraId="3F0511B9"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10BCCFF1" w14:textId="77777777" w:rsidTr="00D03691">
                              <w:trPr>
                                <w:trHeight w:val="252"/>
                              </w:trPr>
                              <w:tc>
                                <w:tcPr>
                                  <w:tcW w:w="6071" w:type="dxa"/>
                                  <w:gridSpan w:val="4"/>
                                  <w:shd w:val="clear" w:color="auto" w:fill="auto"/>
                                  <w:noWrap/>
                                  <w:vAlign w:val="bottom"/>
                                  <w:hideMark/>
                                </w:tcPr>
                                <w:p w14:paraId="66E3157E"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xml:space="preserve">CHA2DS2 </w:t>
                                  </w:r>
                                  <w:proofErr w:type="spellStart"/>
                                  <w:r w:rsidRPr="00D03691">
                                    <w:rPr>
                                      <w:rFonts w:ascii="Calibri" w:hAnsi="Calibri" w:cs="Times New Roman"/>
                                      <w:color w:val="000000"/>
                                      <w:sz w:val="16"/>
                                      <w:szCs w:val="16"/>
                                      <w:lang w:val="en-US" w:bidi="ar-SA"/>
                                    </w:rPr>
                                    <w:t>VASc</w:t>
                                  </w:r>
                                  <w:proofErr w:type="spellEnd"/>
                                  <w:r w:rsidRPr="00D03691">
                                    <w:rPr>
                                      <w:rFonts w:ascii="Calibri" w:hAnsi="Calibri" w:cs="Times New Roman"/>
                                      <w:color w:val="000000"/>
                                      <w:sz w:val="16"/>
                                      <w:szCs w:val="16"/>
                                      <w:lang w:val="en-US" w:bidi="ar-SA"/>
                                    </w:rPr>
                                    <w:t xml:space="preserve"> (congestive heart failure, age ≥ 75, diabetes, previous stroke, vascular disease, age 65-74, sex category (female))</w:t>
                                  </w:r>
                                </w:p>
                              </w:tc>
                              <w:tc>
                                <w:tcPr>
                                  <w:tcW w:w="1078" w:type="dxa"/>
                                  <w:shd w:val="clear" w:color="auto" w:fill="auto"/>
                                  <w:noWrap/>
                                  <w:vAlign w:val="bottom"/>
                                  <w:hideMark/>
                                </w:tcPr>
                                <w:p w14:paraId="30BC7F15" w14:textId="77777777" w:rsidR="00AD312A" w:rsidRPr="00D03691" w:rsidRDefault="00AD312A" w:rsidP="00D03691">
                                  <w:pPr>
                                    <w:rPr>
                                      <w:rFonts w:ascii="Calibri" w:hAnsi="Calibri" w:cs="Times New Roman"/>
                                      <w:color w:val="000000"/>
                                      <w:sz w:val="16"/>
                                      <w:szCs w:val="16"/>
                                      <w:lang w:val="en-US" w:bidi="ar-SA"/>
                                    </w:rPr>
                                  </w:pPr>
                                </w:p>
                              </w:tc>
                              <w:tc>
                                <w:tcPr>
                                  <w:tcW w:w="1078" w:type="dxa"/>
                                  <w:shd w:val="clear" w:color="auto" w:fill="auto"/>
                                  <w:noWrap/>
                                  <w:vAlign w:val="bottom"/>
                                  <w:hideMark/>
                                </w:tcPr>
                                <w:p w14:paraId="4A640937" w14:textId="77777777" w:rsidR="00AD312A" w:rsidRPr="00D03691" w:rsidRDefault="00AD312A" w:rsidP="00D03691">
                                  <w:pPr>
                                    <w:rPr>
                                      <w:rFonts w:ascii="Calibri" w:hAnsi="Calibri" w:cs="Times New Roman"/>
                                      <w:color w:val="000000"/>
                                      <w:sz w:val="16"/>
                                      <w:szCs w:val="16"/>
                                      <w:lang w:val="en-US" w:bidi="ar-SA"/>
                                    </w:rPr>
                                  </w:pPr>
                                </w:p>
                              </w:tc>
                              <w:tc>
                                <w:tcPr>
                                  <w:tcW w:w="1091" w:type="dxa"/>
                                  <w:shd w:val="clear" w:color="auto" w:fill="auto"/>
                                  <w:noWrap/>
                                  <w:vAlign w:val="bottom"/>
                                  <w:hideMark/>
                                </w:tcPr>
                                <w:p w14:paraId="7AC272D8"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r>
                            <w:tr w:rsidR="00AD312A" w:rsidRPr="00D03691" w14:paraId="25873007" w14:textId="77777777" w:rsidTr="00D03691">
                              <w:trPr>
                                <w:trHeight w:val="263"/>
                              </w:trPr>
                              <w:tc>
                                <w:tcPr>
                                  <w:tcW w:w="4993" w:type="dxa"/>
                                  <w:gridSpan w:val="3"/>
                                  <w:shd w:val="clear" w:color="auto" w:fill="auto"/>
                                  <w:noWrap/>
                                  <w:vAlign w:val="bottom"/>
                                  <w:hideMark/>
                                </w:tcPr>
                                <w:p w14:paraId="3682139D"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xml:space="preserve">*Combined Previous Ischemic-, Hemorrhagic Stroke and Transient </w:t>
                                  </w:r>
                                  <w:proofErr w:type="spellStart"/>
                                  <w:r w:rsidRPr="00D03691">
                                    <w:rPr>
                                      <w:rFonts w:ascii="Calibri" w:hAnsi="Calibri" w:cs="Times New Roman"/>
                                      <w:color w:val="000000"/>
                                      <w:sz w:val="16"/>
                                      <w:szCs w:val="16"/>
                                      <w:lang w:val="en-US" w:bidi="ar-SA"/>
                                    </w:rPr>
                                    <w:t>Cerebal</w:t>
                                  </w:r>
                                  <w:proofErr w:type="spellEnd"/>
                                  <w:r w:rsidRPr="00D03691">
                                    <w:rPr>
                                      <w:rFonts w:ascii="Calibri" w:hAnsi="Calibri" w:cs="Times New Roman"/>
                                      <w:color w:val="000000"/>
                                      <w:sz w:val="16"/>
                                      <w:szCs w:val="16"/>
                                      <w:lang w:val="en-US" w:bidi="ar-SA"/>
                                    </w:rPr>
                                    <w:t xml:space="preserve"> Ischemia, </w:t>
                                  </w:r>
                                </w:p>
                              </w:tc>
                              <w:tc>
                                <w:tcPr>
                                  <w:tcW w:w="1078" w:type="dxa"/>
                                  <w:shd w:val="clear" w:color="auto" w:fill="auto"/>
                                  <w:noWrap/>
                                  <w:vAlign w:val="bottom"/>
                                  <w:hideMark/>
                                </w:tcPr>
                                <w:p w14:paraId="37373751"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c>
                                <w:tcPr>
                                  <w:tcW w:w="1078" w:type="dxa"/>
                                  <w:shd w:val="clear" w:color="auto" w:fill="auto"/>
                                  <w:noWrap/>
                                  <w:vAlign w:val="bottom"/>
                                  <w:hideMark/>
                                </w:tcPr>
                                <w:p w14:paraId="5C51EAA0"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c>
                                <w:tcPr>
                                  <w:tcW w:w="1078" w:type="dxa"/>
                                  <w:shd w:val="clear" w:color="auto" w:fill="auto"/>
                                  <w:noWrap/>
                                  <w:vAlign w:val="bottom"/>
                                  <w:hideMark/>
                                </w:tcPr>
                                <w:p w14:paraId="4DA2F1E9"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c>
                                <w:tcPr>
                                  <w:tcW w:w="1091" w:type="dxa"/>
                                  <w:shd w:val="clear" w:color="auto" w:fill="auto"/>
                                  <w:noWrap/>
                                  <w:vAlign w:val="bottom"/>
                                  <w:hideMark/>
                                </w:tcPr>
                                <w:p w14:paraId="7F276629"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r>
                          </w:tbl>
                          <w:p w14:paraId="1DC081E0" w14:textId="77777777" w:rsidR="00AD312A" w:rsidRDefault="00AD312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0;width:481.5pt;height:459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" strokecolor="white [3212]">
                <v:textbox>
                  <w:txbxContent>
                    <w:p w14:paraId="658396E5" w14:textId="77777777" w:rsidR="00AD312A" w:rsidRPr="000B6CFC" w:rsidRDefault="00AD312A" w:rsidP="00D03691">
                      <w:pPr>
                        <w:rPr>
                          <w:i/>
                          <w:sz w:val="20"/>
                          <w:szCs w:val="20"/>
                          <w:lang w:val="en-US"/>
                        </w:rPr>
                      </w:pPr>
                      <w:r w:rsidRPr="000B6CFC">
                        <w:rPr>
                          <w:b/>
                          <w:sz w:val="20"/>
                          <w:szCs w:val="20"/>
                          <w:lang w:val="en-US"/>
                        </w:rPr>
                        <w:t>Table 1</w:t>
                      </w:r>
                      <w:r w:rsidRPr="000B6CFC">
                        <w:rPr>
                          <w:sz w:val="20"/>
                          <w:szCs w:val="20"/>
                          <w:lang w:val="en-US"/>
                        </w:rPr>
                        <w:t xml:space="preserve">: </w:t>
                      </w:r>
                      <w:r w:rsidRPr="000B6CFC">
                        <w:rPr>
                          <w:i/>
                          <w:sz w:val="20"/>
                          <w:szCs w:val="20"/>
                          <w:lang w:val="en-US"/>
                        </w:rPr>
                        <w:t xml:space="preserve">Baseline Characteristics of Study Population According to Age. </w:t>
                      </w:r>
                    </w:p>
                    <w:p w14:paraId="2A6BA45C" w14:textId="5FE50F3F" w:rsidR="00AD312A" w:rsidRDefault="00AD312A"/>
                    <w:tbl>
                      <w:tblPr>
                        <w:tblW w:w="9318"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559"/>
                        <w:gridCol w:w="1354"/>
                        <w:gridCol w:w="1080"/>
                        <w:gridCol w:w="1078"/>
                        <w:gridCol w:w="1078"/>
                        <w:gridCol w:w="1078"/>
                        <w:gridCol w:w="1091"/>
                      </w:tblGrid>
                      <w:tr w:rsidR="00AD312A" w:rsidRPr="00D03691" w14:paraId="096D2B55" w14:textId="77777777" w:rsidTr="00D03691">
                        <w:trPr>
                          <w:trHeight w:val="252"/>
                        </w:trPr>
                        <w:tc>
                          <w:tcPr>
                            <w:tcW w:w="2559" w:type="dxa"/>
                            <w:shd w:val="clear" w:color="auto" w:fill="auto"/>
                            <w:noWrap/>
                            <w:vAlign w:val="bottom"/>
                            <w:hideMark/>
                          </w:tcPr>
                          <w:p w14:paraId="08AB278A"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29189FF1"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080" w:type="dxa"/>
                            <w:shd w:val="clear" w:color="auto" w:fill="auto"/>
                            <w:noWrap/>
                            <w:vAlign w:val="bottom"/>
                            <w:hideMark/>
                          </w:tcPr>
                          <w:p w14:paraId="30BCACFB"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5144D726"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58FEAEF6"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3D8AEB42" w14:textId="77777777" w:rsidR="00AD312A" w:rsidRPr="00D03691" w:rsidRDefault="00AD312A" w:rsidP="00D03691">
                            <w:pPr>
                              <w:rPr>
                                <w:rFonts w:ascii="Calibri" w:hAnsi="Calibri" w:cs="Times New Roman"/>
                                <w:color w:val="000000"/>
                                <w:sz w:val="16"/>
                                <w:szCs w:val="16"/>
                                <w:lang w:bidi="ar-SA"/>
                              </w:rPr>
                            </w:pPr>
                          </w:p>
                        </w:tc>
                        <w:tc>
                          <w:tcPr>
                            <w:tcW w:w="1091" w:type="dxa"/>
                            <w:shd w:val="clear" w:color="auto" w:fill="auto"/>
                            <w:noWrap/>
                            <w:vAlign w:val="bottom"/>
                            <w:hideMark/>
                          </w:tcPr>
                          <w:p w14:paraId="15701F4B"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3908DA6A" w14:textId="77777777" w:rsidTr="00D03691">
                        <w:trPr>
                          <w:trHeight w:val="252"/>
                        </w:trPr>
                        <w:tc>
                          <w:tcPr>
                            <w:tcW w:w="2559" w:type="dxa"/>
                            <w:shd w:val="clear" w:color="auto" w:fill="auto"/>
                            <w:noWrap/>
                            <w:vAlign w:val="bottom"/>
                            <w:hideMark/>
                          </w:tcPr>
                          <w:p w14:paraId="3C24205D"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50FA6A5F" w14:textId="77777777" w:rsidR="00AD312A" w:rsidRPr="00D03691" w:rsidRDefault="00AD312A" w:rsidP="00D03691">
                            <w:pPr>
                              <w:rPr>
                                <w:rFonts w:ascii="Calibri" w:hAnsi="Calibri" w:cs="Times New Roman"/>
                                <w:b/>
                                <w:bCs/>
                                <w:i/>
                                <w:iCs/>
                                <w:sz w:val="16"/>
                                <w:szCs w:val="16"/>
                                <w:lang w:bidi="ar-SA"/>
                              </w:rPr>
                            </w:pPr>
                            <w:r w:rsidRPr="00D03691">
                              <w:rPr>
                                <w:rFonts w:ascii="Calibri" w:hAnsi="Calibri" w:cs="Times New Roman"/>
                                <w:b/>
                                <w:bCs/>
                                <w:i/>
                                <w:iCs/>
                                <w:sz w:val="16"/>
                                <w:szCs w:val="16"/>
                                <w:lang w:bidi="ar-SA"/>
                              </w:rPr>
                              <w:t xml:space="preserve">All (Age 20-90 </w:t>
                            </w:r>
                            <w:proofErr w:type="spellStart"/>
                            <w:r w:rsidRPr="00D03691">
                              <w:rPr>
                                <w:rFonts w:ascii="Calibri" w:hAnsi="Calibri" w:cs="Times New Roman"/>
                                <w:b/>
                                <w:bCs/>
                                <w:i/>
                                <w:iCs/>
                                <w:sz w:val="16"/>
                                <w:szCs w:val="16"/>
                                <w:lang w:bidi="ar-SA"/>
                              </w:rPr>
                              <w:t>years</w:t>
                            </w:r>
                            <w:proofErr w:type="spellEnd"/>
                            <w:r w:rsidRPr="00D03691">
                              <w:rPr>
                                <w:rFonts w:ascii="Calibri" w:hAnsi="Calibri" w:cs="Times New Roman"/>
                                <w:b/>
                                <w:bCs/>
                                <w:i/>
                                <w:iCs/>
                                <w:sz w:val="16"/>
                                <w:szCs w:val="16"/>
                                <w:lang w:bidi="ar-SA"/>
                              </w:rPr>
                              <w:t>)</w:t>
                            </w:r>
                          </w:p>
                        </w:tc>
                        <w:tc>
                          <w:tcPr>
                            <w:tcW w:w="1080" w:type="dxa"/>
                            <w:shd w:val="clear" w:color="auto" w:fill="auto"/>
                            <w:noWrap/>
                            <w:vAlign w:val="bottom"/>
                            <w:hideMark/>
                          </w:tcPr>
                          <w:p w14:paraId="31CFAF81"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20-35 </w:t>
                            </w:r>
                            <w:proofErr w:type="spellStart"/>
                            <w:r w:rsidRPr="00D03691">
                              <w:rPr>
                                <w:rFonts w:ascii="Calibri" w:hAnsi="Calibri" w:cs="Times New Roman"/>
                                <w:b/>
                                <w:bCs/>
                                <w:i/>
                                <w:iCs/>
                                <w:color w:val="000000"/>
                                <w:sz w:val="16"/>
                                <w:szCs w:val="16"/>
                                <w:lang w:bidi="ar-SA"/>
                              </w:rPr>
                              <w:t>years</w:t>
                            </w:r>
                            <w:proofErr w:type="spellEnd"/>
                          </w:p>
                        </w:tc>
                        <w:tc>
                          <w:tcPr>
                            <w:tcW w:w="1078" w:type="dxa"/>
                            <w:shd w:val="clear" w:color="auto" w:fill="auto"/>
                            <w:noWrap/>
                            <w:vAlign w:val="bottom"/>
                            <w:hideMark/>
                          </w:tcPr>
                          <w:p w14:paraId="078CBE69"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35-50 </w:t>
                            </w:r>
                            <w:proofErr w:type="spellStart"/>
                            <w:r w:rsidRPr="00D03691">
                              <w:rPr>
                                <w:rFonts w:ascii="Calibri" w:hAnsi="Calibri" w:cs="Times New Roman"/>
                                <w:b/>
                                <w:bCs/>
                                <w:i/>
                                <w:iCs/>
                                <w:color w:val="000000"/>
                                <w:sz w:val="16"/>
                                <w:szCs w:val="16"/>
                                <w:lang w:bidi="ar-SA"/>
                              </w:rPr>
                              <w:t>years</w:t>
                            </w:r>
                            <w:proofErr w:type="spellEnd"/>
                          </w:p>
                        </w:tc>
                        <w:tc>
                          <w:tcPr>
                            <w:tcW w:w="1078" w:type="dxa"/>
                            <w:shd w:val="clear" w:color="auto" w:fill="auto"/>
                            <w:noWrap/>
                            <w:vAlign w:val="bottom"/>
                            <w:hideMark/>
                          </w:tcPr>
                          <w:p w14:paraId="3D716DC1"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50-65 </w:t>
                            </w:r>
                            <w:proofErr w:type="spellStart"/>
                            <w:r w:rsidRPr="00D03691">
                              <w:rPr>
                                <w:rFonts w:ascii="Calibri" w:hAnsi="Calibri" w:cs="Times New Roman"/>
                                <w:b/>
                                <w:bCs/>
                                <w:i/>
                                <w:iCs/>
                                <w:color w:val="000000"/>
                                <w:sz w:val="16"/>
                                <w:szCs w:val="16"/>
                                <w:lang w:bidi="ar-SA"/>
                              </w:rPr>
                              <w:t>years</w:t>
                            </w:r>
                            <w:proofErr w:type="spellEnd"/>
                          </w:p>
                        </w:tc>
                        <w:tc>
                          <w:tcPr>
                            <w:tcW w:w="1078" w:type="dxa"/>
                            <w:shd w:val="clear" w:color="auto" w:fill="auto"/>
                            <w:noWrap/>
                            <w:vAlign w:val="bottom"/>
                            <w:hideMark/>
                          </w:tcPr>
                          <w:p w14:paraId="438C5403"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65-75 </w:t>
                            </w:r>
                            <w:proofErr w:type="spellStart"/>
                            <w:r w:rsidRPr="00D03691">
                              <w:rPr>
                                <w:rFonts w:ascii="Calibri" w:hAnsi="Calibri" w:cs="Times New Roman"/>
                                <w:b/>
                                <w:bCs/>
                                <w:i/>
                                <w:iCs/>
                                <w:color w:val="000000"/>
                                <w:sz w:val="16"/>
                                <w:szCs w:val="16"/>
                                <w:lang w:bidi="ar-SA"/>
                              </w:rPr>
                              <w:t>years</w:t>
                            </w:r>
                            <w:proofErr w:type="spellEnd"/>
                          </w:p>
                        </w:tc>
                        <w:tc>
                          <w:tcPr>
                            <w:tcW w:w="1091" w:type="dxa"/>
                            <w:shd w:val="clear" w:color="auto" w:fill="auto"/>
                            <w:noWrap/>
                            <w:vAlign w:val="bottom"/>
                            <w:hideMark/>
                          </w:tcPr>
                          <w:p w14:paraId="797FDB31" w14:textId="77777777" w:rsidR="00AD312A" w:rsidRPr="00D03691" w:rsidRDefault="00AD312A" w:rsidP="00D03691">
                            <w:pPr>
                              <w:rPr>
                                <w:rFonts w:ascii="Calibri" w:hAnsi="Calibri" w:cs="Times New Roman"/>
                                <w:b/>
                                <w:bCs/>
                                <w:i/>
                                <w:iCs/>
                                <w:color w:val="000000"/>
                                <w:sz w:val="16"/>
                                <w:szCs w:val="16"/>
                                <w:lang w:bidi="ar-SA"/>
                              </w:rPr>
                            </w:pPr>
                            <w:r w:rsidRPr="00D03691">
                              <w:rPr>
                                <w:rFonts w:ascii="Calibri" w:hAnsi="Calibri" w:cs="Times New Roman"/>
                                <w:b/>
                                <w:bCs/>
                                <w:i/>
                                <w:iCs/>
                                <w:color w:val="000000"/>
                                <w:sz w:val="16"/>
                                <w:szCs w:val="16"/>
                                <w:lang w:bidi="ar-SA"/>
                              </w:rPr>
                              <w:t xml:space="preserve">Age 75-90 </w:t>
                            </w:r>
                            <w:proofErr w:type="spellStart"/>
                            <w:r w:rsidRPr="00D03691">
                              <w:rPr>
                                <w:rFonts w:ascii="Calibri" w:hAnsi="Calibri" w:cs="Times New Roman"/>
                                <w:b/>
                                <w:bCs/>
                                <w:i/>
                                <w:iCs/>
                                <w:color w:val="000000"/>
                                <w:sz w:val="16"/>
                                <w:szCs w:val="16"/>
                                <w:lang w:bidi="ar-SA"/>
                              </w:rPr>
                              <w:t>years</w:t>
                            </w:r>
                            <w:proofErr w:type="spellEnd"/>
                          </w:p>
                        </w:tc>
                      </w:tr>
                      <w:tr w:rsidR="00AD312A" w:rsidRPr="00D03691" w14:paraId="0BFEC2F2" w14:textId="77777777" w:rsidTr="00D03691">
                        <w:trPr>
                          <w:trHeight w:val="252"/>
                        </w:trPr>
                        <w:tc>
                          <w:tcPr>
                            <w:tcW w:w="2559" w:type="dxa"/>
                            <w:shd w:val="clear" w:color="auto" w:fill="auto"/>
                            <w:noWrap/>
                            <w:vAlign w:val="bottom"/>
                            <w:hideMark/>
                          </w:tcPr>
                          <w:p w14:paraId="23AFF8D7"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30EA0BE6" w14:textId="77777777" w:rsidR="00AD312A" w:rsidRPr="00D03691" w:rsidRDefault="00AD312A" w:rsidP="00D03691">
                            <w:pPr>
                              <w:rPr>
                                <w:rFonts w:ascii="Calibri" w:hAnsi="Calibri" w:cs="Times New Roman"/>
                                <w:color w:val="FFC000"/>
                                <w:sz w:val="16"/>
                                <w:szCs w:val="16"/>
                                <w:lang w:bidi="ar-SA"/>
                              </w:rPr>
                            </w:pPr>
                            <w:r w:rsidRPr="00D03691">
                              <w:rPr>
                                <w:rFonts w:ascii="Calibri" w:hAnsi="Calibri" w:cs="Times New Roman"/>
                                <w:color w:val="FFC000"/>
                                <w:sz w:val="16"/>
                                <w:szCs w:val="16"/>
                                <w:lang w:bidi="ar-SA"/>
                              </w:rPr>
                              <w:t> </w:t>
                            </w:r>
                          </w:p>
                        </w:tc>
                        <w:tc>
                          <w:tcPr>
                            <w:tcW w:w="1080" w:type="dxa"/>
                            <w:shd w:val="clear" w:color="auto" w:fill="auto"/>
                            <w:noWrap/>
                            <w:vAlign w:val="bottom"/>
                            <w:hideMark/>
                          </w:tcPr>
                          <w:p w14:paraId="1DD74E73"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67E947B9"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7B717C04"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4BAF904D" w14:textId="77777777" w:rsidR="00AD312A" w:rsidRPr="00D03691" w:rsidRDefault="00AD312A" w:rsidP="00D03691">
                            <w:pPr>
                              <w:rPr>
                                <w:rFonts w:ascii="Calibri" w:hAnsi="Calibri" w:cs="Times New Roman"/>
                                <w:color w:val="000000"/>
                                <w:sz w:val="16"/>
                                <w:szCs w:val="16"/>
                                <w:lang w:bidi="ar-SA"/>
                              </w:rPr>
                            </w:pPr>
                          </w:p>
                        </w:tc>
                        <w:tc>
                          <w:tcPr>
                            <w:tcW w:w="1091" w:type="dxa"/>
                            <w:shd w:val="clear" w:color="auto" w:fill="auto"/>
                            <w:noWrap/>
                            <w:vAlign w:val="bottom"/>
                            <w:hideMark/>
                          </w:tcPr>
                          <w:p w14:paraId="293FB490"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7826554E" w14:textId="77777777" w:rsidTr="00D03691">
                        <w:trPr>
                          <w:trHeight w:val="252"/>
                        </w:trPr>
                        <w:tc>
                          <w:tcPr>
                            <w:tcW w:w="2559" w:type="dxa"/>
                            <w:shd w:val="clear" w:color="auto" w:fill="auto"/>
                            <w:noWrap/>
                            <w:vAlign w:val="bottom"/>
                            <w:hideMark/>
                          </w:tcPr>
                          <w:p w14:paraId="47896E18"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N</w:t>
                            </w:r>
                          </w:p>
                        </w:tc>
                        <w:tc>
                          <w:tcPr>
                            <w:tcW w:w="1354" w:type="dxa"/>
                            <w:shd w:val="clear" w:color="auto" w:fill="auto"/>
                            <w:noWrap/>
                            <w:vAlign w:val="bottom"/>
                            <w:hideMark/>
                          </w:tcPr>
                          <w:p w14:paraId="7E5160B0"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139071</w:t>
                            </w:r>
                            <w:proofErr w:type="gramEnd"/>
                          </w:p>
                        </w:tc>
                        <w:tc>
                          <w:tcPr>
                            <w:tcW w:w="1080" w:type="dxa"/>
                            <w:shd w:val="clear" w:color="auto" w:fill="auto"/>
                            <w:noWrap/>
                            <w:vAlign w:val="bottom"/>
                            <w:hideMark/>
                          </w:tcPr>
                          <w:p w14:paraId="12F73534"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1784</w:t>
                            </w:r>
                          </w:p>
                        </w:tc>
                        <w:tc>
                          <w:tcPr>
                            <w:tcW w:w="1078" w:type="dxa"/>
                            <w:shd w:val="clear" w:color="auto" w:fill="auto"/>
                            <w:noWrap/>
                            <w:vAlign w:val="bottom"/>
                            <w:hideMark/>
                          </w:tcPr>
                          <w:p w14:paraId="30C0C9B5"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7253</w:t>
                            </w:r>
                          </w:p>
                        </w:tc>
                        <w:tc>
                          <w:tcPr>
                            <w:tcW w:w="1078" w:type="dxa"/>
                            <w:shd w:val="clear" w:color="auto" w:fill="auto"/>
                            <w:noWrap/>
                            <w:vAlign w:val="bottom"/>
                            <w:hideMark/>
                          </w:tcPr>
                          <w:p w14:paraId="6F06F8F9"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30474</w:t>
                            </w:r>
                            <w:proofErr w:type="gramEnd"/>
                          </w:p>
                        </w:tc>
                        <w:tc>
                          <w:tcPr>
                            <w:tcW w:w="1078" w:type="dxa"/>
                            <w:shd w:val="clear" w:color="auto" w:fill="auto"/>
                            <w:noWrap/>
                            <w:vAlign w:val="bottom"/>
                            <w:hideMark/>
                          </w:tcPr>
                          <w:p w14:paraId="798A4896"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36937</w:t>
                            </w:r>
                            <w:proofErr w:type="gramEnd"/>
                          </w:p>
                        </w:tc>
                        <w:tc>
                          <w:tcPr>
                            <w:tcW w:w="1091" w:type="dxa"/>
                            <w:shd w:val="clear" w:color="auto" w:fill="auto"/>
                            <w:noWrap/>
                            <w:vAlign w:val="bottom"/>
                            <w:hideMark/>
                          </w:tcPr>
                          <w:p w14:paraId="490FA47E" w14:textId="77777777" w:rsidR="00AD312A" w:rsidRPr="00D03691" w:rsidRDefault="00AD312A" w:rsidP="00D03691">
                            <w:pPr>
                              <w:jc w:val="right"/>
                              <w:rPr>
                                <w:rFonts w:ascii="Calibri" w:hAnsi="Calibri" w:cs="Times New Roman"/>
                                <w:sz w:val="16"/>
                                <w:szCs w:val="16"/>
                                <w:lang w:bidi="ar-SA"/>
                              </w:rPr>
                            </w:pPr>
                            <w:proofErr w:type="gramStart"/>
                            <w:r w:rsidRPr="00D03691">
                              <w:rPr>
                                <w:rFonts w:ascii="Calibri" w:hAnsi="Calibri" w:cs="Times New Roman"/>
                                <w:sz w:val="16"/>
                                <w:szCs w:val="16"/>
                                <w:lang w:bidi="ar-SA"/>
                              </w:rPr>
                              <w:t>62623</w:t>
                            </w:r>
                            <w:proofErr w:type="gramEnd"/>
                          </w:p>
                        </w:tc>
                      </w:tr>
                      <w:tr w:rsidR="00AD312A" w:rsidRPr="00D03691" w14:paraId="05DEC9B5" w14:textId="77777777" w:rsidTr="00D03691">
                        <w:trPr>
                          <w:trHeight w:val="252"/>
                        </w:trPr>
                        <w:tc>
                          <w:tcPr>
                            <w:tcW w:w="2559" w:type="dxa"/>
                            <w:shd w:val="clear" w:color="auto" w:fill="auto"/>
                            <w:noWrap/>
                            <w:vAlign w:val="bottom"/>
                            <w:hideMark/>
                          </w:tcPr>
                          <w:p w14:paraId="71A381E0"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Average Age (</w:t>
                            </w:r>
                            <w:proofErr w:type="spellStart"/>
                            <w:r w:rsidRPr="00D03691">
                              <w:rPr>
                                <w:rFonts w:ascii="Calibri" w:hAnsi="Calibri" w:cs="Times New Roman"/>
                                <w:i/>
                                <w:iCs/>
                                <w:color w:val="000000"/>
                                <w:sz w:val="16"/>
                                <w:szCs w:val="16"/>
                                <w:lang w:bidi="ar-SA"/>
                              </w:rPr>
                              <w:t>years</w:t>
                            </w:r>
                            <w:proofErr w:type="spellEnd"/>
                            <w:r w:rsidRPr="00D03691">
                              <w:rPr>
                                <w:rFonts w:ascii="Calibri" w:hAnsi="Calibri" w:cs="Times New Roman"/>
                                <w:i/>
                                <w:iCs/>
                                <w:color w:val="000000"/>
                                <w:sz w:val="16"/>
                                <w:szCs w:val="16"/>
                                <w:lang w:bidi="ar-SA"/>
                              </w:rPr>
                              <w:t>)</w:t>
                            </w:r>
                          </w:p>
                        </w:tc>
                        <w:tc>
                          <w:tcPr>
                            <w:tcW w:w="1354" w:type="dxa"/>
                            <w:shd w:val="clear" w:color="auto" w:fill="auto"/>
                            <w:noWrap/>
                            <w:vAlign w:val="bottom"/>
                            <w:hideMark/>
                          </w:tcPr>
                          <w:p w14:paraId="28BA67D6"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71.2</w:t>
                            </w:r>
                          </w:p>
                        </w:tc>
                        <w:tc>
                          <w:tcPr>
                            <w:tcW w:w="1080" w:type="dxa"/>
                            <w:shd w:val="clear" w:color="auto" w:fill="auto"/>
                            <w:noWrap/>
                            <w:vAlign w:val="bottom"/>
                            <w:hideMark/>
                          </w:tcPr>
                          <w:p w14:paraId="122E4128"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29.1</w:t>
                            </w:r>
                          </w:p>
                        </w:tc>
                        <w:tc>
                          <w:tcPr>
                            <w:tcW w:w="1078" w:type="dxa"/>
                            <w:shd w:val="clear" w:color="auto" w:fill="auto"/>
                            <w:noWrap/>
                            <w:vAlign w:val="bottom"/>
                            <w:hideMark/>
                          </w:tcPr>
                          <w:p w14:paraId="138648CA"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44.1</w:t>
                            </w:r>
                          </w:p>
                        </w:tc>
                        <w:tc>
                          <w:tcPr>
                            <w:tcW w:w="1078" w:type="dxa"/>
                            <w:shd w:val="clear" w:color="auto" w:fill="auto"/>
                            <w:noWrap/>
                            <w:vAlign w:val="bottom"/>
                            <w:hideMark/>
                          </w:tcPr>
                          <w:p w14:paraId="21A33C22"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59.0</w:t>
                            </w:r>
                          </w:p>
                        </w:tc>
                        <w:tc>
                          <w:tcPr>
                            <w:tcW w:w="1078" w:type="dxa"/>
                            <w:shd w:val="clear" w:color="auto" w:fill="auto"/>
                            <w:noWrap/>
                            <w:vAlign w:val="bottom"/>
                            <w:hideMark/>
                          </w:tcPr>
                          <w:p w14:paraId="0E46BA86"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70.3</w:t>
                            </w:r>
                          </w:p>
                        </w:tc>
                        <w:tc>
                          <w:tcPr>
                            <w:tcW w:w="1091" w:type="dxa"/>
                            <w:shd w:val="clear" w:color="auto" w:fill="auto"/>
                            <w:noWrap/>
                            <w:vAlign w:val="bottom"/>
                            <w:hideMark/>
                          </w:tcPr>
                          <w:p w14:paraId="4A6E55CF" w14:textId="77777777" w:rsidR="00AD312A" w:rsidRPr="00D03691" w:rsidRDefault="00AD312A" w:rsidP="00D03691">
                            <w:pPr>
                              <w:jc w:val="right"/>
                              <w:rPr>
                                <w:rFonts w:ascii="Calibri" w:hAnsi="Calibri" w:cs="Times New Roman"/>
                                <w:sz w:val="16"/>
                                <w:szCs w:val="16"/>
                                <w:lang w:bidi="ar-SA"/>
                              </w:rPr>
                            </w:pPr>
                            <w:r w:rsidRPr="00D03691">
                              <w:rPr>
                                <w:rFonts w:ascii="Calibri" w:hAnsi="Calibri" w:cs="Times New Roman"/>
                                <w:sz w:val="16"/>
                                <w:szCs w:val="16"/>
                                <w:lang w:bidi="ar-SA"/>
                              </w:rPr>
                              <w:t>82.0</w:t>
                            </w:r>
                          </w:p>
                        </w:tc>
                      </w:tr>
                      <w:tr w:rsidR="00AD312A" w:rsidRPr="00D03691" w14:paraId="58177DF2" w14:textId="77777777" w:rsidTr="00D03691">
                        <w:trPr>
                          <w:trHeight w:val="252"/>
                        </w:trPr>
                        <w:tc>
                          <w:tcPr>
                            <w:tcW w:w="2559" w:type="dxa"/>
                            <w:shd w:val="clear" w:color="auto" w:fill="auto"/>
                            <w:noWrap/>
                            <w:vAlign w:val="bottom"/>
                            <w:hideMark/>
                          </w:tcPr>
                          <w:p w14:paraId="4EECE09F"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Sex (</w:t>
                            </w:r>
                            <w:proofErr w:type="spellStart"/>
                            <w:r w:rsidRPr="00D03691">
                              <w:rPr>
                                <w:rFonts w:ascii="Calibri" w:hAnsi="Calibri" w:cs="Times New Roman"/>
                                <w:i/>
                                <w:iCs/>
                                <w:color w:val="000000"/>
                                <w:sz w:val="16"/>
                                <w:szCs w:val="16"/>
                                <w:lang w:bidi="ar-SA"/>
                              </w:rPr>
                              <w:t>Female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7072129E"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62704</w:t>
                            </w:r>
                            <w:proofErr w:type="gramEnd"/>
                            <w:r w:rsidRPr="00D03691">
                              <w:rPr>
                                <w:rFonts w:ascii="Calibri" w:hAnsi="Calibri" w:cs="Times New Roman"/>
                                <w:color w:val="000000"/>
                                <w:sz w:val="16"/>
                                <w:szCs w:val="16"/>
                                <w:lang w:bidi="ar-SA"/>
                              </w:rPr>
                              <w:t xml:space="preserve"> (45.1)</w:t>
                            </w:r>
                          </w:p>
                        </w:tc>
                        <w:tc>
                          <w:tcPr>
                            <w:tcW w:w="1080" w:type="dxa"/>
                            <w:shd w:val="clear" w:color="auto" w:fill="auto"/>
                            <w:vAlign w:val="center"/>
                            <w:hideMark/>
                          </w:tcPr>
                          <w:p w14:paraId="634135F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568 (31.8)</w:t>
                            </w:r>
                          </w:p>
                        </w:tc>
                        <w:tc>
                          <w:tcPr>
                            <w:tcW w:w="1078" w:type="dxa"/>
                            <w:shd w:val="clear" w:color="auto" w:fill="auto"/>
                            <w:vAlign w:val="center"/>
                            <w:hideMark/>
                          </w:tcPr>
                          <w:p w14:paraId="57BFA38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2130 (29.4)</w:t>
                            </w:r>
                          </w:p>
                        </w:tc>
                        <w:tc>
                          <w:tcPr>
                            <w:tcW w:w="1078" w:type="dxa"/>
                            <w:shd w:val="clear" w:color="auto" w:fill="auto"/>
                            <w:vAlign w:val="center"/>
                            <w:hideMark/>
                          </w:tcPr>
                          <w:p w14:paraId="6DF1AD1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9448 (31.0)</w:t>
                            </w:r>
                          </w:p>
                        </w:tc>
                        <w:tc>
                          <w:tcPr>
                            <w:tcW w:w="1078" w:type="dxa"/>
                            <w:shd w:val="clear" w:color="auto" w:fill="auto"/>
                            <w:vAlign w:val="center"/>
                            <w:hideMark/>
                          </w:tcPr>
                          <w:p w14:paraId="6B892709"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14978</w:t>
                            </w:r>
                            <w:proofErr w:type="gramEnd"/>
                            <w:r w:rsidRPr="00D03691">
                              <w:rPr>
                                <w:rFonts w:ascii="Calibri" w:hAnsi="Calibri" w:cs="Times New Roman"/>
                                <w:color w:val="000000"/>
                                <w:sz w:val="16"/>
                                <w:szCs w:val="16"/>
                                <w:lang w:bidi="ar-SA"/>
                              </w:rPr>
                              <w:t xml:space="preserve"> (40.6)</w:t>
                            </w:r>
                          </w:p>
                        </w:tc>
                        <w:tc>
                          <w:tcPr>
                            <w:tcW w:w="1091" w:type="dxa"/>
                            <w:shd w:val="clear" w:color="auto" w:fill="auto"/>
                            <w:vAlign w:val="center"/>
                            <w:hideMark/>
                          </w:tcPr>
                          <w:p w14:paraId="07AB7797"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35580</w:t>
                            </w:r>
                            <w:proofErr w:type="gramEnd"/>
                            <w:r w:rsidRPr="00D03691">
                              <w:rPr>
                                <w:rFonts w:ascii="Calibri" w:hAnsi="Calibri" w:cs="Times New Roman"/>
                                <w:color w:val="000000"/>
                                <w:sz w:val="16"/>
                                <w:szCs w:val="16"/>
                                <w:lang w:bidi="ar-SA"/>
                              </w:rPr>
                              <w:t xml:space="preserve"> (56.8)</w:t>
                            </w:r>
                          </w:p>
                        </w:tc>
                      </w:tr>
                      <w:tr w:rsidR="00AD312A" w:rsidRPr="00D03691" w14:paraId="41285FC9" w14:textId="77777777" w:rsidTr="00D03691">
                        <w:trPr>
                          <w:trHeight w:val="252"/>
                        </w:trPr>
                        <w:tc>
                          <w:tcPr>
                            <w:tcW w:w="2559" w:type="dxa"/>
                            <w:shd w:val="clear" w:color="auto" w:fill="auto"/>
                            <w:noWrap/>
                            <w:vAlign w:val="bottom"/>
                            <w:hideMark/>
                          </w:tcPr>
                          <w:p w14:paraId="18479F8F"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Previous</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Ischemic</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Stroke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0EC0E0FB"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15980</w:t>
                            </w:r>
                            <w:proofErr w:type="gramEnd"/>
                            <w:r w:rsidRPr="00D03691">
                              <w:rPr>
                                <w:rFonts w:ascii="Calibri" w:hAnsi="Calibri" w:cs="Times New Roman"/>
                                <w:color w:val="000000"/>
                                <w:sz w:val="16"/>
                                <w:szCs w:val="16"/>
                                <w:lang w:bidi="ar-SA"/>
                              </w:rPr>
                              <w:t xml:space="preserve"> (11.5)</w:t>
                            </w:r>
                          </w:p>
                        </w:tc>
                        <w:tc>
                          <w:tcPr>
                            <w:tcW w:w="1080" w:type="dxa"/>
                            <w:shd w:val="clear" w:color="auto" w:fill="auto"/>
                            <w:vAlign w:val="center"/>
                            <w:hideMark/>
                          </w:tcPr>
                          <w:p w14:paraId="1883C1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16 (</w:t>
                            </w: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1198587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187 (2.6)</w:t>
                            </w:r>
                          </w:p>
                        </w:tc>
                        <w:tc>
                          <w:tcPr>
                            <w:tcW w:w="1078" w:type="dxa"/>
                            <w:shd w:val="clear" w:color="auto" w:fill="auto"/>
                            <w:vAlign w:val="center"/>
                            <w:hideMark/>
                          </w:tcPr>
                          <w:p w14:paraId="1C87706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1847 (6.1)</w:t>
                            </w:r>
                          </w:p>
                        </w:tc>
                        <w:tc>
                          <w:tcPr>
                            <w:tcW w:w="1078" w:type="dxa"/>
                            <w:shd w:val="clear" w:color="auto" w:fill="auto"/>
                            <w:vAlign w:val="center"/>
                            <w:hideMark/>
                          </w:tcPr>
                          <w:p w14:paraId="12EFF3B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4002 (10.8)</w:t>
                            </w:r>
                          </w:p>
                        </w:tc>
                        <w:tc>
                          <w:tcPr>
                            <w:tcW w:w="1091" w:type="dxa"/>
                            <w:shd w:val="clear" w:color="auto" w:fill="auto"/>
                            <w:vAlign w:val="center"/>
                            <w:hideMark/>
                          </w:tcPr>
                          <w:p w14:paraId="1A6574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9928 (15.9)</w:t>
                            </w:r>
                          </w:p>
                        </w:tc>
                      </w:tr>
                      <w:tr w:rsidR="00AD312A" w:rsidRPr="00D03691" w14:paraId="4674EAD3" w14:textId="77777777" w:rsidTr="00D03691">
                        <w:trPr>
                          <w:trHeight w:val="252"/>
                        </w:trPr>
                        <w:tc>
                          <w:tcPr>
                            <w:tcW w:w="2559" w:type="dxa"/>
                            <w:shd w:val="clear" w:color="auto" w:fill="auto"/>
                            <w:noWrap/>
                            <w:vAlign w:val="bottom"/>
                            <w:hideMark/>
                          </w:tcPr>
                          <w:p w14:paraId="44EF7AE2"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Previous</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Hemorrhagic</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Stroke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324A1A4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1421 (1.0)</w:t>
                            </w:r>
                          </w:p>
                        </w:tc>
                        <w:tc>
                          <w:tcPr>
                            <w:tcW w:w="1080" w:type="dxa"/>
                            <w:shd w:val="clear" w:color="auto" w:fill="auto"/>
                            <w:vAlign w:val="center"/>
                            <w:hideMark/>
                          </w:tcPr>
                          <w:p w14:paraId="5FDED80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 (</w:t>
                            </w: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312744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39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7603018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249 (</w:t>
                            </w:r>
                            <w:proofErr w:type="gramStart"/>
                            <w:r w:rsidRPr="00D03691">
                              <w:rPr>
                                <w:rFonts w:ascii="Calibri" w:hAnsi="Calibri" w:cs="Times New Roman"/>
                                <w:color w:val="000000"/>
                                <w:sz w:val="16"/>
                                <w:szCs w:val="16"/>
                                <w:lang w:bidi="ar-SA"/>
                              </w:rPr>
                              <w:t>0.8</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6C5DC9E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383 (1.0)</w:t>
                            </w:r>
                          </w:p>
                        </w:tc>
                        <w:tc>
                          <w:tcPr>
                            <w:tcW w:w="1091" w:type="dxa"/>
                            <w:shd w:val="clear" w:color="auto" w:fill="auto"/>
                            <w:vAlign w:val="center"/>
                            <w:hideMark/>
                          </w:tcPr>
                          <w:p w14:paraId="651735B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744 (1.2)</w:t>
                            </w:r>
                          </w:p>
                        </w:tc>
                      </w:tr>
                      <w:tr w:rsidR="00AD312A" w:rsidRPr="00D03691" w14:paraId="6AEB2282" w14:textId="77777777" w:rsidTr="00D03691">
                        <w:trPr>
                          <w:trHeight w:val="252"/>
                        </w:trPr>
                        <w:tc>
                          <w:tcPr>
                            <w:tcW w:w="2559" w:type="dxa"/>
                            <w:shd w:val="clear" w:color="auto" w:fill="auto"/>
                            <w:noWrap/>
                            <w:vAlign w:val="bottom"/>
                            <w:hideMark/>
                          </w:tcPr>
                          <w:p w14:paraId="0E617AB8" w14:textId="77777777" w:rsidR="00AD312A" w:rsidRPr="00D03691" w:rsidRDefault="00AD312A" w:rsidP="00D03691">
                            <w:pPr>
                              <w:rPr>
                                <w:rFonts w:ascii="Calibri" w:hAnsi="Calibri" w:cs="Times New Roman"/>
                                <w:i/>
                                <w:iCs/>
                                <w:sz w:val="16"/>
                                <w:szCs w:val="16"/>
                                <w:lang w:bidi="ar-SA"/>
                              </w:rPr>
                            </w:pPr>
                            <w:proofErr w:type="spellStart"/>
                            <w:r w:rsidRPr="00D03691">
                              <w:rPr>
                                <w:rFonts w:ascii="Calibri" w:hAnsi="Calibri" w:cs="Times New Roman"/>
                                <w:i/>
                                <w:iCs/>
                                <w:sz w:val="16"/>
                                <w:szCs w:val="16"/>
                                <w:lang w:bidi="ar-SA"/>
                              </w:rPr>
                              <w:t>Systemic</w:t>
                            </w:r>
                            <w:proofErr w:type="spellEnd"/>
                            <w:r w:rsidRPr="00D03691">
                              <w:rPr>
                                <w:rFonts w:ascii="Calibri" w:hAnsi="Calibri" w:cs="Times New Roman"/>
                                <w:i/>
                                <w:iCs/>
                                <w:sz w:val="16"/>
                                <w:szCs w:val="16"/>
                                <w:lang w:bidi="ar-SA"/>
                              </w:rPr>
                              <w:t xml:space="preserve"> </w:t>
                            </w:r>
                            <w:proofErr w:type="spellStart"/>
                            <w:r w:rsidRPr="00D03691">
                              <w:rPr>
                                <w:rFonts w:ascii="Calibri" w:hAnsi="Calibri" w:cs="Times New Roman"/>
                                <w:i/>
                                <w:iCs/>
                                <w:sz w:val="16"/>
                                <w:szCs w:val="16"/>
                                <w:lang w:bidi="ar-SA"/>
                              </w:rPr>
                              <w:t>Embolism</w:t>
                            </w:r>
                            <w:proofErr w:type="spellEnd"/>
                            <w:r w:rsidRPr="00D03691">
                              <w:rPr>
                                <w:rFonts w:ascii="Calibri" w:hAnsi="Calibri" w:cs="Times New Roman"/>
                                <w:i/>
                                <w:iCs/>
                                <w:sz w:val="16"/>
                                <w:szCs w:val="16"/>
                                <w:lang w:bidi="ar-SA"/>
                              </w:rPr>
                              <w:t>, No. (%)</w:t>
                            </w:r>
                          </w:p>
                        </w:tc>
                        <w:tc>
                          <w:tcPr>
                            <w:tcW w:w="1354" w:type="dxa"/>
                            <w:shd w:val="clear" w:color="auto" w:fill="auto"/>
                            <w:vAlign w:val="center"/>
                            <w:hideMark/>
                          </w:tcPr>
                          <w:p w14:paraId="4CADA50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936 (</w:t>
                            </w:r>
                            <w:proofErr w:type="gramStart"/>
                            <w:r w:rsidRPr="00D03691">
                              <w:rPr>
                                <w:rFonts w:ascii="Calibri" w:hAnsi="Calibri" w:cs="Times New Roman"/>
                                <w:color w:val="000000"/>
                                <w:sz w:val="16"/>
                                <w:szCs w:val="16"/>
                                <w:lang w:bidi="ar-SA"/>
                              </w:rPr>
                              <w:t>0.7</w:t>
                            </w:r>
                            <w:proofErr w:type="gramEnd"/>
                            <w:r w:rsidRPr="00D03691">
                              <w:rPr>
                                <w:rFonts w:ascii="Calibri" w:hAnsi="Calibri" w:cs="Times New Roman"/>
                                <w:color w:val="000000"/>
                                <w:sz w:val="16"/>
                                <w:szCs w:val="16"/>
                                <w:lang w:bidi="ar-SA"/>
                              </w:rPr>
                              <w:t>)</w:t>
                            </w:r>
                          </w:p>
                        </w:tc>
                        <w:tc>
                          <w:tcPr>
                            <w:tcW w:w="1080" w:type="dxa"/>
                            <w:shd w:val="clear" w:color="auto" w:fill="auto"/>
                            <w:vAlign w:val="center"/>
                            <w:hideMark/>
                          </w:tcPr>
                          <w:p w14:paraId="3CA1FD7A"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xml:space="preserve"> 1 (</w:t>
                            </w: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2D8600AC"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25 (</w:t>
                            </w: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8D487A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141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5C65AC5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219 (</w:t>
                            </w:r>
                            <w:proofErr w:type="gramStart"/>
                            <w:r w:rsidRPr="00D03691">
                              <w:rPr>
                                <w:rFonts w:ascii="Calibri" w:hAnsi="Calibri" w:cs="Times New Roman"/>
                                <w:color w:val="000000"/>
                                <w:sz w:val="16"/>
                                <w:szCs w:val="16"/>
                                <w:lang w:bidi="ar-SA"/>
                              </w:rPr>
                              <w:t>0.6</w:t>
                            </w:r>
                            <w:proofErr w:type="gramEnd"/>
                            <w:r w:rsidRPr="00D03691">
                              <w:rPr>
                                <w:rFonts w:ascii="Calibri" w:hAnsi="Calibri" w:cs="Times New Roman"/>
                                <w:color w:val="000000"/>
                                <w:sz w:val="16"/>
                                <w:szCs w:val="16"/>
                                <w:lang w:bidi="ar-SA"/>
                              </w:rPr>
                              <w:t>)</w:t>
                            </w:r>
                          </w:p>
                        </w:tc>
                        <w:tc>
                          <w:tcPr>
                            <w:tcW w:w="1091" w:type="dxa"/>
                            <w:shd w:val="clear" w:color="auto" w:fill="auto"/>
                            <w:vAlign w:val="center"/>
                            <w:hideMark/>
                          </w:tcPr>
                          <w:p w14:paraId="43929F0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550 (</w:t>
                            </w:r>
                            <w:proofErr w:type="gramStart"/>
                            <w:r w:rsidRPr="00D03691">
                              <w:rPr>
                                <w:rFonts w:ascii="Calibri" w:hAnsi="Calibri" w:cs="Times New Roman"/>
                                <w:color w:val="000000"/>
                                <w:sz w:val="16"/>
                                <w:szCs w:val="16"/>
                                <w:lang w:bidi="ar-SA"/>
                              </w:rPr>
                              <w:t>0.9</w:t>
                            </w:r>
                            <w:proofErr w:type="gramEnd"/>
                            <w:r w:rsidRPr="00D03691">
                              <w:rPr>
                                <w:rFonts w:ascii="Calibri" w:hAnsi="Calibri" w:cs="Times New Roman"/>
                                <w:color w:val="000000"/>
                                <w:sz w:val="16"/>
                                <w:szCs w:val="16"/>
                                <w:lang w:bidi="ar-SA"/>
                              </w:rPr>
                              <w:t>)</w:t>
                            </w:r>
                          </w:p>
                        </w:tc>
                      </w:tr>
                      <w:tr w:rsidR="00AD312A" w:rsidRPr="00D03691" w14:paraId="770D36F6" w14:textId="77777777" w:rsidTr="00D03691">
                        <w:trPr>
                          <w:trHeight w:val="252"/>
                        </w:trPr>
                        <w:tc>
                          <w:tcPr>
                            <w:tcW w:w="2559" w:type="dxa"/>
                            <w:shd w:val="clear" w:color="auto" w:fill="auto"/>
                            <w:noWrap/>
                            <w:vAlign w:val="bottom"/>
                            <w:hideMark/>
                          </w:tcPr>
                          <w:p w14:paraId="5997CF0F" w14:textId="77777777" w:rsidR="00AD312A" w:rsidRPr="00D03691" w:rsidRDefault="00AD312A" w:rsidP="00D03691">
                            <w:pPr>
                              <w:rPr>
                                <w:rFonts w:ascii="Calibri" w:hAnsi="Calibri" w:cs="Times New Roman"/>
                                <w:i/>
                                <w:iCs/>
                                <w:color w:val="000000"/>
                                <w:sz w:val="16"/>
                                <w:szCs w:val="16"/>
                                <w:lang w:val="en-US" w:bidi="ar-SA"/>
                              </w:rPr>
                            </w:pPr>
                            <w:r w:rsidRPr="00D03691">
                              <w:rPr>
                                <w:rFonts w:ascii="Calibri" w:hAnsi="Calibri" w:cs="Times New Roman"/>
                                <w:i/>
                                <w:iCs/>
                                <w:color w:val="000000"/>
                                <w:sz w:val="16"/>
                                <w:szCs w:val="16"/>
                                <w:lang w:val="en-US" w:bidi="ar-SA"/>
                              </w:rPr>
                              <w:t>Previous Transient Cerebral Ischemia, No. (%)</w:t>
                            </w:r>
                          </w:p>
                        </w:tc>
                        <w:tc>
                          <w:tcPr>
                            <w:tcW w:w="1354" w:type="dxa"/>
                            <w:shd w:val="clear" w:color="auto" w:fill="auto"/>
                            <w:vAlign w:val="center"/>
                            <w:hideMark/>
                          </w:tcPr>
                          <w:p w14:paraId="2FEF59A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5841 (4.2)</w:t>
                            </w:r>
                          </w:p>
                        </w:tc>
                        <w:tc>
                          <w:tcPr>
                            <w:tcW w:w="1080" w:type="dxa"/>
                            <w:shd w:val="clear" w:color="auto" w:fill="auto"/>
                            <w:vAlign w:val="center"/>
                            <w:hideMark/>
                          </w:tcPr>
                          <w:p w14:paraId="0C4E2D8A"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2E35B58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77 (1.1)</w:t>
                            </w:r>
                          </w:p>
                        </w:tc>
                        <w:tc>
                          <w:tcPr>
                            <w:tcW w:w="1078" w:type="dxa"/>
                            <w:shd w:val="clear" w:color="auto" w:fill="auto"/>
                            <w:vAlign w:val="center"/>
                            <w:hideMark/>
                          </w:tcPr>
                          <w:p w14:paraId="5D814D2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780 (2.6)</w:t>
                            </w:r>
                          </w:p>
                        </w:tc>
                        <w:tc>
                          <w:tcPr>
                            <w:tcW w:w="1078" w:type="dxa"/>
                            <w:shd w:val="clear" w:color="auto" w:fill="auto"/>
                            <w:vAlign w:val="center"/>
                            <w:hideMark/>
                          </w:tcPr>
                          <w:p w14:paraId="44791CC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1523 (4.1)</w:t>
                            </w:r>
                          </w:p>
                        </w:tc>
                        <w:tc>
                          <w:tcPr>
                            <w:tcW w:w="1091" w:type="dxa"/>
                            <w:shd w:val="clear" w:color="auto" w:fill="auto"/>
                            <w:vAlign w:val="center"/>
                            <w:hideMark/>
                          </w:tcPr>
                          <w:p w14:paraId="755272D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3452 (5.5)</w:t>
                            </w:r>
                          </w:p>
                        </w:tc>
                      </w:tr>
                      <w:tr w:rsidR="00AD312A" w:rsidRPr="00D03691" w14:paraId="29B9CA3B" w14:textId="77777777" w:rsidTr="00D03691">
                        <w:trPr>
                          <w:trHeight w:val="252"/>
                        </w:trPr>
                        <w:tc>
                          <w:tcPr>
                            <w:tcW w:w="2559" w:type="dxa"/>
                            <w:shd w:val="clear" w:color="auto" w:fill="auto"/>
                            <w:noWrap/>
                            <w:vAlign w:val="bottom"/>
                            <w:hideMark/>
                          </w:tcPr>
                          <w:p w14:paraId="510281DD"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Previous</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Stroke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683CD6EC"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20814</w:t>
                            </w:r>
                            <w:proofErr w:type="gramEnd"/>
                            <w:r w:rsidRPr="00D03691">
                              <w:rPr>
                                <w:rFonts w:ascii="Calibri" w:hAnsi="Calibri" w:cs="Times New Roman"/>
                                <w:color w:val="000000"/>
                                <w:sz w:val="16"/>
                                <w:szCs w:val="16"/>
                                <w:lang w:bidi="ar-SA"/>
                              </w:rPr>
                              <w:t xml:space="preserve"> (15.0)</w:t>
                            </w:r>
                          </w:p>
                        </w:tc>
                        <w:tc>
                          <w:tcPr>
                            <w:tcW w:w="1080" w:type="dxa"/>
                            <w:shd w:val="clear" w:color="auto" w:fill="auto"/>
                            <w:vAlign w:val="center"/>
                            <w:hideMark/>
                          </w:tcPr>
                          <w:p w14:paraId="010DFB3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29 (1.6)</w:t>
                            </w:r>
                          </w:p>
                        </w:tc>
                        <w:tc>
                          <w:tcPr>
                            <w:tcW w:w="1078" w:type="dxa"/>
                            <w:shd w:val="clear" w:color="auto" w:fill="auto"/>
                            <w:vAlign w:val="center"/>
                            <w:hideMark/>
                          </w:tcPr>
                          <w:p w14:paraId="106A706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267 (3.7)</w:t>
                            </w:r>
                          </w:p>
                        </w:tc>
                        <w:tc>
                          <w:tcPr>
                            <w:tcW w:w="1078" w:type="dxa"/>
                            <w:shd w:val="clear" w:color="auto" w:fill="auto"/>
                            <w:vAlign w:val="center"/>
                            <w:hideMark/>
                          </w:tcPr>
                          <w:p w14:paraId="5E65EA1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2557 (8.4)</w:t>
                            </w:r>
                          </w:p>
                        </w:tc>
                        <w:tc>
                          <w:tcPr>
                            <w:tcW w:w="1078" w:type="dxa"/>
                            <w:shd w:val="clear" w:color="auto" w:fill="auto"/>
                            <w:vAlign w:val="center"/>
                            <w:hideMark/>
                          </w:tcPr>
                          <w:p w14:paraId="06D26A2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5285 (14.3)</w:t>
                            </w:r>
                          </w:p>
                        </w:tc>
                        <w:tc>
                          <w:tcPr>
                            <w:tcW w:w="1091" w:type="dxa"/>
                            <w:shd w:val="clear" w:color="auto" w:fill="auto"/>
                            <w:vAlign w:val="center"/>
                            <w:hideMark/>
                          </w:tcPr>
                          <w:p w14:paraId="51404592"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12676</w:t>
                            </w:r>
                            <w:proofErr w:type="gramEnd"/>
                            <w:r w:rsidRPr="00D03691">
                              <w:rPr>
                                <w:rFonts w:ascii="Calibri" w:hAnsi="Calibri" w:cs="Times New Roman"/>
                                <w:color w:val="000000"/>
                                <w:sz w:val="16"/>
                                <w:szCs w:val="16"/>
                                <w:lang w:bidi="ar-SA"/>
                              </w:rPr>
                              <w:t xml:space="preserve"> (20.2)</w:t>
                            </w:r>
                          </w:p>
                        </w:tc>
                      </w:tr>
                      <w:tr w:rsidR="00AD312A" w:rsidRPr="00D03691" w14:paraId="7829F53E" w14:textId="77777777" w:rsidTr="00D03691">
                        <w:trPr>
                          <w:trHeight w:val="252"/>
                        </w:trPr>
                        <w:tc>
                          <w:tcPr>
                            <w:tcW w:w="2559" w:type="dxa"/>
                            <w:shd w:val="clear" w:color="auto" w:fill="auto"/>
                            <w:noWrap/>
                            <w:vAlign w:val="bottom"/>
                            <w:hideMark/>
                          </w:tcPr>
                          <w:p w14:paraId="57900B41"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xml:space="preserve">Heart </w:t>
                            </w:r>
                            <w:proofErr w:type="spellStart"/>
                            <w:r w:rsidRPr="00D03691">
                              <w:rPr>
                                <w:rFonts w:ascii="Calibri" w:hAnsi="Calibri" w:cs="Times New Roman"/>
                                <w:i/>
                                <w:iCs/>
                                <w:color w:val="000000"/>
                                <w:sz w:val="16"/>
                                <w:szCs w:val="16"/>
                                <w:lang w:bidi="ar-SA"/>
                              </w:rPr>
                              <w:t>Failure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4C0CA3F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23359</w:t>
                            </w:r>
                            <w:proofErr w:type="gramEnd"/>
                            <w:r w:rsidRPr="00D03691">
                              <w:rPr>
                                <w:rFonts w:ascii="Calibri" w:hAnsi="Calibri" w:cs="Times New Roman"/>
                                <w:color w:val="000000"/>
                                <w:sz w:val="16"/>
                                <w:szCs w:val="16"/>
                                <w:lang w:bidi="ar-SA"/>
                              </w:rPr>
                              <w:t xml:space="preserve"> (16.8)</w:t>
                            </w:r>
                          </w:p>
                        </w:tc>
                        <w:tc>
                          <w:tcPr>
                            <w:tcW w:w="1080" w:type="dxa"/>
                            <w:shd w:val="clear" w:color="auto" w:fill="auto"/>
                            <w:vAlign w:val="center"/>
                            <w:hideMark/>
                          </w:tcPr>
                          <w:p w14:paraId="1BFA1A8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50 (2.8)</w:t>
                            </w:r>
                          </w:p>
                        </w:tc>
                        <w:tc>
                          <w:tcPr>
                            <w:tcW w:w="1078" w:type="dxa"/>
                            <w:shd w:val="clear" w:color="auto" w:fill="auto"/>
                            <w:vAlign w:val="center"/>
                            <w:hideMark/>
                          </w:tcPr>
                          <w:p w14:paraId="64D8C64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461 (6.4)</w:t>
                            </w:r>
                          </w:p>
                        </w:tc>
                        <w:tc>
                          <w:tcPr>
                            <w:tcW w:w="1078" w:type="dxa"/>
                            <w:shd w:val="clear" w:color="auto" w:fill="auto"/>
                            <w:vAlign w:val="center"/>
                            <w:hideMark/>
                          </w:tcPr>
                          <w:p w14:paraId="6B3B305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3406 (11.2)</w:t>
                            </w:r>
                          </w:p>
                        </w:tc>
                        <w:tc>
                          <w:tcPr>
                            <w:tcW w:w="1078" w:type="dxa"/>
                            <w:shd w:val="clear" w:color="auto" w:fill="auto"/>
                            <w:vAlign w:val="center"/>
                            <w:hideMark/>
                          </w:tcPr>
                          <w:p w14:paraId="58BB3DD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5849 (15.8)</w:t>
                            </w:r>
                          </w:p>
                        </w:tc>
                        <w:tc>
                          <w:tcPr>
                            <w:tcW w:w="1091" w:type="dxa"/>
                            <w:shd w:val="clear" w:color="auto" w:fill="auto"/>
                            <w:vAlign w:val="center"/>
                            <w:hideMark/>
                          </w:tcPr>
                          <w:p w14:paraId="223F79A2"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13593</w:t>
                            </w:r>
                            <w:proofErr w:type="gramEnd"/>
                            <w:r w:rsidRPr="00D03691">
                              <w:rPr>
                                <w:rFonts w:ascii="Calibri" w:hAnsi="Calibri" w:cs="Times New Roman"/>
                                <w:color w:val="000000"/>
                                <w:sz w:val="16"/>
                                <w:szCs w:val="16"/>
                                <w:lang w:bidi="ar-SA"/>
                              </w:rPr>
                              <w:t xml:space="preserve"> (21.7)</w:t>
                            </w:r>
                          </w:p>
                        </w:tc>
                      </w:tr>
                      <w:tr w:rsidR="00AD312A" w:rsidRPr="00D03691" w14:paraId="0AB31558" w14:textId="77777777" w:rsidTr="00D03691">
                        <w:trPr>
                          <w:trHeight w:val="252"/>
                        </w:trPr>
                        <w:tc>
                          <w:tcPr>
                            <w:tcW w:w="2559" w:type="dxa"/>
                            <w:shd w:val="clear" w:color="auto" w:fill="auto"/>
                            <w:noWrap/>
                            <w:vAlign w:val="bottom"/>
                            <w:hideMark/>
                          </w:tcPr>
                          <w:p w14:paraId="7CB250F8"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xml:space="preserve">Prior </w:t>
                            </w:r>
                            <w:proofErr w:type="spellStart"/>
                            <w:r w:rsidRPr="00D03691">
                              <w:rPr>
                                <w:rFonts w:ascii="Calibri" w:hAnsi="Calibri" w:cs="Times New Roman"/>
                                <w:i/>
                                <w:iCs/>
                                <w:color w:val="000000"/>
                                <w:sz w:val="16"/>
                                <w:szCs w:val="16"/>
                                <w:lang w:bidi="ar-SA"/>
                              </w:rPr>
                              <w:t>Myocardial</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Infarction</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5FD92743"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14342</w:t>
                            </w:r>
                            <w:proofErr w:type="gramEnd"/>
                            <w:r w:rsidRPr="00D03691">
                              <w:rPr>
                                <w:rFonts w:ascii="Calibri" w:hAnsi="Calibri" w:cs="Times New Roman"/>
                                <w:color w:val="000000"/>
                                <w:sz w:val="16"/>
                                <w:szCs w:val="16"/>
                                <w:lang w:bidi="ar-SA"/>
                              </w:rPr>
                              <w:t xml:space="preserve"> (10.3)</w:t>
                            </w:r>
                          </w:p>
                        </w:tc>
                        <w:tc>
                          <w:tcPr>
                            <w:tcW w:w="1080" w:type="dxa"/>
                            <w:shd w:val="clear" w:color="auto" w:fill="auto"/>
                            <w:vAlign w:val="center"/>
                            <w:hideMark/>
                          </w:tcPr>
                          <w:p w14:paraId="28C4283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12 (</w:t>
                            </w:r>
                            <w:proofErr w:type="gramStart"/>
                            <w:r w:rsidRPr="00D03691">
                              <w:rPr>
                                <w:rFonts w:ascii="Calibri" w:hAnsi="Calibri" w:cs="Times New Roman"/>
                                <w:color w:val="000000"/>
                                <w:sz w:val="16"/>
                                <w:szCs w:val="16"/>
                                <w:lang w:bidi="ar-SA"/>
                              </w:rPr>
                              <w:t>0.7</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8473E3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235 (3.2)</w:t>
                            </w:r>
                          </w:p>
                        </w:tc>
                        <w:tc>
                          <w:tcPr>
                            <w:tcW w:w="1078" w:type="dxa"/>
                            <w:shd w:val="clear" w:color="auto" w:fill="auto"/>
                            <w:vAlign w:val="center"/>
                            <w:hideMark/>
                          </w:tcPr>
                          <w:p w14:paraId="3029957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2355 (7.7)</w:t>
                            </w:r>
                          </w:p>
                        </w:tc>
                        <w:tc>
                          <w:tcPr>
                            <w:tcW w:w="1078" w:type="dxa"/>
                            <w:shd w:val="clear" w:color="auto" w:fill="auto"/>
                            <w:vAlign w:val="center"/>
                            <w:hideMark/>
                          </w:tcPr>
                          <w:p w14:paraId="46581B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4159 (11.3)</w:t>
                            </w:r>
                          </w:p>
                        </w:tc>
                        <w:tc>
                          <w:tcPr>
                            <w:tcW w:w="1091" w:type="dxa"/>
                            <w:shd w:val="clear" w:color="auto" w:fill="auto"/>
                            <w:vAlign w:val="center"/>
                            <w:hideMark/>
                          </w:tcPr>
                          <w:p w14:paraId="3D19327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7581 (12.1)</w:t>
                            </w:r>
                          </w:p>
                        </w:tc>
                      </w:tr>
                      <w:tr w:rsidR="00AD312A" w:rsidRPr="00D03691" w14:paraId="10067162" w14:textId="77777777" w:rsidTr="00D03691">
                        <w:trPr>
                          <w:trHeight w:val="252"/>
                        </w:trPr>
                        <w:tc>
                          <w:tcPr>
                            <w:tcW w:w="2559" w:type="dxa"/>
                            <w:shd w:val="clear" w:color="auto" w:fill="auto"/>
                            <w:noWrap/>
                            <w:vAlign w:val="bottom"/>
                            <w:hideMark/>
                          </w:tcPr>
                          <w:p w14:paraId="13469754" w14:textId="77777777" w:rsidR="00AD312A" w:rsidRPr="00D03691" w:rsidRDefault="00AD312A" w:rsidP="00D03691">
                            <w:pPr>
                              <w:rPr>
                                <w:rFonts w:ascii="Calibri" w:hAnsi="Calibri" w:cs="Times New Roman"/>
                                <w:i/>
                                <w:iCs/>
                                <w:sz w:val="16"/>
                                <w:szCs w:val="16"/>
                                <w:lang w:bidi="ar-SA"/>
                              </w:rPr>
                            </w:pPr>
                            <w:proofErr w:type="spellStart"/>
                            <w:r w:rsidRPr="00D03691">
                              <w:rPr>
                                <w:rFonts w:ascii="Calibri" w:hAnsi="Calibri" w:cs="Times New Roman"/>
                                <w:i/>
                                <w:iCs/>
                                <w:sz w:val="16"/>
                                <w:szCs w:val="16"/>
                                <w:lang w:bidi="ar-SA"/>
                              </w:rPr>
                              <w:t>Periphery</w:t>
                            </w:r>
                            <w:proofErr w:type="spellEnd"/>
                            <w:r w:rsidRPr="00D03691">
                              <w:rPr>
                                <w:rFonts w:ascii="Calibri" w:hAnsi="Calibri" w:cs="Times New Roman"/>
                                <w:i/>
                                <w:iCs/>
                                <w:sz w:val="16"/>
                                <w:szCs w:val="16"/>
                                <w:lang w:bidi="ar-SA"/>
                              </w:rPr>
                              <w:t xml:space="preserve"> </w:t>
                            </w:r>
                            <w:proofErr w:type="spellStart"/>
                            <w:r w:rsidRPr="00D03691">
                              <w:rPr>
                                <w:rFonts w:ascii="Calibri" w:hAnsi="Calibri" w:cs="Times New Roman"/>
                                <w:i/>
                                <w:iCs/>
                                <w:sz w:val="16"/>
                                <w:szCs w:val="16"/>
                                <w:lang w:bidi="ar-SA"/>
                              </w:rPr>
                              <w:t>Ischemic</w:t>
                            </w:r>
                            <w:proofErr w:type="spellEnd"/>
                            <w:r w:rsidRPr="00D03691">
                              <w:rPr>
                                <w:rFonts w:ascii="Calibri" w:hAnsi="Calibri" w:cs="Times New Roman"/>
                                <w:i/>
                                <w:iCs/>
                                <w:sz w:val="16"/>
                                <w:szCs w:val="16"/>
                                <w:lang w:bidi="ar-SA"/>
                              </w:rPr>
                              <w:t xml:space="preserve"> </w:t>
                            </w:r>
                            <w:proofErr w:type="spellStart"/>
                            <w:r w:rsidRPr="00D03691">
                              <w:rPr>
                                <w:rFonts w:ascii="Calibri" w:hAnsi="Calibri" w:cs="Times New Roman"/>
                                <w:i/>
                                <w:iCs/>
                                <w:sz w:val="16"/>
                                <w:szCs w:val="16"/>
                                <w:lang w:bidi="ar-SA"/>
                              </w:rPr>
                              <w:t>Disease</w:t>
                            </w:r>
                            <w:proofErr w:type="spellEnd"/>
                            <w:r w:rsidRPr="00D03691">
                              <w:rPr>
                                <w:rFonts w:ascii="Calibri" w:hAnsi="Calibri" w:cs="Times New Roman"/>
                                <w:i/>
                                <w:iCs/>
                                <w:sz w:val="16"/>
                                <w:szCs w:val="16"/>
                                <w:lang w:bidi="ar-SA"/>
                              </w:rPr>
                              <w:t>, No. (%)</w:t>
                            </w:r>
                          </w:p>
                        </w:tc>
                        <w:tc>
                          <w:tcPr>
                            <w:tcW w:w="1354" w:type="dxa"/>
                            <w:shd w:val="clear" w:color="auto" w:fill="auto"/>
                            <w:vAlign w:val="center"/>
                            <w:hideMark/>
                          </w:tcPr>
                          <w:p w14:paraId="16283A8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10813</w:t>
                            </w:r>
                            <w:proofErr w:type="gramEnd"/>
                            <w:r w:rsidRPr="00D03691">
                              <w:rPr>
                                <w:rFonts w:ascii="Calibri" w:hAnsi="Calibri" w:cs="Times New Roman"/>
                                <w:color w:val="000000"/>
                                <w:sz w:val="16"/>
                                <w:szCs w:val="16"/>
                                <w:lang w:bidi="ar-SA"/>
                              </w:rPr>
                              <w:t xml:space="preserve"> (7.8)</w:t>
                            </w:r>
                          </w:p>
                        </w:tc>
                        <w:tc>
                          <w:tcPr>
                            <w:tcW w:w="1080" w:type="dxa"/>
                            <w:shd w:val="clear" w:color="auto" w:fill="auto"/>
                            <w:vAlign w:val="center"/>
                            <w:hideMark/>
                          </w:tcPr>
                          <w:p w14:paraId="2058F0D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 (</w:t>
                            </w:r>
                            <w:proofErr w:type="gramStart"/>
                            <w:r w:rsidRPr="00D03691">
                              <w:rPr>
                                <w:rFonts w:ascii="Calibri" w:hAnsi="Calibri" w:cs="Times New Roman"/>
                                <w:color w:val="000000"/>
                                <w:sz w:val="16"/>
                                <w:szCs w:val="16"/>
                                <w:lang w:bidi="ar-SA"/>
                              </w:rPr>
                              <w:t>0.8</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0F1BD4E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131 (1.8)</w:t>
                            </w:r>
                          </w:p>
                        </w:tc>
                        <w:tc>
                          <w:tcPr>
                            <w:tcW w:w="1078" w:type="dxa"/>
                            <w:shd w:val="clear" w:color="auto" w:fill="auto"/>
                            <w:vAlign w:val="center"/>
                            <w:hideMark/>
                          </w:tcPr>
                          <w:p w14:paraId="39C44EC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1410 (4.6)</w:t>
                            </w:r>
                          </w:p>
                        </w:tc>
                        <w:tc>
                          <w:tcPr>
                            <w:tcW w:w="1078" w:type="dxa"/>
                            <w:shd w:val="clear" w:color="auto" w:fill="auto"/>
                            <w:vAlign w:val="center"/>
                            <w:hideMark/>
                          </w:tcPr>
                          <w:p w14:paraId="3B0E26F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3133 (8.5)</w:t>
                            </w:r>
                          </w:p>
                        </w:tc>
                        <w:tc>
                          <w:tcPr>
                            <w:tcW w:w="1091" w:type="dxa"/>
                            <w:shd w:val="clear" w:color="auto" w:fill="auto"/>
                            <w:vAlign w:val="center"/>
                            <w:hideMark/>
                          </w:tcPr>
                          <w:p w14:paraId="28F9BE4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6125 (9.8)</w:t>
                            </w:r>
                          </w:p>
                        </w:tc>
                      </w:tr>
                      <w:tr w:rsidR="00AD312A" w:rsidRPr="00D03691" w14:paraId="015179D2" w14:textId="77777777" w:rsidTr="00D03691">
                        <w:trPr>
                          <w:trHeight w:val="252"/>
                        </w:trPr>
                        <w:tc>
                          <w:tcPr>
                            <w:tcW w:w="2559" w:type="dxa"/>
                            <w:shd w:val="clear" w:color="auto" w:fill="auto"/>
                            <w:noWrap/>
                            <w:vAlign w:val="bottom"/>
                            <w:hideMark/>
                          </w:tcPr>
                          <w:p w14:paraId="6238752C"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Vascular</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Disease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2AF3F825"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22929</w:t>
                            </w:r>
                            <w:proofErr w:type="gramEnd"/>
                            <w:r w:rsidRPr="00D03691">
                              <w:rPr>
                                <w:rFonts w:ascii="Calibri" w:hAnsi="Calibri" w:cs="Times New Roman"/>
                                <w:color w:val="000000"/>
                                <w:sz w:val="16"/>
                                <w:szCs w:val="16"/>
                                <w:lang w:bidi="ar-SA"/>
                              </w:rPr>
                              <w:t xml:space="preserve"> (16.5)</w:t>
                            </w:r>
                          </w:p>
                        </w:tc>
                        <w:tc>
                          <w:tcPr>
                            <w:tcW w:w="1080" w:type="dxa"/>
                            <w:shd w:val="clear" w:color="auto" w:fill="auto"/>
                            <w:vAlign w:val="center"/>
                            <w:hideMark/>
                          </w:tcPr>
                          <w:p w14:paraId="6C83712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26 (1.5)</w:t>
                            </w:r>
                          </w:p>
                        </w:tc>
                        <w:tc>
                          <w:tcPr>
                            <w:tcW w:w="1078" w:type="dxa"/>
                            <w:shd w:val="clear" w:color="auto" w:fill="auto"/>
                            <w:vAlign w:val="center"/>
                            <w:hideMark/>
                          </w:tcPr>
                          <w:p w14:paraId="099859C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342 (4.7)</w:t>
                            </w:r>
                          </w:p>
                        </w:tc>
                        <w:tc>
                          <w:tcPr>
                            <w:tcW w:w="1078" w:type="dxa"/>
                            <w:shd w:val="clear" w:color="auto" w:fill="auto"/>
                            <w:vAlign w:val="center"/>
                            <w:hideMark/>
                          </w:tcPr>
                          <w:p w14:paraId="34B9101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3491 (11.5)</w:t>
                            </w:r>
                          </w:p>
                        </w:tc>
                        <w:tc>
                          <w:tcPr>
                            <w:tcW w:w="1078" w:type="dxa"/>
                            <w:shd w:val="clear" w:color="auto" w:fill="auto"/>
                            <w:vAlign w:val="center"/>
                            <w:hideMark/>
                          </w:tcPr>
                          <w:p w14:paraId="3AAC2D2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6617 (17.9)</w:t>
                            </w:r>
                          </w:p>
                        </w:tc>
                        <w:tc>
                          <w:tcPr>
                            <w:tcW w:w="1091" w:type="dxa"/>
                            <w:shd w:val="clear" w:color="auto" w:fill="auto"/>
                            <w:vAlign w:val="center"/>
                            <w:hideMark/>
                          </w:tcPr>
                          <w:p w14:paraId="7A4D44B3"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12453</w:t>
                            </w:r>
                            <w:proofErr w:type="gramEnd"/>
                            <w:r w:rsidRPr="00D03691">
                              <w:rPr>
                                <w:rFonts w:ascii="Calibri" w:hAnsi="Calibri" w:cs="Times New Roman"/>
                                <w:color w:val="000000"/>
                                <w:sz w:val="16"/>
                                <w:szCs w:val="16"/>
                                <w:lang w:bidi="ar-SA"/>
                              </w:rPr>
                              <w:t xml:space="preserve"> (19.9)</w:t>
                            </w:r>
                          </w:p>
                        </w:tc>
                      </w:tr>
                      <w:tr w:rsidR="00AD312A" w:rsidRPr="00D03691" w14:paraId="3A8639AC" w14:textId="77777777" w:rsidTr="00D03691">
                        <w:trPr>
                          <w:trHeight w:val="252"/>
                        </w:trPr>
                        <w:tc>
                          <w:tcPr>
                            <w:tcW w:w="2559" w:type="dxa"/>
                            <w:shd w:val="clear" w:color="auto" w:fill="auto"/>
                            <w:noWrap/>
                            <w:vAlign w:val="bottom"/>
                            <w:hideMark/>
                          </w:tcPr>
                          <w:p w14:paraId="2DBB2B42"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Diabetes, No. (%)</w:t>
                            </w:r>
                          </w:p>
                        </w:tc>
                        <w:tc>
                          <w:tcPr>
                            <w:tcW w:w="1354" w:type="dxa"/>
                            <w:shd w:val="clear" w:color="auto" w:fill="auto"/>
                            <w:vAlign w:val="center"/>
                            <w:hideMark/>
                          </w:tcPr>
                          <w:p w14:paraId="00773EC6"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15312</w:t>
                            </w:r>
                            <w:proofErr w:type="gramEnd"/>
                            <w:r w:rsidRPr="00D03691">
                              <w:rPr>
                                <w:rFonts w:ascii="Calibri" w:hAnsi="Calibri" w:cs="Times New Roman"/>
                                <w:color w:val="000000"/>
                                <w:sz w:val="16"/>
                                <w:szCs w:val="16"/>
                                <w:lang w:bidi="ar-SA"/>
                              </w:rPr>
                              <w:t xml:space="preserve"> (11.0)</w:t>
                            </w:r>
                          </w:p>
                        </w:tc>
                        <w:tc>
                          <w:tcPr>
                            <w:tcW w:w="1080" w:type="dxa"/>
                            <w:shd w:val="clear" w:color="auto" w:fill="auto"/>
                            <w:vAlign w:val="center"/>
                            <w:hideMark/>
                          </w:tcPr>
                          <w:p w14:paraId="79AFEEF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24 (1.3)</w:t>
                            </w:r>
                          </w:p>
                        </w:tc>
                        <w:tc>
                          <w:tcPr>
                            <w:tcW w:w="1078" w:type="dxa"/>
                            <w:shd w:val="clear" w:color="auto" w:fill="auto"/>
                            <w:vAlign w:val="center"/>
                            <w:hideMark/>
                          </w:tcPr>
                          <w:p w14:paraId="6D6F17F6"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346 (4.8)</w:t>
                            </w:r>
                          </w:p>
                        </w:tc>
                        <w:tc>
                          <w:tcPr>
                            <w:tcW w:w="1078" w:type="dxa"/>
                            <w:shd w:val="clear" w:color="auto" w:fill="auto"/>
                            <w:vAlign w:val="center"/>
                            <w:hideMark/>
                          </w:tcPr>
                          <w:p w14:paraId="59F73C04"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3231 (10.6)</w:t>
                            </w:r>
                          </w:p>
                        </w:tc>
                        <w:tc>
                          <w:tcPr>
                            <w:tcW w:w="1078" w:type="dxa"/>
                            <w:shd w:val="clear" w:color="auto" w:fill="auto"/>
                            <w:vAlign w:val="center"/>
                            <w:hideMark/>
                          </w:tcPr>
                          <w:p w14:paraId="7CC644D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4855 (13.1)</w:t>
                            </w:r>
                          </w:p>
                        </w:tc>
                        <w:tc>
                          <w:tcPr>
                            <w:tcW w:w="1091" w:type="dxa"/>
                            <w:shd w:val="clear" w:color="auto" w:fill="auto"/>
                            <w:vAlign w:val="center"/>
                            <w:hideMark/>
                          </w:tcPr>
                          <w:p w14:paraId="5D4BA85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6856 (10.9)</w:t>
                            </w:r>
                          </w:p>
                        </w:tc>
                      </w:tr>
                      <w:tr w:rsidR="00AD312A" w:rsidRPr="00D03691" w14:paraId="41B37C41" w14:textId="77777777" w:rsidTr="00D03691">
                        <w:trPr>
                          <w:trHeight w:val="252"/>
                        </w:trPr>
                        <w:tc>
                          <w:tcPr>
                            <w:tcW w:w="2559" w:type="dxa"/>
                            <w:shd w:val="clear" w:color="auto" w:fill="auto"/>
                            <w:noWrap/>
                            <w:vAlign w:val="bottom"/>
                            <w:hideMark/>
                          </w:tcPr>
                          <w:p w14:paraId="4A5F3F12"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Hypertension</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4303693C"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16083</w:t>
                            </w:r>
                            <w:proofErr w:type="gramEnd"/>
                            <w:r w:rsidRPr="00D03691">
                              <w:rPr>
                                <w:rFonts w:ascii="Calibri" w:hAnsi="Calibri" w:cs="Times New Roman"/>
                                <w:color w:val="000000"/>
                                <w:sz w:val="16"/>
                                <w:szCs w:val="16"/>
                                <w:lang w:bidi="ar-SA"/>
                              </w:rPr>
                              <w:t xml:space="preserve"> (11.6)</w:t>
                            </w:r>
                          </w:p>
                        </w:tc>
                        <w:tc>
                          <w:tcPr>
                            <w:tcW w:w="1080" w:type="dxa"/>
                            <w:shd w:val="clear" w:color="auto" w:fill="auto"/>
                            <w:vAlign w:val="center"/>
                            <w:hideMark/>
                          </w:tcPr>
                          <w:p w14:paraId="74E8F88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2892B20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281 (3.9)</w:t>
                            </w:r>
                          </w:p>
                        </w:tc>
                        <w:tc>
                          <w:tcPr>
                            <w:tcW w:w="1078" w:type="dxa"/>
                            <w:shd w:val="clear" w:color="auto" w:fill="auto"/>
                            <w:vAlign w:val="center"/>
                            <w:hideMark/>
                          </w:tcPr>
                          <w:p w14:paraId="1EC37FF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3256 (10.7)</w:t>
                            </w:r>
                          </w:p>
                        </w:tc>
                        <w:tc>
                          <w:tcPr>
                            <w:tcW w:w="1078" w:type="dxa"/>
                            <w:shd w:val="clear" w:color="auto" w:fill="auto"/>
                            <w:vAlign w:val="center"/>
                            <w:hideMark/>
                          </w:tcPr>
                          <w:p w14:paraId="4D10278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4928 (13.3)</w:t>
                            </w:r>
                          </w:p>
                        </w:tc>
                        <w:tc>
                          <w:tcPr>
                            <w:tcW w:w="1091" w:type="dxa"/>
                            <w:shd w:val="clear" w:color="auto" w:fill="auto"/>
                            <w:vAlign w:val="center"/>
                            <w:hideMark/>
                          </w:tcPr>
                          <w:p w14:paraId="7FC8495D"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7609 (12.2)</w:t>
                            </w:r>
                          </w:p>
                        </w:tc>
                      </w:tr>
                      <w:tr w:rsidR="00AD312A" w:rsidRPr="00D03691" w14:paraId="3B65B94C" w14:textId="77777777" w:rsidTr="00D03691">
                        <w:trPr>
                          <w:trHeight w:val="252"/>
                        </w:trPr>
                        <w:tc>
                          <w:tcPr>
                            <w:tcW w:w="2559" w:type="dxa"/>
                            <w:shd w:val="clear" w:color="auto" w:fill="auto"/>
                            <w:noWrap/>
                            <w:vAlign w:val="bottom"/>
                            <w:hideMark/>
                          </w:tcPr>
                          <w:p w14:paraId="1DB2B30A" w14:textId="77777777" w:rsidR="00AD312A" w:rsidRPr="00D03691" w:rsidRDefault="00AD312A" w:rsidP="00D03691">
                            <w:pPr>
                              <w:rPr>
                                <w:rFonts w:ascii="Calibri" w:hAnsi="Calibri" w:cs="Times New Roman"/>
                                <w:i/>
                                <w:iCs/>
                                <w:color w:val="000000"/>
                                <w:sz w:val="16"/>
                                <w:szCs w:val="16"/>
                                <w:lang w:bidi="ar-SA"/>
                              </w:rPr>
                            </w:pPr>
                            <w:proofErr w:type="spellStart"/>
                            <w:r w:rsidRPr="00D03691">
                              <w:rPr>
                                <w:rFonts w:ascii="Calibri" w:hAnsi="Calibri" w:cs="Times New Roman"/>
                                <w:i/>
                                <w:iCs/>
                                <w:color w:val="000000"/>
                                <w:sz w:val="16"/>
                                <w:szCs w:val="16"/>
                                <w:lang w:bidi="ar-SA"/>
                              </w:rPr>
                              <w:t>Renal</w:t>
                            </w:r>
                            <w:proofErr w:type="spellEnd"/>
                            <w:r w:rsidRPr="00D03691">
                              <w:rPr>
                                <w:rFonts w:ascii="Calibri" w:hAnsi="Calibri" w:cs="Times New Roman"/>
                                <w:i/>
                                <w:iCs/>
                                <w:color w:val="000000"/>
                                <w:sz w:val="16"/>
                                <w:szCs w:val="16"/>
                                <w:lang w:bidi="ar-SA"/>
                              </w:rPr>
                              <w:t xml:space="preserve"> </w:t>
                            </w:r>
                            <w:proofErr w:type="spellStart"/>
                            <w:r w:rsidRPr="00D03691">
                              <w:rPr>
                                <w:rFonts w:ascii="Calibri" w:hAnsi="Calibri" w:cs="Times New Roman"/>
                                <w:i/>
                                <w:iCs/>
                                <w:color w:val="000000"/>
                                <w:sz w:val="16"/>
                                <w:szCs w:val="16"/>
                                <w:lang w:bidi="ar-SA"/>
                              </w:rPr>
                              <w:t>Disease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6B8B4FE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5687 (4.1)</w:t>
                            </w:r>
                          </w:p>
                        </w:tc>
                        <w:tc>
                          <w:tcPr>
                            <w:tcW w:w="1080" w:type="dxa"/>
                            <w:shd w:val="clear" w:color="auto" w:fill="auto"/>
                            <w:vAlign w:val="center"/>
                            <w:hideMark/>
                          </w:tcPr>
                          <w:p w14:paraId="5A85903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 (1.9)</w:t>
                            </w:r>
                          </w:p>
                        </w:tc>
                        <w:tc>
                          <w:tcPr>
                            <w:tcW w:w="1078" w:type="dxa"/>
                            <w:shd w:val="clear" w:color="auto" w:fill="auto"/>
                            <w:vAlign w:val="center"/>
                            <w:hideMark/>
                          </w:tcPr>
                          <w:p w14:paraId="50FA371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188 (2.6)</w:t>
                            </w:r>
                          </w:p>
                        </w:tc>
                        <w:tc>
                          <w:tcPr>
                            <w:tcW w:w="1078" w:type="dxa"/>
                            <w:shd w:val="clear" w:color="auto" w:fill="auto"/>
                            <w:vAlign w:val="center"/>
                            <w:hideMark/>
                          </w:tcPr>
                          <w:p w14:paraId="2A214906"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1000 (3.3)</w:t>
                            </w:r>
                          </w:p>
                        </w:tc>
                        <w:tc>
                          <w:tcPr>
                            <w:tcW w:w="1078" w:type="dxa"/>
                            <w:shd w:val="clear" w:color="auto" w:fill="auto"/>
                            <w:vAlign w:val="center"/>
                            <w:hideMark/>
                          </w:tcPr>
                          <w:p w14:paraId="59FB3DD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1554 (4.2)</w:t>
                            </w:r>
                          </w:p>
                        </w:tc>
                        <w:tc>
                          <w:tcPr>
                            <w:tcW w:w="1091" w:type="dxa"/>
                            <w:shd w:val="clear" w:color="auto" w:fill="auto"/>
                            <w:vAlign w:val="center"/>
                            <w:hideMark/>
                          </w:tcPr>
                          <w:p w14:paraId="167FAEE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2911 (4.6)</w:t>
                            </w:r>
                          </w:p>
                        </w:tc>
                      </w:tr>
                      <w:tr w:rsidR="00AD312A" w:rsidRPr="00D03691" w14:paraId="21EFD83F" w14:textId="77777777" w:rsidTr="00D03691">
                        <w:trPr>
                          <w:trHeight w:val="252"/>
                        </w:trPr>
                        <w:tc>
                          <w:tcPr>
                            <w:tcW w:w="2559" w:type="dxa"/>
                            <w:shd w:val="clear" w:color="auto" w:fill="auto"/>
                            <w:noWrap/>
                            <w:vAlign w:val="bottom"/>
                            <w:hideMark/>
                          </w:tcPr>
                          <w:p w14:paraId="4882693B"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xml:space="preserve">Liver </w:t>
                            </w:r>
                            <w:proofErr w:type="spellStart"/>
                            <w:r w:rsidRPr="00D03691">
                              <w:rPr>
                                <w:rFonts w:ascii="Calibri" w:hAnsi="Calibri" w:cs="Times New Roman"/>
                                <w:i/>
                                <w:iCs/>
                                <w:color w:val="000000"/>
                                <w:sz w:val="16"/>
                                <w:szCs w:val="16"/>
                                <w:lang w:bidi="ar-SA"/>
                              </w:rPr>
                              <w:t>Disease</w:t>
                            </w:r>
                            <w:proofErr w:type="spellEnd"/>
                            <w:r w:rsidRPr="00D03691">
                              <w:rPr>
                                <w:rFonts w:ascii="Calibri" w:hAnsi="Calibri" w:cs="Times New Roman"/>
                                <w:i/>
                                <w:iCs/>
                                <w:color w:val="000000"/>
                                <w:sz w:val="16"/>
                                <w:szCs w:val="16"/>
                                <w:lang w:bidi="ar-SA"/>
                              </w:rPr>
                              <w:t>, No. (%)</w:t>
                            </w:r>
                          </w:p>
                        </w:tc>
                        <w:tc>
                          <w:tcPr>
                            <w:tcW w:w="1354" w:type="dxa"/>
                            <w:shd w:val="clear" w:color="auto" w:fill="auto"/>
                            <w:vAlign w:val="center"/>
                            <w:hideMark/>
                          </w:tcPr>
                          <w:p w14:paraId="4E0BE75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509 (</w:t>
                            </w:r>
                            <w:proofErr w:type="gramStart"/>
                            <w:r w:rsidRPr="00D03691">
                              <w:rPr>
                                <w:rFonts w:ascii="Calibri" w:hAnsi="Calibri" w:cs="Times New Roman"/>
                                <w:color w:val="000000"/>
                                <w:sz w:val="16"/>
                                <w:szCs w:val="16"/>
                                <w:lang w:bidi="ar-SA"/>
                              </w:rPr>
                              <w:t>0.4</w:t>
                            </w:r>
                            <w:proofErr w:type="gramEnd"/>
                            <w:r w:rsidRPr="00D03691">
                              <w:rPr>
                                <w:rFonts w:ascii="Calibri" w:hAnsi="Calibri" w:cs="Times New Roman"/>
                                <w:color w:val="000000"/>
                                <w:sz w:val="16"/>
                                <w:szCs w:val="16"/>
                                <w:lang w:bidi="ar-SA"/>
                              </w:rPr>
                              <w:t>)</w:t>
                            </w:r>
                          </w:p>
                        </w:tc>
                        <w:tc>
                          <w:tcPr>
                            <w:tcW w:w="1080" w:type="dxa"/>
                            <w:shd w:val="clear" w:color="auto" w:fill="auto"/>
                            <w:vAlign w:val="center"/>
                            <w:hideMark/>
                          </w:tcPr>
                          <w:p w14:paraId="39B76F9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 (</w:t>
                            </w: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4D41C6E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36 (</w:t>
                            </w:r>
                            <w:proofErr w:type="gramStart"/>
                            <w:r w:rsidRPr="00D03691">
                              <w:rPr>
                                <w:rFonts w:ascii="Calibri" w:hAnsi="Calibri" w:cs="Times New Roman"/>
                                <w:color w:val="000000"/>
                                <w:sz w:val="16"/>
                                <w:szCs w:val="16"/>
                                <w:lang w:bidi="ar-SA"/>
                              </w:rPr>
                              <w:t>0.5</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6F78893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xml:space="preserve"> 220 (</w:t>
                            </w:r>
                            <w:proofErr w:type="gramStart"/>
                            <w:r w:rsidRPr="00D03691">
                              <w:rPr>
                                <w:rFonts w:ascii="Calibri" w:hAnsi="Calibri" w:cs="Times New Roman"/>
                                <w:color w:val="000000"/>
                                <w:sz w:val="16"/>
                                <w:szCs w:val="16"/>
                                <w:lang w:bidi="ar-SA"/>
                              </w:rPr>
                              <w:t>0.7</w:t>
                            </w:r>
                            <w:proofErr w:type="gramEnd"/>
                            <w:r w:rsidRPr="00D03691">
                              <w:rPr>
                                <w:rFonts w:ascii="Calibri" w:hAnsi="Calibri" w:cs="Times New Roman"/>
                                <w:color w:val="000000"/>
                                <w:sz w:val="16"/>
                                <w:szCs w:val="16"/>
                                <w:lang w:bidi="ar-SA"/>
                              </w:rPr>
                              <w:t>)</w:t>
                            </w:r>
                          </w:p>
                        </w:tc>
                        <w:tc>
                          <w:tcPr>
                            <w:tcW w:w="1078" w:type="dxa"/>
                            <w:shd w:val="clear" w:color="auto" w:fill="auto"/>
                            <w:vAlign w:val="center"/>
                            <w:hideMark/>
                          </w:tcPr>
                          <w:p w14:paraId="7E3437F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154 (</w:t>
                            </w:r>
                            <w:proofErr w:type="gramStart"/>
                            <w:r w:rsidRPr="00D03691">
                              <w:rPr>
                                <w:rFonts w:ascii="Calibri" w:hAnsi="Calibri" w:cs="Times New Roman"/>
                                <w:color w:val="000000"/>
                                <w:sz w:val="16"/>
                                <w:szCs w:val="16"/>
                                <w:lang w:bidi="ar-SA"/>
                              </w:rPr>
                              <w:t>0.4</w:t>
                            </w:r>
                            <w:proofErr w:type="gramEnd"/>
                            <w:r w:rsidRPr="00D03691">
                              <w:rPr>
                                <w:rFonts w:ascii="Calibri" w:hAnsi="Calibri" w:cs="Times New Roman"/>
                                <w:color w:val="000000"/>
                                <w:sz w:val="16"/>
                                <w:szCs w:val="16"/>
                                <w:lang w:bidi="ar-SA"/>
                              </w:rPr>
                              <w:t>)</w:t>
                            </w:r>
                          </w:p>
                        </w:tc>
                        <w:tc>
                          <w:tcPr>
                            <w:tcW w:w="1091" w:type="dxa"/>
                            <w:shd w:val="clear" w:color="auto" w:fill="auto"/>
                            <w:vAlign w:val="center"/>
                            <w:hideMark/>
                          </w:tcPr>
                          <w:p w14:paraId="3454528E"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98 (</w:t>
                            </w:r>
                            <w:proofErr w:type="gramStart"/>
                            <w:r w:rsidRPr="00D03691">
                              <w:rPr>
                                <w:rFonts w:ascii="Calibri" w:hAnsi="Calibri" w:cs="Times New Roman"/>
                                <w:color w:val="000000"/>
                                <w:sz w:val="16"/>
                                <w:szCs w:val="16"/>
                                <w:lang w:bidi="ar-SA"/>
                              </w:rPr>
                              <w:t>0.2</w:t>
                            </w:r>
                            <w:proofErr w:type="gramEnd"/>
                            <w:r w:rsidRPr="00D03691">
                              <w:rPr>
                                <w:rFonts w:ascii="Calibri" w:hAnsi="Calibri" w:cs="Times New Roman"/>
                                <w:color w:val="000000"/>
                                <w:sz w:val="16"/>
                                <w:szCs w:val="16"/>
                                <w:lang w:bidi="ar-SA"/>
                              </w:rPr>
                              <w:t>)</w:t>
                            </w:r>
                          </w:p>
                        </w:tc>
                      </w:tr>
                      <w:tr w:rsidR="00AD312A" w:rsidRPr="00D03691" w14:paraId="6390FFBB" w14:textId="77777777" w:rsidTr="00D03691">
                        <w:trPr>
                          <w:trHeight w:val="252"/>
                        </w:trPr>
                        <w:tc>
                          <w:tcPr>
                            <w:tcW w:w="2559" w:type="dxa"/>
                            <w:shd w:val="clear" w:color="auto" w:fill="auto"/>
                            <w:noWrap/>
                            <w:vAlign w:val="bottom"/>
                            <w:hideMark/>
                          </w:tcPr>
                          <w:p w14:paraId="0947A761"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w:t>
                            </w:r>
                          </w:p>
                        </w:tc>
                        <w:tc>
                          <w:tcPr>
                            <w:tcW w:w="1354" w:type="dxa"/>
                            <w:shd w:val="clear" w:color="auto" w:fill="auto"/>
                            <w:noWrap/>
                            <w:vAlign w:val="bottom"/>
                            <w:hideMark/>
                          </w:tcPr>
                          <w:p w14:paraId="1CECFA7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080" w:type="dxa"/>
                            <w:shd w:val="clear" w:color="auto" w:fill="auto"/>
                            <w:noWrap/>
                            <w:vAlign w:val="bottom"/>
                            <w:hideMark/>
                          </w:tcPr>
                          <w:p w14:paraId="4A50C8D2"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1834FF3A"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44300CDE"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026A6E5A" w14:textId="77777777" w:rsidR="00AD312A" w:rsidRPr="00D03691" w:rsidRDefault="00AD312A" w:rsidP="00D03691">
                            <w:pPr>
                              <w:jc w:val="right"/>
                              <w:rPr>
                                <w:rFonts w:ascii="Calibri" w:hAnsi="Calibri" w:cs="Times New Roman"/>
                                <w:color w:val="000000"/>
                                <w:sz w:val="16"/>
                                <w:szCs w:val="16"/>
                                <w:lang w:bidi="ar-SA"/>
                              </w:rPr>
                            </w:pPr>
                          </w:p>
                        </w:tc>
                        <w:tc>
                          <w:tcPr>
                            <w:tcW w:w="1091" w:type="dxa"/>
                            <w:shd w:val="clear" w:color="auto" w:fill="auto"/>
                            <w:noWrap/>
                            <w:vAlign w:val="bottom"/>
                            <w:hideMark/>
                          </w:tcPr>
                          <w:p w14:paraId="48183408"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371A3B81" w14:textId="77777777" w:rsidTr="00D03691">
                        <w:trPr>
                          <w:trHeight w:val="252"/>
                        </w:trPr>
                        <w:tc>
                          <w:tcPr>
                            <w:tcW w:w="2559" w:type="dxa"/>
                            <w:shd w:val="clear" w:color="auto" w:fill="auto"/>
                            <w:noWrap/>
                            <w:vAlign w:val="bottom"/>
                            <w:hideMark/>
                          </w:tcPr>
                          <w:p w14:paraId="4CAF9E32"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CHA2DS2-VASc score, No. (%)</w:t>
                            </w:r>
                          </w:p>
                        </w:tc>
                        <w:tc>
                          <w:tcPr>
                            <w:tcW w:w="1354" w:type="dxa"/>
                            <w:shd w:val="clear" w:color="auto" w:fill="auto"/>
                            <w:noWrap/>
                            <w:vAlign w:val="bottom"/>
                            <w:hideMark/>
                          </w:tcPr>
                          <w:p w14:paraId="0854C846"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080" w:type="dxa"/>
                            <w:shd w:val="clear" w:color="auto" w:fill="auto"/>
                            <w:noWrap/>
                            <w:vAlign w:val="bottom"/>
                            <w:hideMark/>
                          </w:tcPr>
                          <w:p w14:paraId="3793CC51"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3C1223AE"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1EEFA567"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6AA91610" w14:textId="77777777" w:rsidR="00AD312A" w:rsidRPr="00D03691" w:rsidRDefault="00AD312A" w:rsidP="00D03691">
                            <w:pPr>
                              <w:jc w:val="right"/>
                              <w:rPr>
                                <w:rFonts w:ascii="Calibri" w:hAnsi="Calibri" w:cs="Times New Roman"/>
                                <w:color w:val="000000"/>
                                <w:sz w:val="16"/>
                                <w:szCs w:val="16"/>
                                <w:lang w:bidi="ar-SA"/>
                              </w:rPr>
                            </w:pPr>
                          </w:p>
                        </w:tc>
                        <w:tc>
                          <w:tcPr>
                            <w:tcW w:w="1091" w:type="dxa"/>
                            <w:shd w:val="clear" w:color="auto" w:fill="auto"/>
                            <w:noWrap/>
                            <w:vAlign w:val="bottom"/>
                            <w:hideMark/>
                          </w:tcPr>
                          <w:p w14:paraId="73C0661C"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0DA7E7F2" w14:textId="77777777" w:rsidTr="00D03691">
                        <w:trPr>
                          <w:trHeight w:val="252"/>
                        </w:trPr>
                        <w:tc>
                          <w:tcPr>
                            <w:tcW w:w="2559" w:type="dxa"/>
                            <w:shd w:val="clear" w:color="auto" w:fill="auto"/>
                            <w:noWrap/>
                            <w:vAlign w:val="bottom"/>
                            <w:hideMark/>
                          </w:tcPr>
                          <w:p w14:paraId="04699CF5"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0</w:t>
                            </w:r>
                          </w:p>
                        </w:tc>
                        <w:tc>
                          <w:tcPr>
                            <w:tcW w:w="1354" w:type="dxa"/>
                            <w:shd w:val="clear" w:color="auto" w:fill="auto"/>
                            <w:noWrap/>
                            <w:vAlign w:val="bottom"/>
                            <w:hideMark/>
                          </w:tcPr>
                          <w:p w14:paraId="62B7155B"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26674</w:t>
                            </w:r>
                            <w:proofErr w:type="gramEnd"/>
                            <w:r w:rsidRPr="00D03691">
                              <w:rPr>
                                <w:rFonts w:ascii="Calibri" w:hAnsi="Calibri" w:cs="Times New Roman"/>
                                <w:color w:val="000000"/>
                                <w:sz w:val="16"/>
                                <w:szCs w:val="16"/>
                                <w:lang w:bidi="ar-SA"/>
                              </w:rPr>
                              <w:t xml:space="preserve"> (19.2)</w:t>
                            </w:r>
                          </w:p>
                        </w:tc>
                        <w:tc>
                          <w:tcPr>
                            <w:tcW w:w="1080" w:type="dxa"/>
                            <w:shd w:val="clear" w:color="auto" w:fill="auto"/>
                            <w:noWrap/>
                            <w:vAlign w:val="bottom"/>
                            <w:hideMark/>
                          </w:tcPr>
                          <w:p w14:paraId="24BB204C"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1664 (93.3)</w:t>
                            </w:r>
                          </w:p>
                        </w:tc>
                        <w:tc>
                          <w:tcPr>
                            <w:tcW w:w="1078" w:type="dxa"/>
                            <w:shd w:val="clear" w:color="auto" w:fill="auto"/>
                            <w:noWrap/>
                            <w:vAlign w:val="bottom"/>
                            <w:hideMark/>
                          </w:tcPr>
                          <w:p w14:paraId="39D2CE1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5913 (81.5)</w:t>
                            </w:r>
                          </w:p>
                        </w:tc>
                        <w:tc>
                          <w:tcPr>
                            <w:tcW w:w="1078" w:type="dxa"/>
                            <w:shd w:val="clear" w:color="auto" w:fill="auto"/>
                            <w:noWrap/>
                            <w:vAlign w:val="bottom"/>
                            <w:hideMark/>
                          </w:tcPr>
                          <w:p w14:paraId="673910F5"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19097</w:t>
                            </w:r>
                            <w:proofErr w:type="gramEnd"/>
                            <w:r w:rsidRPr="00D03691">
                              <w:rPr>
                                <w:rFonts w:ascii="Calibri" w:hAnsi="Calibri" w:cs="Times New Roman"/>
                                <w:color w:val="000000"/>
                                <w:sz w:val="16"/>
                                <w:szCs w:val="16"/>
                                <w:lang w:bidi="ar-SA"/>
                              </w:rPr>
                              <w:t xml:space="preserve"> (62.7)</w:t>
                            </w:r>
                          </w:p>
                        </w:tc>
                        <w:tc>
                          <w:tcPr>
                            <w:tcW w:w="1078" w:type="dxa"/>
                            <w:shd w:val="clear" w:color="auto" w:fill="auto"/>
                            <w:noWrap/>
                            <w:vAlign w:val="bottom"/>
                            <w:hideMark/>
                          </w:tcPr>
                          <w:p w14:paraId="134C8795"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0 (</w:t>
                            </w:r>
                            <w:proofErr w:type="gramStart"/>
                            <w:r w:rsidRPr="00D03691">
                              <w:rPr>
                                <w:rFonts w:ascii="Calibri" w:hAnsi="Calibri" w:cs="Times New Roman"/>
                                <w:color w:val="000000"/>
                                <w:sz w:val="16"/>
                                <w:szCs w:val="16"/>
                                <w:lang w:bidi="ar-SA"/>
                              </w:rPr>
                              <w:t>0.0</w:t>
                            </w:r>
                            <w:proofErr w:type="gramEnd"/>
                            <w:r w:rsidRPr="00D03691">
                              <w:rPr>
                                <w:rFonts w:ascii="Calibri" w:hAnsi="Calibri" w:cs="Times New Roman"/>
                                <w:color w:val="000000"/>
                                <w:sz w:val="16"/>
                                <w:szCs w:val="16"/>
                                <w:lang w:bidi="ar-SA"/>
                              </w:rPr>
                              <w:t>)</w:t>
                            </w:r>
                          </w:p>
                        </w:tc>
                        <w:tc>
                          <w:tcPr>
                            <w:tcW w:w="1091" w:type="dxa"/>
                            <w:shd w:val="clear" w:color="auto" w:fill="auto"/>
                            <w:noWrap/>
                            <w:vAlign w:val="bottom"/>
                            <w:hideMark/>
                          </w:tcPr>
                          <w:p w14:paraId="79FA2D4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0 (</w:t>
                            </w:r>
                            <w:proofErr w:type="gramStart"/>
                            <w:r w:rsidRPr="00D03691">
                              <w:rPr>
                                <w:rFonts w:ascii="Calibri" w:hAnsi="Calibri" w:cs="Times New Roman"/>
                                <w:color w:val="000000"/>
                                <w:sz w:val="16"/>
                                <w:szCs w:val="16"/>
                                <w:lang w:bidi="ar-SA"/>
                              </w:rPr>
                              <w:t>0.0</w:t>
                            </w:r>
                            <w:proofErr w:type="gramEnd"/>
                            <w:r w:rsidRPr="00D03691">
                              <w:rPr>
                                <w:rFonts w:ascii="Calibri" w:hAnsi="Calibri" w:cs="Times New Roman"/>
                                <w:color w:val="000000"/>
                                <w:sz w:val="16"/>
                                <w:szCs w:val="16"/>
                                <w:lang w:bidi="ar-SA"/>
                              </w:rPr>
                              <w:t>)</w:t>
                            </w:r>
                          </w:p>
                        </w:tc>
                      </w:tr>
                      <w:tr w:rsidR="00AD312A" w:rsidRPr="00D03691" w14:paraId="59D6CB9B" w14:textId="77777777" w:rsidTr="00D03691">
                        <w:trPr>
                          <w:trHeight w:val="252"/>
                        </w:trPr>
                        <w:tc>
                          <w:tcPr>
                            <w:tcW w:w="2559" w:type="dxa"/>
                            <w:shd w:val="clear" w:color="auto" w:fill="auto"/>
                            <w:noWrap/>
                            <w:vAlign w:val="bottom"/>
                            <w:hideMark/>
                          </w:tcPr>
                          <w:p w14:paraId="7D79D8A5"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1</w:t>
                            </w:r>
                          </w:p>
                        </w:tc>
                        <w:tc>
                          <w:tcPr>
                            <w:tcW w:w="1354" w:type="dxa"/>
                            <w:shd w:val="clear" w:color="auto" w:fill="auto"/>
                            <w:noWrap/>
                            <w:vAlign w:val="bottom"/>
                            <w:hideMark/>
                          </w:tcPr>
                          <w:p w14:paraId="467938D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25882</w:t>
                            </w:r>
                            <w:proofErr w:type="gramEnd"/>
                            <w:r w:rsidRPr="00D03691">
                              <w:rPr>
                                <w:rFonts w:ascii="Calibri" w:hAnsi="Calibri" w:cs="Times New Roman"/>
                                <w:color w:val="000000"/>
                                <w:sz w:val="16"/>
                                <w:szCs w:val="16"/>
                                <w:lang w:bidi="ar-SA"/>
                              </w:rPr>
                              <w:t xml:space="preserve"> (18.6)</w:t>
                            </w:r>
                          </w:p>
                        </w:tc>
                        <w:tc>
                          <w:tcPr>
                            <w:tcW w:w="1080" w:type="dxa"/>
                            <w:shd w:val="clear" w:color="auto" w:fill="auto"/>
                            <w:noWrap/>
                            <w:vAlign w:val="bottom"/>
                            <w:hideMark/>
                          </w:tcPr>
                          <w:p w14:paraId="33855B9B"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79 (4.4)</w:t>
                            </w:r>
                          </w:p>
                        </w:tc>
                        <w:tc>
                          <w:tcPr>
                            <w:tcW w:w="1078" w:type="dxa"/>
                            <w:shd w:val="clear" w:color="auto" w:fill="auto"/>
                            <w:noWrap/>
                            <w:vAlign w:val="bottom"/>
                            <w:hideMark/>
                          </w:tcPr>
                          <w:p w14:paraId="1E180D32"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875 (12.1)</w:t>
                            </w:r>
                          </w:p>
                        </w:tc>
                        <w:tc>
                          <w:tcPr>
                            <w:tcW w:w="1078" w:type="dxa"/>
                            <w:shd w:val="clear" w:color="auto" w:fill="auto"/>
                            <w:noWrap/>
                            <w:vAlign w:val="bottom"/>
                            <w:hideMark/>
                          </w:tcPr>
                          <w:p w14:paraId="1BBF005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6461 (21.2)</w:t>
                            </w:r>
                          </w:p>
                        </w:tc>
                        <w:tc>
                          <w:tcPr>
                            <w:tcW w:w="1078" w:type="dxa"/>
                            <w:shd w:val="clear" w:color="auto" w:fill="auto"/>
                            <w:noWrap/>
                            <w:vAlign w:val="bottom"/>
                            <w:hideMark/>
                          </w:tcPr>
                          <w:p w14:paraId="097E01C0"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18467</w:t>
                            </w:r>
                            <w:proofErr w:type="gramEnd"/>
                            <w:r w:rsidRPr="00D03691">
                              <w:rPr>
                                <w:rFonts w:ascii="Calibri" w:hAnsi="Calibri" w:cs="Times New Roman"/>
                                <w:color w:val="000000"/>
                                <w:sz w:val="16"/>
                                <w:szCs w:val="16"/>
                                <w:lang w:bidi="ar-SA"/>
                              </w:rPr>
                              <w:t xml:space="preserve"> (50.0)</w:t>
                            </w:r>
                          </w:p>
                        </w:tc>
                        <w:tc>
                          <w:tcPr>
                            <w:tcW w:w="1091" w:type="dxa"/>
                            <w:shd w:val="clear" w:color="auto" w:fill="auto"/>
                            <w:noWrap/>
                            <w:vAlign w:val="bottom"/>
                            <w:hideMark/>
                          </w:tcPr>
                          <w:p w14:paraId="4215CFE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0 (</w:t>
                            </w:r>
                            <w:proofErr w:type="gramStart"/>
                            <w:r w:rsidRPr="00D03691">
                              <w:rPr>
                                <w:rFonts w:ascii="Calibri" w:hAnsi="Calibri" w:cs="Times New Roman"/>
                                <w:color w:val="000000"/>
                                <w:sz w:val="16"/>
                                <w:szCs w:val="16"/>
                                <w:lang w:bidi="ar-SA"/>
                              </w:rPr>
                              <w:t>0.0</w:t>
                            </w:r>
                            <w:proofErr w:type="gramEnd"/>
                            <w:r w:rsidRPr="00D03691">
                              <w:rPr>
                                <w:rFonts w:ascii="Calibri" w:hAnsi="Calibri" w:cs="Times New Roman"/>
                                <w:color w:val="000000"/>
                                <w:sz w:val="16"/>
                                <w:szCs w:val="16"/>
                                <w:lang w:bidi="ar-SA"/>
                              </w:rPr>
                              <w:t>)</w:t>
                            </w:r>
                          </w:p>
                        </w:tc>
                      </w:tr>
                      <w:tr w:rsidR="00AD312A" w:rsidRPr="00D03691" w14:paraId="6FD9470F" w14:textId="77777777" w:rsidTr="00D03691">
                        <w:trPr>
                          <w:trHeight w:val="252"/>
                        </w:trPr>
                        <w:tc>
                          <w:tcPr>
                            <w:tcW w:w="2559" w:type="dxa"/>
                            <w:shd w:val="clear" w:color="auto" w:fill="auto"/>
                            <w:noWrap/>
                            <w:vAlign w:val="bottom"/>
                            <w:hideMark/>
                          </w:tcPr>
                          <w:p w14:paraId="204DD399"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2</w:t>
                            </w:r>
                          </w:p>
                        </w:tc>
                        <w:tc>
                          <w:tcPr>
                            <w:tcW w:w="1354" w:type="dxa"/>
                            <w:shd w:val="clear" w:color="auto" w:fill="auto"/>
                            <w:noWrap/>
                            <w:vAlign w:val="bottom"/>
                            <w:hideMark/>
                          </w:tcPr>
                          <w:p w14:paraId="64BB69B3"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39390</w:t>
                            </w:r>
                            <w:proofErr w:type="gramEnd"/>
                            <w:r w:rsidRPr="00D03691">
                              <w:rPr>
                                <w:rFonts w:ascii="Calibri" w:hAnsi="Calibri" w:cs="Times New Roman"/>
                                <w:color w:val="000000"/>
                                <w:sz w:val="16"/>
                                <w:szCs w:val="16"/>
                                <w:lang w:bidi="ar-SA"/>
                              </w:rPr>
                              <w:t xml:space="preserve"> (28.3)</w:t>
                            </w:r>
                          </w:p>
                        </w:tc>
                        <w:tc>
                          <w:tcPr>
                            <w:tcW w:w="1080" w:type="dxa"/>
                            <w:shd w:val="clear" w:color="auto" w:fill="auto"/>
                            <w:noWrap/>
                            <w:vAlign w:val="bottom"/>
                            <w:hideMark/>
                          </w:tcPr>
                          <w:p w14:paraId="04D2DF0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35 (2.0)</w:t>
                            </w:r>
                          </w:p>
                        </w:tc>
                        <w:tc>
                          <w:tcPr>
                            <w:tcW w:w="1078" w:type="dxa"/>
                            <w:shd w:val="clear" w:color="auto" w:fill="auto"/>
                            <w:noWrap/>
                            <w:vAlign w:val="bottom"/>
                            <w:hideMark/>
                          </w:tcPr>
                          <w:p w14:paraId="28C3EC9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342 (4.7)</w:t>
                            </w:r>
                          </w:p>
                        </w:tc>
                        <w:tc>
                          <w:tcPr>
                            <w:tcW w:w="1078" w:type="dxa"/>
                            <w:shd w:val="clear" w:color="auto" w:fill="auto"/>
                            <w:noWrap/>
                            <w:vAlign w:val="bottom"/>
                            <w:hideMark/>
                          </w:tcPr>
                          <w:p w14:paraId="7F5706E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3341 (11.0)</w:t>
                            </w:r>
                          </w:p>
                        </w:tc>
                        <w:tc>
                          <w:tcPr>
                            <w:tcW w:w="1078" w:type="dxa"/>
                            <w:shd w:val="clear" w:color="auto" w:fill="auto"/>
                            <w:noWrap/>
                            <w:vAlign w:val="bottom"/>
                            <w:hideMark/>
                          </w:tcPr>
                          <w:p w14:paraId="48B1E89F"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9046 (24.5)</w:t>
                            </w:r>
                          </w:p>
                        </w:tc>
                        <w:tc>
                          <w:tcPr>
                            <w:tcW w:w="1091" w:type="dxa"/>
                            <w:shd w:val="clear" w:color="auto" w:fill="auto"/>
                            <w:noWrap/>
                            <w:vAlign w:val="bottom"/>
                            <w:hideMark/>
                          </w:tcPr>
                          <w:p w14:paraId="6C3607E2"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26626</w:t>
                            </w:r>
                            <w:proofErr w:type="gramEnd"/>
                            <w:r w:rsidRPr="00D03691">
                              <w:rPr>
                                <w:rFonts w:ascii="Calibri" w:hAnsi="Calibri" w:cs="Times New Roman"/>
                                <w:color w:val="000000"/>
                                <w:sz w:val="16"/>
                                <w:szCs w:val="16"/>
                                <w:lang w:bidi="ar-SA"/>
                              </w:rPr>
                              <w:t xml:space="preserve"> (42.5)</w:t>
                            </w:r>
                          </w:p>
                        </w:tc>
                      </w:tr>
                      <w:tr w:rsidR="00AD312A" w:rsidRPr="00D03691" w14:paraId="0A629803" w14:textId="77777777" w:rsidTr="00D03691">
                        <w:trPr>
                          <w:trHeight w:val="252"/>
                        </w:trPr>
                        <w:tc>
                          <w:tcPr>
                            <w:tcW w:w="2559" w:type="dxa"/>
                            <w:shd w:val="clear" w:color="auto" w:fill="auto"/>
                            <w:noWrap/>
                            <w:vAlign w:val="bottom"/>
                            <w:hideMark/>
                          </w:tcPr>
                          <w:p w14:paraId="7D88021B"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Score ≥ 3</w:t>
                            </w:r>
                          </w:p>
                        </w:tc>
                        <w:tc>
                          <w:tcPr>
                            <w:tcW w:w="1354" w:type="dxa"/>
                            <w:shd w:val="clear" w:color="auto" w:fill="auto"/>
                            <w:noWrap/>
                            <w:vAlign w:val="bottom"/>
                            <w:hideMark/>
                          </w:tcPr>
                          <w:p w14:paraId="65C5C928"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47125</w:t>
                            </w:r>
                            <w:proofErr w:type="gramEnd"/>
                            <w:r w:rsidRPr="00D03691">
                              <w:rPr>
                                <w:rFonts w:ascii="Calibri" w:hAnsi="Calibri" w:cs="Times New Roman"/>
                                <w:color w:val="000000"/>
                                <w:sz w:val="16"/>
                                <w:szCs w:val="16"/>
                                <w:lang w:bidi="ar-SA"/>
                              </w:rPr>
                              <w:t xml:space="preserve"> (33.9)</w:t>
                            </w:r>
                          </w:p>
                        </w:tc>
                        <w:tc>
                          <w:tcPr>
                            <w:tcW w:w="1080" w:type="dxa"/>
                            <w:shd w:val="clear" w:color="auto" w:fill="auto"/>
                            <w:noWrap/>
                            <w:vAlign w:val="bottom"/>
                            <w:hideMark/>
                          </w:tcPr>
                          <w:p w14:paraId="6FC2ED67"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6 (</w:t>
                            </w: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w:t>
                            </w:r>
                          </w:p>
                        </w:tc>
                        <w:tc>
                          <w:tcPr>
                            <w:tcW w:w="1078" w:type="dxa"/>
                            <w:shd w:val="clear" w:color="auto" w:fill="auto"/>
                            <w:noWrap/>
                            <w:vAlign w:val="bottom"/>
                            <w:hideMark/>
                          </w:tcPr>
                          <w:p w14:paraId="241A7B83"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123 (1.7)</w:t>
                            </w:r>
                          </w:p>
                        </w:tc>
                        <w:tc>
                          <w:tcPr>
                            <w:tcW w:w="1078" w:type="dxa"/>
                            <w:shd w:val="clear" w:color="auto" w:fill="auto"/>
                            <w:noWrap/>
                            <w:vAlign w:val="bottom"/>
                            <w:hideMark/>
                          </w:tcPr>
                          <w:p w14:paraId="27010411"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1205 (5.2)</w:t>
                            </w:r>
                          </w:p>
                        </w:tc>
                        <w:tc>
                          <w:tcPr>
                            <w:tcW w:w="1078" w:type="dxa"/>
                            <w:shd w:val="clear" w:color="auto" w:fill="auto"/>
                            <w:noWrap/>
                            <w:vAlign w:val="bottom"/>
                            <w:hideMark/>
                          </w:tcPr>
                          <w:p w14:paraId="6D05D1D8"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9424 (25.5)</w:t>
                            </w:r>
                          </w:p>
                        </w:tc>
                        <w:tc>
                          <w:tcPr>
                            <w:tcW w:w="1091" w:type="dxa"/>
                            <w:shd w:val="clear" w:color="auto" w:fill="auto"/>
                            <w:noWrap/>
                            <w:vAlign w:val="bottom"/>
                            <w:hideMark/>
                          </w:tcPr>
                          <w:p w14:paraId="13504B39"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35997</w:t>
                            </w:r>
                            <w:proofErr w:type="gramEnd"/>
                            <w:r w:rsidRPr="00D03691">
                              <w:rPr>
                                <w:rFonts w:ascii="Calibri" w:hAnsi="Calibri" w:cs="Times New Roman"/>
                                <w:color w:val="000000"/>
                                <w:sz w:val="16"/>
                                <w:szCs w:val="16"/>
                                <w:lang w:bidi="ar-SA"/>
                              </w:rPr>
                              <w:t xml:space="preserve"> (57.5)</w:t>
                            </w:r>
                          </w:p>
                        </w:tc>
                      </w:tr>
                      <w:tr w:rsidR="00AD312A" w:rsidRPr="00D03691" w14:paraId="5B27D2CF" w14:textId="77777777" w:rsidTr="00D03691">
                        <w:trPr>
                          <w:trHeight w:val="252"/>
                        </w:trPr>
                        <w:tc>
                          <w:tcPr>
                            <w:tcW w:w="2559" w:type="dxa"/>
                            <w:shd w:val="clear" w:color="auto" w:fill="auto"/>
                            <w:noWrap/>
                            <w:vAlign w:val="bottom"/>
                            <w:hideMark/>
                          </w:tcPr>
                          <w:p w14:paraId="036E5774" w14:textId="77777777" w:rsidR="00AD312A" w:rsidRPr="00D03691" w:rsidRDefault="00AD312A" w:rsidP="00D03691">
                            <w:pPr>
                              <w:rPr>
                                <w:rFonts w:ascii="Calibri" w:hAnsi="Calibri" w:cs="Times New Roman"/>
                                <w:i/>
                                <w:iCs/>
                                <w:color w:val="000000"/>
                                <w:sz w:val="16"/>
                                <w:szCs w:val="16"/>
                                <w:lang w:bidi="ar-SA"/>
                              </w:rPr>
                            </w:pPr>
                            <w:r w:rsidRPr="00D03691">
                              <w:rPr>
                                <w:rFonts w:ascii="Calibri" w:hAnsi="Calibri" w:cs="Times New Roman"/>
                                <w:i/>
                                <w:iCs/>
                                <w:color w:val="000000"/>
                                <w:sz w:val="16"/>
                                <w:szCs w:val="16"/>
                                <w:lang w:bidi="ar-SA"/>
                              </w:rPr>
                              <w:t> </w:t>
                            </w:r>
                          </w:p>
                        </w:tc>
                        <w:tc>
                          <w:tcPr>
                            <w:tcW w:w="1354" w:type="dxa"/>
                            <w:shd w:val="clear" w:color="auto" w:fill="auto"/>
                            <w:noWrap/>
                            <w:vAlign w:val="bottom"/>
                            <w:hideMark/>
                          </w:tcPr>
                          <w:p w14:paraId="3B1D9EA2" w14:textId="77777777" w:rsidR="00AD312A" w:rsidRPr="00D03691" w:rsidRDefault="00AD312A" w:rsidP="00D03691">
                            <w:pPr>
                              <w:jc w:val="right"/>
                              <w:rPr>
                                <w:rFonts w:ascii="Calibri" w:hAnsi="Calibri" w:cs="Times New Roman"/>
                                <w:color w:val="000000"/>
                                <w:sz w:val="16"/>
                                <w:szCs w:val="16"/>
                                <w:lang w:bidi="ar-SA"/>
                              </w:rPr>
                            </w:pPr>
                          </w:p>
                        </w:tc>
                        <w:tc>
                          <w:tcPr>
                            <w:tcW w:w="1080" w:type="dxa"/>
                            <w:shd w:val="clear" w:color="auto" w:fill="auto"/>
                            <w:noWrap/>
                            <w:vAlign w:val="bottom"/>
                            <w:hideMark/>
                          </w:tcPr>
                          <w:p w14:paraId="7A5B8E1B"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2567992C"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126BEE1A" w14:textId="77777777" w:rsidR="00AD312A" w:rsidRPr="00D03691" w:rsidRDefault="00AD312A" w:rsidP="00D03691">
                            <w:pPr>
                              <w:jc w:val="right"/>
                              <w:rPr>
                                <w:rFonts w:ascii="Calibri" w:hAnsi="Calibri" w:cs="Times New Roman"/>
                                <w:color w:val="000000"/>
                                <w:sz w:val="16"/>
                                <w:szCs w:val="16"/>
                                <w:lang w:bidi="ar-SA"/>
                              </w:rPr>
                            </w:pPr>
                          </w:p>
                        </w:tc>
                        <w:tc>
                          <w:tcPr>
                            <w:tcW w:w="1078" w:type="dxa"/>
                            <w:shd w:val="clear" w:color="auto" w:fill="auto"/>
                            <w:noWrap/>
                            <w:vAlign w:val="bottom"/>
                            <w:hideMark/>
                          </w:tcPr>
                          <w:p w14:paraId="519A0900" w14:textId="77777777" w:rsidR="00AD312A" w:rsidRPr="00D03691" w:rsidRDefault="00AD312A" w:rsidP="00D03691">
                            <w:pPr>
                              <w:jc w:val="right"/>
                              <w:rPr>
                                <w:rFonts w:ascii="Calibri" w:hAnsi="Calibri" w:cs="Times New Roman"/>
                                <w:color w:val="000000"/>
                                <w:sz w:val="16"/>
                                <w:szCs w:val="16"/>
                                <w:lang w:bidi="ar-SA"/>
                              </w:rPr>
                            </w:pPr>
                          </w:p>
                        </w:tc>
                        <w:tc>
                          <w:tcPr>
                            <w:tcW w:w="1091" w:type="dxa"/>
                            <w:shd w:val="clear" w:color="auto" w:fill="auto"/>
                            <w:noWrap/>
                            <w:vAlign w:val="bottom"/>
                            <w:hideMark/>
                          </w:tcPr>
                          <w:p w14:paraId="1D582FA0"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0844F63A" w14:textId="77777777" w:rsidTr="00D03691">
                        <w:trPr>
                          <w:trHeight w:val="252"/>
                        </w:trPr>
                        <w:tc>
                          <w:tcPr>
                            <w:tcW w:w="2559" w:type="dxa"/>
                            <w:shd w:val="clear" w:color="auto" w:fill="auto"/>
                            <w:noWrap/>
                            <w:vAlign w:val="bottom"/>
                            <w:hideMark/>
                          </w:tcPr>
                          <w:p w14:paraId="21CF2631" w14:textId="77777777" w:rsidR="00AD312A" w:rsidRPr="00D03691" w:rsidRDefault="00AD312A" w:rsidP="00D03691">
                            <w:pPr>
                              <w:rPr>
                                <w:rFonts w:ascii="Calibri" w:hAnsi="Calibri" w:cs="Times New Roman"/>
                                <w:i/>
                                <w:iCs/>
                                <w:color w:val="000000"/>
                                <w:sz w:val="16"/>
                                <w:szCs w:val="16"/>
                                <w:lang w:val="en-US" w:bidi="ar-SA"/>
                              </w:rPr>
                            </w:pPr>
                            <w:r w:rsidRPr="00D03691">
                              <w:rPr>
                                <w:rFonts w:ascii="Calibri" w:hAnsi="Calibri" w:cs="Times New Roman"/>
                                <w:i/>
                                <w:iCs/>
                                <w:color w:val="000000"/>
                                <w:sz w:val="16"/>
                                <w:szCs w:val="16"/>
                                <w:lang w:val="en-US" w:bidi="ar-SA"/>
                              </w:rPr>
                              <w:t>Mean CHA2DS2-VASc score (Standard deviation)</w:t>
                            </w:r>
                          </w:p>
                        </w:tc>
                        <w:tc>
                          <w:tcPr>
                            <w:tcW w:w="1354" w:type="dxa"/>
                            <w:shd w:val="clear" w:color="auto" w:fill="auto"/>
                            <w:noWrap/>
                            <w:vAlign w:val="bottom"/>
                            <w:hideMark/>
                          </w:tcPr>
                          <w:p w14:paraId="22F8FB39"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2.0 (1.5)</w:t>
                            </w:r>
                          </w:p>
                        </w:tc>
                        <w:tc>
                          <w:tcPr>
                            <w:tcW w:w="1080" w:type="dxa"/>
                            <w:shd w:val="clear" w:color="auto" w:fill="auto"/>
                            <w:noWrap/>
                            <w:vAlign w:val="bottom"/>
                            <w:hideMark/>
                          </w:tcPr>
                          <w:p w14:paraId="44CA6FE1"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0.1</w:t>
                            </w:r>
                            <w:proofErr w:type="gramEnd"/>
                            <w:r w:rsidRPr="00D03691">
                              <w:rPr>
                                <w:rFonts w:ascii="Calibri" w:hAnsi="Calibri" w:cs="Times New Roman"/>
                                <w:color w:val="000000"/>
                                <w:sz w:val="16"/>
                                <w:szCs w:val="16"/>
                                <w:lang w:bidi="ar-SA"/>
                              </w:rPr>
                              <w:t xml:space="preserve"> (0.4)</w:t>
                            </w:r>
                          </w:p>
                        </w:tc>
                        <w:tc>
                          <w:tcPr>
                            <w:tcW w:w="1078" w:type="dxa"/>
                            <w:shd w:val="clear" w:color="auto" w:fill="auto"/>
                            <w:noWrap/>
                            <w:vAlign w:val="bottom"/>
                            <w:hideMark/>
                          </w:tcPr>
                          <w:p w14:paraId="2532F118"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0.3</w:t>
                            </w:r>
                            <w:proofErr w:type="gramEnd"/>
                            <w:r w:rsidRPr="00D03691">
                              <w:rPr>
                                <w:rFonts w:ascii="Calibri" w:hAnsi="Calibri" w:cs="Times New Roman"/>
                                <w:color w:val="000000"/>
                                <w:sz w:val="16"/>
                                <w:szCs w:val="16"/>
                                <w:lang w:bidi="ar-SA"/>
                              </w:rPr>
                              <w:t xml:space="preserve"> (0.7)</w:t>
                            </w:r>
                          </w:p>
                        </w:tc>
                        <w:tc>
                          <w:tcPr>
                            <w:tcW w:w="1078" w:type="dxa"/>
                            <w:shd w:val="clear" w:color="auto" w:fill="auto"/>
                            <w:noWrap/>
                            <w:vAlign w:val="bottom"/>
                            <w:hideMark/>
                          </w:tcPr>
                          <w:p w14:paraId="2E57DDD7" w14:textId="77777777" w:rsidR="00AD312A" w:rsidRPr="00D03691" w:rsidRDefault="00AD312A" w:rsidP="00D03691">
                            <w:pPr>
                              <w:jc w:val="right"/>
                              <w:rPr>
                                <w:rFonts w:ascii="Calibri" w:hAnsi="Calibri" w:cs="Times New Roman"/>
                                <w:color w:val="000000"/>
                                <w:sz w:val="16"/>
                                <w:szCs w:val="16"/>
                                <w:lang w:bidi="ar-SA"/>
                              </w:rPr>
                            </w:pPr>
                            <w:proofErr w:type="gramStart"/>
                            <w:r w:rsidRPr="00D03691">
                              <w:rPr>
                                <w:rFonts w:ascii="Calibri" w:hAnsi="Calibri" w:cs="Times New Roman"/>
                                <w:color w:val="000000"/>
                                <w:sz w:val="16"/>
                                <w:szCs w:val="16"/>
                                <w:lang w:bidi="ar-SA"/>
                              </w:rPr>
                              <w:t>0.6</w:t>
                            </w:r>
                            <w:proofErr w:type="gramEnd"/>
                            <w:r w:rsidRPr="00D03691">
                              <w:rPr>
                                <w:rFonts w:ascii="Calibri" w:hAnsi="Calibri" w:cs="Times New Roman"/>
                                <w:color w:val="000000"/>
                                <w:sz w:val="16"/>
                                <w:szCs w:val="16"/>
                                <w:lang w:bidi="ar-SA"/>
                              </w:rPr>
                              <w:t xml:space="preserve"> (1.0)</w:t>
                            </w:r>
                          </w:p>
                        </w:tc>
                        <w:tc>
                          <w:tcPr>
                            <w:tcW w:w="1078" w:type="dxa"/>
                            <w:shd w:val="clear" w:color="auto" w:fill="auto"/>
                            <w:noWrap/>
                            <w:vAlign w:val="bottom"/>
                            <w:hideMark/>
                          </w:tcPr>
                          <w:p w14:paraId="7BE65CD0"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1.9 (1.1)</w:t>
                            </w:r>
                          </w:p>
                        </w:tc>
                        <w:tc>
                          <w:tcPr>
                            <w:tcW w:w="1091" w:type="dxa"/>
                            <w:shd w:val="clear" w:color="auto" w:fill="auto"/>
                            <w:noWrap/>
                            <w:vAlign w:val="bottom"/>
                            <w:hideMark/>
                          </w:tcPr>
                          <w:p w14:paraId="4F83A45A" w14:textId="77777777" w:rsidR="00AD312A" w:rsidRPr="00D03691" w:rsidRDefault="00AD312A" w:rsidP="00D03691">
                            <w:pPr>
                              <w:jc w:val="right"/>
                              <w:rPr>
                                <w:rFonts w:ascii="Calibri" w:hAnsi="Calibri" w:cs="Times New Roman"/>
                                <w:color w:val="000000"/>
                                <w:sz w:val="16"/>
                                <w:szCs w:val="16"/>
                                <w:lang w:bidi="ar-SA"/>
                              </w:rPr>
                            </w:pPr>
                            <w:r w:rsidRPr="00D03691">
                              <w:rPr>
                                <w:rFonts w:ascii="Calibri" w:hAnsi="Calibri" w:cs="Times New Roman"/>
                                <w:color w:val="000000"/>
                                <w:sz w:val="16"/>
                                <w:szCs w:val="16"/>
                                <w:lang w:bidi="ar-SA"/>
                              </w:rPr>
                              <w:t>3.1 (1.2)</w:t>
                            </w:r>
                          </w:p>
                        </w:tc>
                      </w:tr>
                      <w:tr w:rsidR="00AD312A" w:rsidRPr="00D03691" w14:paraId="4085C4FE" w14:textId="77777777" w:rsidTr="00D03691">
                        <w:trPr>
                          <w:trHeight w:val="252"/>
                        </w:trPr>
                        <w:tc>
                          <w:tcPr>
                            <w:tcW w:w="2559" w:type="dxa"/>
                            <w:shd w:val="clear" w:color="auto" w:fill="auto"/>
                            <w:noWrap/>
                            <w:vAlign w:val="bottom"/>
                            <w:hideMark/>
                          </w:tcPr>
                          <w:p w14:paraId="58A6C744"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c>
                          <w:tcPr>
                            <w:tcW w:w="1354" w:type="dxa"/>
                            <w:shd w:val="clear" w:color="auto" w:fill="auto"/>
                            <w:noWrap/>
                            <w:vAlign w:val="bottom"/>
                            <w:hideMark/>
                          </w:tcPr>
                          <w:p w14:paraId="11375E63" w14:textId="77777777" w:rsidR="00AD312A" w:rsidRPr="00D03691" w:rsidRDefault="00AD312A" w:rsidP="00D03691">
                            <w:pPr>
                              <w:rPr>
                                <w:rFonts w:ascii="Calibri" w:hAnsi="Calibri" w:cs="Times New Roman"/>
                                <w:color w:val="000000"/>
                                <w:sz w:val="16"/>
                                <w:szCs w:val="16"/>
                                <w:lang w:bidi="ar-SA"/>
                              </w:rPr>
                            </w:pPr>
                          </w:p>
                        </w:tc>
                        <w:tc>
                          <w:tcPr>
                            <w:tcW w:w="1080" w:type="dxa"/>
                            <w:shd w:val="clear" w:color="auto" w:fill="auto"/>
                            <w:noWrap/>
                            <w:vAlign w:val="bottom"/>
                            <w:hideMark/>
                          </w:tcPr>
                          <w:p w14:paraId="142CB7E9"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1298251D"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71D4773D" w14:textId="77777777" w:rsidR="00AD312A" w:rsidRPr="00D03691" w:rsidRDefault="00AD312A" w:rsidP="00D03691">
                            <w:pPr>
                              <w:rPr>
                                <w:rFonts w:ascii="Calibri" w:hAnsi="Calibri" w:cs="Times New Roman"/>
                                <w:color w:val="000000"/>
                                <w:sz w:val="16"/>
                                <w:szCs w:val="16"/>
                                <w:lang w:bidi="ar-SA"/>
                              </w:rPr>
                            </w:pPr>
                          </w:p>
                        </w:tc>
                        <w:tc>
                          <w:tcPr>
                            <w:tcW w:w="1078" w:type="dxa"/>
                            <w:shd w:val="clear" w:color="auto" w:fill="auto"/>
                            <w:noWrap/>
                            <w:vAlign w:val="bottom"/>
                            <w:hideMark/>
                          </w:tcPr>
                          <w:p w14:paraId="7EEF57B7" w14:textId="77777777" w:rsidR="00AD312A" w:rsidRPr="00D03691" w:rsidRDefault="00AD312A" w:rsidP="00D03691">
                            <w:pPr>
                              <w:rPr>
                                <w:rFonts w:ascii="Calibri" w:hAnsi="Calibri" w:cs="Times New Roman"/>
                                <w:color w:val="000000"/>
                                <w:sz w:val="16"/>
                                <w:szCs w:val="16"/>
                                <w:lang w:bidi="ar-SA"/>
                              </w:rPr>
                            </w:pPr>
                          </w:p>
                        </w:tc>
                        <w:tc>
                          <w:tcPr>
                            <w:tcW w:w="1091" w:type="dxa"/>
                            <w:shd w:val="clear" w:color="auto" w:fill="auto"/>
                            <w:noWrap/>
                            <w:vAlign w:val="bottom"/>
                            <w:hideMark/>
                          </w:tcPr>
                          <w:p w14:paraId="3F0511B9" w14:textId="77777777" w:rsidR="00AD312A" w:rsidRPr="00D03691" w:rsidRDefault="00AD312A" w:rsidP="00D03691">
                            <w:pPr>
                              <w:rPr>
                                <w:rFonts w:ascii="Calibri" w:hAnsi="Calibri" w:cs="Times New Roman"/>
                                <w:color w:val="000000"/>
                                <w:sz w:val="16"/>
                                <w:szCs w:val="16"/>
                                <w:lang w:bidi="ar-SA"/>
                              </w:rPr>
                            </w:pPr>
                            <w:r w:rsidRPr="00D03691">
                              <w:rPr>
                                <w:rFonts w:ascii="Calibri" w:hAnsi="Calibri" w:cs="Times New Roman"/>
                                <w:color w:val="000000"/>
                                <w:sz w:val="16"/>
                                <w:szCs w:val="16"/>
                                <w:lang w:bidi="ar-SA"/>
                              </w:rPr>
                              <w:t> </w:t>
                            </w:r>
                          </w:p>
                        </w:tc>
                      </w:tr>
                      <w:tr w:rsidR="00AD312A" w:rsidRPr="00D03691" w14:paraId="10BCCFF1" w14:textId="77777777" w:rsidTr="00D03691">
                        <w:trPr>
                          <w:trHeight w:val="252"/>
                        </w:trPr>
                        <w:tc>
                          <w:tcPr>
                            <w:tcW w:w="6071" w:type="dxa"/>
                            <w:gridSpan w:val="4"/>
                            <w:shd w:val="clear" w:color="auto" w:fill="auto"/>
                            <w:noWrap/>
                            <w:vAlign w:val="bottom"/>
                            <w:hideMark/>
                          </w:tcPr>
                          <w:p w14:paraId="66E3157E"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xml:space="preserve">CHA2DS2 </w:t>
                            </w:r>
                            <w:proofErr w:type="spellStart"/>
                            <w:r w:rsidRPr="00D03691">
                              <w:rPr>
                                <w:rFonts w:ascii="Calibri" w:hAnsi="Calibri" w:cs="Times New Roman"/>
                                <w:color w:val="000000"/>
                                <w:sz w:val="16"/>
                                <w:szCs w:val="16"/>
                                <w:lang w:val="en-US" w:bidi="ar-SA"/>
                              </w:rPr>
                              <w:t>VASc</w:t>
                            </w:r>
                            <w:proofErr w:type="spellEnd"/>
                            <w:r w:rsidRPr="00D03691">
                              <w:rPr>
                                <w:rFonts w:ascii="Calibri" w:hAnsi="Calibri" w:cs="Times New Roman"/>
                                <w:color w:val="000000"/>
                                <w:sz w:val="16"/>
                                <w:szCs w:val="16"/>
                                <w:lang w:val="en-US" w:bidi="ar-SA"/>
                              </w:rPr>
                              <w:t xml:space="preserve"> (congestive heart failure, age ≥ 75, diabetes, previous stroke, vascular disease, age 65-74, sex category (female))</w:t>
                            </w:r>
                          </w:p>
                        </w:tc>
                        <w:tc>
                          <w:tcPr>
                            <w:tcW w:w="1078" w:type="dxa"/>
                            <w:shd w:val="clear" w:color="auto" w:fill="auto"/>
                            <w:noWrap/>
                            <w:vAlign w:val="bottom"/>
                            <w:hideMark/>
                          </w:tcPr>
                          <w:p w14:paraId="30BC7F15" w14:textId="77777777" w:rsidR="00AD312A" w:rsidRPr="00D03691" w:rsidRDefault="00AD312A" w:rsidP="00D03691">
                            <w:pPr>
                              <w:rPr>
                                <w:rFonts w:ascii="Calibri" w:hAnsi="Calibri" w:cs="Times New Roman"/>
                                <w:color w:val="000000"/>
                                <w:sz w:val="16"/>
                                <w:szCs w:val="16"/>
                                <w:lang w:val="en-US" w:bidi="ar-SA"/>
                              </w:rPr>
                            </w:pPr>
                          </w:p>
                        </w:tc>
                        <w:tc>
                          <w:tcPr>
                            <w:tcW w:w="1078" w:type="dxa"/>
                            <w:shd w:val="clear" w:color="auto" w:fill="auto"/>
                            <w:noWrap/>
                            <w:vAlign w:val="bottom"/>
                            <w:hideMark/>
                          </w:tcPr>
                          <w:p w14:paraId="4A640937" w14:textId="77777777" w:rsidR="00AD312A" w:rsidRPr="00D03691" w:rsidRDefault="00AD312A" w:rsidP="00D03691">
                            <w:pPr>
                              <w:rPr>
                                <w:rFonts w:ascii="Calibri" w:hAnsi="Calibri" w:cs="Times New Roman"/>
                                <w:color w:val="000000"/>
                                <w:sz w:val="16"/>
                                <w:szCs w:val="16"/>
                                <w:lang w:val="en-US" w:bidi="ar-SA"/>
                              </w:rPr>
                            </w:pPr>
                          </w:p>
                        </w:tc>
                        <w:tc>
                          <w:tcPr>
                            <w:tcW w:w="1091" w:type="dxa"/>
                            <w:shd w:val="clear" w:color="auto" w:fill="auto"/>
                            <w:noWrap/>
                            <w:vAlign w:val="bottom"/>
                            <w:hideMark/>
                          </w:tcPr>
                          <w:p w14:paraId="7AC272D8"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r>
                      <w:tr w:rsidR="00AD312A" w:rsidRPr="00D03691" w14:paraId="25873007" w14:textId="77777777" w:rsidTr="00D03691">
                        <w:trPr>
                          <w:trHeight w:val="263"/>
                        </w:trPr>
                        <w:tc>
                          <w:tcPr>
                            <w:tcW w:w="4993" w:type="dxa"/>
                            <w:gridSpan w:val="3"/>
                            <w:shd w:val="clear" w:color="auto" w:fill="auto"/>
                            <w:noWrap/>
                            <w:vAlign w:val="bottom"/>
                            <w:hideMark/>
                          </w:tcPr>
                          <w:p w14:paraId="3682139D"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xml:space="preserve">*Combined Previous Ischemic-, Hemorrhagic Stroke and Transient </w:t>
                            </w:r>
                            <w:proofErr w:type="spellStart"/>
                            <w:r w:rsidRPr="00D03691">
                              <w:rPr>
                                <w:rFonts w:ascii="Calibri" w:hAnsi="Calibri" w:cs="Times New Roman"/>
                                <w:color w:val="000000"/>
                                <w:sz w:val="16"/>
                                <w:szCs w:val="16"/>
                                <w:lang w:val="en-US" w:bidi="ar-SA"/>
                              </w:rPr>
                              <w:t>Cerebal</w:t>
                            </w:r>
                            <w:proofErr w:type="spellEnd"/>
                            <w:r w:rsidRPr="00D03691">
                              <w:rPr>
                                <w:rFonts w:ascii="Calibri" w:hAnsi="Calibri" w:cs="Times New Roman"/>
                                <w:color w:val="000000"/>
                                <w:sz w:val="16"/>
                                <w:szCs w:val="16"/>
                                <w:lang w:val="en-US" w:bidi="ar-SA"/>
                              </w:rPr>
                              <w:t xml:space="preserve"> Ischemia, </w:t>
                            </w:r>
                          </w:p>
                        </w:tc>
                        <w:tc>
                          <w:tcPr>
                            <w:tcW w:w="1078" w:type="dxa"/>
                            <w:shd w:val="clear" w:color="auto" w:fill="auto"/>
                            <w:noWrap/>
                            <w:vAlign w:val="bottom"/>
                            <w:hideMark/>
                          </w:tcPr>
                          <w:p w14:paraId="37373751"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c>
                          <w:tcPr>
                            <w:tcW w:w="1078" w:type="dxa"/>
                            <w:shd w:val="clear" w:color="auto" w:fill="auto"/>
                            <w:noWrap/>
                            <w:vAlign w:val="bottom"/>
                            <w:hideMark/>
                          </w:tcPr>
                          <w:p w14:paraId="5C51EAA0"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c>
                          <w:tcPr>
                            <w:tcW w:w="1078" w:type="dxa"/>
                            <w:shd w:val="clear" w:color="auto" w:fill="auto"/>
                            <w:noWrap/>
                            <w:vAlign w:val="bottom"/>
                            <w:hideMark/>
                          </w:tcPr>
                          <w:p w14:paraId="4DA2F1E9"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c>
                          <w:tcPr>
                            <w:tcW w:w="1091" w:type="dxa"/>
                            <w:shd w:val="clear" w:color="auto" w:fill="auto"/>
                            <w:noWrap/>
                            <w:vAlign w:val="bottom"/>
                            <w:hideMark/>
                          </w:tcPr>
                          <w:p w14:paraId="7F276629" w14:textId="77777777" w:rsidR="00AD312A" w:rsidRPr="00D03691" w:rsidRDefault="00AD312A" w:rsidP="00D03691">
                            <w:pPr>
                              <w:rPr>
                                <w:rFonts w:ascii="Calibri" w:hAnsi="Calibri" w:cs="Times New Roman"/>
                                <w:color w:val="000000"/>
                                <w:sz w:val="16"/>
                                <w:szCs w:val="16"/>
                                <w:lang w:val="en-US" w:bidi="ar-SA"/>
                              </w:rPr>
                            </w:pPr>
                            <w:r w:rsidRPr="00D03691">
                              <w:rPr>
                                <w:rFonts w:ascii="Calibri" w:hAnsi="Calibri" w:cs="Times New Roman"/>
                                <w:color w:val="000000"/>
                                <w:sz w:val="16"/>
                                <w:szCs w:val="16"/>
                                <w:lang w:val="en-US" w:bidi="ar-SA"/>
                              </w:rPr>
                              <w:t> </w:t>
                            </w:r>
                          </w:p>
                        </w:tc>
                      </w:tr>
                    </w:tbl>
                    <w:p w14:paraId="1DC081E0" w14:textId="77777777" w:rsidR="00AD312A" w:rsidRDefault="00AD312A"/>
                  </w:txbxContent>
                </v:textbox>
                <w10:wrap type="square" anchorx="margin" anchory="margin"/>
              </v:shape>
            </w:pict>
          </mc:Fallback>
        </mc:AlternateContent>
      </w:r>
      <w:r w:rsidR="00DA4077" w:rsidRPr="005B79BA">
        <w:rPr>
          <w:rFonts w:asciiTheme="majorHAnsi" w:eastAsia="AdvTimes" w:hAnsiTheme="majorHAnsi" w:cs="Times New Roman"/>
          <w:sz w:val="20"/>
          <w:szCs w:val="20"/>
          <w:lang w:val="en-US"/>
        </w:rPr>
        <w:t xml:space="preserve">Baseline characteristics of the study population are </w:t>
      </w:r>
      <w:r w:rsidR="00B81391" w:rsidRPr="005B79BA">
        <w:rPr>
          <w:rFonts w:asciiTheme="majorHAnsi" w:eastAsia="AdvTimes" w:hAnsiTheme="majorHAnsi" w:cs="Times New Roman"/>
          <w:sz w:val="20"/>
          <w:szCs w:val="20"/>
          <w:lang w:val="en-US"/>
        </w:rPr>
        <w:t xml:space="preserve">shown </w:t>
      </w:r>
      <w:r w:rsidR="00DA4077" w:rsidRPr="005B79BA">
        <w:rPr>
          <w:rFonts w:asciiTheme="majorHAnsi" w:eastAsia="AdvTimes" w:hAnsiTheme="majorHAnsi" w:cs="Times New Roman"/>
          <w:sz w:val="20"/>
          <w:szCs w:val="20"/>
          <w:lang w:val="en-US"/>
        </w:rPr>
        <w:t xml:space="preserve">in Table 1. As expected, we found increased comorbidity with increasing age, and correspondingly higher </w:t>
      </w:r>
      <w:r w:rsidR="00DA4077" w:rsidRPr="005B79BA">
        <w:rPr>
          <w:rFonts w:asciiTheme="majorHAnsi" w:hAnsiTheme="majorHAnsi" w:cs="Times New Roman"/>
          <w:sz w:val="20"/>
          <w:szCs w:val="20"/>
          <w:lang w:val="en-US"/>
        </w:rPr>
        <w:t>CHA</w:t>
      </w:r>
      <w:r w:rsidR="00DA4077" w:rsidRPr="005B79BA">
        <w:rPr>
          <w:rFonts w:asciiTheme="majorHAnsi" w:hAnsiTheme="majorHAnsi" w:cs="Times New Roman"/>
          <w:sz w:val="20"/>
          <w:szCs w:val="20"/>
          <w:vertAlign w:val="subscript"/>
          <w:lang w:val="en-US"/>
        </w:rPr>
        <w:t>2</w:t>
      </w:r>
      <w:r w:rsidR="00DA4077" w:rsidRPr="005B79BA">
        <w:rPr>
          <w:rFonts w:asciiTheme="majorHAnsi" w:hAnsiTheme="majorHAnsi" w:cs="Times New Roman"/>
          <w:sz w:val="20"/>
          <w:szCs w:val="20"/>
          <w:lang w:val="en-US"/>
        </w:rPr>
        <w:t>DS</w:t>
      </w:r>
      <w:r w:rsidR="00DA4077" w:rsidRPr="005B79BA">
        <w:rPr>
          <w:rFonts w:asciiTheme="majorHAnsi" w:hAnsiTheme="majorHAnsi" w:cs="Times New Roman"/>
          <w:sz w:val="20"/>
          <w:szCs w:val="20"/>
          <w:vertAlign w:val="subscript"/>
          <w:lang w:val="en-US"/>
        </w:rPr>
        <w:t>2</w:t>
      </w:r>
      <w:r w:rsidR="00DA4077" w:rsidRPr="005B79BA">
        <w:rPr>
          <w:rFonts w:asciiTheme="majorHAnsi" w:hAnsiTheme="majorHAnsi" w:cs="Times New Roman"/>
          <w:sz w:val="20"/>
          <w:szCs w:val="20"/>
          <w:lang w:val="en-US"/>
        </w:rPr>
        <w:t>-VASc score</w:t>
      </w:r>
      <w:r w:rsidR="00DA4077" w:rsidRPr="005B79BA">
        <w:rPr>
          <w:rFonts w:asciiTheme="majorHAnsi" w:eastAsia="AdvTimes" w:hAnsiTheme="majorHAnsi" w:cs="Times New Roman"/>
          <w:sz w:val="20"/>
          <w:szCs w:val="20"/>
          <w:lang w:val="en-US"/>
        </w:rPr>
        <w:t xml:space="preserve"> with increasing age</w:t>
      </w:r>
      <w:r w:rsidR="00B81391" w:rsidRPr="005B79BA">
        <w:rPr>
          <w:rFonts w:asciiTheme="majorHAnsi" w:eastAsia="AdvTimes" w:hAnsiTheme="majorHAnsi" w:cs="Times New Roman"/>
          <w:sz w:val="20"/>
          <w:szCs w:val="20"/>
          <w:lang w:val="en-US"/>
        </w:rPr>
        <w:t xml:space="preserve"> strata</w:t>
      </w:r>
      <w:r w:rsidR="00DA4077" w:rsidRPr="005B79BA">
        <w:rPr>
          <w:rFonts w:asciiTheme="majorHAnsi" w:eastAsia="AdvTimes" w:hAnsiTheme="majorHAnsi" w:cs="Times New Roman"/>
          <w:sz w:val="20"/>
          <w:szCs w:val="20"/>
          <w:lang w:val="en-US"/>
        </w:rPr>
        <w:t>.</w:t>
      </w:r>
      <w:r w:rsidR="00B27CE4" w:rsidRPr="005B79BA">
        <w:rPr>
          <w:rFonts w:asciiTheme="majorHAnsi" w:eastAsia="AdvTimes" w:hAnsiTheme="majorHAnsi" w:cs="Times New Roman"/>
          <w:sz w:val="20"/>
          <w:szCs w:val="20"/>
          <w:lang w:val="en-US"/>
        </w:rPr>
        <w:t xml:space="preserve"> In all five age categories, except the age</w:t>
      </w:r>
      <w:r w:rsidR="00892EB1" w:rsidRPr="005B79BA">
        <w:rPr>
          <w:rFonts w:asciiTheme="majorHAnsi" w:eastAsia="AdvTimes" w:hAnsiTheme="majorHAnsi" w:cs="Times New Roman"/>
          <w:sz w:val="20"/>
          <w:szCs w:val="20"/>
          <w:lang w:val="en-US"/>
        </w:rPr>
        <w:t xml:space="preserve"> group </w:t>
      </w:r>
      <w:r w:rsidR="007975EF" w:rsidRPr="005B79BA">
        <w:rPr>
          <w:rFonts w:asciiTheme="majorHAnsi" w:eastAsia="AdvTimes" w:hAnsiTheme="majorHAnsi" w:cs="Times New Roman"/>
          <w:sz w:val="20"/>
          <w:szCs w:val="20"/>
          <w:lang w:val="en-US"/>
        </w:rPr>
        <w:t>20-</w:t>
      </w:r>
      <w:r w:rsidR="00B359DC" w:rsidRPr="005B79BA">
        <w:rPr>
          <w:rFonts w:asciiTheme="majorHAnsi" w:eastAsia="AdvTimes" w:hAnsiTheme="majorHAnsi" w:cs="Times New Roman"/>
          <w:sz w:val="20"/>
          <w:szCs w:val="20"/>
          <w:lang w:val="en-US"/>
        </w:rPr>
        <w:t>35</w:t>
      </w:r>
      <w:r w:rsidR="007975EF" w:rsidRPr="005B79BA">
        <w:rPr>
          <w:rFonts w:asciiTheme="majorHAnsi" w:eastAsia="AdvTimes" w:hAnsiTheme="majorHAnsi" w:cs="Times New Roman"/>
          <w:sz w:val="20"/>
          <w:szCs w:val="20"/>
          <w:lang w:val="en-US"/>
        </w:rPr>
        <w:t xml:space="preserve"> years</w:t>
      </w:r>
      <w:r w:rsidR="004D1488" w:rsidRPr="005B79BA">
        <w:rPr>
          <w:rFonts w:asciiTheme="majorHAnsi" w:eastAsia="AdvTimes" w:hAnsiTheme="majorHAnsi" w:cs="Times New Roman"/>
          <w:sz w:val="20"/>
          <w:szCs w:val="20"/>
          <w:lang w:val="en-US"/>
        </w:rPr>
        <w:t xml:space="preserve">, </w:t>
      </w:r>
      <w:r w:rsidR="00085E7C" w:rsidRPr="005B79BA">
        <w:rPr>
          <w:rFonts w:asciiTheme="majorHAnsi" w:eastAsia="AdvTimes" w:hAnsiTheme="majorHAnsi" w:cs="Times New Roman"/>
          <w:sz w:val="20"/>
          <w:szCs w:val="20"/>
          <w:lang w:val="en-US"/>
        </w:rPr>
        <w:t xml:space="preserve">the most frequent comorbidities </w:t>
      </w:r>
      <w:r w:rsidR="004D1488" w:rsidRPr="005B79BA">
        <w:rPr>
          <w:rFonts w:asciiTheme="majorHAnsi" w:eastAsia="AdvTimes" w:hAnsiTheme="majorHAnsi" w:cs="Times New Roman"/>
          <w:sz w:val="20"/>
          <w:szCs w:val="20"/>
          <w:lang w:val="en-US"/>
        </w:rPr>
        <w:t xml:space="preserve">were </w:t>
      </w:r>
      <w:r w:rsidR="00BF4CA9" w:rsidRPr="005B79BA">
        <w:rPr>
          <w:rFonts w:asciiTheme="majorHAnsi" w:eastAsia="AdvTimes" w:hAnsiTheme="majorHAnsi" w:cs="Times New Roman"/>
          <w:sz w:val="20"/>
          <w:szCs w:val="20"/>
          <w:lang w:val="en-US"/>
        </w:rPr>
        <w:t>vascular disease,</w:t>
      </w:r>
      <w:r w:rsidR="004D1488" w:rsidRPr="005B79BA">
        <w:rPr>
          <w:rFonts w:asciiTheme="majorHAnsi" w:eastAsia="AdvTimes" w:hAnsiTheme="majorHAnsi" w:cs="Times New Roman"/>
          <w:sz w:val="20"/>
          <w:szCs w:val="20"/>
          <w:lang w:val="en-US"/>
        </w:rPr>
        <w:t xml:space="preserve"> heart failure</w:t>
      </w:r>
      <w:r w:rsidR="00BF4CA9" w:rsidRPr="005B79BA">
        <w:rPr>
          <w:rFonts w:asciiTheme="majorHAnsi" w:eastAsia="AdvTimes" w:hAnsiTheme="majorHAnsi" w:cs="Times New Roman"/>
          <w:sz w:val="20"/>
          <w:szCs w:val="20"/>
          <w:lang w:val="en-US"/>
        </w:rPr>
        <w:t xml:space="preserve"> and diabetes</w:t>
      </w:r>
      <w:r w:rsidR="004D1488" w:rsidRPr="005B79BA">
        <w:rPr>
          <w:rFonts w:asciiTheme="majorHAnsi" w:eastAsia="AdvTimes" w:hAnsiTheme="majorHAnsi" w:cs="Times New Roman"/>
          <w:sz w:val="20"/>
          <w:szCs w:val="20"/>
          <w:lang w:val="en-US"/>
        </w:rPr>
        <w:t>. In the age category 20-</w:t>
      </w:r>
      <w:r w:rsidR="00B359DC" w:rsidRPr="005B79BA">
        <w:rPr>
          <w:rFonts w:asciiTheme="majorHAnsi" w:eastAsia="AdvTimes" w:hAnsiTheme="majorHAnsi" w:cs="Times New Roman"/>
          <w:sz w:val="20"/>
          <w:szCs w:val="20"/>
          <w:lang w:val="en-US"/>
        </w:rPr>
        <w:t>35</w:t>
      </w:r>
      <w:r w:rsidR="004D1488" w:rsidRPr="005B79BA">
        <w:rPr>
          <w:rFonts w:asciiTheme="majorHAnsi" w:eastAsia="AdvTimes" w:hAnsiTheme="majorHAnsi" w:cs="Times New Roman"/>
          <w:sz w:val="20"/>
          <w:szCs w:val="20"/>
          <w:lang w:val="en-US"/>
        </w:rPr>
        <w:t xml:space="preserve"> years</w:t>
      </w:r>
      <w:r w:rsidR="00085E7C" w:rsidRPr="005B79BA">
        <w:rPr>
          <w:rFonts w:asciiTheme="majorHAnsi" w:eastAsia="AdvTimes" w:hAnsiTheme="majorHAnsi" w:cs="Times New Roman"/>
          <w:sz w:val="20"/>
          <w:szCs w:val="20"/>
          <w:lang w:val="en-US"/>
        </w:rPr>
        <w:t>,</w:t>
      </w:r>
      <w:r w:rsidR="004D1488" w:rsidRPr="005B79BA">
        <w:rPr>
          <w:rFonts w:asciiTheme="majorHAnsi" w:eastAsia="AdvTimes" w:hAnsiTheme="majorHAnsi" w:cs="Times New Roman"/>
          <w:sz w:val="20"/>
          <w:szCs w:val="20"/>
          <w:lang w:val="en-US"/>
        </w:rPr>
        <w:t xml:space="preserve"> heart failure and renal disease </w:t>
      </w:r>
      <w:r w:rsidR="00085E7C" w:rsidRPr="005B79BA">
        <w:rPr>
          <w:rFonts w:asciiTheme="majorHAnsi" w:eastAsia="AdvTimes" w:hAnsiTheme="majorHAnsi" w:cs="Times New Roman"/>
          <w:sz w:val="20"/>
          <w:szCs w:val="20"/>
          <w:lang w:val="en-US"/>
        </w:rPr>
        <w:t>w</w:t>
      </w:r>
      <w:r w:rsidR="00DA5EDD" w:rsidRPr="005B79BA">
        <w:rPr>
          <w:rFonts w:asciiTheme="majorHAnsi" w:eastAsia="AdvTimes" w:hAnsiTheme="majorHAnsi" w:cs="Times New Roman"/>
          <w:sz w:val="20"/>
          <w:szCs w:val="20"/>
          <w:lang w:val="en-US"/>
        </w:rPr>
        <w:t>ere</w:t>
      </w:r>
      <w:r w:rsidR="00085E7C" w:rsidRPr="005B79BA">
        <w:rPr>
          <w:rFonts w:asciiTheme="majorHAnsi" w:eastAsia="AdvTimes" w:hAnsiTheme="majorHAnsi" w:cs="Times New Roman"/>
          <w:sz w:val="20"/>
          <w:szCs w:val="20"/>
          <w:lang w:val="en-US"/>
        </w:rPr>
        <w:t xml:space="preserve"> </w:t>
      </w:r>
      <w:r w:rsidR="004D1488" w:rsidRPr="005B79BA">
        <w:rPr>
          <w:rFonts w:asciiTheme="majorHAnsi" w:eastAsia="AdvTimes" w:hAnsiTheme="majorHAnsi" w:cs="Times New Roman"/>
          <w:sz w:val="20"/>
          <w:szCs w:val="20"/>
          <w:lang w:val="en-US"/>
        </w:rPr>
        <w:t>most common</w:t>
      </w:r>
      <w:r w:rsidR="00F24C76" w:rsidRPr="005B79BA">
        <w:rPr>
          <w:rFonts w:asciiTheme="majorHAnsi" w:eastAsia="AdvTimes" w:hAnsiTheme="majorHAnsi" w:cs="Times New Roman"/>
          <w:sz w:val="20"/>
          <w:szCs w:val="20"/>
          <w:lang w:val="en-US"/>
        </w:rPr>
        <w:t xml:space="preserve"> comorbidities at baseline</w:t>
      </w:r>
      <w:r w:rsidR="004D1488" w:rsidRPr="005B79BA">
        <w:rPr>
          <w:rFonts w:asciiTheme="majorHAnsi" w:eastAsia="AdvTimes" w:hAnsiTheme="majorHAnsi" w:cs="Times New Roman"/>
          <w:sz w:val="20"/>
          <w:szCs w:val="20"/>
          <w:lang w:val="en-US"/>
        </w:rPr>
        <w:t>.</w:t>
      </w:r>
      <w:r w:rsidR="00FB6B25" w:rsidRPr="005B79BA">
        <w:rPr>
          <w:rFonts w:asciiTheme="majorHAnsi" w:eastAsia="AdvTimes" w:hAnsiTheme="majorHAnsi" w:cs="Times New Roman"/>
          <w:sz w:val="20"/>
          <w:szCs w:val="20"/>
          <w:lang w:val="en-US"/>
        </w:rPr>
        <w:t xml:space="preserve"> </w:t>
      </w:r>
    </w:p>
    <w:p w14:paraId="5B0432CD" w14:textId="77777777" w:rsidR="00B81391" w:rsidRPr="005B79BA" w:rsidRDefault="00B81391" w:rsidP="005B79BA">
      <w:pPr>
        <w:jc w:val="both"/>
        <w:rPr>
          <w:rFonts w:asciiTheme="majorHAnsi" w:eastAsia="AdvTimes" w:hAnsiTheme="majorHAnsi" w:cs="Times New Roman"/>
          <w:sz w:val="20"/>
          <w:szCs w:val="20"/>
          <w:lang w:val="en-US"/>
        </w:rPr>
      </w:pPr>
    </w:p>
    <w:p w14:paraId="0AC941DC" w14:textId="7A7F4937" w:rsidR="00D03691" w:rsidRDefault="009C1E65" w:rsidP="008D147E">
      <w:pPr>
        <w:jc w:val="both"/>
        <w:rPr>
          <w:rFonts w:asciiTheme="majorHAnsi" w:hAnsiTheme="majorHAnsi" w:cs="Times New Roman"/>
          <w:color w:val="000000"/>
          <w:sz w:val="20"/>
          <w:szCs w:val="20"/>
          <w:lang w:val="en-US" w:bidi="ar-SA"/>
        </w:rPr>
      </w:pPr>
      <w:r w:rsidRPr="005B79BA">
        <w:rPr>
          <w:rFonts w:asciiTheme="majorHAnsi" w:hAnsiTheme="majorHAnsi" w:cs="Times New Roman"/>
          <w:sz w:val="20"/>
          <w:szCs w:val="20"/>
          <w:lang w:val="en-US"/>
        </w:rPr>
        <w:t xml:space="preserve">The overall incidence of stroke </w:t>
      </w:r>
      <w:r w:rsidR="006D3110" w:rsidRPr="005B79BA">
        <w:rPr>
          <w:rFonts w:asciiTheme="majorHAnsi" w:hAnsiTheme="majorHAnsi" w:cs="Times New Roman"/>
          <w:sz w:val="20"/>
          <w:szCs w:val="20"/>
          <w:lang w:val="en-US"/>
        </w:rPr>
        <w:t xml:space="preserve">per year </w:t>
      </w:r>
      <w:r w:rsidRPr="005B79BA">
        <w:rPr>
          <w:rFonts w:asciiTheme="majorHAnsi" w:hAnsiTheme="majorHAnsi" w:cs="Times New Roman"/>
          <w:sz w:val="20"/>
          <w:szCs w:val="20"/>
          <w:lang w:val="en-US"/>
        </w:rPr>
        <w:t xml:space="preserve">was </w:t>
      </w:r>
      <w:r w:rsidR="00113F5D" w:rsidRPr="005B79BA">
        <w:rPr>
          <w:rFonts w:asciiTheme="majorHAnsi" w:hAnsiTheme="majorHAnsi" w:cs="Times New Roman"/>
          <w:color w:val="000000"/>
          <w:sz w:val="20"/>
          <w:szCs w:val="20"/>
          <w:lang w:val="en-US" w:bidi="ar-SA"/>
        </w:rPr>
        <w:t>0.1</w:t>
      </w:r>
      <w:r w:rsidR="006D3110" w:rsidRPr="005B79BA">
        <w:rPr>
          <w:rFonts w:asciiTheme="majorHAnsi" w:hAnsiTheme="majorHAnsi" w:cs="Times New Roman"/>
          <w:color w:val="000000"/>
          <w:sz w:val="20"/>
          <w:szCs w:val="20"/>
          <w:lang w:val="en-US" w:bidi="ar-SA"/>
        </w:rPr>
        <w:t>%</w:t>
      </w:r>
      <w:r w:rsidR="009766EF" w:rsidRPr="005B79BA">
        <w:rPr>
          <w:rFonts w:asciiTheme="majorHAnsi" w:hAnsiTheme="majorHAnsi" w:cs="Times New Roman"/>
          <w:color w:val="000000"/>
          <w:sz w:val="20"/>
          <w:szCs w:val="20"/>
          <w:lang w:val="en-US" w:bidi="ar-SA"/>
        </w:rPr>
        <w:t xml:space="preserve"> (</w:t>
      </w:r>
      <w:r w:rsidR="00D028C5" w:rsidRPr="005B79BA">
        <w:rPr>
          <w:rFonts w:asciiTheme="majorHAnsi" w:hAnsiTheme="majorHAnsi" w:cs="Times New Roman"/>
          <w:color w:val="000000"/>
          <w:sz w:val="20"/>
          <w:szCs w:val="20"/>
          <w:lang w:val="en-US" w:bidi="ar-SA"/>
        </w:rPr>
        <w:t>95% CI 0.0</w:t>
      </w:r>
      <w:r w:rsidR="00113F5D" w:rsidRPr="005B79BA">
        <w:rPr>
          <w:rFonts w:asciiTheme="majorHAnsi" w:hAnsiTheme="majorHAnsi" w:cs="Times New Roman"/>
          <w:color w:val="000000"/>
          <w:sz w:val="20"/>
          <w:szCs w:val="20"/>
          <w:lang w:val="en-US" w:bidi="ar-SA"/>
        </w:rPr>
        <w:t>%-0.2</w:t>
      </w:r>
      <w:r w:rsidR="00D028C5" w:rsidRPr="005B79BA">
        <w:rPr>
          <w:rFonts w:asciiTheme="majorHAnsi" w:hAnsiTheme="majorHAnsi" w:cs="Times New Roman"/>
          <w:color w:val="000000"/>
          <w:sz w:val="20"/>
          <w:szCs w:val="20"/>
          <w:lang w:val="en-US" w:bidi="ar-SA"/>
        </w:rPr>
        <w:t>%)</w:t>
      </w:r>
      <w:r w:rsidR="006D3110" w:rsidRPr="005B79BA">
        <w:rPr>
          <w:rFonts w:asciiTheme="majorHAnsi" w:hAnsiTheme="majorHAnsi" w:cs="Times New Roman"/>
          <w:color w:val="000000"/>
          <w:sz w:val="20"/>
          <w:szCs w:val="20"/>
          <w:lang w:val="en-US" w:bidi="ar-SA"/>
        </w:rPr>
        <w:t>, 0.5%</w:t>
      </w:r>
      <w:r w:rsidR="00D028C5" w:rsidRPr="005B79BA">
        <w:rPr>
          <w:rFonts w:asciiTheme="majorHAnsi" w:hAnsiTheme="majorHAnsi" w:cs="Times New Roman"/>
          <w:color w:val="000000"/>
          <w:sz w:val="20"/>
          <w:szCs w:val="20"/>
          <w:lang w:val="en-US" w:bidi="ar-SA"/>
        </w:rPr>
        <w:t xml:space="preserve"> (95% CI 0.4%-0.6%)</w:t>
      </w:r>
      <w:r w:rsidR="006D3110" w:rsidRPr="005B79BA">
        <w:rPr>
          <w:rFonts w:asciiTheme="majorHAnsi" w:hAnsiTheme="majorHAnsi" w:cs="Times New Roman"/>
          <w:color w:val="000000"/>
          <w:sz w:val="20"/>
          <w:szCs w:val="20"/>
          <w:lang w:val="en-US" w:bidi="ar-SA"/>
        </w:rPr>
        <w:t xml:space="preserve">, </w:t>
      </w:r>
      <w:r w:rsidR="00A40AE6" w:rsidRPr="005B79BA">
        <w:rPr>
          <w:rFonts w:asciiTheme="majorHAnsi" w:hAnsiTheme="majorHAnsi" w:cs="Times New Roman"/>
          <w:color w:val="000000"/>
          <w:sz w:val="20"/>
          <w:szCs w:val="20"/>
          <w:lang w:val="en-US" w:bidi="ar-SA"/>
        </w:rPr>
        <w:t xml:space="preserve">and </w:t>
      </w:r>
      <w:r w:rsidR="00113F5D" w:rsidRPr="005B79BA">
        <w:rPr>
          <w:rFonts w:asciiTheme="majorHAnsi" w:hAnsiTheme="majorHAnsi" w:cs="Times New Roman"/>
          <w:color w:val="000000"/>
          <w:sz w:val="20"/>
          <w:szCs w:val="20"/>
          <w:lang w:val="en-US" w:bidi="ar-SA"/>
        </w:rPr>
        <w:t>1.1</w:t>
      </w:r>
      <w:r w:rsidR="006D3110" w:rsidRPr="005B79BA">
        <w:rPr>
          <w:rFonts w:asciiTheme="majorHAnsi" w:hAnsiTheme="majorHAnsi" w:cs="Times New Roman"/>
          <w:color w:val="000000"/>
          <w:sz w:val="20"/>
          <w:szCs w:val="20"/>
          <w:lang w:val="en-US" w:bidi="ar-SA"/>
        </w:rPr>
        <w:t>%</w:t>
      </w:r>
      <w:r w:rsidR="00D028C5" w:rsidRPr="005B79BA">
        <w:rPr>
          <w:rFonts w:asciiTheme="majorHAnsi" w:hAnsiTheme="majorHAnsi" w:cs="Times New Roman"/>
          <w:color w:val="000000"/>
          <w:sz w:val="20"/>
          <w:szCs w:val="20"/>
          <w:lang w:val="en-US" w:bidi="ar-SA"/>
        </w:rPr>
        <w:t xml:space="preserve"> (95% CI 0.0%-1.1%) </w:t>
      </w:r>
      <w:r w:rsidR="006D3110" w:rsidRPr="005B79BA">
        <w:rPr>
          <w:rFonts w:asciiTheme="majorHAnsi" w:hAnsiTheme="majorHAnsi" w:cs="Times New Roman"/>
          <w:color w:val="000000"/>
          <w:sz w:val="20"/>
          <w:szCs w:val="20"/>
          <w:lang w:val="en-US" w:bidi="ar-SA"/>
        </w:rPr>
        <w:t>for</w:t>
      </w:r>
      <w:r w:rsidR="006D3110" w:rsidRPr="005B79BA">
        <w:rPr>
          <w:rFonts w:asciiTheme="majorHAnsi" w:eastAsia="AdvTimes" w:hAnsiTheme="majorHAnsi" w:cs="Times New Roman"/>
          <w:sz w:val="20"/>
          <w:szCs w:val="20"/>
          <w:lang w:val="en-US"/>
        </w:rPr>
        <w:t xml:space="preserve"> the age groups 20-35, 35-50, </w:t>
      </w:r>
      <w:r w:rsidR="00A40AE6" w:rsidRPr="005B79BA">
        <w:rPr>
          <w:rFonts w:asciiTheme="majorHAnsi" w:eastAsia="AdvTimes" w:hAnsiTheme="majorHAnsi" w:cs="Times New Roman"/>
          <w:sz w:val="20"/>
          <w:szCs w:val="20"/>
          <w:lang w:val="en-US"/>
        </w:rPr>
        <w:t>and 50-65</w:t>
      </w:r>
      <w:r w:rsidR="006D3110" w:rsidRPr="005B79BA">
        <w:rPr>
          <w:rFonts w:asciiTheme="majorHAnsi" w:eastAsia="AdvTimes" w:hAnsiTheme="majorHAnsi" w:cs="Times New Roman"/>
          <w:sz w:val="20"/>
          <w:szCs w:val="20"/>
          <w:lang w:val="en-US"/>
        </w:rPr>
        <w:t xml:space="preserve"> respectively.</w:t>
      </w:r>
      <w:r w:rsidR="006D3110" w:rsidRPr="005B79BA">
        <w:rPr>
          <w:rFonts w:asciiTheme="majorHAnsi" w:hAnsiTheme="majorHAnsi" w:cs="Times New Roman"/>
          <w:sz w:val="20"/>
          <w:szCs w:val="20"/>
          <w:lang w:val="en-US"/>
        </w:rPr>
        <w:t xml:space="preserve"> </w:t>
      </w:r>
    </w:p>
    <w:p w14:paraId="7AB8A863" w14:textId="79B28E15" w:rsidR="006D3110" w:rsidRPr="00AD312A" w:rsidRDefault="000206F7" w:rsidP="008D147E">
      <w:pPr>
        <w:spacing w:after="200" w:line="276" w:lineRule="auto"/>
        <w:jc w:val="both"/>
        <w:rPr>
          <w:rFonts w:asciiTheme="majorHAnsi" w:hAnsiTheme="majorHAnsi" w:cs="Times New Roman"/>
          <w:sz w:val="20"/>
          <w:szCs w:val="20"/>
          <w:lang w:val="en-US"/>
        </w:rPr>
      </w:pPr>
      <w:r w:rsidRPr="006D0069">
        <w:rPr>
          <w:rFonts w:asciiTheme="majorHAnsi" w:hAnsiTheme="majorHAnsi" w:cs="Times New Roman"/>
          <w:b/>
          <w:noProof/>
          <w:szCs w:val="20"/>
          <w:lang w:bidi="ar-SA"/>
        </w:rPr>
        <w:lastRenderedPageBreak/>
        <mc:AlternateContent>
          <mc:Choice Requires="wps">
            <w:drawing>
              <wp:anchor distT="0" distB="0" distL="114300" distR="114300" simplePos="0" relativeHeight="251660288" behindDoc="0" locked="0" layoutInCell="1" allowOverlap="1" wp14:anchorId="33FD5FB8" wp14:editId="7396B893">
                <wp:simplePos x="0" y="0"/>
                <wp:positionH relativeFrom="margin">
                  <wp:posOffset>3175</wp:posOffset>
                </wp:positionH>
                <wp:positionV relativeFrom="margin">
                  <wp:posOffset>1785620</wp:posOffset>
                </wp:positionV>
                <wp:extent cx="6134100" cy="6946265"/>
                <wp:effectExtent l="0" t="0" r="19050" b="2603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46265"/>
                        </a:xfrm>
                        <a:prstGeom prst="rect">
                          <a:avLst/>
                        </a:prstGeom>
                        <a:solidFill>
                          <a:srgbClr val="FFFFFF"/>
                        </a:solidFill>
                        <a:ln w="9525">
                          <a:solidFill>
                            <a:schemeClr val="bg1"/>
                          </a:solidFill>
                          <a:miter lim="800000"/>
                          <a:headEnd/>
                          <a:tailEnd/>
                        </a:ln>
                      </wps:spPr>
                      <wps:txbx>
                        <w:txbxContent>
                          <w:p w14:paraId="0E74980D" w14:textId="04973465" w:rsidR="00AD312A" w:rsidRPr="000B6CFC" w:rsidRDefault="00AD312A" w:rsidP="006D0069">
                            <w:pPr>
                              <w:jc w:val="both"/>
                              <w:rPr>
                                <w:i/>
                                <w:sz w:val="20"/>
                                <w:szCs w:val="20"/>
                                <w:lang w:val="en-US"/>
                              </w:rPr>
                            </w:pPr>
                            <w:r w:rsidRPr="000B6CFC">
                              <w:rPr>
                                <w:b/>
                                <w:sz w:val="20"/>
                                <w:szCs w:val="20"/>
                                <w:lang w:val="en-US"/>
                              </w:rPr>
                              <w:t>Table 2</w:t>
                            </w:r>
                            <w:r w:rsidRPr="000B6CFC">
                              <w:rPr>
                                <w:sz w:val="20"/>
                                <w:szCs w:val="20"/>
                                <w:lang w:val="en-US"/>
                              </w:rPr>
                              <w:t>:</w:t>
                            </w:r>
                            <w:r w:rsidR="000206F7" w:rsidRPr="000206F7">
                              <w:rPr>
                                <w:i/>
                                <w:sz w:val="20"/>
                                <w:szCs w:val="20"/>
                                <w:lang w:val="en-US"/>
                              </w:rPr>
                              <w:t xml:space="preserve"> </w:t>
                            </w:r>
                            <w:r w:rsidR="000206F7">
                              <w:rPr>
                                <w:i/>
                                <w:sz w:val="20"/>
                                <w:szCs w:val="20"/>
                                <w:lang w:val="en-US"/>
                              </w:rPr>
                              <w:t>Event R</w:t>
                            </w:r>
                            <w:r w:rsidR="000206F7" w:rsidRPr="000B6CFC">
                              <w:rPr>
                                <w:i/>
                                <w:sz w:val="20"/>
                                <w:szCs w:val="20"/>
                                <w:lang w:val="en-US"/>
                              </w:rPr>
                              <w:t>ates of</w:t>
                            </w:r>
                            <w:r w:rsidR="000206F7">
                              <w:rPr>
                                <w:i/>
                                <w:sz w:val="20"/>
                                <w:szCs w:val="20"/>
                                <w:lang w:val="en-US"/>
                              </w:rPr>
                              <w:t xml:space="preserve"> S</w:t>
                            </w:r>
                            <w:r w:rsidR="000206F7" w:rsidRPr="000B6CFC">
                              <w:rPr>
                                <w:i/>
                                <w:sz w:val="20"/>
                                <w:szCs w:val="20"/>
                                <w:lang w:val="en-US"/>
                              </w:rPr>
                              <w:t>troke,</w:t>
                            </w:r>
                            <w:r w:rsidR="000206F7">
                              <w:rPr>
                                <w:i/>
                                <w:sz w:val="20"/>
                                <w:szCs w:val="20"/>
                                <w:lang w:val="en-US"/>
                              </w:rPr>
                              <w:t xml:space="preserve"> D</w:t>
                            </w:r>
                            <w:r w:rsidR="000206F7" w:rsidRPr="000B6CFC">
                              <w:rPr>
                                <w:i/>
                                <w:sz w:val="20"/>
                                <w:szCs w:val="20"/>
                                <w:lang w:val="en-US"/>
                              </w:rPr>
                              <w:t xml:space="preserve">eath and </w:t>
                            </w:r>
                            <w:r w:rsidR="000206F7">
                              <w:rPr>
                                <w:i/>
                                <w:sz w:val="20"/>
                                <w:szCs w:val="20"/>
                                <w:lang w:val="en-US"/>
                              </w:rPr>
                              <w:t>‘C</w:t>
                            </w:r>
                            <w:r w:rsidR="000206F7" w:rsidRPr="000B6CFC">
                              <w:rPr>
                                <w:i/>
                                <w:sz w:val="20"/>
                                <w:szCs w:val="20"/>
                                <w:lang w:val="en-US"/>
                              </w:rPr>
                              <w:t>omposite Stroke and</w:t>
                            </w:r>
                            <w:r w:rsidR="000206F7">
                              <w:rPr>
                                <w:i/>
                                <w:sz w:val="20"/>
                                <w:szCs w:val="20"/>
                                <w:lang w:val="en-US"/>
                              </w:rPr>
                              <w:t xml:space="preserve"> Death’. The table illustrates the e</w:t>
                            </w:r>
                            <w:r w:rsidRPr="000B6CFC">
                              <w:rPr>
                                <w:i/>
                                <w:sz w:val="20"/>
                                <w:szCs w:val="20"/>
                                <w:lang w:val="en-US"/>
                              </w:rPr>
                              <w:t xml:space="preserve">vent rates of stroke, death and </w:t>
                            </w:r>
                            <w:r w:rsidR="000206F7">
                              <w:rPr>
                                <w:i/>
                                <w:sz w:val="20"/>
                                <w:szCs w:val="20"/>
                                <w:lang w:val="en-US"/>
                              </w:rPr>
                              <w:t>‘</w:t>
                            </w:r>
                            <w:r w:rsidRPr="000B6CFC">
                              <w:rPr>
                                <w:i/>
                                <w:sz w:val="20"/>
                                <w:szCs w:val="20"/>
                                <w:lang w:val="en-US"/>
                              </w:rPr>
                              <w:t>composite Stroke and Death</w:t>
                            </w:r>
                            <w:r w:rsidR="000206F7">
                              <w:rPr>
                                <w:i/>
                                <w:sz w:val="20"/>
                                <w:szCs w:val="20"/>
                                <w:lang w:val="en-US"/>
                              </w:rPr>
                              <w:t>’</w:t>
                            </w:r>
                            <w:r w:rsidRPr="000B6CFC">
                              <w:rPr>
                                <w:i/>
                                <w:sz w:val="20"/>
                                <w:szCs w:val="20"/>
                                <w:lang w:val="en-US"/>
                              </w:rPr>
                              <w:t xml:space="preserve"> in each age group and for each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 xml:space="preserve">-VASc </w:t>
                            </w:r>
                            <w:r w:rsidRPr="000B6CFC">
                              <w:rPr>
                                <w:i/>
                                <w:sz w:val="20"/>
                                <w:szCs w:val="20"/>
                                <w:lang w:val="en-US"/>
                              </w:rPr>
                              <w:t>score (excl. age and sex) divided into scores of 0 (no risk factors present), 1, 2, and 3+.</w:t>
                            </w:r>
                          </w:p>
                          <w:tbl>
                            <w:tblPr>
                              <w:tblW w:w="9425" w:type="dxa"/>
                              <w:tblCellMar>
                                <w:left w:w="70" w:type="dxa"/>
                                <w:right w:w="70" w:type="dxa"/>
                              </w:tblCellMar>
                              <w:tblLook w:val="04A0" w:firstRow="1" w:lastRow="0" w:firstColumn="1" w:lastColumn="0" w:noHBand="0" w:noVBand="1"/>
                            </w:tblPr>
                            <w:tblGrid>
                              <w:gridCol w:w="843"/>
                              <w:gridCol w:w="595"/>
                              <w:gridCol w:w="775"/>
                              <w:gridCol w:w="692"/>
                              <w:gridCol w:w="1104"/>
                              <w:gridCol w:w="196"/>
                              <w:gridCol w:w="716"/>
                              <w:gridCol w:w="692"/>
                              <w:gridCol w:w="1104"/>
                              <w:gridCol w:w="196"/>
                              <w:gridCol w:w="716"/>
                              <w:gridCol w:w="692"/>
                              <w:gridCol w:w="1104"/>
                            </w:tblGrid>
                            <w:tr w:rsidR="00AD312A" w:rsidRPr="00122306" w14:paraId="346FBE1A" w14:textId="77777777" w:rsidTr="004E3A09">
                              <w:trPr>
                                <w:trHeight w:val="312"/>
                              </w:trPr>
                              <w:tc>
                                <w:tcPr>
                                  <w:tcW w:w="843" w:type="dxa"/>
                                  <w:tcBorders>
                                    <w:top w:val="nil"/>
                                    <w:bottom w:val="single" w:sz="8" w:space="0" w:color="auto"/>
                                    <w:right w:val="nil"/>
                                  </w:tcBorders>
                                  <w:shd w:val="clear" w:color="auto" w:fill="auto"/>
                                  <w:noWrap/>
                                  <w:vAlign w:val="bottom"/>
                                  <w:hideMark/>
                                </w:tcPr>
                                <w:p w14:paraId="23A73FA9" w14:textId="1449061E" w:rsidR="00AD312A" w:rsidRPr="00122306" w:rsidRDefault="00AD312A" w:rsidP="00E55835">
                                  <w:pPr>
                                    <w:rPr>
                                      <w:rFonts w:ascii="Calibri" w:hAnsi="Calibri" w:cs="Times New Roman"/>
                                      <w:color w:val="000000"/>
                                      <w:sz w:val="18"/>
                                      <w:szCs w:val="18"/>
                                      <w:lang w:val="en-US"/>
                                    </w:rPr>
                                  </w:pPr>
                                </w:p>
                              </w:tc>
                              <w:tc>
                                <w:tcPr>
                                  <w:tcW w:w="595" w:type="dxa"/>
                                  <w:tcBorders>
                                    <w:top w:val="nil"/>
                                    <w:left w:val="nil"/>
                                    <w:bottom w:val="nil"/>
                                  </w:tcBorders>
                                  <w:shd w:val="clear" w:color="auto" w:fill="auto"/>
                                  <w:noWrap/>
                                  <w:vAlign w:val="bottom"/>
                                  <w:hideMark/>
                                </w:tcPr>
                                <w:p w14:paraId="6241FB54" w14:textId="77777777" w:rsidR="00AD312A" w:rsidRPr="00122306" w:rsidRDefault="00AD312A" w:rsidP="00E55835">
                                  <w:pPr>
                                    <w:rPr>
                                      <w:rFonts w:ascii="Calibri" w:hAnsi="Calibri" w:cs="Times New Roman"/>
                                      <w:color w:val="000000"/>
                                      <w:sz w:val="18"/>
                                      <w:szCs w:val="18"/>
                                      <w:lang w:val="en-US"/>
                                    </w:rPr>
                                  </w:pPr>
                                </w:p>
                              </w:tc>
                              <w:tc>
                                <w:tcPr>
                                  <w:tcW w:w="775" w:type="dxa"/>
                                  <w:tcBorders>
                                    <w:top w:val="nil"/>
                                    <w:bottom w:val="single" w:sz="8" w:space="0" w:color="auto"/>
                                    <w:right w:val="nil"/>
                                  </w:tcBorders>
                                  <w:shd w:val="clear" w:color="auto" w:fill="auto"/>
                                  <w:noWrap/>
                                  <w:vAlign w:val="bottom"/>
                                  <w:hideMark/>
                                </w:tcPr>
                                <w:p w14:paraId="1853A38E" w14:textId="77777777" w:rsidR="00AD312A" w:rsidRPr="00122306" w:rsidRDefault="00AD312A" w:rsidP="00E55835">
                                  <w:pPr>
                                    <w:rPr>
                                      <w:rFonts w:ascii="Calibri" w:hAnsi="Calibri" w:cs="Times New Roman"/>
                                      <w:b/>
                                      <w:bCs/>
                                      <w:color w:val="000000"/>
                                      <w:sz w:val="18"/>
                                      <w:szCs w:val="18"/>
                                    </w:rPr>
                                  </w:pPr>
                                  <w:proofErr w:type="spellStart"/>
                                  <w:r w:rsidRPr="00122306">
                                    <w:rPr>
                                      <w:rFonts w:ascii="Calibri" w:hAnsi="Calibri" w:cs="Times New Roman"/>
                                      <w:b/>
                                      <w:bCs/>
                                      <w:color w:val="000000"/>
                                      <w:sz w:val="18"/>
                                      <w:szCs w:val="18"/>
                                    </w:rPr>
                                    <w:t>Stroke</w:t>
                                  </w:r>
                                  <w:proofErr w:type="spellEnd"/>
                                </w:p>
                              </w:tc>
                              <w:tc>
                                <w:tcPr>
                                  <w:tcW w:w="692" w:type="dxa"/>
                                  <w:tcBorders>
                                    <w:top w:val="nil"/>
                                    <w:left w:val="nil"/>
                                    <w:bottom w:val="nil"/>
                                    <w:right w:val="nil"/>
                                  </w:tcBorders>
                                  <w:shd w:val="clear" w:color="auto" w:fill="auto"/>
                                  <w:noWrap/>
                                  <w:vAlign w:val="bottom"/>
                                  <w:hideMark/>
                                </w:tcPr>
                                <w:p w14:paraId="5BB6307D" w14:textId="77777777" w:rsidR="00AD312A" w:rsidRPr="00122306" w:rsidRDefault="00AD312A" w:rsidP="00E55835">
                                  <w:pPr>
                                    <w:rPr>
                                      <w:rFonts w:ascii="Calibri" w:hAnsi="Calibri" w:cs="Times New Roman"/>
                                      <w:color w:val="000000"/>
                                      <w:sz w:val="18"/>
                                      <w:szCs w:val="18"/>
                                    </w:rPr>
                                  </w:pPr>
                                </w:p>
                              </w:tc>
                              <w:tc>
                                <w:tcPr>
                                  <w:tcW w:w="1104" w:type="dxa"/>
                                  <w:tcBorders>
                                    <w:top w:val="nil"/>
                                    <w:left w:val="nil"/>
                                    <w:bottom w:val="nil"/>
                                    <w:right w:val="nil"/>
                                  </w:tcBorders>
                                  <w:shd w:val="clear" w:color="auto" w:fill="auto"/>
                                  <w:noWrap/>
                                  <w:vAlign w:val="bottom"/>
                                  <w:hideMark/>
                                </w:tcPr>
                                <w:p w14:paraId="776F0432" w14:textId="77777777" w:rsidR="00AD312A" w:rsidRPr="00122306" w:rsidRDefault="00AD312A" w:rsidP="00E55835">
                                  <w:pPr>
                                    <w:rPr>
                                      <w:rFonts w:ascii="Calibri" w:hAnsi="Calibri" w:cs="Times New Roman"/>
                                      <w:b/>
                                      <w:bCs/>
                                      <w:color w:val="000000"/>
                                      <w:sz w:val="18"/>
                                      <w:szCs w:val="18"/>
                                    </w:rPr>
                                  </w:pPr>
                                </w:p>
                              </w:tc>
                              <w:tc>
                                <w:tcPr>
                                  <w:tcW w:w="196" w:type="dxa"/>
                                  <w:tcBorders>
                                    <w:top w:val="nil"/>
                                    <w:left w:val="nil"/>
                                    <w:bottom w:val="nil"/>
                                    <w:right w:val="nil"/>
                                  </w:tcBorders>
                                  <w:shd w:val="clear" w:color="auto" w:fill="auto"/>
                                  <w:noWrap/>
                                  <w:vAlign w:val="bottom"/>
                                  <w:hideMark/>
                                </w:tcPr>
                                <w:p w14:paraId="7900FBBB" w14:textId="77777777" w:rsidR="00AD312A" w:rsidRPr="00122306" w:rsidRDefault="00AD312A" w:rsidP="00E55835">
                                  <w:pPr>
                                    <w:rPr>
                                      <w:rFonts w:ascii="Calibri" w:hAnsi="Calibri" w:cs="Times New Roman"/>
                                      <w:b/>
                                      <w:bCs/>
                                      <w:color w:val="000000"/>
                                      <w:sz w:val="18"/>
                                      <w:szCs w:val="18"/>
                                    </w:rPr>
                                  </w:pPr>
                                </w:p>
                              </w:tc>
                              <w:tc>
                                <w:tcPr>
                                  <w:tcW w:w="716" w:type="dxa"/>
                                  <w:tcBorders>
                                    <w:top w:val="nil"/>
                                    <w:left w:val="nil"/>
                                    <w:bottom w:val="nil"/>
                                    <w:right w:val="nil"/>
                                  </w:tcBorders>
                                  <w:shd w:val="clear" w:color="auto" w:fill="auto"/>
                                  <w:noWrap/>
                                  <w:vAlign w:val="bottom"/>
                                  <w:hideMark/>
                                </w:tcPr>
                                <w:p w14:paraId="35C621A8" w14:textId="77777777" w:rsidR="00AD312A" w:rsidRPr="00122306" w:rsidRDefault="00AD312A" w:rsidP="00E55835">
                                  <w:pPr>
                                    <w:rPr>
                                      <w:rFonts w:ascii="Calibri" w:hAnsi="Calibri" w:cs="Times New Roman"/>
                                      <w:b/>
                                      <w:bCs/>
                                      <w:color w:val="000000"/>
                                      <w:sz w:val="18"/>
                                      <w:szCs w:val="18"/>
                                    </w:rPr>
                                  </w:pPr>
                                  <w:proofErr w:type="spellStart"/>
                                  <w:r w:rsidRPr="00122306">
                                    <w:rPr>
                                      <w:rFonts w:ascii="Calibri" w:hAnsi="Calibri" w:cs="Times New Roman"/>
                                      <w:b/>
                                      <w:bCs/>
                                      <w:color w:val="000000"/>
                                      <w:sz w:val="18"/>
                                      <w:szCs w:val="18"/>
                                    </w:rPr>
                                    <w:t>Death</w:t>
                                  </w:r>
                                  <w:proofErr w:type="spellEnd"/>
                                </w:p>
                              </w:tc>
                              <w:tc>
                                <w:tcPr>
                                  <w:tcW w:w="692" w:type="dxa"/>
                                  <w:tcBorders>
                                    <w:top w:val="nil"/>
                                    <w:left w:val="nil"/>
                                    <w:bottom w:val="nil"/>
                                    <w:right w:val="nil"/>
                                  </w:tcBorders>
                                  <w:shd w:val="clear" w:color="auto" w:fill="auto"/>
                                  <w:noWrap/>
                                  <w:vAlign w:val="bottom"/>
                                  <w:hideMark/>
                                </w:tcPr>
                                <w:p w14:paraId="0D05F317" w14:textId="77777777" w:rsidR="00AD312A" w:rsidRPr="00122306" w:rsidRDefault="00AD312A" w:rsidP="00E55835">
                                  <w:pPr>
                                    <w:rPr>
                                      <w:rFonts w:ascii="Calibri" w:hAnsi="Calibri" w:cs="Times New Roman"/>
                                      <w:b/>
                                      <w:bCs/>
                                      <w:color w:val="000000"/>
                                      <w:sz w:val="18"/>
                                      <w:szCs w:val="18"/>
                                    </w:rPr>
                                  </w:pPr>
                                </w:p>
                              </w:tc>
                              <w:tc>
                                <w:tcPr>
                                  <w:tcW w:w="1104" w:type="dxa"/>
                                  <w:tcBorders>
                                    <w:top w:val="nil"/>
                                    <w:left w:val="nil"/>
                                    <w:bottom w:val="nil"/>
                                    <w:right w:val="nil"/>
                                  </w:tcBorders>
                                  <w:shd w:val="clear" w:color="auto" w:fill="auto"/>
                                  <w:noWrap/>
                                  <w:vAlign w:val="bottom"/>
                                  <w:hideMark/>
                                </w:tcPr>
                                <w:p w14:paraId="384B70A7" w14:textId="77777777" w:rsidR="00AD312A" w:rsidRPr="00122306" w:rsidRDefault="00AD312A" w:rsidP="00E55835">
                                  <w:pPr>
                                    <w:rPr>
                                      <w:rFonts w:ascii="Calibri" w:hAnsi="Calibri" w:cs="Times New Roman"/>
                                      <w:b/>
                                      <w:bCs/>
                                      <w:color w:val="000000"/>
                                      <w:sz w:val="18"/>
                                      <w:szCs w:val="18"/>
                                    </w:rPr>
                                  </w:pPr>
                                </w:p>
                              </w:tc>
                              <w:tc>
                                <w:tcPr>
                                  <w:tcW w:w="196" w:type="dxa"/>
                                  <w:tcBorders>
                                    <w:top w:val="nil"/>
                                    <w:left w:val="nil"/>
                                    <w:bottom w:val="nil"/>
                                    <w:right w:val="nil"/>
                                  </w:tcBorders>
                                  <w:shd w:val="clear" w:color="auto" w:fill="auto"/>
                                  <w:noWrap/>
                                  <w:vAlign w:val="bottom"/>
                                  <w:hideMark/>
                                </w:tcPr>
                                <w:p w14:paraId="412D9275" w14:textId="77777777" w:rsidR="00AD312A" w:rsidRPr="00122306" w:rsidRDefault="00AD312A" w:rsidP="00E55835">
                                  <w:pPr>
                                    <w:rPr>
                                      <w:rFonts w:ascii="Calibri" w:hAnsi="Calibri" w:cs="Times New Roman"/>
                                      <w:b/>
                                      <w:bCs/>
                                      <w:color w:val="000000"/>
                                      <w:sz w:val="18"/>
                                      <w:szCs w:val="18"/>
                                    </w:rPr>
                                  </w:pPr>
                                </w:p>
                              </w:tc>
                              <w:tc>
                                <w:tcPr>
                                  <w:tcW w:w="2512" w:type="dxa"/>
                                  <w:gridSpan w:val="3"/>
                                  <w:tcBorders>
                                    <w:top w:val="nil"/>
                                    <w:left w:val="nil"/>
                                    <w:bottom w:val="nil"/>
                                  </w:tcBorders>
                                  <w:shd w:val="clear" w:color="auto" w:fill="auto"/>
                                  <w:noWrap/>
                                  <w:vAlign w:val="bottom"/>
                                  <w:hideMark/>
                                </w:tcPr>
                                <w:p w14:paraId="0C58598A" w14:textId="77777777" w:rsidR="00AD312A" w:rsidRPr="00122306" w:rsidRDefault="00AD312A" w:rsidP="00E55835">
                                  <w:pPr>
                                    <w:rPr>
                                      <w:rFonts w:ascii="Calibri" w:hAnsi="Calibri" w:cs="Times New Roman"/>
                                      <w:b/>
                                      <w:bCs/>
                                      <w:color w:val="000000"/>
                                      <w:sz w:val="18"/>
                                      <w:szCs w:val="18"/>
                                    </w:rPr>
                                  </w:pPr>
                                  <w:proofErr w:type="spellStart"/>
                                  <w:r w:rsidRPr="00122306">
                                    <w:rPr>
                                      <w:rFonts w:ascii="Calibri" w:hAnsi="Calibri" w:cs="Times New Roman"/>
                                      <w:b/>
                                      <w:bCs/>
                                      <w:color w:val="000000"/>
                                      <w:sz w:val="18"/>
                                      <w:szCs w:val="18"/>
                                    </w:rPr>
                                    <w:t>Composite</w:t>
                                  </w:r>
                                  <w:proofErr w:type="spellEnd"/>
                                  <w:r w:rsidRPr="00122306">
                                    <w:rPr>
                                      <w:rFonts w:ascii="Calibri" w:hAnsi="Calibri" w:cs="Times New Roman"/>
                                      <w:b/>
                                      <w:bCs/>
                                      <w:color w:val="000000"/>
                                      <w:sz w:val="18"/>
                                      <w:szCs w:val="18"/>
                                    </w:rPr>
                                    <w:t xml:space="preserve"> </w:t>
                                  </w:r>
                                  <w:proofErr w:type="spellStart"/>
                                  <w:r w:rsidRPr="00122306">
                                    <w:rPr>
                                      <w:rFonts w:ascii="Calibri" w:hAnsi="Calibri" w:cs="Times New Roman"/>
                                      <w:b/>
                                      <w:bCs/>
                                      <w:color w:val="000000"/>
                                      <w:sz w:val="18"/>
                                      <w:szCs w:val="18"/>
                                    </w:rPr>
                                    <w:t>Stroke</w:t>
                                  </w:r>
                                  <w:proofErr w:type="spellEnd"/>
                                  <w:r w:rsidRPr="00122306">
                                    <w:rPr>
                                      <w:rFonts w:ascii="Calibri" w:hAnsi="Calibri" w:cs="Times New Roman"/>
                                      <w:b/>
                                      <w:bCs/>
                                      <w:color w:val="000000"/>
                                      <w:sz w:val="18"/>
                                      <w:szCs w:val="18"/>
                                    </w:rPr>
                                    <w:t xml:space="preserve"> and </w:t>
                                  </w:r>
                                  <w:proofErr w:type="spellStart"/>
                                  <w:r w:rsidRPr="00122306">
                                    <w:rPr>
                                      <w:rFonts w:ascii="Calibri" w:hAnsi="Calibri" w:cs="Times New Roman"/>
                                      <w:b/>
                                      <w:bCs/>
                                      <w:color w:val="000000"/>
                                      <w:sz w:val="18"/>
                                      <w:szCs w:val="18"/>
                                    </w:rPr>
                                    <w:t>Death</w:t>
                                  </w:r>
                                  <w:proofErr w:type="spellEnd"/>
                                </w:p>
                              </w:tc>
                            </w:tr>
                            <w:tr w:rsidR="00AD312A" w:rsidRPr="00122306" w14:paraId="1337F57B" w14:textId="77777777" w:rsidTr="004E3A09">
                              <w:trPr>
                                <w:trHeight w:val="312"/>
                              </w:trPr>
                              <w:tc>
                                <w:tcPr>
                                  <w:tcW w:w="843" w:type="dxa"/>
                                  <w:tcBorders>
                                    <w:top w:val="single" w:sz="8" w:space="0" w:color="auto"/>
                                    <w:left w:val="single" w:sz="8" w:space="0" w:color="auto"/>
                                    <w:bottom w:val="single" w:sz="8" w:space="0" w:color="auto"/>
                                    <w:right w:val="nil"/>
                                  </w:tcBorders>
                                  <w:shd w:val="clear" w:color="auto" w:fill="auto"/>
                                  <w:noWrap/>
                                  <w:vAlign w:val="bottom"/>
                                  <w:hideMark/>
                                </w:tcPr>
                                <w:p w14:paraId="3DDCC369"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Age Group</w:t>
                                  </w:r>
                                </w:p>
                              </w:tc>
                              <w:tc>
                                <w:tcPr>
                                  <w:tcW w:w="595" w:type="dxa"/>
                                  <w:tcBorders>
                                    <w:top w:val="single" w:sz="8" w:space="0" w:color="auto"/>
                                    <w:left w:val="nil"/>
                                    <w:bottom w:val="single" w:sz="8" w:space="0" w:color="auto"/>
                                    <w:right w:val="nil"/>
                                  </w:tcBorders>
                                  <w:shd w:val="clear" w:color="auto" w:fill="auto"/>
                                  <w:noWrap/>
                                  <w:vAlign w:val="bottom"/>
                                  <w:hideMark/>
                                </w:tcPr>
                                <w:p w14:paraId="5941766C"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Score</w:t>
                                  </w:r>
                                </w:p>
                              </w:tc>
                              <w:tc>
                                <w:tcPr>
                                  <w:tcW w:w="775" w:type="dxa"/>
                                  <w:tcBorders>
                                    <w:top w:val="single" w:sz="8" w:space="0" w:color="auto"/>
                                    <w:left w:val="nil"/>
                                    <w:bottom w:val="single" w:sz="8" w:space="0" w:color="auto"/>
                                    <w:right w:val="nil"/>
                                  </w:tcBorders>
                                  <w:shd w:val="clear" w:color="auto" w:fill="auto"/>
                                  <w:noWrap/>
                                  <w:vAlign w:val="bottom"/>
                                  <w:hideMark/>
                                </w:tcPr>
                                <w:p w14:paraId="3F6900ED"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Event No.</w:t>
                                  </w:r>
                                </w:p>
                              </w:tc>
                              <w:tc>
                                <w:tcPr>
                                  <w:tcW w:w="692" w:type="dxa"/>
                                  <w:tcBorders>
                                    <w:top w:val="single" w:sz="8" w:space="0" w:color="auto"/>
                                    <w:left w:val="nil"/>
                                    <w:bottom w:val="single" w:sz="8" w:space="0" w:color="auto"/>
                                    <w:right w:val="nil"/>
                                  </w:tcBorders>
                                  <w:shd w:val="clear" w:color="auto" w:fill="auto"/>
                                  <w:noWrap/>
                                  <w:vAlign w:val="bottom"/>
                                  <w:hideMark/>
                                </w:tcPr>
                                <w:p w14:paraId="3A5548F5" w14:textId="77777777" w:rsidR="00AD312A" w:rsidRPr="00122306" w:rsidRDefault="00AD312A" w:rsidP="00E55835">
                                  <w:pPr>
                                    <w:jc w:val="right"/>
                                    <w:rPr>
                                      <w:rFonts w:ascii="Calibri" w:hAnsi="Calibri" w:cs="Times New Roman"/>
                                      <w:b/>
                                      <w:bCs/>
                                      <w:color w:val="000000"/>
                                      <w:sz w:val="18"/>
                                      <w:szCs w:val="18"/>
                                    </w:rPr>
                                  </w:pPr>
                                  <w:r w:rsidRPr="00122306">
                                    <w:rPr>
                                      <w:rFonts w:ascii="Calibri" w:hAnsi="Calibri" w:cs="Times New Roman"/>
                                      <w:b/>
                                      <w:bCs/>
                                      <w:color w:val="000000"/>
                                      <w:sz w:val="18"/>
                                      <w:szCs w:val="18"/>
                                    </w:rPr>
                                    <w:t>Rate</w:t>
                                  </w:r>
                                </w:p>
                              </w:tc>
                              <w:tc>
                                <w:tcPr>
                                  <w:tcW w:w="1104" w:type="dxa"/>
                                  <w:tcBorders>
                                    <w:top w:val="single" w:sz="8" w:space="0" w:color="auto"/>
                                    <w:left w:val="nil"/>
                                    <w:bottom w:val="single" w:sz="8" w:space="0" w:color="auto"/>
                                    <w:right w:val="nil"/>
                                  </w:tcBorders>
                                  <w:shd w:val="clear" w:color="auto" w:fill="auto"/>
                                  <w:noWrap/>
                                  <w:vAlign w:val="bottom"/>
                                  <w:hideMark/>
                                </w:tcPr>
                                <w:p w14:paraId="74DCB611"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w:t>
                                  </w:r>
                                  <w:proofErr w:type="gramStart"/>
                                  <w:r w:rsidRPr="00122306">
                                    <w:rPr>
                                      <w:rFonts w:ascii="Calibri" w:hAnsi="Calibri" w:cs="Times New Roman"/>
                                      <w:b/>
                                      <w:bCs/>
                                      <w:color w:val="000000"/>
                                      <w:sz w:val="18"/>
                                      <w:szCs w:val="18"/>
                                    </w:rPr>
                                    <w:t>95%</w:t>
                                  </w:r>
                                  <w:proofErr w:type="gramEnd"/>
                                  <w:r w:rsidRPr="00122306">
                                    <w:rPr>
                                      <w:rFonts w:ascii="Calibri" w:hAnsi="Calibri" w:cs="Times New Roman"/>
                                      <w:b/>
                                      <w:bCs/>
                                      <w:color w:val="000000"/>
                                      <w:sz w:val="18"/>
                                      <w:szCs w:val="18"/>
                                    </w:rPr>
                                    <w:t xml:space="preserve"> CI)</w:t>
                                  </w:r>
                                </w:p>
                              </w:tc>
                              <w:tc>
                                <w:tcPr>
                                  <w:tcW w:w="196" w:type="dxa"/>
                                  <w:tcBorders>
                                    <w:top w:val="single" w:sz="8" w:space="0" w:color="auto"/>
                                    <w:left w:val="nil"/>
                                    <w:bottom w:val="single" w:sz="8" w:space="0" w:color="auto"/>
                                    <w:right w:val="nil"/>
                                  </w:tcBorders>
                                  <w:shd w:val="clear" w:color="auto" w:fill="auto"/>
                                  <w:noWrap/>
                                  <w:vAlign w:val="bottom"/>
                                  <w:hideMark/>
                                </w:tcPr>
                                <w:p w14:paraId="5241ACED"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 </w:t>
                                  </w:r>
                                </w:p>
                              </w:tc>
                              <w:tc>
                                <w:tcPr>
                                  <w:tcW w:w="716" w:type="dxa"/>
                                  <w:tcBorders>
                                    <w:top w:val="single" w:sz="8" w:space="0" w:color="auto"/>
                                    <w:left w:val="nil"/>
                                    <w:bottom w:val="single" w:sz="8" w:space="0" w:color="auto"/>
                                    <w:right w:val="nil"/>
                                  </w:tcBorders>
                                  <w:shd w:val="clear" w:color="auto" w:fill="auto"/>
                                  <w:noWrap/>
                                  <w:vAlign w:val="bottom"/>
                                  <w:hideMark/>
                                </w:tcPr>
                                <w:p w14:paraId="3C93D897"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Event No.</w:t>
                                  </w:r>
                                </w:p>
                              </w:tc>
                              <w:tc>
                                <w:tcPr>
                                  <w:tcW w:w="692" w:type="dxa"/>
                                  <w:tcBorders>
                                    <w:top w:val="single" w:sz="8" w:space="0" w:color="auto"/>
                                    <w:left w:val="nil"/>
                                    <w:bottom w:val="single" w:sz="8" w:space="0" w:color="auto"/>
                                    <w:right w:val="nil"/>
                                  </w:tcBorders>
                                  <w:shd w:val="clear" w:color="auto" w:fill="auto"/>
                                  <w:noWrap/>
                                  <w:vAlign w:val="bottom"/>
                                  <w:hideMark/>
                                </w:tcPr>
                                <w:p w14:paraId="0EE8E031" w14:textId="77777777" w:rsidR="00AD312A" w:rsidRPr="00122306" w:rsidRDefault="00AD312A" w:rsidP="00E55835">
                                  <w:pPr>
                                    <w:jc w:val="right"/>
                                    <w:rPr>
                                      <w:rFonts w:ascii="Calibri" w:hAnsi="Calibri" w:cs="Times New Roman"/>
                                      <w:b/>
                                      <w:bCs/>
                                      <w:color w:val="000000"/>
                                      <w:sz w:val="18"/>
                                      <w:szCs w:val="18"/>
                                    </w:rPr>
                                  </w:pPr>
                                  <w:r w:rsidRPr="00122306">
                                    <w:rPr>
                                      <w:rFonts w:ascii="Calibri" w:hAnsi="Calibri" w:cs="Times New Roman"/>
                                      <w:b/>
                                      <w:bCs/>
                                      <w:color w:val="000000"/>
                                      <w:sz w:val="18"/>
                                      <w:szCs w:val="18"/>
                                    </w:rPr>
                                    <w:t>Rate</w:t>
                                  </w:r>
                                </w:p>
                              </w:tc>
                              <w:tc>
                                <w:tcPr>
                                  <w:tcW w:w="1104" w:type="dxa"/>
                                  <w:tcBorders>
                                    <w:top w:val="single" w:sz="8" w:space="0" w:color="auto"/>
                                    <w:left w:val="nil"/>
                                    <w:bottom w:val="single" w:sz="8" w:space="0" w:color="auto"/>
                                    <w:right w:val="nil"/>
                                  </w:tcBorders>
                                  <w:shd w:val="clear" w:color="auto" w:fill="auto"/>
                                  <w:noWrap/>
                                  <w:vAlign w:val="bottom"/>
                                  <w:hideMark/>
                                </w:tcPr>
                                <w:p w14:paraId="16ED6848"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w:t>
                                  </w:r>
                                  <w:proofErr w:type="gramStart"/>
                                  <w:r w:rsidRPr="00122306">
                                    <w:rPr>
                                      <w:rFonts w:ascii="Calibri" w:hAnsi="Calibri" w:cs="Times New Roman"/>
                                      <w:b/>
                                      <w:bCs/>
                                      <w:color w:val="000000"/>
                                      <w:sz w:val="18"/>
                                      <w:szCs w:val="18"/>
                                    </w:rPr>
                                    <w:t>95%</w:t>
                                  </w:r>
                                  <w:proofErr w:type="gramEnd"/>
                                  <w:r w:rsidRPr="00122306">
                                    <w:rPr>
                                      <w:rFonts w:ascii="Calibri" w:hAnsi="Calibri" w:cs="Times New Roman"/>
                                      <w:b/>
                                      <w:bCs/>
                                      <w:color w:val="000000"/>
                                      <w:sz w:val="18"/>
                                      <w:szCs w:val="18"/>
                                    </w:rPr>
                                    <w:t xml:space="preserve"> CI)</w:t>
                                  </w:r>
                                </w:p>
                              </w:tc>
                              <w:tc>
                                <w:tcPr>
                                  <w:tcW w:w="196" w:type="dxa"/>
                                  <w:tcBorders>
                                    <w:top w:val="single" w:sz="8" w:space="0" w:color="auto"/>
                                    <w:left w:val="nil"/>
                                    <w:bottom w:val="single" w:sz="8" w:space="0" w:color="auto"/>
                                    <w:right w:val="nil"/>
                                  </w:tcBorders>
                                  <w:shd w:val="clear" w:color="auto" w:fill="auto"/>
                                  <w:noWrap/>
                                  <w:vAlign w:val="bottom"/>
                                  <w:hideMark/>
                                </w:tcPr>
                                <w:p w14:paraId="2CC659A4"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 </w:t>
                                  </w:r>
                                </w:p>
                              </w:tc>
                              <w:tc>
                                <w:tcPr>
                                  <w:tcW w:w="716" w:type="dxa"/>
                                  <w:tcBorders>
                                    <w:top w:val="single" w:sz="8" w:space="0" w:color="auto"/>
                                    <w:left w:val="nil"/>
                                    <w:bottom w:val="single" w:sz="8" w:space="0" w:color="auto"/>
                                    <w:right w:val="nil"/>
                                  </w:tcBorders>
                                  <w:shd w:val="clear" w:color="auto" w:fill="auto"/>
                                  <w:noWrap/>
                                  <w:vAlign w:val="bottom"/>
                                  <w:hideMark/>
                                </w:tcPr>
                                <w:p w14:paraId="5069A6FE"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Event No.</w:t>
                                  </w:r>
                                </w:p>
                              </w:tc>
                              <w:tc>
                                <w:tcPr>
                                  <w:tcW w:w="692" w:type="dxa"/>
                                  <w:tcBorders>
                                    <w:top w:val="single" w:sz="8" w:space="0" w:color="auto"/>
                                    <w:left w:val="nil"/>
                                    <w:bottom w:val="single" w:sz="8" w:space="0" w:color="auto"/>
                                    <w:right w:val="nil"/>
                                  </w:tcBorders>
                                  <w:shd w:val="clear" w:color="auto" w:fill="auto"/>
                                  <w:noWrap/>
                                  <w:vAlign w:val="bottom"/>
                                  <w:hideMark/>
                                </w:tcPr>
                                <w:p w14:paraId="003843E1" w14:textId="77777777" w:rsidR="00AD312A" w:rsidRPr="00122306" w:rsidRDefault="00AD312A" w:rsidP="00E55835">
                                  <w:pPr>
                                    <w:jc w:val="right"/>
                                    <w:rPr>
                                      <w:rFonts w:ascii="Calibri" w:hAnsi="Calibri" w:cs="Times New Roman"/>
                                      <w:b/>
                                      <w:bCs/>
                                      <w:color w:val="000000"/>
                                      <w:sz w:val="18"/>
                                      <w:szCs w:val="18"/>
                                    </w:rPr>
                                  </w:pPr>
                                  <w:r w:rsidRPr="00122306">
                                    <w:rPr>
                                      <w:rFonts w:ascii="Calibri" w:hAnsi="Calibri" w:cs="Times New Roman"/>
                                      <w:b/>
                                      <w:bCs/>
                                      <w:color w:val="000000"/>
                                      <w:sz w:val="18"/>
                                      <w:szCs w:val="18"/>
                                    </w:rPr>
                                    <w:t>Rate</w:t>
                                  </w:r>
                                </w:p>
                              </w:tc>
                              <w:tc>
                                <w:tcPr>
                                  <w:tcW w:w="1104" w:type="dxa"/>
                                  <w:tcBorders>
                                    <w:top w:val="single" w:sz="8" w:space="0" w:color="auto"/>
                                    <w:left w:val="nil"/>
                                    <w:bottom w:val="single" w:sz="8" w:space="0" w:color="auto"/>
                                    <w:right w:val="single" w:sz="8" w:space="0" w:color="auto"/>
                                  </w:tcBorders>
                                  <w:shd w:val="clear" w:color="auto" w:fill="auto"/>
                                  <w:noWrap/>
                                  <w:vAlign w:val="bottom"/>
                                  <w:hideMark/>
                                </w:tcPr>
                                <w:p w14:paraId="0990CDE8"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w:t>
                                  </w:r>
                                  <w:proofErr w:type="gramStart"/>
                                  <w:r w:rsidRPr="00122306">
                                    <w:rPr>
                                      <w:rFonts w:ascii="Calibri" w:hAnsi="Calibri" w:cs="Times New Roman"/>
                                      <w:b/>
                                      <w:bCs/>
                                      <w:color w:val="000000"/>
                                      <w:sz w:val="18"/>
                                      <w:szCs w:val="18"/>
                                    </w:rPr>
                                    <w:t>95%</w:t>
                                  </w:r>
                                  <w:proofErr w:type="gramEnd"/>
                                  <w:r w:rsidRPr="00122306">
                                    <w:rPr>
                                      <w:rFonts w:ascii="Calibri" w:hAnsi="Calibri" w:cs="Times New Roman"/>
                                      <w:b/>
                                      <w:bCs/>
                                      <w:color w:val="000000"/>
                                      <w:sz w:val="18"/>
                                      <w:szCs w:val="18"/>
                                    </w:rPr>
                                    <w:t xml:space="preserve"> CI)</w:t>
                                  </w:r>
                                </w:p>
                              </w:tc>
                            </w:tr>
                            <w:tr w:rsidR="00AD312A" w:rsidRPr="00122306" w14:paraId="4A84AD69"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64D13A6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nil"/>
                                    <w:right w:val="nil"/>
                                  </w:tcBorders>
                                  <w:shd w:val="clear" w:color="000000" w:fill="EEECE1"/>
                                  <w:noWrap/>
                                  <w:vAlign w:val="bottom"/>
                                  <w:hideMark/>
                                </w:tcPr>
                                <w:p w14:paraId="49B9698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000000" w:fill="EEECE1"/>
                                  <w:noWrap/>
                                  <w:vAlign w:val="bottom"/>
                                  <w:hideMark/>
                                </w:tcPr>
                                <w:p w14:paraId="691135F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w:t>
                                  </w:r>
                                </w:p>
                              </w:tc>
                              <w:tc>
                                <w:tcPr>
                                  <w:tcW w:w="692" w:type="dxa"/>
                                  <w:tcBorders>
                                    <w:top w:val="nil"/>
                                    <w:left w:val="nil"/>
                                    <w:bottom w:val="nil"/>
                                    <w:right w:val="nil"/>
                                  </w:tcBorders>
                                  <w:shd w:val="clear" w:color="000000" w:fill="EEECE1"/>
                                  <w:noWrap/>
                                  <w:vAlign w:val="bottom"/>
                                  <w:hideMark/>
                                </w:tcPr>
                                <w:p w14:paraId="544FC56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0.38</w:t>
                                  </w:r>
                                </w:p>
                              </w:tc>
                              <w:tc>
                                <w:tcPr>
                                  <w:tcW w:w="1104" w:type="dxa"/>
                                  <w:tcBorders>
                                    <w:top w:val="nil"/>
                                    <w:left w:val="nil"/>
                                    <w:bottom w:val="nil"/>
                                    <w:right w:val="nil"/>
                                  </w:tcBorders>
                                  <w:shd w:val="clear" w:color="000000" w:fill="EEECE1"/>
                                  <w:noWrap/>
                                  <w:vAlign w:val="bottom"/>
                                  <w:hideMark/>
                                </w:tcPr>
                                <w:p w14:paraId="1354F29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(0.14-1.01)</w:t>
                                  </w:r>
                                </w:p>
                              </w:tc>
                              <w:tc>
                                <w:tcPr>
                                  <w:tcW w:w="196" w:type="dxa"/>
                                  <w:tcBorders>
                                    <w:top w:val="nil"/>
                                    <w:left w:val="nil"/>
                                    <w:bottom w:val="nil"/>
                                    <w:right w:val="nil"/>
                                  </w:tcBorders>
                                  <w:shd w:val="clear" w:color="000000" w:fill="EEECE1"/>
                                  <w:noWrap/>
                                  <w:vAlign w:val="bottom"/>
                                  <w:hideMark/>
                                </w:tcPr>
                                <w:p w14:paraId="3CEC1D9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4939132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27</w:t>
                                  </w:r>
                                </w:p>
                              </w:tc>
                              <w:tc>
                                <w:tcPr>
                                  <w:tcW w:w="692" w:type="dxa"/>
                                  <w:tcBorders>
                                    <w:top w:val="nil"/>
                                    <w:left w:val="nil"/>
                                    <w:bottom w:val="nil"/>
                                    <w:right w:val="nil"/>
                                  </w:tcBorders>
                                  <w:shd w:val="clear" w:color="000000" w:fill="EEECE1"/>
                                  <w:noWrap/>
                                  <w:vAlign w:val="bottom"/>
                                  <w:hideMark/>
                                </w:tcPr>
                                <w:p w14:paraId="2DA0E0C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2.56</w:t>
                                  </w:r>
                                </w:p>
                              </w:tc>
                              <w:tc>
                                <w:tcPr>
                                  <w:tcW w:w="1104" w:type="dxa"/>
                                  <w:tcBorders>
                                    <w:top w:val="nil"/>
                                    <w:left w:val="nil"/>
                                    <w:bottom w:val="nil"/>
                                    <w:right w:val="nil"/>
                                  </w:tcBorders>
                                  <w:shd w:val="clear" w:color="000000" w:fill="EEECE1"/>
                                  <w:noWrap/>
                                  <w:vAlign w:val="bottom"/>
                                  <w:hideMark/>
                                </w:tcPr>
                                <w:p w14:paraId="0FDC778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1.75</w:t>
                                  </w:r>
                                  <w:proofErr w:type="gramEnd"/>
                                  <w:r w:rsidRPr="00122306">
                                    <w:rPr>
                                      <w:rFonts w:ascii="Calibri" w:hAnsi="Calibri" w:cs="Times New Roman"/>
                                      <w:color w:val="000000"/>
                                      <w:sz w:val="18"/>
                                      <w:szCs w:val="18"/>
                                    </w:rPr>
                                    <w:t>-3.73)</w:t>
                                  </w:r>
                                </w:p>
                              </w:tc>
                              <w:tc>
                                <w:tcPr>
                                  <w:tcW w:w="196" w:type="dxa"/>
                                  <w:tcBorders>
                                    <w:top w:val="nil"/>
                                    <w:left w:val="nil"/>
                                    <w:bottom w:val="nil"/>
                                    <w:right w:val="nil"/>
                                  </w:tcBorders>
                                  <w:shd w:val="clear" w:color="000000" w:fill="EEECE1"/>
                                  <w:noWrap/>
                                  <w:vAlign w:val="bottom"/>
                                  <w:hideMark/>
                                </w:tcPr>
                                <w:p w14:paraId="17E16CB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3E13EAE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31</w:t>
                                  </w:r>
                                </w:p>
                              </w:tc>
                              <w:tc>
                                <w:tcPr>
                                  <w:tcW w:w="692" w:type="dxa"/>
                                  <w:tcBorders>
                                    <w:top w:val="nil"/>
                                    <w:left w:val="nil"/>
                                    <w:bottom w:val="nil"/>
                                    <w:right w:val="nil"/>
                                  </w:tcBorders>
                                  <w:shd w:val="clear" w:color="000000" w:fill="EEECE1"/>
                                  <w:noWrap/>
                                  <w:vAlign w:val="bottom"/>
                                  <w:hideMark/>
                                </w:tcPr>
                                <w:p w14:paraId="1D26FAD5"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2.94</w:t>
                                  </w:r>
                                  <w:proofErr w:type="gramEnd"/>
                                </w:p>
                              </w:tc>
                              <w:tc>
                                <w:tcPr>
                                  <w:tcW w:w="1104" w:type="dxa"/>
                                  <w:tcBorders>
                                    <w:top w:val="nil"/>
                                    <w:left w:val="nil"/>
                                    <w:bottom w:val="nil"/>
                                    <w:right w:val="single" w:sz="8" w:space="0" w:color="auto"/>
                                  </w:tcBorders>
                                  <w:shd w:val="clear" w:color="000000" w:fill="EEECE1"/>
                                  <w:noWrap/>
                                  <w:vAlign w:val="bottom"/>
                                  <w:hideMark/>
                                </w:tcPr>
                                <w:p w14:paraId="7B71743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(2.07-4.18)</w:t>
                                  </w:r>
                                </w:p>
                              </w:tc>
                            </w:tr>
                            <w:tr w:rsidR="00AD312A" w:rsidRPr="00122306" w14:paraId="1D234E91"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EFD74F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nil"/>
                                    <w:right w:val="nil"/>
                                  </w:tcBorders>
                                  <w:shd w:val="clear" w:color="000000" w:fill="EEECE1"/>
                                  <w:noWrap/>
                                  <w:vAlign w:val="bottom"/>
                                  <w:hideMark/>
                                </w:tcPr>
                                <w:p w14:paraId="3C7D80E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000000" w:fill="EEECE1"/>
                                  <w:noWrap/>
                                  <w:vAlign w:val="bottom"/>
                                  <w:hideMark/>
                                </w:tcPr>
                                <w:p w14:paraId="35C5D3F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692" w:type="dxa"/>
                                  <w:tcBorders>
                                    <w:top w:val="nil"/>
                                    <w:left w:val="nil"/>
                                    <w:bottom w:val="nil"/>
                                    <w:right w:val="nil"/>
                                  </w:tcBorders>
                                  <w:shd w:val="clear" w:color="000000" w:fill="EEECE1"/>
                                  <w:noWrap/>
                                  <w:vAlign w:val="bottom"/>
                                  <w:hideMark/>
                                </w:tcPr>
                                <w:p w14:paraId="016256B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0.00</w:t>
                                  </w:r>
                                </w:p>
                              </w:tc>
                              <w:tc>
                                <w:tcPr>
                                  <w:tcW w:w="1104" w:type="dxa"/>
                                  <w:tcBorders>
                                    <w:top w:val="nil"/>
                                    <w:left w:val="nil"/>
                                    <w:bottom w:val="nil"/>
                                    <w:right w:val="nil"/>
                                  </w:tcBorders>
                                  <w:shd w:val="clear" w:color="000000" w:fill="EEECE1"/>
                                  <w:noWrap/>
                                  <w:vAlign w:val="bottom"/>
                                  <w:hideMark/>
                                </w:tcPr>
                                <w:p w14:paraId="34A69BF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
                              </w:tc>
                              <w:tc>
                                <w:tcPr>
                                  <w:tcW w:w="196" w:type="dxa"/>
                                  <w:tcBorders>
                                    <w:top w:val="nil"/>
                                    <w:left w:val="nil"/>
                                    <w:bottom w:val="nil"/>
                                    <w:right w:val="nil"/>
                                  </w:tcBorders>
                                  <w:shd w:val="clear" w:color="000000" w:fill="EEECE1"/>
                                  <w:noWrap/>
                                  <w:vAlign w:val="bottom"/>
                                  <w:hideMark/>
                                </w:tcPr>
                                <w:p w14:paraId="76B9ACD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4C27B6B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w:t>
                                  </w:r>
                                </w:p>
                              </w:tc>
                              <w:tc>
                                <w:tcPr>
                                  <w:tcW w:w="692" w:type="dxa"/>
                                  <w:tcBorders>
                                    <w:top w:val="nil"/>
                                    <w:left w:val="nil"/>
                                    <w:bottom w:val="nil"/>
                                    <w:right w:val="nil"/>
                                  </w:tcBorders>
                                  <w:shd w:val="clear" w:color="000000" w:fill="EEECE1"/>
                                  <w:noWrap/>
                                  <w:vAlign w:val="bottom"/>
                                  <w:hideMark/>
                                </w:tcPr>
                                <w:p w14:paraId="2A99520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40.58</w:t>
                                  </w:r>
                                </w:p>
                              </w:tc>
                              <w:tc>
                                <w:tcPr>
                                  <w:tcW w:w="1104" w:type="dxa"/>
                                  <w:tcBorders>
                                    <w:top w:val="nil"/>
                                    <w:left w:val="nil"/>
                                    <w:bottom w:val="nil"/>
                                    <w:right w:val="nil"/>
                                  </w:tcBorders>
                                  <w:shd w:val="clear" w:color="000000" w:fill="EEECE1"/>
                                  <w:noWrap/>
                                  <w:vAlign w:val="bottom"/>
                                  <w:hideMark/>
                                </w:tcPr>
                                <w:p w14:paraId="56ED0F0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(24.47-67-32)</w:t>
                                  </w:r>
                                </w:p>
                              </w:tc>
                              <w:tc>
                                <w:tcPr>
                                  <w:tcW w:w="196" w:type="dxa"/>
                                  <w:tcBorders>
                                    <w:top w:val="nil"/>
                                    <w:left w:val="nil"/>
                                    <w:bottom w:val="nil"/>
                                    <w:right w:val="nil"/>
                                  </w:tcBorders>
                                  <w:shd w:val="clear" w:color="000000" w:fill="EEECE1"/>
                                  <w:noWrap/>
                                  <w:vAlign w:val="bottom"/>
                                  <w:hideMark/>
                                </w:tcPr>
                                <w:p w14:paraId="5F65EDE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6465CFB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w:t>
                                  </w:r>
                                </w:p>
                              </w:tc>
                              <w:tc>
                                <w:tcPr>
                                  <w:tcW w:w="692" w:type="dxa"/>
                                  <w:tcBorders>
                                    <w:top w:val="nil"/>
                                    <w:left w:val="nil"/>
                                    <w:bottom w:val="nil"/>
                                    <w:right w:val="nil"/>
                                  </w:tcBorders>
                                  <w:shd w:val="clear" w:color="000000" w:fill="EEECE1"/>
                                  <w:noWrap/>
                                  <w:vAlign w:val="bottom"/>
                                  <w:hideMark/>
                                </w:tcPr>
                                <w:p w14:paraId="30DEED9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40.58</w:t>
                                  </w:r>
                                </w:p>
                              </w:tc>
                              <w:tc>
                                <w:tcPr>
                                  <w:tcW w:w="1104" w:type="dxa"/>
                                  <w:tcBorders>
                                    <w:top w:val="nil"/>
                                    <w:left w:val="nil"/>
                                    <w:bottom w:val="nil"/>
                                    <w:right w:val="single" w:sz="8" w:space="0" w:color="auto"/>
                                  </w:tcBorders>
                                  <w:shd w:val="clear" w:color="000000" w:fill="EEECE1"/>
                                  <w:noWrap/>
                                  <w:vAlign w:val="bottom"/>
                                  <w:hideMark/>
                                </w:tcPr>
                                <w:p w14:paraId="734E47B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(24.47-67.32)</w:t>
                                  </w:r>
                                </w:p>
                              </w:tc>
                            </w:tr>
                            <w:tr w:rsidR="00AD312A" w:rsidRPr="00122306" w14:paraId="4A14E64B"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6E89E4F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nil"/>
                                    <w:right w:val="nil"/>
                                  </w:tcBorders>
                                  <w:shd w:val="clear" w:color="000000" w:fill="EEECE1"/>
                                  <w:noWrap/>
                                  <w:vAlign w:val="bottom"/>
                                  <w:hideMark/>
                                </w:tcPr>
                                <w:p w14:paraId="3B21E53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000000" w:fill="EEECE1"/>
                                  <w:noWrap/>
                                  <w:vAlign w:val="bottom"/>
                                  <w:hideMark/>
                                </w:tcPr>
                                <w:p w14:paraId="1E62869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w:t>
                                  </w:r>
                                </w:p>
                              </w:tc>
                              <w:tc>
                                <w:tcPr>
                                  <w:tcW w:w="692" w:type="dxa"/>
                                  <w:tcBorders>
                                    <w:top w:val="nil"/>
                                    <w:left w:val="nil"/>
                                    <w:bottom w:val="nil"/>
                                    <w:right w:val="nil"/>
                                  </w:tcBorders>
                                  <w:shd w:val="clear" w:color="000000" w:fill="EEECE1"/>
                                  <w:noWrap/>
                                  <w:vAlign w:val="bottom"/>
                                  <w:hideMark/>
                                </w:tcPr>
                                <w:p w14:paraId="44D2C12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23.34</w:t>
                                  </w:r>
                                </w:p>
                              </w:tc>
                              <w:tc>
                                <w:tcPr>
                                  <w:tcW w:w="1104" w:type="dxa"/>
                                  <w:tcBorders>
                                    <w:top w:val="nil"/>
                                    <w:left w:val="nil"/>
                                    <w:bottom w:val="nil"/>
                                    <w:right w:val="nil"/>
                                  </w:tcBorders>
                                  <w:shd w:val="clear" w:color="000000" w:fill="EEECE1"/>
                                  <w:noWrap/>
                                  <w:vAlign w:val="bottom"/>
                                  <w:hideMark/>
                                </w:tcPr>
                                <w:p w14:paraId="64499F2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8.76</w:t>
                                  </w:r>
                                  <w:proofErr w:type="gramEnd"/>
                                  <w:r w:rsidRPr="00122306">
                                    <w:rPr>
                                      <w:rFonts w:ascii="Calibri" w:hAnsi="Calibri" w:cs="Times New Roman"/>
                                      <w:color w:val="000000"/>
                                      <w:sz w:val="18"/>
                                      <w:szCs w:val="18"/>
                                    </w:rPr>
                                    <w:t>-62.19)</w:t>
                                  </w:r>
                                </w:p>
                              </w:tc>
                              <w:tc>
                                <w:tcPr>
                                  <w:tcW w:w="196" w:type="dxa"/>
                                  <w:tcBorders>
                                    <w:top w:val="nil"/>
                                    <w:left w:val="nil"/>
                                    <w:bottom w:val="nil"/>
                                    <w:right w:val="nil"/>
                                  </w:tcBorders>
                                  <w:shd w:val="clear" w:color="000000" w:fill="EEECE1"/>
                                  <w:noWrap/>
                                  <w:vAlign w:val="bottom"/>
                                  <w:hideMark/>
                                </w:tcPr>
                                <w:p w14:paraId="776BAA2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786AA3B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692" w:type="dxa"/>
                                  <w:tcBorders>
                                    <w:top w:val="nil"/>
                                    <w:left w:val="nil"/>
                                    <w:bottom w:val="nil"/>
                                    <w:right w:val="nil"/>
                                  </w:tcBorders>
                                  <w:shd w:val="clear" w:color="000000" w:fill="EEECE1"/>
                                  <w:noWrap/>
                                  <w:vAlign w:val="bottom"/>
                                  <w:hideMark/>
                                </w:tcPr>
                                <w:p w14:paraId="2E172A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10.44</w:t>
                                  </w:r>
                                </w:p>
                              </w:tc>
                              <w:tc>
                                <w:tcPr>
                                  <w:tcW w:w="1104" w:type="dxa"/>
                                  <w:tcBorders>
                                    <w:top w:val="nil"/>
                                    <w:left w:val="nil"/>
                                    <w:bottom w:val="nil"/>
                                    <w:right w:val="nil"/>
                                  </w:tcBorders>
                                  <w:shd w:val="clear" w:color="000000" w:fill="EEECE1"/>
                                  <w:noWrap/>
                                  <w:vAlign w:val="bottom"/>
                                  <w:hideMark/>
                                </w:tcPr>
                                <w:p w14:paraId="49B3145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2.61</w:t>
                                  </w:r>
                                  <w:proofErr w:type="gramEnd"/>
                                  <w:r w:rsidRPr="00122306">
                                    <w:rPr>
                                      <w:rFonts w:ascii="Calibri" w:hAnsi="Calibri" w:cs="Times New Roman"/>
                                      <w:color w:val="000000"/>
                                      <w:sz w:val="18"/>
                                      <w:szCs w:val="18"/>
                                    </w:rPr>
                                    <w:t>-41-73)</w:t>
                                  </w:r>
                                </w:p>
                              </w:tc>
                              <w:tc>
                                <w:tcPr>
                                  <w:tcW w:w="196" w:type="dxa"/>
                                  <w:tcBorders>
                                    <w:top w:val="nil"/>
                                    <w:left w:val="nil"/>
                                    <w:bottom w:val="nil"/>
                                    <w:right w:val="nil"/>
                                  </w:tcBorders>
                                  <w:shd w:val="clear" w:color="000000" w:fill="EEECE1"/>
                                  <w:noWrap/>
                                  <w:vAlign w:val="bottom"/>
                                  <w:hideMark/>
                                </w:tcPr>
                                <w:p w14:paraId="762065B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53EAC69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w:t>
                                  </w:r>
                                </w:p>
                              </w:tc>
                              <w:tc>
                                <w:tcPr>
                                  <w:tcW w:w="692" w:type="dxa"/>
                                  <w:tcBorders>
                                    <w:top w:val="nil"/>
                                    <w:left w:val="nil"/>
                                    <w:bottom w:val="nil"/>
                                    <w:right w:val="nil"/>
                                  </w:tcBorders>
                                  <w:shd w:val="clear" w:color="000000" w:fill="EEECE1"/>
                                  <w:noWrap/>
                                  <w:vAlign w:val="bottom"/>
                                  <w:hideMark/>
                                </w:tcPr>
                                <w:p w14:paraId="70D26A9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35.01</w:t>
                                  </w:r>
                                </w:p>
                              </w:tc>
                              <w:tc>
                                <w:tcPr>
                                  <w:tcW w:w="1104" w:type="dxa"/>
                                  <w:tcBorders>
                                    <w:top w:val="nil"/>
                                    <w:left w:val="nil"/>
                                    <w:bottom w:val="nil"/>
                                    <w:right w:val="single" w:sz="8" w:space="0" w:color="auto"/>
                                  </w:tcBorders>
                                  <w:shd w:val="clear" w:color="000000" w:fill="EEECE1"/>
                                  <w:noWrap/>
                                  <w:vAlign w:val="bottom"/>
                                  <w:hideMark/>
                                </w:tcPr>
                                <w:p w14:paraId="5350493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15.73</w:t>
                                  </w:r>
                                  <w:proofErr w:type="gramEnd"/>
                                  <w:r w:rsidRPr="00122306">
                                    <w:rPr>
                                      <w:rFonts w:ascii="Calibri" w:hAnsi="Calibri" w:cs="Times New Roman"/>
                                      <w:color w:val="000000"/>
                                      <w:sz w:val="18"/>
                                      <w:szCs w:val="18"/>
                                    </w:rPr>
                                    <w:t>-77.93)</w:t>
                                  </w:r>
                                </w:p>
                              </w:tc>
                            </w:tr>
                            <w:tr w:rsidR="00AD312A" w:rsidRPr="00122306" w14:paraId="1154FFDD" w14:textId="77777777" w:rsidTr="006143D9">
                              <w:trPr>
                                <w:trHeight w:val="299"/>
                              </w:trPr>
                              <w:tc>
                                <w:tcPr>
                                  <w:tcW w:w="843" w:type="dxa"/>
                                  <w:tcBorders>
                                    <w:top w:val="nil"/>
                                    <w:left w:val="single" w:sz="8" w:space="0" w:color="auto"/>
                                    <w:bottom w:val="single" w:sz="4" w:space="0" w:color="auto"/>
                                    <w:right w:val="nil"/>
                                  </w:tcBorders>
                                  <w:shd w:val="clear" w:color="000000" w:fill="EEECE1"/>
                                  <w:noWrap/>
                                  <w:vAlign w:val="bottom"/>
                                  <w:hideMark/>
                                </w:tcPr>
                                <w:p w14:paraId="1ED3B10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single" w:sz="4" w:space="0" w:color="auto"/>
                                    <w:right w:val="nil"/>
                                  </w:tcBorders>
                                  <w:shd w:val="clear" w:color="000000" w:fill="EEECE1"/>
                                  <w:noWrap/>
                                  <w:vAlign w:val="bottom"/>
                                  <w:hideMark/>
                                </w:tcPr>
                                <w:p w14:paraId="3A3A1A1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000000" w:fill="EEECE1"/>
                                  <w:noWrap/>
                                  <w:vAlign w:val="bottom"/>
                                  <w:hideMark/>
                                </w:tcPr>
                                <w:p w14:paraId="62082DC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692" w:type="dxa"/>
                                  <w:tcBorders>
                                    <w:top w:val="nil"/>
                                    <w:left w:val="nil"/>
                                    <w:bottom w:val="single" w:sz="4" w:space="0" w:color="auto"/>
                                    <w:right w:val="nil"/>
                                  </w:tcBorders>
                                  <w:shd w:val="clear" w:color="000000" w:fill="EEECE1"/>
                                  <w:noWrap/>
                                  <w:vAlign w:val="bottom"/>
                                  <w:hideMark/>
                                </w:tcPr>
                                <w:p w14:paraId="6ED0754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53.00</w:t>
                                  </w:r>
                                </w:p>
                              </w:tc>
                              <w:tc>
                                <w:tcPr>
                                  <w:tcW w:w="1104" w:type="dxa"/>
                                  <w:tcBorders>
                                    <w:top w:val="nil"/>
                                    <w:left w:val="nil"/>
                                    <w:bottom w:val="single" w:sz="4" w:space="0" w:color="auto"/>
                                    <w:right w:val="nil"/>
                                  </w:tcBorders>
                                  <w:shd w:val="clear" w:color="000000" w:fill="EEECE1"/>
                                  <w:noWrap/>
                                  <w:vAlign w:val="bottom"/>
                                  <w:hideMark/>
                                </w:tcPr>
                                <w:p w14:paraId="4E2FB35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(7.47-380.00)</w:t>
                                  </w:r>
                                </w:p>
                              </w:tc>
                              <w:tc>
                                <w:tcPr>
                                  <w:tcW w:w="196" w:type="dxa"/>
                                  <w:tcBorders>
                                    <w:top w:val="nil"/>
                                    <w:left w:val="nil"/>
                                    <w:bottom w:val="single" w:sz="4" w:space="0" w:color="auto"/>
                                    <w:right w:val="nil"/>
                                  </w:tcBorders>
                                  <w:shd w:val="clear" w:color="000000" w:fill="EEECE1"/>
                                  <w:noWrap/>
                                  <w:vAlign w:val="bottom"/>
                                  <w:hideMark/>
                                </w:tcPr>
                                <w:p w14:paraId="16FF808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62F15FF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692" w:type="dxa"/>
                                  <w:tcBorders>
                                    <w:top w:val="nil"/>
                                    <w:left w:val="nil"/>
                                    <w:bottom w:val="single" w:sz="4" w:space="0" w:color="auto"/>
                                    <w:right w:val="nil"/>
                                  </w:tcBorders>
                                  <w:shd w:val="clear" w:color="000000" w:fill="EEECE1"/>
                                  <w:noWrap/>
                                  <w:vAlign w:val="bottom"/>
                                  <w:hideMark/>
                                </w:tcPr>
                                <w:p w14:paraId="60FAE8F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52.22</w:t>
                                  </w:r>
                                </w:p>
                              </w:tc>
                              <w:tc>
                                <w:tcPr>
                                  <w:tcW w:w="1104" w:type="dxa"/>
                                  <w:tcBorders>
                                    <w:top w:val="nil"/>
                                    <w:left w:val="nil"/>
                                    <w:bottom w:val="single" w:sz="4" w:space="0" w:color="auto"/>
                                    <w:right w:val="nil"/>
                                  </w:tcBorders>
                                  <w:shd w:val="clear" w:color="000000" w:fill="EEECE1"/>
                                  <w:noWrap/>
                                  <w:vAlign w:val="bottom"/>
                                  <w:hideMark/>
                                </w:tcPr>
                                <w:p w14:paraId="14C8E11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(7.36-370.71)</w:t>
                                  </w:r>
                                </w:p>
                              </w:tc>
                              <w:tc>
                                <w:tcPr>
                                  <w:tcW w:w="196" w:type="dxa"/>
                                  <w:tcBorders>
                                    <w:top w:val="nil"/>
                                    <w:left w:val="nil"/>
                                    <w:bottom w:val="single" w:sz="4" w:space="0" w:color="auto"/>
                                    <w:right w:val="nil"/>
                                  </w:tcBorders>
                                  <w:shd w:val="clear" w:color="000000" w:fill="EEECE1"/>
                                  <w:noWrap/>
                                  <w:vAlign w:val="bottom"/>
                                  <w:hideMark/>
                                </w:tcPr>
                                <w:p w14:paraId="7971000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7F1A2AD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692" w:type="dxa"/>
                                  <w:tcBorders>
                                    <w:top w:val="nil"/>
                                    <w:left w:val="nil"/>
                                    <w:bottom w:val="single" w:sz="4" w:space="0" w:color="auto"/>
                                    <w:right w:val="nil"/>
                                  </w:tcBorders>
                                  <w:shd w:val="clear" w:color="000000" w:fill="EEECE1"/>
                                  <w:noWrap/>
                                  <w:vAlign w:val="bottom"/>
                                  <w:hideMark/>
                                </w:tcPr>
                                <w:p w14:paraId="29EA32F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105.99</w:t>
                                  </w:r>
                                </w:p>
                              </w:tc>
                              <w:tc>
                                <w:tcPr>
                                  <w:tcW w:w="1104" w:type="dxa"/>
                                  <w:tcBorders>
                                    <w:top w:val="nil"/>
                                    <w:left w:val="nil"/>
                                    <w:bottom w:val="single" w:sz="4" w:space="0" w:color="auto"/>
                                    <w:right w:val="single" w:sz="8" w:space="0" w:color="auto"/>
                                  </w:tcBorders>
                                  <w:shd w:val="clear" w:color="000000" w:fill="EEECE1"/>
                                  <w:noWrap/>
                                  <w:vAlign w:val="bottom"/>
                                  <w:hideMark/>
                                </w:tcPr>
                                <w:p w14:paraId="18B2759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(26.51-423.80)</w:t>
                                  </w:r>
                                </w:p>
                              </w:tc>
                            </w:tr>
                            <w:tr w:rsidR="00AD312A" w:rsidRPr="00122306" w14:paraId="217B11EC"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04E8800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nil"/>
                                    <w:right w:val="nil"/>
                                  </w:tcBorders>
                                  <w:shd w:val="clear" w:color="auto" w:fill="auto"/>
                                  <w:noWrap/>
                                  <w:vAlign w:val="bottom"/>
                                  <w:hideMark/>
                                </w:tcPr>
                                <w:p w14:paraId="66835B1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auto" w:fill="auto"/>
                                  <w:noWrap/>
                                  <w:vAlign w:val="bottom"/>
                                  <w:hideMark/>
                                </w:tcPr>
                                <w:p w14:paraId="584B3C9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112</w:t>
                                  </w:r>
                                </w:p>
                              </w:tc>
                              <w:tc>
                                <w:tcPr>
                                  <w:tcW w:w="692" w:type="dxa"/>
                                  <w:tcBorders>
                                    <w:top w:val="nil"/>
                                    <w:left w:val="nil"/>
                                    <w:bottom w:val="nil"/>
                                    <w:right w:val="nil"/>
                                  </w:tcBorders>
                                  <w:shd w:val="clear" w:color="auto" w:fill="auto"/>
                                  <w:noWrap/>
                                  <w:vAlign w:val="bottom"/>
                                  <w:hideMark/>
                                </w:tcPr>
                                <w:p w14:paraId="595FD9D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3.04</w:t>
                                  </w:r>
                                </w:p>
                              </w:tc>
                              <w:tc>
                                <w:tcPr>
                                  <w:tcW w:w="1104" w:type="dxa"/>
                                  <w:tcBorders>
                                    <w:top w:val="nil"/>
                                    <w:left w:val="nil"/>
                                    <w:bottom w:val="nil"/>
                                    <w:right w:val="nil"/>
                                  </w:tcBorders>
                                  <w:shd w:val="clear" w:color="auto" w:fill="auto"/>
                                  <w:noWrap/>
                                  <w:vAlign w:val="bottom"/>
                                  <w:hideMark/>
                                </w:tcPr>
                                <w:p w14:paraId="4D34483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(2.53-3.66)</w:t>
                                  </w:r>
                                </w:p>
                              </w:tc>
                              <w:tc>
                                <w:tcPr>
                                  <w:tcW w:w="196" w:type="dxa"/>
                                  <w:tcBorders>
                                    <w:top w:val="nil"/>
                                    <w:left w:val="nil"/>
                                    <w:bottom w:val="nil"/>
                                    <w:right w:val="nil"/>
                                  </w:tcBorders>
                                  <w:shd w:val="clear" w:color="auto" w:fill="auto"/>
                                  <w:noWrap/>
                                  <w:vAlign w:val="bottom"/>
                                  <w:hideMark/>
                                </w:tcPr>
                                <w:p w14:paraId="69C4757F"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0DC767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294</w:t>
                                  </w:r>
                                </w:p>
                              </w:tc>
                              <w:tc>
                                <w:tcPr>
                                  <w:tcW w:w="692" w:type="dxa"/>
                                  <w:tcBorders>
                                    <w:top w:val="nil"/>
                                    <w:left w:val="nil"/>
                                    <w:bottom w:val="nil"/>
                                    <w:right w:val="nil"/>
                                  </w:tcBorders>
                                  <w:shd w:val="clear" w:color="auto" w:fill="auto"/>
                                  <w:noWrap/>
                                  <w:vAlign w:val="bottom"/>
                                  <w:hideMark/>
                                </w:tcPr>
                                <w:p w14:paraId="14B940DF"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7.89</w:t>
                                  </w:r>
                                  <w:proofErr w:type="gramEnd"/>
                                </w:p>
                              </w:tc>
                              <w:tc>
                                <w:tcPr>
                                  <w:tcW w:w="1104" w:type="dxa"/>
                                  <w:tcBorders>
                                    <w:top w:val="nil"/>
                                    <w:left w:val="nil"/>
                                    <w:bottom w:val="nil"/>
                                    <w:right w:val="nil"/>
                                  </w:tcBorders>
                                  <w:shd w:val="clear" w:color="auto" w:fill="auto"/>
                                  <w:noWrap/>
                                  <w:vAlign w:val="bottom"/>
                                  <w:hideMark/>
                                </w:tcPr>
                                <w:p w14:paraId="21FA60B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(7.04-8.84)</w:t>
                                  </w:r>
                                </w:p>
                              </w:tc>
                              <w:tc>
                                <w:tcPr>
                                  <w:tcW w:w="196" w:type="dxa"/>
                                  <w:tcBorders>
                                    <w:top w:val="nil"/>
                                    <w:left w:val="nil"/>
                                    <w:bottom w:val="nil"/>
                                    <w:right w:val="nil"/>
                                  </w:tcBorders>
                                  <w:shd w:val="clear" w:color="auto" w:fill="auto"/>
                                  <w:noWrap/>
                                  <w:vAlign w:val="bottom"/>
                                  <w:hideMark/>
                                </w:tcPr>
                                <w:p w14:paraId="1D5DEF34"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7AE6EB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389</w:t>
                                  </w:r>
                                </w:p>
                              </w:tc>
                              <w:tc>
                                <w:tcPr>
                                  <w:tcW w:w="692" w:type="dxa"/>
                                  <w:tcBorders>
                                    <w:top w:val="nil"/>
                                    <w:left w:val="nil"/>
                                    <w:bottom w:val="nil"/>
                                    <w:right w:val="nil"/>
                                  </w:tcBorders>
                                  <w:shd w:val="clear" w:color="auto" w:fill="auto"/>
                                  <w:noWrap/>
                                  <w:vAlign w:val="bottom"/>
                                  <w:hideMark/>
                                </w:tcPr>
                                <w:p w14:paraId="39DB222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10.56</w:t>
                                  </w:r>
                                </w:p>
                              </w:tc>
                              <w:tc>
                                <w:tcPr>
                                  <w:tcW w:w="1104" w:type="dxa"/>
                                  <w:tcBorders>
                                    <w:top w:val="nil"/>
                                    <w:left w:val="nil"/>
                                    <w:bottom w:val="nil"/>
                                    <w:right w:val="single" w:sz="8" w:space="0" w:color="auto"/>
                                  </w:tcBorders>
                                  <w:shd w:val="clear" w:color="auto" w:fill="auto"/>
                                  <w:noWrap/>
                                  <w:vAlign w:val="bottom"/>
                                  <w:hideMark/>
                                </w:tcPr>
                                <w:p w14:paraId="26B8FAD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(9.56-11.66)</w:t>
                                  </w:r>
                                </w:p>
                              </w:tc>
                            </w:tr>
                            <w:tr w:rsidR="00AD312A" w:rsidRPr="00122306" w14:paraId="516960FC"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096B571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nil"/>
                                    <w:right w:val="nil"/>
                                  </w:tcBorders>
                                  <w:shd w:val="clear" w:color="auto" w:fill="auto"/>
                                  <w:noWrap/>
                                  <w:vAlign w:val="bottom"/>
                                  <w:hideMark/>
                                </w:tcPr>
                                <w:p w14:paraId="75F8C45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auto" w:fill="auto"/>
                                  <w:noWrap/>
                                  <w:vAlign w:val="bottom"/>
                                  <w:hideMark/>
                                </w:tcPr>
                                <w:p w14:paraId="639196F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37</w:t>
                                  </w:r>
                                </w:p>
                              </w:tc>
                              <w:tc>
                                <w:tcPr>
                                  <w:tcW w:w="692" w:type="dxa"/>
                                  <w:tcBorders>
                                    <w:top w:val="nil"/>
                                    <w:left w:val="nil"/>
                                    <w:bottom w:val="nil"/>
                                    <w:right w:val="nil"/>
                                  </w:tcBorders>
                                  <w:shd w:val="clear" w:color="auto" w:fill="auto"/>
                                  <w:noWrap/>
                                  <w:vAlign w:val="bottom"/>
                                  <w:hideMark/>
                                </w:tcPr>
                                <w:p w14:paraId="6359A60C"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7.79</w:t>
                                  </w:r>
                                  <w:proofErr w:type="gramEnd"/>
                                </w:p>
                              </w:tc>
                              <w:tc>
                                <w:tcPr>
                                  <w:tcW w:w="1104" w:type="dxa"/>
                                  <w:tcBorders>
                                    <w:top w:val="nil"/>
                                    <w:left w:val="nil"/>
                                    <w:bottom w:val="nil"/>
                                    <w:right w:val="nil"/>
                                  </w:tcBorders>
                                  <w:shd w:val="clear" w:color="auto" w:fill="auto"/>
                                  <w:noWrap/>
                                  <w:vAlign w:val="bottom"/>
                                  <w:hideMark/>
                                </w:tcPr>
                                <w:p w14:paraId="0144012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5.64</w:t>
                                  </w:r>
                                  <w:proofErr w:type="gramEnd"/>
                                  <w:r w:rsidRPr="00122306">
                                    <w:rPr>
                                      <w:rFonts w:ascii="Calibri" w:hAnsi="Calibri" w:cs="Times New Roman"/>
                                      <w:color w:val="000000"/>
                                      <w:sz w:val="18"/>
                                      <w:szCs w:val="18"/>
                                    </w:rPr>
                                    <w:t>-10.74)</w:t>
                                  </w:r>
                                </w:p>
                              </w:tc>
                              <w:tc>
                                <w:tcPr>
                                  <w:tcW w:w="196" w:type="dxa"/>
                                  <w:tcBorders>
                                    <w:top w:val="nil"/>
                                    <w:left w:val="nil"/>
                                    <w:bottom w:val="nil"/>
                                    <w:right w:val="nil"/>
                                  </w:tcBorders>
                                  <w:shd w:val="clear" w:color="auto" w:fill="auto"/>
                                  <w:noWrap/>
                                  <w:vAlign w:val="bottom"/>
                                  <w:hideMark/>
                                </w:tcPr>
                                <w:p w14:paraId="28ED63D4"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61B7F0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118</w:t>
                                  </w:r>
                                </w:p>
                              </w:tc>
                              <w:tc>
                                <w:tcPr>
                                  <w:tcW w:w="692" w:type="dxa"/>
                                  <w:tcBorders>
                                    <w:top w:val="nil"/>
                                    <w:left w:val="nil"/>
                                    <w:bottom w:val="nil"/>
                                    <w:right w:val="nil"/>
                                  </w:tcBorders>
                                  <w:shd w:val="clear" w:color="auto" w:fill="auto"/>
                                  <w:noWrap/>
                                  <w:vAlign w:val="bottom"/>
                                  <w:hideMark/>
                                </w:tcPr>
                                <w:p w14:paraId="57E4172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24.02</w:t>
                                  </w:r>
                                </w:p>
                              </w:tc>
                              <w:tc>
                                <w:tcPr>
                                  <w:tcW w:w="1104" w:type="dxa"/>
                                  <w:tcBorders>
                                    <w:top w:val="nil"/>
                                    <w:left w:val="nil"/>
                                    <w:bottom w:val="nil"/>
                                    <w:right w:val="nil"/>
                                  </w:tcBorders>
                                  <w:shd w:val="clear" w:color="auto" w:fill="auto"/>
                                  <w:noWrap/>
                                  <w:vAlign w:val="bottom"/>
                                  <w:hideMark/>
                                </w:tcPr>
                                <w:p w14:paraId="6459F85B"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(20.05-</w:t>
                                  </w:r>
                                  <w:proofErr w:type="gramStart"/>
                                  <w:r w:rsidRPr="00122306">
                                    <w:rPr>
                                      <w:rFonts w:ascii="Calibri" w:hAnsi="Calibri" w:cs="Times New Roman"/>
                                      <w:color w:val="000000"/>
                                      <w:sz w:val="18"/>
                                      <w:szCs w:val="18"/>
                                    </w:rPr>
                                    <w:t>28.77</w:t>
                                  </w:r>
                                  <w:proofErr w:type="gramEnd"/>
                                  <w:r w:rsidRPr="00122306">
                                    <w:rPr>
                                      <w:rFonts w:ascii="Calibri" w:hAnsi="Calibri" w:cs="Times New Roman"/>
                                      <w:color w:val="000000"/>
                                      <w:sz w:val="18"/>
                                      <w:szCs w:val="18"/>
                                    </w:rPr>
                                    <w:t>)</w:t>
                                  </w:r>
                                </w:p>
                              </w:tc>
                              <w:tc>
                                <w:tcPr>
                                  <w:tcW w:w="196" w:type="dxa"/>
                                  <w:tcBorders>
                                    <w:top w:val="nil"/>
                                    <w:left w:val="nil"/>
                                    <w:bottom w:val="nil"/>
                                    <w:right w:val="nil"/>
                                  </w:tcBorders>
                                  <w:shd w:val="clear" w:color="auto" w:fill="auto"/>
                                  <w:noWrap/>
                                  <w:vAlign w:val="bottom"/>
                                  <w:hideMark/>
                                </w:tcPr>
                                <w:p w14:paraId="6A99A12F"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22C9780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151</w:t>
                                  </w:r>
                                </w:p>
                              </w:tc>
                              <w:tc>
                                <w:tcPr>
                                  <w:tcW w:w="692" w:type="dxa"/>
                                  <w:tcBorders>
                                    <w:top w:val="nil"/>
                                    <w:left w:val="nil"/>
                                    <w:bottom w:val="nil"/>
                                    <w:right w:val="nil"/>
                                  </w:tcBorders>
                                  <w:shd w:val="clear" w:color="auto" w:fill="auto"/>
                                  <w:noWrap/>
                                  <w:vAlign w:val="bottom"/>
                                  <w:hideMark/>
                                </w:tcPr>
                                <w:p w14:paraId="260E1988"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31.77</w:t>
                                  </w:r>
                                  <w:proofErr w:type="gramEnd"/>
                                </w:p>
                              </w:tc>
                              <w:tc>
                                <w:tcPr>
                                  <w:tcW w:w="1104" w:type="dxa"/>
                                  <w:tcBorders>
                                    <w:top w:val="nil"/>
                                    <w:left w:val="nil"/>
                                    <w:bottom w:val="nil"/>
                                    <w:right w:val="single" w:sz="8" w:space="0" w:color="auto"/>
                                  </w:tcBorders>
                                  <w:shd w:val="clear" w:color="auto" w:fill="auto"/>
                                  <w:noWrap/>
                                  <w:vAlign w:val="bottom"/>
                                  <w:hideMark/>
                                </w:tcPr>
                                <w:p w14:paraId="05F6355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(27.09-37.27)</w:t>
                                  </w:r>
                                </w:p>
                              </w:tc>
                            </w:tr>
                            <w:tr w:rsidR="00AD312A" w:rsidRPr="00122306" w14:paraId="4E2932E5"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52BA929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nil"/>
                                    <w:right w:val="nil"/>
                                  </w:tcBorders>
                                  <w:shd w:val="clear" w:color="auto" w:fill="auto"/>
                                  <w:noWrap/>
                                  <w:vAlign w:val="bottom"/>
                                  <w:hideMark/>
                                </w:tcPr>
                                <w:p w14:paraId="5A968C0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auto" w:fill="auto"/>
                                  <w:noWrap/>
                                  <w:vAlign w:val="bottom"/>
                                  <w:hideMark/>
                                </w:tcPr>
                                <w:p w14:paraId="5C8725A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70</w:t>
                                  </w:r>
                                </w:p>
                              </w:tc>
                              <w:tc>
                                <w:tcPr>
                                  <w:tcW w:w="692" w:type="dxa"/>
                                  <w:tcBorders>
                                    <w:top w:val="nil"/>
                                    <w:left w:val="nil"/>
                                    <w:bottom w:val="nil"/>
                                    <w:right w:val="nil"/>
                                  </w:tcBorders>
                                  <w:shd w:val="clear" w:color="auto" w:fill="auto"/>
                                  <w:noWrap/>
                                  <w:vAlign w:val="bottom"/>
                                  <w:hideMark/>
                                </w:tcPr>
                                <w:p w14:paraId="47BCAFE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47.71</w:t>
                                  </w:r>
                                </w:p>
                              </w:tc>
                              <w:tc>
                                <w:tcPr>
                                  <w:tcW w:w="1104" w:type="dxa"/>
                                  <w:tcBorders>
                                    <w:top w:val="nil"/>
                                    <w:left w:val="nil"/>
                                    <w:bottom w:val="nil"/>
                                    <w:right w:val="nil"/>
                                  </w:tcBorders>
                                  <w:shd w:val="clear" w:color="auto" w:fill="auto"/>
                                  <w:noWrap/>
                                  <w:vAlign w:val="bottom"/>
                                  <w:hideMark/>
                                </w:tcPr>
                                <w:p w14:paraId="2CB596F3"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(37.75-60.31)</w:t>
                                  </w:r>
                                </w:p>
                              </w:tc>
                              <w:tc>
                                <w:tcPr>
                                  <w:tcW w:w="196" w:type="dxa"/>
                                  <w:tcBorders>
                                    <w:top w:val="nil"/>
                                    <w:left w:val="nil"/>
                                    <w:bottom w:val="nil"/>
                                    <w:right w:val="nil"/>
                                  </w:tcBorders>
                                  <w:shd w:val="clear" w:color="auto" w:fill="auto"/>
                                  <w:noWrap/>
                                  <w:vAlign w:val="bottom"/>
                                  <w:hideMark/>
                                </w:tcPr>
                                <w:p w14:paraId="4D6CB42E"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5E4922A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66</w:t>
                                  </w:r>
                                </w:p>
                              </w:tc>
                              <w:tc>
                                <w:tcPr>
                                  <w:tcW w:w="692" w:type="dxa"/>
                                  <w:tcBorders>
                                    <w:top w:val="nil"/>
                                    <w:left w:val="nil"/>
                                    <w:bottom w:val="nil"/>
                                    <w:right w:val="nil"/>
                                  </w:tcBorders>
                                  <w:shd w:val="clear" w:color="auto" w:fill="auto"/>
                                  <w:noWrap/>
                                  <w:vAlign w:val="bottom"/>
                                  <w:hideMark/>
                                </w:tcPr>
                                <w:p w14:paraId="36C22CC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37.76</w:t>
                                  </w:r>
                                </w:p>
                              </w:tc>
                              <w:tc>
                                <w:tcPr>
                                  <w:tcW w:w="1104" w:type="dxa"/>
                                  <w:tcBorders>
                                    <w:top w:val="nil"/>
                                    <w:left w:val="nil"/>
                                    <w:bottom w:val="nil"/>
                                    <w:right w:val="nil"/>
                                  </w:tcBorders>
                                  <w:shd w:val="clear" w:color="auto" w:fill="auto"/>
                                  <w:noWrap/>
                                  <w:vAlign w:val="bottom"/>
                                  <w:hideMark/>
                                </w:tcPr>
                                <w:p w14:paraId="523C307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29.66</w:t>
                                  </w:r>
                                  <w:proofErr w:type="gramEnd"/>
                                  <w:r w:rsidRPr="00122306">
                                    <w:rPr>
                                      <w:rFonts w:ascii="Calibri" w:hAnsi="Calibri" w:cs="Times New Roman"/>
                                      <w:color w:val="000000"/>
                                      <w:sz w:val="18"/>
                                      <w:szCs w:val="18"/>
                                    </w:rPr>
                                    <w:t>-48.06)</w:t>
                                  </w:r>
                                </w:p>
                              </w:tc>
                              <w:tc>
                                <w:tcPr>
                                  <w:tcW w:w="196" w:type="dxa"/>
                                  <w:tcBorders>
                                    <w:top w:val="nil"/>
                                    <w:left w:val="nil"/>
                                    <w:bottom w:val="nil"/>
                                    <w:right w:val="nil"/>
                                  </w:tcBorders>
                                  <w:shd w:val="clear" w:color="auto" w:fill="auto"/>
                                  <w:noWrap/>
                                  <w:vAlign w:val="bottom"/>
                                  <w:hideMark/>
                                </w:tcPr>
                                <w:p w14:paraId="6A1C608E"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5DB1162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123</w:t>
                                  </w:r>
                                </w:p>
                              </w:tc>
                              <w:tc>
                                <w:tcPr>
                                  <w:tcW w:w="692" w:type="dxa"/>
                                  <w:tcBorders>
                                    <w:top w:val="nil"/>
                                    <w:left w:val="nil"/>
                                    <w:bottom w:val="nil"/>
                                    <w:right w:val="nil"/>
                                  </w:tcBorders>
                                  <w:shd w:val="clear" w:color="auto" w:fill="auto"/>
                                  <w:noWrap/>
                                  <w:vAlign w:val="bottom"/>
                                  <w:hideMark/>
                                </w:tcPr>
                                <w:p w14:paraId="6DACC07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83.84</w:t>
                                  </w:r>
                                </w:p>
                              </w:tc>
                              <w:tc>
                                <w:tcPr>
                                  <w:tcW w:w="1104" w:type="dxa"/>
                                  <w:tcBorders>
                                    <w:top w:val="nil"/>
                                    <w:left w:val="nil"/>
                                    <w:bottom w:val="nil"/>
                                    <w:right w:val="single" w:sz="8" w:space="0" w:color="auto"/>
                                  </w:tcBorders>
                                  <w:shd w:val="clear" w:color="auto" w:fill="auto"/>
                                  <w:noWrap/>
                                  <w:vAlign w:val="bottom"/>
                                  <w:hideMark/>
                                </w:tcPr>
                                <w:p w14:paraId="175FB82C"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(70.26-100.05)</w:t>
                                  </w:r>
                                </w:p>
                              </w:tc>
                            </w:tr>
                            <w:tr w:rsidR="00AD312A" w:rsidRPr="00122306" w14:paraId="66BC24F2" w14:textId="77777777" w:rsidTr="006143D9">
                              <w:trPr>
                                <w:trHeight w:val="299"/>
                              </w:trPr>
                              <w:tc>
                                <w:tcPr>
                                  <w:tcW w:w="843" w:type="dxa"/>
                                  <w:tcBorders>
                                    <w:top w:val="nil"/>
                                    <w:left w:val="single" w:sz="8" w:space="0" w:color="auto"/>
                                    <w:bottom w:val="single" w:sz="4" w:space="0" w:color="auto"/>
                                    <w:right w:val="nil"/>
                                  </w:tcBorders>
                                  <w:shd w:val="clear" w:color="auto" w:fill="auto"/>
                                  <w:noWrap/>
                                  <w:vAlign w:val="bottom"/>
                                  <w:hideMark/>
                                </w:tcPr>
                                <w:p w14:paraId="1D925CE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single" w:sz="4" w:space="0" w:color="auto"/>
                                    <w:right w:val="nil"/>
                                  </w:tcBorders>
                                  <w:shd w:val="clear" w:color="auto" w:fill="auto"/>
                                  <w:noWrap/>
                                  <w:vAlign w:val="bottom"/>
                                  <w:hideMark/>
                                </w:tcPr>
                                <w:p w14:paraId="1302B8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auto" w:fill="auto"/>
                                  <w:noWrap/>
                                  <w:vAlign w:val="bottom"/>
                                  <w:hideMark/>
                                </w:tcPr>
                                <w:p w14:paraId="6A59A6A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w:t>
                                  </w:r>
                                </w:p>
                              </w:tc>
                              <w:tc>
                                <w:tcPr>
                                  <w:tcW w:w="692" w:type="dxa"/>
                                  <w:tcBorders>
                                    <w:top w:val="nil"/>
                                    <w:left w:val="nil"/>
                                    <w:bottom w:val="single" w:sz="4" w:space="0" w:color="auto"/>
                                    <w:right w:val="nil"/>
                                  </w:tcBorders>
                                  <w:shd w:val="clear" w:color="auto" w:fill="auto"/>
                                  <w:noWrap/>
                                  <w:vAlign w:val="bottom"/>
                                  <w:hideMark/>
                                </w:tcPr>
                                <w:p w14:paraId="0C5C0A0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67.06</w:t>
                                  </w:r>
                                </w:p>
                              </w:tc>
                              <w:tc>
                                <w:tcPr>
                                  <w:tcW w:w="1104" w:type="dxa"/>
                                  <w:tcBorders>
                                    <w:top w:val="nil"/>
                                    <w:left w:val="nil"/>
                                    <w:bottom w:val="single" w:sz="4" w:space="0" w:color="auto"/>
                                    <w:right w:val="nil"/>
                                  </w:tcBorders>
                                  <w:shd w:val="clear" w:color="auto" w:fill="auto"/>
                                  <w:noWrap/>
                                  <w:vAlign w:val="bottom"/>
                                  <w:hideMark/>
                                </w:tcPr>
                                <w:p w14:paraId="41FA47F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(46.89-95.91)</w:t>
                                  </w:r>
                                </w:p>
                              </w:tc>
                              <w:tc>
                                <w:tcPr>
                                  <w:tcW w:w="196" w:type="dxa"/>
                                  <w:tcBorders>
                                    <w:top w:val="nil"/>
                                    <w:left w:val="nil"/>
                                    <w:bottom w:val="single" w:sz="4" w:space="0" w:color="auto"/>
                                    <w:right w:val="nil"/>
                                  </w:tcBorders>
                                  <w:shd w:val="clear" w:color="auto" w:fill="auto"/>
                                  <w:noWrap/>
                                  <w:vAlign w:val="bottom"/>
                                  <w:hideMark/>
                                </w:tcPr>
                                <w:p w14:paraId="39A7FE9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7CDEA63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34</w:t>
                                  </w:r>
                                </w:p>
                              </w:tc>
                              <w:tc>
                                <w:tcPr>
                                  <w:tcW w:w="692" w:type="dxa"/>
                                  <w:tcBorders>
                                    <w:top w:val="nil"/>
                                    <w:left w:val="nil"/>
                                    <w:bottom w:val="single" w:sz="4" w:space="0" w:color="auto"/>
                                    <w:right w:val="nil"/>
                                  </w:tcBorders>
                                  <w:shd w:val="clear" w:color="auto" w:fill="auto"/>
                                  <w:noWrap/>
                                  <w:vAlign w:val="bottom"/>
                                  <w:hideMark/>
                                </w:tcPr>
                                <w:p w14:paraId="049C8BF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60.61</w:t>
                                  </w:r>
                                </w:p>
                              </w:tc>
                              <w:tc>
                                <w:tcPr>
                                  <w:tcW w:w="1104" w:type="dxa"/>
                                  <w:tcBorders>
                                    <w:top w:val="nil"/>
                                    <w:left w:val="nil"/>
                                    <w:bottom w:val="single" w:sz="4" w:space="0" w:color="auto"/>
                                    <w:right w:val="nil"/>
                                  </w:tcBorders>
                                  <w:shd w:val="clear" w:color="auto" w:fill="auto"/>
                                  <w:noWrap/>
                                  <w:vAlign w:val="bottom"/>
                                  <w:hideMark/>
                                </w:tcPr>
                                <w:p w14:paraId="04B33F4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(43.31-84.83)</w:t>
                                  </w:r>
                                </w:p>
                              </w:tc>
                              <w:tc>
                                <w:tcPr>
                                  <w:tcW w:w="196" w:type="dxa"/>
                                  <w:tcBorders>
                                    <w:top w:val="nil"/>
                                    <w:left w:val="nil"/>
                                    <w:bottom w:val="single" w:sz="4" w:space="0" w:color="auto"/>
                                    <w:right w:val="nil"/>
                                  </w:tcBorders>
                                  <w:shd w:val="clear" w:color="auto" w:fill="auto"/>
                                  <w:noWrap/>
                                  <w:vAlign w:val="bottom"/>
                                  <w:hideMark/>
                                </w:tcPr>
                                <w:p w14:paraId="6B90575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1B74AEA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59</w:t>
                                  </w:r>
                                </w:p>
                              </w:tc>
                              <w:tc>
                                <w:tcPr>
                                  <w:tcW w:w="692" w:type="dxa"/>
                                  <w:tcBorders>
                                    <w:top w:val="nil"/>
                                    <w:left w:val="nil"/>
                                    <w:bottom w:val="single" w:sz="4" w:space="0" w:color="auto"/>
                                    <w:right w:val="nil"/>
                                  </w:tcBorders>
                                  <w:shd w:val="clear" w:color="auto" w:fill="auto"/>
                                  <w:noWrap/>
                                  <w:vAlign w:val="bottom"/>
                                  <w:hideMark/>
                                </w:tcPr>
                                <w:p w14:paraId="665D201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131.88</w:t>
                                  </w:r>
                                </w:p>
                              </w:tc>
                              <w:tc>
                                <w:tcPr>
                                  <w:tcW w:w="1104" w:type="dxa"/>
                                  <w:tcBorders>
                                    <w:top w:val="nil"/>
                                    <w:left w:val="nil"/>
                                    <w:bottom w:val="single" w:sz="4" w:space="0" w:color="auto"/>
                                    <w:right w:val="single" w:sz="8" w:space="0" w:color="auto"/>
                                  </w:tcBorders>
                                  <w:shd w:val="clear" w:color="auto" w:fill="auto"/>
                                  <w:noWrap/>
                                  <w:vAlign w:val="bottom"/>
                                  <w:hideMark/>
                                </w:tcPr>
                                <w:p w14:paraId="1DA53A5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(102.18-170.22)</w:t>
                                  </w:r>
                                </w:p>
                              </w:tc>
                            </w:tr>
                            <w:tr w:rsidR="00AD312A" w:rsidRPr="00122306" w14:paraId="17AC9508"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AE2561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nil"/>
                                    <w:right w:val="nil"/>
                                  </w:tcBorders>
                                  <w:shd w:val="clear" w:color="000000" w:fill="EEECE1"/>
                                  <w:noWrap/>
                                  <w:vAlign w:val="bottom"/>
                                  <w:hideMark/>
                                </w:tcPr>
                                <w:p w14:paraId="380DAC1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000000" w:fill="EEECE1"/>
                                  <w:noWrap/>
                                  <w:vAlign w:val="bottom"/>
                                  <w:hideMark/>
                                </w:tcPr>
                                <w:p w14:paraId="7F8EB76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959</w:t>
                                  </w:r>
                                </w:p>
                              </w:tc>
                              <w:tc>
                                <w:tcPr>
                                  <w:tcW w:w="692" w:type="dxa"/>
                                  <w:tcBorders>
                                    <w:top w:val="nil"/>
                                    <w:left w:val="nil"/>
                                    <w:bottom w:val="nil"/>
                                    <w:right w:val="nil"/>
                                  </w:tcBorders>
                                  <w:shd w:val="clear" w:color="000000" w:fill="EEECE1"/>
                                  <w:noWrap/>
                                  <w:vAlign w:val="bottom"/>
                                  <w:hideMark/>
                                </w:tcPr>
                                <w:p w14:paraId="211DEEB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8.51</w:t>
                                  </w:r>
                                </w:p>
                              </w:tc>
                              <w:tc>
                                <w:tcPr>
                                  <w:tcW w:w="1104" w:type="dxa"/>
                                  <w:tcBorders>
                                    <w:top w:val="nil"/>
                                    <w:left w:val="nil"/>
                                    <w:bottom w:val="nil"/>
                                    <w:right w:val="nil"/>
                                  </w:tcBorders>
                                  <w:shd w:val="clear" w:color="000000" w:fill="EEECE1"/>
                                  <w:noWrap/>
                                  <w:vAlign w:val="bottom"/>
                                  <w:hideMark/>
                                </w:tcPr>
                                <w:p w14:paraId="145B9A4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7.99</w:t>
                                  </w:r>
                                  <w:proofErr w:type="gramEnd"/>
                                  <w:r w:rsidRPr="00122306">
                                    <w:rPr>
                                      <w:rFonts w:ascii="Calibri" w:hAnsi="Calibri" w:cs="Times New Roman"/>
                                      <w:color w:val="000000"/>
                                      <w:sz w:val="18"/>
                                      <w:szCs w:val="18"/>
                                    </w:rPr>
                                    <w:t>-9.07)</w:t>
                                  </w:r>
                                </w:p>
                              </w:tc>
                              <w:tc>
                                <w:tcPr>
                                  <w:tcW w:w="196" w:type="dxa"/>
                                  <w:tcBorders>
                                    <w:top w:val="nil"/>
                                    <w:left w:val="nil"/>
                                    <w:bottom w:val="nil"/>
                                    <w:right w:val="nil"/>
                                  </w:tcBorders>
                                  <w:shd w:val="clear" w:color="000000" w:fill="EEECE1"/>
                                  <w:noWrap/>
                                  <w:vAlign w:val="bottom"/>
                                  <w:hideMark/>
                                </w:tcPr>
                                <w:p w14:paraId="193B622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63228E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2289</w:t>
                                  </w:r>
                                </w:p>
                              </w:tc>
                              <w:tc>
                                <w:tcPr>
                                  <w:tcW w:w="692" w:type="dxa"/>
                                  <w:tcBorders>
                                    <w:top w:val="nil"/>
                                    <w:left w:val="nil"/>
                                    <w:bottom w:val="nil"/>
                                    <w:right w:val="nil"/>
                                  </w:tcBorders>
                                  <w:shd w:val="clear" w:color="000000" w:fill="EEECE1"/>
                                  <w:noWrap/>
                                  <w:vAlign w:val="bottom"/>
                                  <w:hideMark/>
                                </w:tcPr>
                                <w:p w14:paraId="1D57BD26"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19.69</w:t>
                                  </w:r>
                                  <w:proofErr w:type="gramEnd"/>
                                </w:p>
                              </w:tc>
                              <w:tc>
                                <w:tcPr>
                                  <w:tcW w:w="1104" w:type="dxa"/>
                                  <w:tcBorders>
                                    <w:top w:val="nil"/>
                                    <w:left w:val="nil"/>
                                    <w:bottom w:val="nil"/>
                                    <w:right w:val="nil"/>
                                  </w:tcBorders>
                                  <w:shd w:val="clear" w:color="000000" w:fill="EEECE1"/>
                                  <w:noWrap/>
                                  <w:vAlign w:val="bottom"/>
                                  <w:hideMark/>
                                </w:tcPr>
                                <w:p w14:paraId="4A001A1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18.90</w:t>
                                  </w:r>
                                  <w:proofErr w:type="gramEnd"/>
                                  <w:r w:rsidRPr="00122306">
                                    <w:rPr>
                                      <w:rFonts w:ascii="Calibri" w:hAnsi="Calibri" w:cs="Times New Roman"/>
                                      <w:color w:val="000000"/>
                                      <w:sz w:val="18"/>
                                      <w:szCs w:val="18"/>
                                    </w:rPr>
                                    <w:t>-20.52)</w:t>
                                  </w:r>
                                </w:p>
                              </w:tc>
                              <w:tc>
                                <w:tcPr>
                                  <w:tcW w:w="196" w:type="dxa"/>
                                  <w:tcBorders>
                                    <w:top w:val="nil"/>
                                    <w:left w:val="nil"/>
                                    <w:bottom w:val="nil"/>
                                    <w:right w:val="nil"/>
                                  </w:tcBorders>
                                  <w:shd w:val="clear" w:color="000000" w:fill="EEECE1"/>
                                  <w:noWrap/>
                                  <w:vAlign w:val="bottom"/>
                                  <w:hideMark/>
                                </w:tcPr>
                                <w:p w14:paraId="00F6DD6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998462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3007</w:t>
                                  </w:r>
                                </w:p>
                              </w:tc>
                              <w:tc>
                                <w:tcPr>
                                  <w:tcW w:w="692" w:type="dxa"/>
                                  <w:tcBorders>
                                    <w:top w:val="nil"/>
                                    <w:left w:val="nil"/>
                                    <w:bottom w:val="nil"/>
                                    <w:right w:val="nil"/>
                                  </w:tcBorders>
                                  <w:shd w:val="clear" w:color="000000" w:fill="EEECE1"/>
                                  <w:noWrap/>
                                  <w:vAlign w:val="bottom"/>
                                  <w:hideMark/>
                                </w:tcPr>
                                <w:p w14:paraId="01C7430C"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26.69</w:t>
                                  </w:r>
                                  <w:proofErr w:type="gramEnd"/>
                                </w:p>
                              </w:tc>
                              <w:tc>
                                <w:tcPr>
                                  <w:tcW w:w="1104" w:type="dxa"/>
                                  <w:tcBorders>
                                    <w:top w:val="nil"/>
                                    <w:left w:val="nil"/>
                                    <w:bottom w:val="nil"/>
                                    <w:right w:val="single" w:sz="8" w:space="0" w:color="auto"/>
                                  </w:tcBorders>
                                  <w:shd w:val="clear" w:color="000000" w:fill="EEECE1"/>
                                  <w:noWrap/>
                                  <w:vAlign w:val="bottom"/>
                                  <w:hideMark/>
                                </w:tcPr>
                                <w:p w14:paraId="5463E74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25.76</w:t>
                                  </w:r>
                                  <w:proofErr w:type="gramEnd"/>
                                  <w:r w:rsidRPr="00122306">
                                    <w:rPr>
                                      <w:rFonts w:ascii="Calibri" w:hAnsi="Calibri" w:cs="Times New Roman"/>
                                      <w:color w:val="000000"/>
                                      <w:sz w:val="18"/>
                                      <w:szCs w:val="18"/>
                                    </w:rPr>
                                    <w:t>-27.66)</w:t>
                                  </w:r>
                                </w:p>
                              </w:tc>
                            </w:tr>
                            <w:tr w:rsidR="00AD312A" w:rsidRPr="00122306" w14:paraId="1B16E104"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2DE1AD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nil"/>
                                    <w:right w:val="nil"/>
                                  </w:tcBorders>
                                  <w:shd w:val="clear" w:color="000000" w:fill="EEECE1"/>
                                  <w:noWrap/>
                                  <w:vAlign w:val="bottom"/>
                                  <w:hideMark/>
                                </w:tcPr>
                                <w:p w14:paraId="2DB96AA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000000" w:fill="EEECE1"/>
                                  <w:noWrap/>
                                  <w:vAlign w:val="bottom"/>
                                  <w:hideMark/>
                                </w:tcPr>
                                <w:p w14:paraId="3D3D3E6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402</w:t>
                                  </w:r>
                                </w:p>
                              </w:tc>
                              <w:tc>
                                <w:tcPr>
                                  <w:tcW w:w="692" w:type="dxa"/>
                                  <w:tcBorders>
                                    <w:top w:val="nil"/>
                                    <w:left w:val="nil"/>
                                    <w:bottom w:val="nil"/>
                                    <w:right w:val="nil"/>
                                  </w:tcBorders>
                                  <w:shd w:val="clear" w:color="000000" w:fill="EEECE1"/>
                                  <w:noWrap/>
                                  <w:vAlign w:val="bottom"/>
                                  <w:hideMark/>
                                </w:tcPr>
                                <w:p w14:paraId="718F653B"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11.98</w:t>
                                  </w:r>
                                  <w:proofErr w:type="gramEnd"/>
                                </w:p>
                              </w:tc>
                              <w:tc>
                                <w:tcPr>
                                  <w:tcW w:w="1104" w:type="dxa"/>
                                  <w:tcBorders>
                                    <w:top w:val="nil"/>
                                    <w:left w:val="nil"/>
                                    <w:bottom w:val="nil"/>
                                    <w:right w:val="nil"/>
                                  </w:tcBorders>
                                  <w:shd w:val="clear" w:color="000000" w:fill="EEECE1"/>
                                  <w:noWrap/>
                                  <w:vAlign w:val="bottom"/>
                                  <w:hideMark/>
                                </w:tcPr>
                                <w:p w14:paraId="252B7FA5"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10.87</w:t>
                                  </w:r>
                                  <w:proofErr w:type="gramEnd"/>
                                  <w:r w:rsidRPr="00122306">
                                    <w:rPr>
                                      <w:rFonts w:ascii="Calibri" w:hAnsi="Calibri" w:cs="Times New Roman"/>
                                      <w:color w:val="000000"/>
                                      <w:sz w:val="18"/>
                                      <w:szCs w:val="18"/>
                                    </w:rPr>
                                    <w:t>-13.21)</w:t>
                                  </w:r>
                                </w:p>
                              </w:tc>
                              <w:tc>
                                <w:tcPr>
                                  <w:tcW w:w="196" w:type="dxa"/>
                                  <w:tcBorders>
                                    <w:top w:val="nil"/>
                                    <w:left w:val="nil"/>
                                    <w:bottom w:val="nil"/>
                                    <w:right w:val="nil"/>
                                  </w:tcBorders>
                                  <w:shd w:val="clear" w:color="000000" w:fill="EEECE1"/>
                                  <w:noWrap/>
                                  <w:vAlign w:val="bottom"/>
                                  <w:hideMark/>
                                </w:tcPr>
                                <w:p w14:paraId="10CCB67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88168D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1410</w:t>
                                  </w:r>
                                </w:p>
                              </w:tc>
                              <w:tc>
                                <w:tcPr>
                                  <w:tcW w:w="692" w:type="dxa"/>
                                  <w:tcBorders>
                                    <w:top w:val="nil"/>
                                    <w:left w:val="nil"/>
                                    <w:bottom w:val="nil"/>
                                    <w:right w:val="nil"/>
                                  </w:tcBorders>
                                  <w:shd w:val="clear" w:color="000000" w:fill="EEECE1"/>
                                  <w:noWrap/>
                                  <w:vAlign w:val="bottom"/>
                                  <w:hideMark/>
                                </w:tcPr>
                                <w:p w14:paraId="37A0105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40.34</w:t>
                                  </w:r>
                                </w:p>
                              </w:tc>
                              <w:tc>
                                <w:tcPr>
                                  <w:tcW w:w="1104" w:type="dxa"/>
                                  <w:tcBorders>
                                    <w:top w:val="nil"/>
                                    <w:left w:val="nil"/>
                                    <w:bottom w:val="nil"/>
                                    <w:right w:val="nil"/>
                                  </w:tcBorders>
                                  <w:shd w:val="clear" w:color="000000" w:fill="EEECE1"/>
                                  <w:noWrap/>
                                  <w:vAlign w:val="bottom"/>
                                  <w:hideMark/>
                                </w:tcPr>
                                <w:p w14:paraId="129FCCB3"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(38.29-42.50)</w:t>
                                  </w:r>
                                </w:p>
                              </w:tc>
                              <w:tc>
                                <w:tcPr>
                                  <w:tcW w:w="196" w:type="dxa"/>
                                  <w:tcBorders>
                                    <w:top w:val="nil"/>
                                    <w:left w:val="nil"/>
                                    <w:bottom w:val="nil"/>
                                    <w:right w:val="nil"/>
                                  </w:tcBorders>
                                  <w:shd w:val="clear" w:color="000000" w:fill="EEECE1"/>
                                  <w:noWrap/>
                                  <w:vAlign w:val="bottom"/>
                                  <w:hideMark/>
                                </w:tcPr>
                                <w:p w14:paraId="177CA28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2373008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1654</w:t>
                                  </w:r>
                                </w:p>
                              </w:tc>
                              <w:tc>
                                <w:tcPr>
                                  <w:tcW w:w="692" w:type="dxa"/>
                                  <w:tcBorders>
                                    <w:top w:val="nil"/>
                                    <w:left w:val="nil"/>
                                    <w:bottom w:val="nil"/>
                                    <w:right w:val="nil"/>
                                  </w:tcBorders>
                                  <w:shd w:val="clear" w:color="000000" w:fill="EEECE1"/>
                                  <w:noWrap/>
                                  <w:vAlign w:val="bottom"/>
                                  <w:hideMark/>
                                </w:tcPr>
                                <w:p w14:paraId="0DE8612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49.30</w:t>
                                  </w:r>
                                </w:p>
                              </w:tc>
                              <w:tc>
                                <w:tcPr>
                                  <w:tcW w:w="1104" w:type="dxa"/>
                                  <w:tcBorders>
                                    <w:top w:val="nil"/>
                                    <w:left w:val="nil"/>
                                    <w:bottom w:val="nil"/>
                                    <w:right w:val="single" w:sz="8" w:space="0" w:color="auto"/>
                                  </w:tcBorders>
                                  <w:shd w:val="clear" w:color="000000" w:fill="EEECE1"/>
                                  <w:noWrap/>
                                  <w:vAlign w:val="bottom"/>
                                  <w:hideMark/>
                                </w:tcPr>
                                <w:p w14:paraId="26E4301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(46.98-51.74)</w:t>
                                  </w:r>
                                </w:p>
                              </w:tc>
                            </w:tr>
                            <w:tr w:rsidR="00AD312A" w:rsidRPr="00122306" w14:paraId="0A0DF692"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7C3226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nil"/>
                                    <w:right w:val="nil"/>
                                  </w:tcBorders>
                                  <w:shd w:val="clear" w:color="000000" w:fill="EEECE1"/>
                                  <w:noWrap/>
                                  <w:vAlign w:val="bottom"/>
                                  <w:hideMark/>
                                </w:tcPr>
                                <w:p w14:paraId="740CB6D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000000" w:fill="EEECE1"/>
                                  <w:noWrap/>
                                  <w:vAlign w:val="bottom"/>
                                  <w:hideMark/>
                                </w:tcPr>
                                <w:p w14:paraId="26CF50F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636</w:t>
                                  </w:r>
                                </w:p>
                              </w:tc>
                              <w:tc>
                                <w:tcPr>
                                  <w:tcW w:w="692" w:type="dxa"/>
                                  <w:tcBorders>
                                    <w:top w:val="nil"/>
                                    <w:left w:val="nil"/>
                                    <w:bottom w:val="nil"/>
                                    <w:right w:val="nil"/>
                                  </w:tcBorders>
                                  <w:shd w:val="clear" w:color="000000" w:fill="EEECE1"/>
                                  <w:noWrap/>
                                  <w:vAlign w:val="bottom"/>
                                  <w:hideMark/>
                                </w:tcPr>
                                <w:p w14:paraId="7A62CF8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44.52</w:t>
                                  </w:r>
                                </w:p>
                              </w:tc>
                              <w:tc>
                                <w:tcPr>
                                  <w:tcW w:w="1104" w:type="dxa"/>
                                  <w:tcBorders>
                                    <w:top w:val="nil"/>
                                    <w:left w:val="nil"/>
                                    <w:bottom w:val="nil"/>
                                    <w:right w:val="nil"/>
                                  </w:tcBorders>
                                  <w:shd w:val="clear" w:color="000000" w:fill="EEECE1"/>
                                  <w:noWrap/>
                                  <w:vAlign w:val="bottom"/>
                                  <w:hideMark/>
                                </w:tcPr>
                                <w:p w14:paraId="3BC145A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(41.19-48.12)</w:t>
                                  </w:r>
                                </w:p>
                              </w:tc>
                              <w:tc>
                                <w:tcPr>
                                  <w:tcW w:w="196" w:type="dxa"/>
                                  <w:tcBorders>
                                    <w:top w:val="nil"/>
                                    <w:left w:val="nil"/>
                                    <w:bottom w:val="nil"/>
                                    <w:right w:val="nil"/>
                                  </w:tcBorders>
                                  <w:shd w:val="clear" w:color="000000" w:fill="EEECE1"/>
                                  <w:noWrap/>
                                  <w:vAlign w:val="bottom"/>
                                  <w:hideMark/>
                                </w:tcPr>
                                <w:p w14:paraId="009A64C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3E17D2F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919</w:t>
                                  </w:r>
                                </w:p>
                              </w:tc>
                              <w:tc>
                                <w:tcPr>
                                  <w:tcW w:w="692" w:type="dxa"/>
                                  <w:tcBorders>
                                    <w:top w:val="nil"/>
                                    <w:left w:val="nil"/>
                                    <w:bottom w:val="nil"/>
                                    <w:right w:val="nil"/>
                                  </w:tcBorders>
                                  <w:shd w:val="clear" w:color="000000" w:fill="EEECE1"/>
                                  <w:noWrap/>
                                  <w:vAlign w:val="bottom"/>
                                  <w:hideMark/>
                                </w:tcPr>
                                <w:p w14:paraId="330651C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53.68</w:t>
                                  </w:r>
                                </w:p>
                              </w:tc>
                              <w:tc>
                                <w:tcPr>
                                  <w:tcW w:w="1104" w:type="dxa"/>
                                  <w:tcBorders>
                                    <w:top w:val="nil"/>
                                    <w:left w:val="nil"/>
                                    <w:bottom w:val="nil"/>
                                    <w:right w:val="nil"/>
                                  </w:tcBorders>
                                  <w:shd w:val="clear" w:color="000000" w:fill="EEECE1"/>
                                  <w:noWrap/>
                                  <w:vAlign w:val="bottom"/>
                                  <w:hideMark/>
                                </w:tcPr>
                                <w:p w14:paraId="147C667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(50.32-57.26)</w:t>
                                  </w:r>
                                </w:p>
                              </w:tc>
                              <w:tc>
                                <w:tcPr>
                                  <w:tcW w:w="196" w:type="dxa"/>
                                  <w:tcBorders>
                                    <w:top w:val="nil"/>
                                    <w:left w:val="nil"/>
                                    <w:bottom w:val="nil"/>
                                    <w:right w:val="nil"/>
                                  </w:tcBorders>
                                  <w:shd w:val="clear" w:color="000000" w:fill="EEECE1"/>
                                  <w:noWrap/>
                                  <w:vAlign w:val="bottom"/>
                                  <w:hideMark/>
                                </w:tcPr>
                                <w:p w14:paraId="0373799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00B41B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1377</w:t>
                                  </w:r>
                                </w:p>
                              </w:tc>
                              <w:tc>
                                <w:tcPr>
                                  <w:tcW w:w="692" w:type="dxa"/>
                                  <w:tcBorders>
                                    <w:top w:val="nil"/>
                                    <w:left w:val="nil"/>
                                    <w:bottom w:val="nil"/>
                                    <w:right w:val="nil"/>
                                  </w:tcBorders>
                                  <w:shd w:val="clear" w:color="000000" w:fill="EEECE1"/>
                                  <w:noWrap/>
                                  <w:vAlign w:val="bottom"/>
                                  <w:hideMark/>
                                </w:tcPr>
                                <w:p w14:paraId="4AE59A8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96.40</w:t>
                                  </w:r>
                                </w:p>
                              </w:tc>
                              <w:tc>
                                <w:tcPr>
                                  <w:tcW w:w="1104" w:type="dxa"/>
                                  <w:tcBorders>
                                    <w:top w:val="nil"/>
                                    <w:left w:val="nil"/>
                                    <w:bottom w:val="nil"/>
                                    <w:right w:val="single" w:sz="8" w:space="0" w:color="auto"/>
                                  </w:tcBorders>
                                  <w:shd w:val="clear" w:color="000000" w:fill="EEECE1"/>
                                  <w:noWrap/>
                                  <w:vAlign w:val="bottom"/>
                                  <w:hideMark/>
                                </w:tcPr>
                                <w:p w14:paraId="6565B64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(91.44-101.63)</w:t>
                                  </w:r>
                                </w:p>
                              </w:tc>
                            </w:tr>
                            <w:tr w:rsidR="00AD312A" w:rsidRPr="00122306" w14:paraId="3659AB78" w14:textId="77777777" w:rsidTr="006143D9">
                              <w:trPr>
                                <w:trHeight w:val="299"/>
                              </w:trPr>
                              <w:tc>
                                <w:tcPr>
                                  <w:tcW w:w="843" w:type="dxa"/>
                                  <w:tcBorders>
                                    <w:top w:val="nil"/>
                                    <w:left w:val="single" w:sz="8" w:space="0" w:color="auto"/>
                                    <w:bottom w:val="single" w:sz="4" w:space="0" w:color="auto"/>
                                    <w:right w:val="nil"/>
                                  </w:tcBorders>
                                  <w:shd w:val="clear" w:color="000000" w:fill="EEECE1"/>
                                  <w:noWrap/>
                                  <w:vAlign w:val="bottom"/>
                                  <w:hideMark/>
                                </w:tcPr>
                                <w:p w14:paraId="54B8E46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single" w:sz="4" w:space="0" w:color="auto"/>
                                    <w:right w:val="nil"/>
                                  </w:tcBorders>
                                  <w:shd w:val="clear" w:color="000000" w:fill="EEECE1"/>
                                  <w:noWrap/>
                                  <w:vAlign w:val="bottom"/>
                                  <w:hideMark/>
                                </w:tcPr>
                                <w:p w14:paraId="54201BF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000000" w:fill="EEECE1"/>
                                  <w:noWrap/>
                                  <w:vAlign w:val="bottom"/>
                                  <w:hideMark/>
                                </w:tcPr>
                                <w:p w14:paraId="6EDCA71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389</w:t>
                                  </w:r>
                                </w:p>
                              </w:tc>
                              <w:tc>
                                <w:tcPr>
                                  <w:tcW w:w="692" w:type="dxa"/>
                                  <w:tcBorders>
                                    <w:top w:val="nil"/>
                                    <w:left w:val="nil"/>
                                    <w:bottom w:val="single" w:sz="4" w:space="0" w:color="auto"/>
                                    <w:right w:val="nil"/>
                                  </w:tcBorders>
                                  <w:shd w:val="clear" w:color="000000" w:fill="EEECE1"/>
                                  <w:noWrap/>
                                  <w:vAlign w:val="bottom"/>
                                  <w:hideMark/>
                                </w:tcPr>
                                <w:p w14:paraId="2202320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74.59</w:t>
                                  </w:r>
                                </w:p>
                              </w:tc>
                              <w:tc>
                                <w:tcPr>
                                  <w:tcW w:w="1104" w:type="dxa"/>
                                  <w:tcBorders>
                                    <w:top w:val="nil"/>
                                    <w:left w:val="nil"/>
                                    <w:bottom w:val="single" w:sz="4" w:space="0" w:color="auto"/>
                                    <w:right w:val="nil"/>
                                  </w:tcBorders>
                                  <w:shd w:val="clear" w:color="000000" w:fill="EEECE1"/>
                                  <w:noWrap/>
                                  <w:vAlign w:val="bottom"/>
                                  <w:hideMark/>
                                </w:tcPr>
                                <w:p w14:paraId="49473F1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(67.53-82.38)</w:t>
                                  </w:r>
                                </w:p>
                              </w:tc>
                              <w:tc>
                                <w:tcPr>
                                  <w:tcW w:w="196" w:type="dxa"/>
                                  <w:tcBorders>
                                    <w:top w:val="nil"/>
                                    <w:left w:val="nil"/>
                                    <w:bottom w:val="single" w:sz="4" w:space="0" w:color="auto"/>
                                    <w:right w:val="nil"/>
                                  </w:tcBorders>
                                  <w:shd w:val="clear" w:color="000000" w:fill="EEECE1"/>
                                  <w:noWrap/>
                                  <w:vAlign w:val="bottom"/>
                                  <w:hideMark/>
                                </w:tcPr>
                                <w:p w14:paraId="4D4C46C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0244DA1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597</w:t>
                                  </w:r>
                                </w:p>
                              </w:tc>
                              <w:tc>
                                <w:tcPr>
                                  <w:tcW w:w="692" w:type="dxa"/>
                                  <w:tcBorders>
                                    <w:top w:val="nil"/>
                                    <w:left w:val="nil"/>
                                    <w:bottom w:val="single" w:sz="4" w:space="0" w:color="auto"/>
                                    <w:right w:val="nil"/>
                                  </w:tcBorders>
                                  <w:shd w:val="clear" w:color="000000" w:fill="EEECE1"/>
                                  <w:noWrap/>
                                  <w:vAlign w:val="bottom"/>
                                  <w:hideMark/>
                                </w:tcPr>
                                <w:p w14:paraId="266FD0B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88.80</w:t>
                                  </w:r>
                                </w:p>
                              </w:tc>
                              <w:tc>
                                <w:tcPr>
                                  <w:tcW w:w="1104" w:type="dxa"/>
                                  <w:tcBorders>
                                    <w:top w:val="nil"/>
                                    <w:left w:val="nil"/>
                                    <w:bottom w:val="single" w:sz="4" w:space="0" w:color="auto"/>
                                    <w:right w:val="nil"/>
                                  </w:tcBorders>
                                  <w:shd w:val="clear" w:color="000000" w:fill="EEECE1"/>
                                  <w:noWrap/>
                                  <w:vAlign w:val="bottom"/>
                                  <w:hideMark/>
                                </w:tcPr>
                                <w:p w14:paraId="2AA5E77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(81.95-96.21)</w:t>
                                  </w:r>
                                </w:p>
                              </w:tc>
                              <w:tc>
                                <w:tcPr>
                                  <w:tcW w:w="196" w:type="dxa"/>
                                  <w:tcBorders>
                                    <w:top w:val="nil"/>
                                    <w:left w:val="nil"/>
                                    <w:bottom w:val="single" w:sz="4" w:space="0" w:color="auto"/>
                                    <w:right w:val="nil"/>
                                  </w:tcBorders>
                                  <w:shd w:val="clear" w:color="000000" w:fill="EEECE1"/>
                                  <w:noWrap/>
                                  <w:vAlign w:val="bottom"/>
                                  <w:hideMark/>
                                </w:tcPr>
                                <w:p w14:paraId="39AD0CC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3ECF2A1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821</w:t>
                                  </w:r>
                                </w:p>
                              </w:tc>
                              <w:tc>
                                <w:tcPr>
                                  <w:tcW w:w="692" w:type="dxa"/>
                                  <w:tcBorders>
                                    <w:top w:val="nil"/>
                                    <w:left w:val="nil"/>
                                    <w:bottom w:val="single" w:sz="4" w:space="0" w:color="auto"/>
                                    <w:right w:val="nil"/>
                                  </w:tcBorders>
                                  <w:shd w:val="clear" w:color="000000" w:fill="EEECE1"/>
                                  <w:noWrap/>
                                  <w:vAlign w:val="bottom"/>
                                  <w:hideMark/>
                                </w:tcPr>
                                <w:p w14:paraId="2C8FB13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157.42</w:t>
                                  </w:r>
                                </w:p>
                              </w:tc>
                              <w:tc>
                                <w:tcPr>
                                  <w:tcW w:w="1104" w:type="dxa"/>
                                  <w:tcBorders>
                                    <w:top w:val="nil"/>
                                    <w:left w:val="nil"/>
                                    <w:bottom w:val="single" w:sz="4" w:space="0" w:color="auto"/>
                                    <w:right w:val="single" w:sz="8" w:space="0" w:color="auto"/>
                                  </w:tcBorders>
                                  <w:shd w:val="clear" w:color="000000" w:fill="EEECE1"/>
                                  <w:noWrap/>
                                  <w:vAlign w:val="bottom"/>
                                  <w:hideMark/>
                                </w:tcPr>
                                <w:p w14:paraId="1F8E6F8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(147.01-168.57)</w:t>
                                  </w:r>
                                </w:p>
                              </w:tc>
                            </w:tr>
                            <w:tr w:rsidR="00AD312A" w:rsidRPr="00122306" w14:paraId="072CAF3F"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2913E62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nil"/>
                                    <w:right w:val="nil"/>
                                  </w:tcBorders>
                                  <w:shd w:val="clear" w:color="auto" w:fill="auto"/>
                                  <w:noWrap/>
                                  <w:vAlign w:val="bottom"/>
                                  <w:hideMark/>
                                </w:tcPr>
                                <w:p w14:paraId="7B7010B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auto" w:fill="auto"/>
                                  <w:noWrap/>
                                  <w:vAlign w:val="bottom"/>
                                  <w:hideMark/>
                                </w:tcPr>
                                <w:p w14:paraId="153D69E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1523</w:t>
                                  </w:r>
                                </w:p>
                              </w:tc>
                              <w:tc>
                                <w:tcPr>
                                  <w:tcW w:w="692" w:type="dxa"/>
                                  <w:tcBorders>
                                    <w:top w:val="nil"/>
                                    <w:left w:val="nil"/>
                                    <w:bottom w:val="nil"/>
                                    <w:right w:val="nil"/>
                                  </w:tcBorders>
                                  <w:shd w:val="clear" w:color="auto" w:fill="auto"/>
                                  <w:noWrap/>
                                  <w:vAlign w:val="bottom"/>
                                  <w:hideMark/>
                                </w:tcPr>
                                <w:p w14:paraId="7014E30A"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15.88</w:t>
                                  </w:r>
                                  <w:proofErr w:type="gramEnd"/>
                                </w:p>
                              </w:tc>
                              <w:tc>
                                <w:tcPr>
                                  <w:tcW w:w="1104" w:type="dxa"/>
                                  <w:tcBorders>
                                    <w:top w:val="nil"/>
                                    <w:left w:val="nil"/>
                                    <w:bottom w:val="nil"/>
                                    <w:right w:val="nil"/>
                                  </w:tcBorders>
                                  <w:shd w:val="clear" w:color="auto" w:fill="auto"/>
                                  <w:noWrap/>
                                  <w:vAlign w:val="bottom"/>
                                  <w:hideMark/>
                                </w:tcPr>
                                <w:p w14:paraId="6C56D6D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(15.10-16.70)</w:t>
                                  </w:r>
                                </w:p>
                              </w:tc>
                              <w:tc>
                                <w:tcPr>
                                  <w:tcW w:w="196" w:type="dxa"/>
                                  <w:tcBorders>
                                    <w:top w:val="nil"/>
                                    <w:left w:val="nil"/>
                                    <w:bottom w:val="nil"/>
                                    <w:right w:val="nil"/>
                                  </w:tcBorders>
                                  <w:shd w:val="clear" w:color="auto" w:fill="auto"/>
                                  <w:noWrap/>
                                  <w:vAlign w:val="bottom"/>
                                  <w:hideMark/>
                                </w:tcPr>
                                <w:p w14:paraId="5A7CD8A3"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028FB9A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5001</w:t>
                                  </w:r>
                                </w:p>
                              </w:tc>
                              <w:tc>
                                <w:tcPr>
                                  <w:tcW w:w="692" w:type="dxa"/>
                                  <w:tcBorders>
                                    <w:top w:val="nil"/>
                                    <w:left w:val="nil"/>
                                    <w:bottom w:val="nil"/>
                                    <w:right w:val="nil"/>
                                  </w:tcBorders>
                                  <w:shd w:val="clear" w:color="auto" w:fill="auto"/>
                                  <w:noWrap/>
                                  <w:vAlign w:val="bottom"/>
                                  <w:hideMark/>
                                </w:tcPr>
                                <w:p w14:paraId="5ED2571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49.67</w:t>
                                  </w:r>
                                </w:p>
                              </w:tc>
                              <w:tc>
                                <w:tcPr>
                                  <w:tcW w:w="1104" w:type="dxa"/>
                                  <w:tcBorders>
                                    <w:top w:val="nil"/>
                                    <w:left w:val="nil"/>
                                    <w:bottom w:val="nil"/>
                                    <w:right w:val="nil"/>
                                  </w:tcBorders>
                                  <w:shd w:val="clear" w:color="auto" w:fill="auto"/>
                                  <w:noWrap/>
                                  <w:vAlign w:val="bottom"/>
                                  <w:hideMark/>
                                </w:tcPr>
                                <w:p w14:paraId="46631CB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(48.32-51.07)</w:t>
                                  </w:r>
                                </w:p>
                              </w:tc>
                              <w:tc>
                                <w:tcPr>
                                  <w:tcW w:w="196" w:type="dxa"/>
                                  <w:tcBorders>
                                    <w:top w:val="nil"/>
                                    <w:left w:val="nil"/>
                                    <w:bottom w:val="nil"/>
                                    <w:right w:val="nil"/>
                                  </w:tcBorders>
                                  <w:shd w:val="clear" w:color="auto" w:fill="auto"/>
                                  <w:noWrap/>
                                  <w:vAlign w:val="bottom"/>
                                  <w:hideMark/>
                                </w:tcPr>
                                <w:p w14:paraId="63526F47"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6C83D0D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5838</w:t>
                                  </w:r>
                                </w:p>
                              </w:tc>
                              <w:tc>
                                <w:tcPr>
                                  <w:tcW w:w="692" w:type="dxa"/>
                                  <w:tcBorders>
                                    <w:top w:val="nil"/>
                                    <w:left w:val="nil"/>
                                    <w:bottom w:val="nil"/>
                                    <w:right w:val="nil"/>
                                  </w:tcBorders>
                                  <w:shd w:val="clear" w:color="auto" w:fill="auto"/>
                                  <w:noWrap/>
                                  <w:vAlign w:val="bottom"/>
                                  <w:hideMark/>
                                </w:tcPr>
                                <w:p w14:paraId="17F0482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60.88</w:t>
                                  </w:r>
                                </w:p>
                              </w:tc>
                              <w:tc>
                                <w:tcPr>
                                  <w:tcW w:w="1104" w:type="dxa"/>
                                  <w:tcBorders>
                                    <w:top w:val="nil"/>
                                    <w:left w:val="nil"/>
                                    <w:bottom w:val="nil"/>
                                    <w:right w:val="single" w:sz="8" w:space="0" w:color="auto"/>
                                  </w:tcBorders>
                                  <w:shd w:val="clear" w:color="auto" w:fill="auto"/>
                                  <w:noWrap/>
                                  <w:vAlign w:val="bottom"/>
                                  <w:hideMark/>
                                </w:tcPr>
                                <w:p w14:paraId="780C33D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(59.33-62.46)</w:t>
                                  </w:r>
                                </w:p>
                              </w:tc>
                            </w:tr>
                            <w:tr w:rsidR="00AD312A" w:rsidRPr="00122306" w14:paraId="278BFD1B"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584BC0F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nil"/>
                                    <w:right w:val="nil"/>
                                  </w:tcBorders>
                                  <w:shd w:val="clear" w:color="auto" w:fill="auto"/>
                                  <w:noWrap/>
                                  <w:vAlign w:val="bottom"/>
                                  <w:hideMark/>
                                </w:tcPr>
                                <w:p w14:paraId="6D362BE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auto" w:fill="auto"/>
                                  <w:noWrap/>
                                  <w:vAlign w:val="bottom"/>
                                  <w:hideMark/>
                                </w:tcPr>
                                <w:p w14:paraId="523F1FE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802</w:t>
                                  </w:r>
                                </w:p>
                              </w:tc>
                              <w:tc>
                                <w:tcPr>
                                  <w:tcW w:w="692" w:type="dxa"/>
                                  <w:tcBorders>
                                    <w:top w:val="nil"/>
                                    <w:left w:val="nil"/>
                                    <w:bottom w:val="nil"/>
                                    <w:right w:val="nil"/>
                                  </w:tcBorders>
                                  <w:shd w:val="clear" w:color="auto" w:fill="auto"/>
                                  <w:noWrap/>
                                  <w:vAlign w:val="bottom"/>
                                  <w:hideMark/>
                                </w:tcPr>
                                <w:p w14:paraId="5AB79272"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19.84</w:t>
                                  </w:r>
                                  <w:proofErr w:type="gramEnd"/>
                                </w:p>
                              </w:tc>
                              <w:tc>
                                <w:tcPr>
                                  <w:tcW w:w="1104" w:type="dxa"/>
                                  <w:tcBorders>
                                    <w:top w:val="nil"/>
                                    <w:left w:val="nil"/>
                                    <w:bottom w:val="nil"/>
                                    <w:right w:val="nil"/>
                                  </w:tcBorders>
                                  <w:shd w:val="clear" w:color="auto" w:fill="auto"/>
                                  <w:noWrap/>
                                  <w:vAlign w:val="bottom"/>
                                  <w:hideMark/>
                                </w:tcPr>
                                <w:p w14:paraId="4F79FBB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(18.52-21.27)</w:t>
                                  </w:r>
                                </w:p>
                              </w:tc>
                              <w:tc>
                                <w:tcPr>
                                  <w:tcW w:w="196" w:type="dxa"/>
                                  <w:tcBorders>
                                    <w:top w:val="nil"/>
                                    <w:left w:val="nil"/>
                                    <w:bottom w:val="nil"/>
                                    <w:right w:val="nil"/>
                                  </w:tcBorders>
                                  <w:shd w:val="clear" w:color="auto" w:fill="auto"/>
                                  <w:noWrap/>
                                  <w:vAlign w:val="bottom"/>
                                  <w:hideMark/>
                                </w:tcPr>
                                <w:p w14:paraId="15BAE005"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D30E44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3485</w:t>
                                  </w:r>
                                </w:p>
                              </w:tc>
                              <w:tc>
                                <w:tcPr>
                                  <w:tcW w:w="692" w:type="dxa"/>
                                  <w:tcBorders>
                                    <w:top w:val="nil"/>
                                    <w:left w:val="nil"/>
                                    <w:bottom w:val="nil"/>
                                    <w:right w:val="nil"/>
                                  </w:tcBorders>
                                  <w:shd w:val="clear" w:color="auto" w:fill="auto"/>
                                  <w:noWrap/>
                                  <w:vAlign w:val="bottom"/>
                                  <w:hideMark/>
                                </w:tcPr>
                                <w:p w14:paraId="17B3389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82.02</w:t>
                                  </w:r>
                                </w:p>
                              </w:tc>
                              <w:tc>
                                <w:tcPr>
                                  <w:tcW w:w="1104" w:type="dxa"/>
                                  <w:tcBorders>
                                    <w:top w:val="nil"/>
                                    <w:left w:val="nil"/>
                                    <w:bottom w:val="nil"/>
                                    <w:right w:val="nil"/>
                                  </w:tcBorders>
                                  <w:shd w:val="clear" w:color="auto" w:fill="auto"/>
                                  <w:noWrap/>
                                  <w:vAlign w:val="bottom"/>
                                  <w:hideMark/>
                                </w:tcPr>
                                <w:p w14:paraId="518DB6F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(79.34-84.79)</w:t>
                                  </w:r>
                                </w:p>
                              </w:tc>
                              <w:tc>
                                <w:tcPr>
                                  <w:tcW w:w="196" w:type="dxa"/>
                                  <w:tcBorders>
                                    <w:top w:val="nil"/>
                                    <w:left w:val="nil"/>
                                    <w:bottom w:val="nil"/>
                                    <w:right w:val="nil"/>
                                  </w:tcBorders>
                                  <w:shd w:val="clear" w:color="auto" w:fill="auto"/>
                                  <w:noWrap/>
                                  <w:vAlign w:val="bottom"/>
                                  <w:hideMark/>
                                </w:tcPr>
                                <w:p w14:paraId="44B01218"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1B2F4B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3857</w:t>
                                  </w:r>
                                </w:p>
                              </w:tc>
                              <w:tc>
                                <w:tcPr>
                                  <w:tcW w:w="692" w:type="dxa"/>
                                  <w:tcBorders>
                                    <w:top w:val="nil"/>
                                    <w:left w:val="nil"/>
                                    <w:bottom w:val="nil"/>
                                    <w:right w:val="nil"/>
                                  </w:tcBorders>
                                  <w:shd w:val="clear" w:color="auto" w:fill="auto"/>
                                  <w:noWrap/>
                                  <w:vAlign w:val="bottom"/>
                                  <w:hideMark/>
                                </w:tcPr>
                                <w:p w14:paraId="3961F93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95.43</w:t>
                                  </w:r>
                                </w:p>
                              </w:tc>
                              <w:tc>
                                <w:tcPr>
                                  <w:tcW w:w="1104" w:type="dxa"/>
                                  <w:tcBorders>
                                    <w:top w:val="nil"/>
                                    <w:left w:val="nil"/>
                                    <w:bottom w:val="nil"/>
                                    <w:right w:val="single" w:sz="8" w:space="0" w:color="auto"/>
                                  </w:tcBorders>
                                  <w:shd w:val="clear" w:color="auto" w:fill="auto"/>
                                  <w:noWrap/>
                                  <w:vAlign w:val="bottom"/>
                                  <w:hideMark/>
                                </w:tcPr>
                                <w:p w14:paraId="7EA1FDA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(92.47-98.49)</w:t>
                                  </w:r>
                                </w:p>
                              </w:tc>
                            </w:tr>
                            <w:tr w:rsidR="00AD312A" w:rsidRPr="00122306" w14:paraId="036FBFE4"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4079B2C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nil"/>
                                    <w:right w:val="nil"/>
                                  </w:tcBorders>
                                  <w:shd w:val="clear" w:color="auto" w:fill="auto"/>
                                  <w:noWrap/>
                                  <w:vAlign w:val="bottom"/>
                                  <w:hideMark/>
                                </w:tcPr>
                                <w:p w14:paraId="17CC381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auto" w:fill="auto"/>
                                  <w:noWrap/>
                                  <w:vAlign w:val="bottom"/>
                                  <w:hideMark/>
                                </w:tcPr>
                                <w:p w14:paraId="10907BE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1202</w:t>
                                  </w:r>
                                </w:p>
                              </w:tc>
                              <w:tc>
                                <w:tcPr>
                                  <w:tcW w:w="692" w:type="dxa"/>
                                  <w:tcBorders>
                                    <w:top w:val="nil"/>
                                    <w:left w:val="nil"/>
                                    <w:bottom w:val="nil"/>
                                    <w:right w:val="nil"/>
                                  </w:tcBorders>
                                  <w:shd w:val="clear" w:color="auto" w:fill="auto"/>
                                  <w:noWrap/>
                                  <w:vAlign w:val="bottom"/>
                                  <w:hideMark/>
                                </w:tcPr>
                                <w:p w14:paraId="11ED696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56.35</w:t>
                                  </w:r>
                                </w:p>
                              </w:tc>
                              <w:tc>
                                <w:tcPr>
                                  <w:tcW w:w="1104" w:type="dxa"/>
                                  <w:tcBorders>
                                    <w:top w:val="nil"/>
                                    <w:left w:val="nil"/>
                                    <w:bottom w:val="nil"/>
                                    <w:right w:val="nil"/>
                                  </w:tcBorders>
                                  <w:shd w:val="clear" w:color="auto" w:fill="auto"/>
                                  <w:noWrap/>
                                  <w:vAlign w:val="bottom"/>
                                  <w:hideMark/>
                                </w:tcPr>
                                <w:p w14:paraId="5BF1D8F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(53.26-59.63)</w:t>
                                  </w:r>
                                </w:p>
                              </w:tc>
                              <w:tc>
                                <w:tcPr>
                                  <w:tcW w:w="196" w:type="dxa"/>
                                  <w:tcBorders>
                                    <w:top w:val="nil"/>
                                    <w:left w:val="nil"/>
                                    <w:bottom w:val="nil"/>
                                    <w:right w:val="nil"/>
                                  </w:tcBorders>
                                  <w:shd w:val="clear" w:color="auto" w:fill="auto"/>
                                  <w:noWrap/>
                                  <w:vAlign w:val="bottom"/>
                                  <w:hideMark/>
                                </w:tcPr>
                                <w:p w14:paraId="681CF37C"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9B5DD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2608</w:t>
                                  </w:r>
                                </w:p>
                              </w:tc>
                              <w:tc>
                                <w:tcPr>
                                  <w:tcW w:w="692" w:type="dxa"/>
                                  <w:tcBorders>
                                    <w:top w:val="nil"/>
                                    <w:left w:val="nil"/>
                                    <w:bottom w:val="nil"/>
                                    <w:right w:val="nil"/>
                                  </w:tcBorders>
                                  <w:shd w:val="clear" w:color="auto" w:fill="auto"/>
                                  <w:noWrap/>
                                  <w:vAlign w:val="bottom"/>
                                  <w:hideMark/>
                                </w:tcPr>
                                <w:p w14:paraId="10EC13A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101.65</w:t>
                                  </w:r>
                                </w:p>
                              </w:tc>
                              <w:tc>
                                <w:tcPr>
                                  <w:tcW w:w="1104" w:type="dxa"/>
                                  <w:tcBorders>
                                    <w:top w:val="nil"/>
                                    <w:left w:val="nil"/>
                                    <w:bottom w:val="nil"/>
                                    <w:right w:val="nil"/>
                                  </w:tcBorders>
                                  <w:shd w:val="clear" w:color="auto" w:fill="auto"/>
                                  <w:noWrap/>
                                  <w:vAlign w:val="bottom"/>
                                  <w:hideMark/>
                                </w:tcPr>
                                <w:p w14:paraId="4BB9DE0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(97.82-105.62)</w:t>
                                  </w:r>
                                </w:p>
                              </w:tc>
                              <w:tc>
                                <w:tcPr>
                                  <w:tcW w:w="196" w:type="dxa"/>
                                  <w:tcBorders>
                                    <w:top w:val="nil"/>
                                    <w:left w:val="nil"/>
                                    <w:bottom w:val="nil"/>
                                    <w:right w:val="nil"/>
                                  </w:tcBorders>
                                  <w:shd w:val="clear" w:color="auto" w:fill="auto"/>
                                  <w:noWrap/>
                                  <w:vAlign w:val="bottom"/>
                                  <w:hideMark/>
                                </w:tcPr>
                                <w:p w14:paraId="3487AAE1"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53B348A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3212</w:t>
                                  </w:r>
                                </w:p>
                              </w:tc>
                              <w:tc>
                                <w:tcPr>
                                  <w:tcW w:w="692" w:type="dxa"/>
                                  <w:tcBorders>
                                    <w:top w:val="nil"/>
                                    <w:left w:val="nil"/>
                                    <w:bottom w:val="nil"/>
                                    <w:right w:val="nil"/>
                                  </w:tcBorders>
                                  <w:shd w:val="clear" w:color="auto" w:fill="auto"/>
                                  <w:noWrap/>
                                  <w:vAlign w:val="bottom"/>
                                  <w:hideMark/>
                                </w:tcPr>
                                <w:p w14:paraId="1FF6795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150.59</w:t>
                                  </w:r>
                                </w:p>
                              </w:tc>
                              <w:tc>
                                <w:tcPr>
                                  <w:tcW w:w="1104" w:type="dxa"/>
                                  <w:tcBorders>
                                    <w:top w:val="nil"/>
                                    <w:left w:val="nil"/>
                                    <w:bottom w:val="nil"/>
                                    <w:right w:val="single" w:sz="8" w:space="0" w:color="auto"/>
                                  </w:tcBorders>
                                  <w:shd w:val="clear" w:color="auto" w:fill="auto"/>
                                  <w:noWrap/>
                                  <w:vAlign w:val="bottom"/>
                                  <w:hideMark/>
                                </w:tcPr>
                                <w:p w14:paraId="4D990C0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(145.47-155.88)</w:t>
                                  </w:r>
                                </w:p>
                              </w:tc>
                            </w:tr>
                            <w:tr w:rsidR="00AD312A" w:rsidRPr="00122306" w14:paraId="00673E1E" w14:textId="77777777" w:rsidTr="006143D9">
                              <w:trPr>
                                <w:trHeight w:val="299"/>
                              </w:trPr>
                              <w:tc>
                                <w:tcPr>
                                  <w:tcW w:w="843" w:type="dxa"/>
                                  <w:tcBorders>
                                    <w:top w:val="nil"/>
                                    <w:left w:val="single" w:sz="8" w:space="0" w:color="auto"/>
                                    <w:bottom w:val="single" w:sz="4" w:space="0" w:color="auto"/>
                                    <w:right w:val="nil"/>
                                  </w:tcBorders>
                                  <w:shd w:val="clear" w:color="auto" w:fill="auto"/>
                                  <w:noWrap/>
                                  <w:vAlign w:val="bottom"/>
                                  <w:hideMark/>
                                </w:tcPr>
                                <w:p w14:paraId="712142A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single" w:sz="4" w:space="0" w:color="auto"/>
                                    <w:right w:val="nil"/>
                                  </w:tcBorders>
                                  <w:shd w:val="clear" w:color="auto" w:fill="auto"/>
                                  <w:noWrap/>
                                  <w:vAlign w:val="bottom"/>
                                  <w:hideMark/>
                                </w:tcPr>
                                <w:p w14:paraId="2406DCA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auto" w:fill="auto"/>
                                  <w:noWrap/>
                                  <w:vAlign w:val="bottom"/>
                                  <w:hideMark/>
                                </w:tcPr>
                                <w:p w14:paraId="364CDB2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828</w:t>
                                  </w:r>
                                </w:p>
                              </w:tc>
                              <w:tc>
                                <w:tcPr>
                                  <w:tcW w:w="692" w:type="dxa"/>
                                  <w:tcBorders>
                                    <w:top w:val="nil"/>
                                    <w:left w:val="nil"/>
                                    <w:bottom w:val="single" w:sz="4" w:space="0" w:color="auto"/>
                                    <w:right w:val="nil"/>
                                  </w:tcBorders>
                                  <w:shd w:val="clear" w:color="auto" w:fill="auto"/>
                                  <w:noWrap/>
                                  <w:vAlign w:val="bottom"/>
                                  <w:hideMark/>
                                </w:tcPr>
                                <w:p w14:paraId="3D8015C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82.21</w:t>
                                  </w:r>
                                </w:p>
                              </w:tc>
                              <w:tc>
                                <w:tcPr>
                                  <w:tcW w:w="1104" w:type="dxa"/>
                                  <w:tcBorders>
                                    <w:top w:val="nil"/>
                                    <w:left w:val="nil"/>
                                    <w:bottom w:val="single" w:sz="4" w:space="0" w:color="auto"/>
                                    <w:right w:val="nil"/>
                                  </w:tcBorders>
                                  <w:shd w:val="clear" w:color="auto" w:fill="auto"/>
                                  <w:noWrap/>
                                  <w:vAlign w:val="bottom"/>
                                  <w:hideMark/>
                                </w:tcPr>
                                <w:p w14:paraId="75D0260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(76.80-88.00)</w:t>
                                  </w:r>
                                </w:p>
                              </w:tc>
                              <w:tc>
                                <w:tcPr>
                                  <w:tcW w:w="196" w:type="dxa"/>
                                  <w:tcBorders>
                                    <w:top w:val="nil"/>
                                    <w:left w:val="nil"/>
                                    <w:bottom w:val="single" w:sz="4" w:space="0" w:color="auto"/>
                                    <w:right w:val="nil"/>
                                  </w:tcBorders>
                                  <w:shd w:val="clear" w:color="auto" w:fill="auto"/>
                                  <w:noWrap/>
                                  <w:vAlign w:val="bottom"/>
                                  <w:hideMark/>
                                </w:tcPr>
                                <w:p w14:paraId="4D4F668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7A1D4BA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1829</w:t>
                                  </w:r>
                                </w:p>
                              </w:tc>
                              <w:tc>
                                <w:tcPr>
                                  <w:tcW w:w="692" w:type="dxa"/>
                                  <w:tcBorders>
                                    <w:top w:val="nil"/>
                                    <w:left w:val="nil"/>
                                    <w:bottom w:val="single" w:sz="4" w:space="0" w:color="auto"/>
                                    <w:right w:val="nil"/>
                                  </w:tcBorders>
                                  <w:shd w:val="clear" w:color="auto" w:fill="auto"/>
                                  <w:noWrap/>
                                  <w:vAlign w:val="bottom"/>
                                  <w:hideMark/>
                                </w:tcPr>
                                <w:p w14:paraId="50EBC36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146.10</w:t>
                                  </w:r>
                                </w:p>
                              </w:tc>
                              <w:tc>
                                <w:tcPr>
                                  <w:tcW w:w="1104" w:type="dxa"/>
                                  <w:tcBorders>
                                    <w:top w:val="nil"/>
                                    <w:left w:val="nil"/>
                                    <w:bottom w:val="single" w:sz="4" w:space="0" w:color="auto"/>
                                    <w:right w:val="nil"/>
                                  </w:tcBorders>
                                  <w:shd w:val="clear" w:color="auto" w:fill="auto"/>
                                  <w:noWrap/>
                                  <w:vAlign w:val="bottom"/>
                                  <w:hideMark/>
                                </w:tcPr>
                                <w:p w14:paraId="7FB4CED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(139.55-152.95)</w:t>
                                  </w:r>
                                </w:p>
                              </w:tc>
                              <w:tc>
                                <w:tcPr>
                                  <w:tcW w:w="196" w:type="dxa"/>
                                  <w:tcBorders>
                                    <w:top w:val="nil"/>
                                    <w:left w:val="nil"/>
                                    <w:bottom w:val="single" w:sz="4" w:space="0" w:color="auto"/>
                                    <w:right w:val="nil"/>
                                  </w:tcBorders>
                                  <w:shd w:val="clear" w:color="auto" w:fill="auto"/>
                                  <w:noWrap/>
                                  <w:vAlign w:val="bottom"/>
                                  <w:hideMark/>
                                </w:tcPr>
                                <w:p w14:paraId="566FE85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1E305FF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2178</w:t>
                                  </w:r>
                                </w:p>
                              </w:tc>
                              <w:tc>
                                <w:tcPr>
                                  <w:tcW w:w="692" w:type="dxa"/>
                                  <w:tcBorders>
                                    <w:top w:val="nil"/>
                                    <w:left w:val="nil"/>
                                    <w:bottom w:val="single" w:sz="4" w:space="0" w:color="auto"/>
                                    <w:right w:val="nil"/>
                                  </w:tcBorders>
                                  <w:shd w:val="clear" w:color="auto" w:fill="auto"/>
                                  <w:noWrap/>
                                  <w:vAlign w:val="bottom"/>
                                  <w:hideMark/>
                                </w:tcPr>
                                <w:p w14:paraId="40DD655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216.24</w:t>
                                  </w:r>
                                </w:p>
                              </w:tc>
                              <w:tc>
                                <w:tcPr>
                                  <w:tcW w:w="1104" w:type="dxa"/>
                                  <w:tcBorders>
                                    <w:top w:val="nil"/>
                                    <w:left w:val="nil"/>
                                    <w:bottom w:val="single" w:sz="4" w:space="0" w:color="auto"/>
                                    <w:right w:val="single" w:sz="8" w:space="0" w:color="auto"/>
                                  </w:tcBorders>
                                  <w:shd w:val="clear" w:color="auto" w:fill="auto"/>
                                  <w:noWrap/>
                                  <w:vAlign w:val="bottom"/>
                                  <w:hideMark/>
                                </w:tcPr>
                                <w:p w14:paraId="0885645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(207.35-225.52)</w:t>
                                  </w:r>
                                </w:p>
                              </w:tc>
                            </w:tr>
                            <w:tr w:rsidR="00AD312A" w:rsidRPr="00122306" w14:paraId="213B13A5"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13C6B69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nil"/>
                                    <w:right w:val="nil"/>
                                  </w:tcBorders>
                                  <w:shd w:val="clear" w:color="000000" w:fill="EEECE1"/>
                                  <w:noWrap/>
                                  <w:vAlign w:val="bottom"/>
                                  <w:hideMark/>
                                </w:tcPr>
                                <w:p w14:paraId="49570FA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000000" w:fill="EEECE1"/>
                                  <w:noWrap/>
                                  <w:vAlign w:val="bottom"/>
                                  <w:hideMark/>
                                </w:tcPr>
                                <w:p w14:paraId="2C00513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3223</w:t>
                                  </w:r>
                                </w:p>
                              </w:tc>
                              <w:tc>
                                <w:tcPr>
                                  <w:tcW w:w="692" w:type="dxa"/>
                                  <w:tcBorders>
                                    <w:top w:val="nil"/>
                                    <w:left w:val="nil"/>
                                    <w:bottom w:val="nil"/>
                                    <w:right w:val="nil"/>
                                  </w:tcBorders>
                                  <w:shd w:val="clear" w:color="000000" w:fill="EEECE1"/>
                                  <w:noWrap/>
                                  <w:vAlign w:val="bottom"/>
                                  <w:hideMark/>
                                </w:tcPr>
                                <w:p w14:paraId="23397FD5"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31.98</w:t>
                                  </w:r>
                                  <w:proofErr w:type="gramEnd"/>
                                </w:p>
                              </w:tc>
                              <w:tc>
                                <w:tcPr>
                                  <w:tcW w:w="1104" w:type="dxa"/>
                                  <w:tcBorders>
                                    <w:top w:val="nil"/>
                                    <w:left w:val="nil"/>
                                    <w:bottom w:val="nil"/>
                                    <w:right w:val="nil"/>
                                  </w:tcBorders>
                                  <w:shd w:val="clear" w:color="000000" w:fill="EEECE1"/>
                                  <w:noWrap/>
                                  <w:vAlign w:val="bottom"/>
                                  <w:hideMark/>
                                </w:tcPr>
                                <w:p w14:paraId="6FE9CCB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30.90</w:t>
                                  </w:r>
                                  <w:proofErr w:type="gramEnd"/>
                                  <w:r w:rsidRPr="00122306">
                                    <w:rPr>
                                      <w:rFonts w:ascii="Calibri" w:hAnsi="Calibri" w:cs="Times New Roman"/>
                                      <w:color w:val="000000"/>
                                      <w:sz w:val="18"/>
                                      <w:szCs w:val="18"/>
                                    </w:rPr>
                                    <w:t>-33.11)</w:t>
                                  </w:r>
                                </w:p>
                              </w:tc>
                              <w:tc>
                                <w:tcPr>
                                  <w:tcW w:w="196" w:type="dxa"/>
                                  <w:tcBorders>
                                    <w:top w:val="nil"/>
                                    <w:left w:val="nil"/>
                                    <w:bottom w:val="nil"/>
                                    <w:right w:val="nil"/>
                                  </w:tcBorders>
                                  <w:shd w:val="clear" w:color="000000" w:fill="EEECE1"/>
                                  <w:noWrap/>
                                  <w:vAlign w:val="bottom"/>
                                  <w:hideMark/>
                                </w:tcPr>
                                <w:p w14:paraId="775F8D7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27C36B0C"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15935</w:t>
                                  </w:r>
                                  <w:proofErr w:type="gramEnd"/>
                                </w:p>
                              </w:tc>
                              <w:tc>
                                <w:tcPr>
                                  <w:tcW w:w="692" w:type="dxa"/>
                                  <w:tcBorders>
                                    <w:top w:val="nil"/>
                                    <w:left w:val="nil"/>
                                    <w:bottom w:val="nil"/>
                                    <w:right w:val="nil"/>
                                  </w:tcBorders>
                                  <w:shd w:val="clear" w:color="000000" w:fill="EEECE1"/>
                                  <w:noWrap/>
                                  <w:vAlign w:val="bottom"/>
                                  <w:hideMark/>
                                </w:tcPr>
                                <w:p w14:paraId="0EEE6A3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148.79</w:t>
                                  </w:r>
                                </w:p>
                              </w:tc>
                              <w:tc>
                                <w:tcPr>
                                  <w:tcW w:w="1104" w:type="dxa"/>
                                  <w:tcBorders>
                                    <w:top w:val="nil"/>
                                    <w:left w:val="nil"/>
                                    <w:bottom w:val="nil"/>
                                    <w:right w:val="nil"/>
                                  </w:tcBorders>
                                  <w:shd w:val="clear" w:color="000000" w:fill="EEECE1"/>
                                  <w:noWrap/>
                                  <w:vAlign w:val="bottom"/>
                                  <w:hideMark/>
                                </w:tcPr>
                                <w:p w14:paraId="6B6DF5C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(146.50-151.12)</w:t>
                                  </w:r>
                                </w:p>
                              </w:tc>
                              <w:tc>
                                <w:tcPr>
                                  <w:tcW w:w="196" w:type="dxa"/>
                                  <w:tcBorders>
                                    <w:top w:val="nil"/>
                                    <w:left w:val="nil"/>
                                    <w:bottom w:val="nil"/>
                                    <w:right w:val="nil"/>
                                  </w:tcBorders>
                                  <w:shd w:val="clear" w:color="000000" w:fill="EEECE1"/>
                                  <w:noWrap/>
                                  <w:vAlign w:val="bottom"/>
                                  <w:hideMark/>
                                </w:tcPr>
                                <w:p w14:paraId="7479E04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29DE4AE"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16768</w:t>
                                  </w:r>
                                  <w:proofErr w:type="gramEnd"/>
                                </w:p>
                              </w:tc>
                              <w:tc>
                                <w:tcPr>
                                  <w:tcW w:w="692" w:type="dxa"/>
                                  <w:tcBorders>
                                    <w:top w:val="nil"/>
                                    <w:left w:val="nil"/>
                                    <w:bottom w:val="nil"/>
                                    <w:right w:val="nil"/>
                                  </w:tcBorders>
                                  <w:shd w:val="clear" w:color="000000" w:fill="EEECE1"/>
                                  <w:noWrap/>
                                  <w:vAlign w:val="bottom"/>
                                  <w:hideMark/>
                                </w:tcPr>
                                <w:p w14:paraId="7E5A957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166.39</w:t>
                                  </w:r>
                                </w:p>
                              </w:tc>
                              <w:tc>
                                <w:tcPr>
                                  <w:tcW w:w="1104" w:type="dxa"/>
                                  <w:tcBorders>
                                    <w:top w:val="nil"/>
                                    <w:left w:val="nil"/>
                                    <w:bottom w:val="nil"/>
                                    <w:right w:val="single" w:sz="8" w:space="0" w:color="auto"/>
                                  </w:tcBorders>
                                  <w:shd w:val="clear" w:color="000000" w:fill="EEECE1"/>
                                  <w:noWrap/>
                                  <w:vAlign w:val="bottom"/>
                                  <w:hideMark/>
                                </w:tcPr>
                                <w:p w14:paraId="7423ECA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(163.89-168.93)</w:t>
                                  </w:r>
                                </w:p>
                              </w:tc>
                            </w:tr>
                            <w:tr w:rsidR="00AD312A" w:rsidRPr="00122306" w14:paraId="7880D6ED"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726D6B5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nil"/>
                                    <w:right w:val="nil"/>
                                  </w:tcBorders>
                                  <w:shd w:val="clear" w:color="000000" w:fill="EEECE1"/>
                                  <w:noWrap/>
                                  <w:vAlign w:val="bottom"/>
                                  <w:hideMark/>
                                </w:tcPr>
                                <w:p w14:paraId="6ABBF6F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000000" w:fill="EEECE1"/>
                                  <w:noWrap/>
                                  <w:vAlign w:val="bottom"/>
                                  <w:hideMark/>
                                </w:tcPr>
                                <w:p w14:paraId="47FE666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1854</w:t>
                                  </w:r>
                                </w:p>
                              </w:tc>
                              <w:tc>
                                <w:tcPr>
                                  <w:tcW w:w="692" w:type="dxa"/>
                                  <w:tcBorders>
                                    <w:top w:val="nil"/>
                                    <w:left w:val="nil"/>
                                    <w:bottom w:val="nil"/>
                                    <w:right w:val="nil"/>
                                  </w:tcBorders>
                                  <w:shd w:val="clear" w:color="000000" w:fill="EEECE1"/>
                                  <w:noWrap/>
                                  <w:vAlign w:val="bottom"/>
                                  <w:hideMark/>
                                </w:tcPr>
                                <w:p w14:paraId="05AC57B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37.12</w:t>
                                  </w:r>
                                </w:p>
                              </w:tc>
                              <w:tc>
                                <w:tcPr>
                                  <w:tcW w:w="1104" w:type="dxa"/>
                                  <w:tcBorders>
                                    <w:top w:val="nil"/>
                                    <w:left w:val="nil"/>
                                    <w:bottom w:val="nil"/>
                                    <w:right w:val="nil"/>
                                  </w:tcBorders>
                                  <w:shd w:val="clear" w:color="000000" w:fill="EEECE1"/>
                                  <w:noWrap/>
                                  <w:vAlign w:val="bottom"/>
                                  <w:hideMark/>
                                </w:tcPr>
                                <w:p w14:paraId="3FAEB5F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(35.47-38.85)</w:t>
                                  </w:r>
                                </w:p>
                              </w:tc>
                              <w:tc>
                                <w:tcPr>
                                  <w:tcW w:w="196" w:type="dxa"/>
                                  <w:tcBorders>
                                    <w:top w:val="nil"/>
                                    <w:left w:val="nil"/>
                                    <w:bottom w:val="nil"/>
                                    <w:right w:val="nil"/>
                                  </w:tcBorders>
                                  <w:shd w:val="clear" w:color="000000" w:fill="EEECE1"/>
                                  <w:noWrap/>
                                  <w:vAlign w:val="bottom"/>
                                  <w:hideMark/>
                                </w:tcPr>
                                <w:p w14:paraId="2C87A97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6B7BE5F5"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11049</w:t>
                                  </w:r>
                                  <w:proofErr w:type="gramEnd"/>
                                </w:p>
                              </w:tc>
                              <w:tc>
                                <w:tcPr>
                                  <w:tcW w:w="692" w:type="dxa"/>
                                  <w:tcBorders>
                                    <w:top w:val="nil"/>
                                    <w:left w:val="nil"/>
                                    <w:bottom w:val="nil"/>
                                    <w:right w:val="nil"/>
                                  </w:tcBorders>
                                  <w:shd w:val="clear" w:color="000000" w:fill="EEECE1"/>
                                  <w:noWrap/>
                                  <w:vAlign w:val="bottom"/>
                                  <w:hideMark/>
                                </w:tcPr>
                                <w:p w14:paraId="0B31D1A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206.98</w:t>
                                  </w:r>
                                </w:p>
                              </w:tc>
                              <w:tc>
                                <w:tcPr>
                                  <w:tcW w:w="1104" w:type="dxa"/>
                                  <w:tcBorders>
                                    <w:top w:val="nil"/>
                                    <w:left w:val="nil"/>
                                    <w:bottom w:val="nil"/>
                                    <w:right w:val="nil"/>
                                  </w:tcBorders>
                                  <w:shd w:val="clear" w:color="000000" w:fill="EEECE1"/>
                                  <w:noWrap/>
                                  <w:vAlign w:val="bottom"/>
                                  <w:hideMark/>
                                </w:tcPr>
                                <w:p w14:paraId="1144D1DB"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(203.16-210.88)</w:t>
                                  </w:r>
                                </w:p>
                              </w:tc>
                              <w:tc>
                                <w:tcPr>
                                  <w:tcW w:w="196" w:type="dxa"/>
                                  <w:tcBorders>
                                    <w:top w:val="nil"/>
                                    <w:left w:val="nil"/>
                                    <w:bottom w:val="nil"/>
                                    <w:right w:val="nil"/>
                                  </w:tcBorders>
                                  <w:shd w:val="clear" w:color="000000" w:fill="EEECE1"/>
                                  <w:noWrap/>
                                  <w:vAlign w:val="bottom"/>
                                  <w:hideMark/>
                                </w:tcPr>
                                <w:p w14:paraId="18337E6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A84DF9B"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11445</w:t>
                                  </w:r>
                                  <w:proofErr w:type="gramEnd"/>
                                </w:p>
                              </w:tc>
                              <w:tc>
                                <w:tcPr>
                                  <w:tcW w:w="692" w:type="dxa"/>
                                  <w:tcBorders>
                                    <w:top w:val="nil"/>
                                    <w:left w:val="nil"/>
                                    <w:bottom w:val="nil"/>
                                    <w:right w:val="nil"/>
                                  </w:tcBorders>
                                  <w:shd w:val="clear" w:color="000000" w:fill="EEECE1"/>
                                  <w:noWrap/>
                                  <w:vAlign w:val="bottom"/>
                                  <w:hideMark/>
                                </w:tcPr>
                                <w:p w14:paraId="2682FAE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229.17</w:t>
                                  </w:r>
                                </w:p>
                              </w:tc>
                              <w:tc>
                                <w:tcPr>
                                  <w:tcW w:w="1104" w:type="dxa"/>
                                  <w:tcBorders>
                                    <w:top w:val="nil"/>
                                    <w:left w:val="nil"/>
                                    <w:bottom w:val="nil"/>
                                    <w:right w:val="single" w:sz="8" w:space="0" w:color="auto"/>
                                  </w:tcBorders>
                                  <w:shd w:val="clear" w:color="000000" w:fill="EEECE1"/>
                                  <w:noWrap/>
                                  <w:vAlign w:val="bottom"/>
                                  <w:hideMark/>
                                </w:tcPr>
                                <w:p w14:paraId="09E02F3C"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(225.01-233.41)</w:t>
                                  </w:r>
                                </w:p>
                              </w:tc>
                            </w:tr>
                            <w:tr w:rsidR="00AD312A" w:rsidRPr="00122306" w14:paraId="0F26D7CE"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01C242E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nil"/>
                                    <w:right w:val="nil"/>
                                  </w:tcBorders>
                                  <w:shd w:val="clear" w:color="000000" w:fill="EEECE1"/>
                                  <w:noWrap/>
                                  <w:vAlign w:val="bottom"/>
                                  <w:hideMark/>
                                </w:tcPr>
                                <w:p w14:paraId="148D54B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000000" w:fill="EEECE1"/>
                                  <w:noWrap/>
                                  <w:vAlign w:val="bottom"/>
                                  <w:hideMark/>
                                </w:tcPr>
                                <w:p w14:paraId="0CF6A35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2747</w:t>
                                  </w:r>
                                </w:p>
                              </w:tc>
                              <w:tc>
                                <w:tcPr>
                                  <w:tcW w:w="692" w:type="dxa"/>
                                  <w:tcBorders>
                                    <w:top w:val="nil"/>
                                    <w:left w:val="nil"/>
                                    <w:bottom w:val="nil"/>
                                    <w:right w:val="nil"/>
                                  </w:tcBorders>
                                  <w:shd w:val="clear" w:color="000000" w:fill="EEECE1"/>
                                  <w:noWrap/>
                                  <w:vAlign w:val="bottom"/>
                                  <w:hideMark/>
                                </w:tcPr>
                                <w:p w14:paraId="6CE4B19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93.01</w:t>
                                  </w:r>
                                </w:p>
                              </w:tc>
                              <w:tc>
                                <w:tcPr>
                                  <w:tcW w:w="1104" w:type="dxa"/>
                                  <w:tcBorders>
                                    <w:top w:val="nil"/>
                                    <w:left w:val="nil"/>
                                    <w:bottom w:val="nil"/>
                                    <w:right w:val="nil"/>
                                  </w:tcBorders>
                                  <w:shd w:val="clear" w:color="000000" w:fill="EEECE1"/>
                                  <w:noWrap/>
                                  <w:vAlign w:val="bottom"/>
                                  <w:hideMark/>
                                </w:tcPr>
                                <w:p w14:paraId="1C7EEE0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(89.60-96.55)</w:t>
                                  </w:r>
                                </w:p>
                              </w:tc>
                              <w:tc>
                                <w:tcPr>
                                  <w:tcW w:w="196" w:type="dxa"/>
                                  <w:tcBorders>
                                    <w:top w:val="nil"/>
                                    <w:left w:val="nil"/>
                                    <w:bottom w:val="nil"/>
                                    <w:right w:val="nil"/>
                                  </w:tcBorders>
                                  <w:shd w:val="clear" w:color="000000" w:fill="EEECE1"/>
                                  <w:noWrap/>
                                  <w:vAlign w:val="bottom"/>
                                  <w:hideMark/>
                                </w:tcPr>
                                <w:p w14:paraId="4C7DCD6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13E640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8598</w:t>
                                  </w:r>
                                </w:p>
                              </w:tc>
                              <w:tc>
                                <w:tcPr>
                                  <w:tcW w:w="692" w:type="dxa"/>
                                  <w:tcBorders>
                                    <w:top w:val="nil"/>
                                    <w:left w:val="nil"/>
                                    <w:bottom w:val="nil"/>
                                    <w:right w:val="nil"/>
                                  </w:tcBorders>
                                  <w:shd w:val="clear" w:color="000000" w:fill="EEECE1"/>
                                  <w:noWrap/>
                                  <w:vAlign w:val="bottom"/>
                                  <w:hideMark/>
                                </w:tcPr>
                                <w:p w14:paraId="2190387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237.10</w:t>
                                  </w:r>
                                </w:p>
                              </w:tc>
                              <w:tc>
                                <w:tcPr>
                                  <w:tcW w:w="1104" w:type="dxa"/>
                                  <w:tcBorders>
                                    <w:top w:val="nil"/>
                                    <w:left w:val="nil"/>
                                    <w:bottom w:val="nil"/>
                                    <w:right w:val="nil"/>
                                  </w:tcBorders>
                                  <w:shd w:val="clear" w:color="000000" w:fill="EEECE1"/>
                                  <w:noWrap/>
                                  <w:vAlign w:val="bottom"/>
                                  <w:hideMark/>
                                </w:tcPr>
                                <w:p w14:paraId="34D1D6A3"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(232.14-242.16)</w:t>
                                  </w:r>
                                </w:p>
                              </w:tc>
                              <w:tc>
                                <w:tcPr>
                                  <w:tcW w:w="196" w:type="dxa"/>
                                  <w:tcBorders>
                                    <w:top w:val="nil"/>
                                    <w:left w:val="nil"/>
                                    <w:bottom w:val="nil"/>
                                    <w:right w:val="nil"/>
                                  </w:tcBorders>
                                  <w:shd w:val="clear" w:color="000000" w:fill="EEECE1"/>
                                  <w:noWrap/>
                                  <w:vAlign w:val="bottom"/>
                                  <w:hideMark/>
                                </w:tcPr>
                                <w:p w14:paraId="7123FCA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CA0CA3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9318</w:t>
                                  </w:r>
                                </w:p>
                              </w:tc>
                              <w:tc>
                                <w:tcPr>
                                  <w:tcW w:w="692" w:type="dxa"/>
                                  <w:tcBorders>
                                    <w:top w:val="nil"/>
                                    <w:left w:val="nil"/>
                                    <w:bottom w:val="nil"/>
                                    <w:right w:val="nil"/>
                                  </w:tcBorders>
                                  <w:shd w:val="clear" w:color="000000" w:fill="EEECE1"/>
                                  <w:noWrap/>
                                  <w:vAlign w:val="bottom"/>
                                  <w:hideMark/>
                                </w:tcPr>
                                <w:p w14:paraId="0F7B871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315.50</w:t>
                                  </w:r>
                                </w:p>
                              </w:tc>
                              <w:tc>
                                <w:tcPr>
                                  <w:tcW w:w="1104" w:type="dxa"/>
                                  <w:tcBorders>
                                    <w:top w:val="nil"/>
                                    <w:left w:val="nil"/>
                                    <w:bottom w:val="nil"/>
                                    <w:right w:val="single" w:sz="8" w:space="0" w:color="auto"/>
                                  </w:tcBorders>
                                  <w:shd w:val="clear" w:color="000000" w:fill="EEECE1"/>
                                  <w:noWrap/>
                                  <w:vAlign w:val="bottom"/>
                                  <w:hideMark/>
                                </w:tcPr>
                                <w:p w14:paraId="10FB2E2B"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(309.16-321.97)</w:t>
                                  </w:r>
                                </w:p>
                              </w:tc>
                            </w:tr>
                            <w:tr w:rsidR="00AD312A" w:rsidRPr="00122306" w14:paraId="7A564112" w14:textId="77777777" w:rsidTr="006143D9">
                              <w:trPr>
                                <w:trHeight w:val="312"/>
                              </w:trPr>
                              <w:tc>
                                <w:tcPr>
                                  <w:tcW w:w="843" w:type="dxa"/>
                                  <w:tcBorders>
                                    <w:top w:val="nil"/>
                                    <w:left w:val="single" w:sz="8" w:space="0" w:color="auto"/>
                                    <w:bottom w:val="single" w:sz="8" w:space="0" w:color="auto"/>
                                    <w:right w:val="nil"/>
                                  </w:tcBorders>
                                  <w:shd w:val="clear" w:color="000000" w:fill="EEECE1"/>
                                  <w:noWrap/>
                                  <w:vAlign w:val="bottom"/>
                                  <w:hideMark/>
                                </w:tcPr>
                                <w:p w14:paraId="6031A57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single" w:sz="8" w:space="0" w:color="auto"/>
                                    <w:right w:val="nil"/>
                                  </w:tcBorders>
                                  <w:shd w:val="clear" w:color="000000" w:fill="EEECE1"/>
                                  <w:noWrap/>
                                  <w:vAlign w:val="bottom"/>
                                  <w:hideMark/>
                                </w:tcPr>
                                <w:p w14:paraId="6BA4D55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8" w:space="0" w:color="auto"/>
                                    <w:right w:val="nil"/>
                                  </w:tcBorders>
                                  <w:shd w:val="clear" w:color="000000" w:fill="EEECE1"/>
                                  <w:noWrap/>
                                  <w:vAlign w:val="bottom"/>
                                  <w:hideMark/>
                                </w:tcPr>
                                <w:p w14:paraId="2D98422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1833</w:t>
                                  </w:r>
                                </w:p>
                              </w:tc>
                              <w:tc>
                                <w:tcPr>
                                  <w:tcW w:w="692" w:type="dxa"/>
                                  <w:tcBorders>
                                    <w:top w:val="nil"/>
                                    <w:left w:val="nil"/>
                                    <w:bottom w:val="single" w:sz="8" w:space="0" w:color="auto"/>
                                    <w:right w:val="nil"/>
                                  </w:tcBorders>
                                  <w:shd w:val="clear" w:color="000000" w:fill="EEECE1"/>
                                  <w:noWrap/>
                                  <w:vAlign w:val="bottom"/>
                                  <w:hideMark/>
                                </w:tcPr>
                                <w:p w14:paraId="452F38D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130.00</w:t>
                                  </w:r>
                                </w:p>
                              </w:tc>
                              <w:tc>
                                <w:tcPr>
                                  <w:tcW w:w="1104" w:type="dxa"/>
                                  <w:tcBorders>
                                    <w:top w:val="nil"/>
                                    <w:left w:val="nil"/>
                                    <w:bottom w:val="single" w:sz="8" w:space="0" w:color="auto"/>
                                    <w:right w:val="nil"/>
                                  </w:tcBorders>
                                  <w:shd w:val="clear" w:color="000000" w:fill="EEECE1"/>
                                  <w:noWrap/>
                                  <w:vAlign w:val="bottom"/>
                                  <w:hideMark/>
                                </w:tcPr>
                                <w:p w14:paraId="3FA5A74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(120.00-130.00)</w:t>
                                  </w:r>
                                </w:p>
                              </w:tc>
                              <w:tc>
                                <w:tcPr>
                                  <w:tcW w:w="196" w:type="dxa"/>
                                  <w:tcBorders>
                                    <w:top w:val="nil"/>
                                    <w:left w:val="nil"/>
                                    <w:bottom w:val="single" w:sz="8" w:space="0" w:color="auto"/>
                                    <w:right w:val="nil"/>
                                  </w:tcBorders>
                                  <w:shd w:val="clear" w:color="000000" w:fill="EEECE1"/>
                                  <w:noWrap/>
                                  <w:vAlign w:val="bottom"/>
                                  <w:hideMark/>
                                </w:tcPr>
                                <w:p w14:paraId="510EB6E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8" w:space="0" w:color="auto"/>
                                    <w:right w:val="nil"/>
                                  </w:tcBorders>
                                  <w:shd w:val="clear" w:color="000000" w:fill="EEECE1"/>
                                  <w:noWrap/>
                                  <w:vAlign w:val="bottom"/>
                                  <w:hideMark/>
                                </w:tcPr>
                                <w:p w14:paraId="3C8B24D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5542</w:t>
                                  </w:r>
                                </w:p>
                              </w:tc>
                              <w:tc>
                                <w:tcPr>
                                  <w:tcW w:w="692" w:type="dxa"/>
                                  <w:tcBorders>
                                    <w:top w:val="nil"/>
                                    <w:left w:val="nil"/>
                                    <w:bottom w:val="single" w:sz="8" w:space="0" w:color="auto"/>
                                    <w:right w:val="nil"/>
                                  </w:tcBorders>
                                  <w:shd w:val="clear" w:color="000000" w:fill="EEECE1"/>
                                  <w:noWrap/>
                                  <w:vAlign w:val="bottom"/>
                                  <w:hideMark/>
                                </w:tcPr>
                                <w:p w14:paraId="4111280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303.80</w:t>
                                  </w:r>
                                </w:p>
                              </w:tc>
                              <w:tc>
                                <w:tcPr>
                                  <w:tcW w:w="1104" w:type="dxa"/>
                                  <w:tcBorders>
                                    <w:top w:val="nil"/>
                                    <w:left w:val="nil"/>
                                    <w:bottom w:val="single" w:sz="8" w:space="0" w:color="auto"/>
                                    <w:right w:val="nil"/>
                                  </w:tcBorders>
                                  <w:shd w:val="clear" w:color="000000" w:fill="EEECE1"/>
                                  <w:noWrap/>
                                  <w:vAlign w:val="bottom"/>
                                  <w:hideMark/>
                                </w:tcPr>
                                <w:p w14:paraId="4A3A02F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(295.91-311.91)</w:t>
                                  </w:r>
                                </w:p>
                              </w:tc>
                              <w:tc>
                                <w:tcPr>
                                  <w:tcW w:w="196" w:type="dxa"/>
                                  <w:tcBorders>
                                    <w:top w:val="nil"/>
                                    <w:left w:val="nil"/>
                                    <w:bottom w:val="single" w:sz="8" w:space="0" w:color="auto"/>
                                    <w:right w:val="nil"/>
                                  </w:tcBorders>
                                  <w:shd w:val="clear" w:color="000000" w:fill="EEECE1"/>
                                  <w:noWrap/>
                                  <w:vAlign w:val="bottom"/>
                                  <w:hideMark/>
                                </w:tcPr>
                                <w:p w14:paraId="2E9096D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8" w:space="0" w:color="auto"/>
                                    <w:right w:val="nil"/>
                                  </w:tcBorders>
                                  <w:shd w:val="clear" w:color="000000" w:fill="EEECE1"/>
                                  <w:noWrap/>
                                  <w:vAlign w:val="bottom"/>
                                  <w:hideMark/>
                                </w:tcPr>
                                <w:p w14:paraId="7BF6CF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6000</w:t>
                                  </w:r>
                                </w:p>
                              </w:tc>
                              <w:tc>
                                <w:tcPr>
                                  <w:tcW w:w="692" w:type="dxa"/>
                                  <w:tcBorders>
                                    <w:top w:val="nil"/>
                                    <w:left w:val="nil"/>
                                    <w:bottom w:val="single" w:sz="8" w:space="0" w:color="auto"/>
                                    <w:right w:val="nil"/>
                                  </w:tcBorders>
                                  <w:shd w:val="clear" w:color="000000" w:fill="EEECE1"/>
                                  <w:noWrap/>
                                  <w:vAlign w:val="bottom"/>
                                  <w:hideMark/>
                                </w:tcPr>
                                <w:p w14:paraId="4670359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415.36</w:t>
                                  </w:r>
                                </w:p>
                              </w:tc>
                              <w:tc>
                                <w:tcPr>
                                  <w:tcW w:w="1104" w:type="dxa"/>
                                  <w:tcBorders>
                                    <w:top w:val="nil"/>
                                    <w:left w:val="nil"/>
                                    <w:bottom w:val="single" w:sz="8" w:space="0" w:color="auto"/>
                                    <w:right w:val="single" w:sz="8" w:space="0" w:color="auto"/>
                                  </w:tcBorders>
                                  <w:shd w:val="clear" w:color="000000" w:fill="EEECE1"/>
                                  <w:noWrap/>
                                  <w:vAlign w:val="bottom"/>
                                  <w:hideMark/>
                                </w:tcPr>
                                <w:p w14:paraId="59C51F7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(404.98-426.01)</w:t>
                                  </w:r>
                                </w:p>
                              </w:tc>
                            </w:tr>
                          </w:tbl>
                          <w:p w14:paraId="3181D0E4" w14:textId="6D69E57B" w:rsidR="00AD312A" w:rsidRDefault="00AD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pt;margin-top:140.6pt;width:483pt;height:54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" strokecolor="white [3212]">
                <v:textbox>
                  <w:txbxContent>
                    <w:p w14:paraId="0E74980D" w14:textId="04973465" w:rsidR="00AD312A" w:rsidRPr="000B6CFC" w:rsidRDefault="00AD312A" w:rsidP="006D0069">
                      <w:pPr>
                        <w:jc w:val="both"/>
                        <w:rPr>
                          <w:i/>
                          <w:sz w:val="20"/>
                          <w:szCs w:val="20"/>
                          <w:lang w:val="en-US"/>
                        </w:rPr>
                      </w:pPr>
                      <w:r w:rsidRPr="000B6CFC">
                        <w:rPr>
                          <w:b/>
                          <w:sz w:val="20"/>
                          <w:szCs w:val="20"/>
                          <w:lang w:val="en-US"/>
                        </w:rPr>
                        <w:t>Table 2</w:t>
                      </w:r>
                      <w:r w:rsidRPr="000B6CFC">
                        <w:rPr>
                          <w:sz w:val="20"/>
                          <w:szCs w:val="20"/>
                          <w:lang w:val="en-US"/>
                        </w:rPr>
                        <w:t>:</w:t>
                      </w:r>
                      <w:r w:rsidR="000206F7" w:rsidRPr="000206F7">
                        <w:rPr>
                          <w:i/>
                          <w:sz w:val="20"/>
                          <w:szCs w:val="20"/>
                          <w:lang w:val="en-US"/>
                        </w:rPr>
                        <w:t xml:space="preserve"> </w:t>
                      </w:r>
                      <w:r w:rsidR="000206F7">
                        <w:rPr>
                          <w:i/>
                          <w:sz w:val="20"/>
                          <w:szCs w:val="20"/>
                          <w:lang w:val="en-US"/>
                        </w:rPr>
                        <w:t>Event R</w:t>
                      </w:r>
                      <w:r w:rsidR="000206F7" w:rsidRPr="000B6CFC">
                        <w:rPr>
                          <w:i/>
                          <w:sz w:val="20"/>
                          <w:szCs w:val="20"/>
                          <w:lang w:val="en-US"/>
                        </w:rPr>
                        <w:t>ates of</w:t>
                      </w:r>
                      <w:r w:rsidR="000206F7">
                        <w:rPr>
                          <w:i/>
                          <w:sz w:val="20"/>
                          <w:szCs w:val="20"/>
                          <w:lang w:val="en-US"/>
                        </w:rPr>
                        <w:t xml:space="preserve"> S</w:t>
                      </w:r>
                      <w:r w:rsidR="000206F7" w:rsidRPr="000B6CFC">
                        <w:rPr>
                          <w:i/>
                          <w:sz w:val="20"/>
                          <w:szCs w:val="20"/>
                          <w:lang w:val="en-US"/>
                        </w:rPr>
                        <w:t>troke,</w:t>
                      </w:r>
                      <w:r w:rsidR="000206F7">
                        <w:rPr>
                          <w:i/>
                          <w:sz w:val="20"/>
                          <w:szCs w:val="20"/>
                          <w:lang w:val="en-US"/>
                        </w:rPr>
                        <w:t xml:space="preserve"> D</w:t>
                      </w:r>
                      <w:r w:rsidR="000206F7" w:rsidRPr="000B6CFC">
                        <w:rPr>
                          <w:i/>
                          <w:sz w:val="20"/>
                          <w:szCs w:val="20"/>
                          <w:lang w:val="en-US"/>
                        </w:rPr>
                        <w:t xml:space="preserve">eath and </w:t>
                      </w:r>
                      <w:r w:rsidR="000206F7">
                        <w:rPr>
                          <w:i/>
                          <w:sz w:val="20"/>
                          <w:szCs w:val="20"/>
                          <w:lang w:val="en-US"/>
                        </w:rPr>
                        <w:t>‘C</w:t>
                      </w:r>
                      <w:r w:rsidR="000206F7" w:rsidRPr="000B6CFC">
                        <w:rPr>
                          <w:i/>
                          <w:sz w:val="20"/>
                          <w:szCs w:val="20"/>
                          <w:lang w:val="en-US"/>
                        </w:rPr>
                        <w:t>omposite Stroke and</w:t>
                      </w:r>
                      <w:r w:rsidR="000206F7">
                        <w:rPr>
                          <w:i/>
                          <w:sz w:val="20"/>
                          <w:szCs w:val="20"/>
                          <w:lang w:val="en-US"/>
                        </w:rPr>
                        <w:t xml:space="preserve"> Death’. The table illustrates the e</w:t>
                      </w:r>
                      <w:r w:rsidRPr="000B6CFC">
                        <w:rPr>
                          <w:i/>
                          <w:sz w:val="20"/>
                          <w:szCs w:val="20"/>
                          <w:lang w:val="en-US"/>
                        </w:rPr>
                        <w:t xml:space="preserve">vent rates of stroke, death and </w:t>
                      </w:r>
                      <w:r w:rsidR="000206F7">
                        <w:rPr>
                          <w:i/>
                          <w:sz w:val="20"/>
                          <w:szCs w:val="20"/>
                          <w:lang w:val="en-US"/>
                        </w:rPr>
                        <w:t>‘</w:t>
                      </w:r>
                      <w:r w:rsidRPr="000B6CFC">
                        <w:rPr>
                          <w:i/>
                          <w:sz w:val="20"/>
                          <w:szCs w:val="20"/>
                          <w:lang w:val="en-US"/>
                        </w:rPr>
                        <w:t>composite Stroke and Death</w:t>
                      </w:r>
                      <w:r w:rsidR="000206F7">
                        <w:rPr>
                          <w:i/>
                          <w:sz w:val="20"/>
                          <w:szCs w:val="20"/>
                          <w:lang w:val="en-US"/>
                        </w:rPr>
                        <w:t>’</w:t>
                      </w:r>
                      <w:r w:rsidRPr="000B6CFC">
                        <w:rPr>
                          <w:i/>
                          <w:sz w:val="20"/>
                          <w:szCs w:val="20"/>
                          <w:lang w:val="en-US"/>
                        </w:rPr>
                        <w:t xml:space="preserve"> in each age group and for each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 xml:space="preserve">-VASc </w:t>
                      </w:r>
                      <w:r w:rsidRPr="000B6CFC">
                        <w:rPr>
                          <w:i/>
                          <w:sz w:val="20"/>
                          <w:szCs w:val="20"/>
                          <w:lang w:val="en-US"/>
                        </w:rPr>
                        <w:t>score (excl. age and sex) divided into scores of 0 (no risk factors present), 1, 2, and 3+.</w:t>
                      </w:r>
                    </w:p>
                    <w:tbl>
                      <w:tblPr>
                        <w:tblW w:w="9425" w:type="dxa"/>
                        <w:tblCellMar>
                          <w:left w:w="70" w:type="dxa"/>
                          <w:right w:w="70" w:type="dxa"/>
                        </w:tblCellMar>
                        <w:tblLook w:val="04A0" w:firstRow="1" w:lastRow="0" w:firstColumn="1" w:lastColumn="0" w:noHBand="0" w:noVBand="1"/>
                      </w:tblPr>
                      <w:tblGrid>
                        <w:gridCol w:w="843"/>
                        <w:gridCol w:w="595"/>
                        <w:gridCol w:w="775"/>
                        <w:gridCol w:w="692"/>
                        <w:gridCol w:w="1104"/>
                        <w:gridCol w:w="196"/>
                        <w:gridCol w:w="716"/>
                        <w:gridCol w:w="692"/>
                        <w:gridCol w:w="1104"/>
                        <w:gridCol w:w="196"/>
                        <w:gridCol w:w="716"/>
                        <w:gridCol w:w="692"/>
                        <w:gridCol w:w="1104"/>
                      </w:tblGrid>
                      <w:tr w:rsidR="00AD312A" w:rsidRPr="00122306" w14:paraId="346FBE1A" w14:textId="77777777" w:rsidTr="004E3A09">
                        <w:trPr>
                          <w:trHeight w:val="312"/>
                        </w:trPr>
                        <w:tc>
                          <w:tcPr>
                            <w:tcW w:w="843" w:type="dxa"/>
                            <w:tcBorders>
                              <w:top w:val="nil"/>
                              <w:bottom w:val="single" w:sz="8" w:space="0" w:color="auto"/>
                              <w:right w:val="nil"/>
                            </w:tcBorders>
                            <w:shd w:val="clear" w:color="auto" w:fill="auto"/>
                            <w:noWrap/>
                            <w:vAlign w:val="bottom"/>
                            <w:hideMark/>
                          </w:tcPr>
                          <w:p w14:paraId="23A73FA9" w14:textId="1449061E" w:rsidR="00AD312A" w:rsidRPr="00122306" w:rsidRDefault="00AD312A" w:rsidP="00E55835">
                            <w:pPr>
                              <w:rPr>
                                <w:rFonts w:ascii="Calibri" w:hAnsi="Calibri" w:cs="Times New Roman"/>
                                <w:color w:val="000000"/>
                                <w:sz w:val="18"/>
                                <w:szCs w:val="18"/>
                                <w:lang w:val="en-US"/>
                              </w:rPr>
                            </w:pPr>
                          </w:p>
                        </w:tc>
                        <w:tc>
                          <w:tcPr>
                            <w:tcW w:w="595" w:type="dxa"/>
                            <w:tcBorders>
                              <w:top w:val="nil"/>
                              <w:left w:val="nil"/>
                              <w:bottom w:val="nil"/>
                            </w:tcBorders>
                            <w:shd w:val="clear" w:color="auto" w:fill="auto"/>
                            <w:noWrap/>
                            <w:vAlign w:val="bottom"/>
                            <w:hideMark/>
                          </w:tcPr>
                          <w:p w14:paraId="6241FB54" w14:textId="77777777" w:rsidR="00AD312A" w:rsidRPr="00122306" w:rsidRDefault="00AD312A" w:rsidP="00E55835">
                            <w:pPr>
                              <w:rPr>
                                <w:rFonts w:ascii="Calibri" w:hAnsi="Calibri" w:cs="Times New Roman"/>
                                <w:color w:val="000000"/>
                                <w:sz w:val="18"/>
                                <w:szCs w:val="18"/>
                                <w:lang w:val="en-US"/>
                              </w:rPr>
                            </w:pPr>
                          </w:p>
                        </w:tc>
                        <w:tc>
                          <w:tcPr>
                            <w:tcW w:w="775" w:type="dxa"/>
                            <w:tcBorders>
                              <w:top w:val="nil"/>
                              <w:bottom w:val="single" w:sz="8" w:space="0" w:color="auto"/>
                              <w:right w:val="nil"/>
                            </w:tcBorders>
                            <w:shd w:val="clear" w:color="auto" w:fill="auto"/>
                            <w:noWrap/>
                            <w:vAlign w:val="bottom"/>
                            <w:hideMark/>
                          </w:tcPr>
                          <w:p w14:paraId="1853A38E" w14:textId="77777777" w:rsidR="00AD312A" w:rsidRPr="00122306" w:rsidRDefault="00AD312A" w:rsidP="00E55835">
                            <w:pPr>
                              <w:rPr>
                                <w:rFonts w:ascii="Calibri" w:hAnsi="Calibri" w:cs="Times New Roman"/>
                                <w:b/>
                                <w:bCs/>
                                <w:color w:val="000000"/>
                                <w:sz w:val="18"/>
                                <w:szCs w:val="18"/>
                              </w:rPr>
                            </w:pPr>
                            <w:proofErr w:type="spellStart"/>
                            <w:r w:rsidRPr="00122306">
                              <w:rPr>
                                <w:rFonts w:ascii="Calibri" w:hAnsi="Calibri" w:cs="Times New Roman"/>
                                <w:b/>
                                <w:bCs/>
                                <w:color w:val="000000"/>
                                <w:sz w:val="18"/>
                                <w:szCs w:val="18"/>
                              </w:rPr>
                              <w:t>Stroke</w:t>
                            </w:r>
                            <w:proofErr w:type="spellEnd"/>
                          </w:p>
                        </w:tc>
                        <w:tc>
                          <w:tcPr>
                            <w:tcW w:w="692" w:type="dxa"/>
                            <w:tcBorders>
                              <w:top w:val="nil"/>
                              <w:left w:val="nil"/>
                              <w:bottom w:val="nil"/>
                              <w:right w:val="nil"/>
                            </w:tcBorders>
                            <w:shd w:val="clear" w:color="auto" w:fill="auto"/>
                            <w:noWrap/>
                            <w:vAlign w:val="bottom"/>
                            <w:hideMark/>
                          </w:tcPr>
                          <w:p w14:paraId="5BB6307D" w14:textId="77777777" w:rsidR="00AD312A" w:rsidRPr="00122306" w:rsidRDefault="00AD312A" w:rsidP="00E55835">
                            <w:pPr>
                              <w:rPr>
                                <w:rFonts w:ascii="Calibri" w:hAnsi="Calibri" w:cs="Times New Roman"/>
                                <w:color w:val="000000"/>
                                <w:sz w:val="18"/>
                                <w:szCs w:val="18"/>
                              </w:rPr>
                            </w:pPr>
                          </w:p>
                        </w:tc>
                        <w:tc>
                          <w:tcPr>
                            <w:tcW w:w="1104" w:type="dxa"/>
                            <w:tcBorders>
                              <w:top w:val="nil"/>
                              <w:left w:val="nil"/>
                              <w:bottom w:val="nil"/>
                              <w:right w:val="nil"/>
                            </w:tcBorders>
                            <w:shd w:val="clear" w:color="auto" w:fill="auto"/>
                            <w:noWrap/>
                            <w:vAlign w:val="bottom"/>
                            <w:hideMark/>
                          </w:tcPr>
                          <w:p w14:paraId="776F0432" w14:textId="77777777" w:rsidR="00AD312A" w:rsidRPr="00122306" w:rsidRDefault="00AD312A" w:rsidP="00E55835">
                            <w:pPr>
                              <w:rPr>
                                <w:rFonts w:ascii="Calibri" w:hAnsi="Calibri" w:cs="Times New Roman"/>
                                <w:b/>
                                <w:bCs/>
                                <w:color w:val="000000"/>
                                <w:sz w:val="18"/>
                                <w:szCs w:val="18"/>
                              </w:rPr>
                            </w:pPr>
                          </w:p>
                        </w:tc>
                        <w:tc>
                          <w:tcPr>
                            <w:tcW w:w="196" w:type="dxa"/>
                            <w:tcBorders>
                              <w:top w:val="nil"/>
                              <w:left w:val="nil"/>
                              <w:bottom w:val="nil"/>
                              <w:right w:val="nil"/>
                            </w:tcBorders>
                            <w:shd w:val="clear" w:color="auto" w:fill="auto"/>
                            <w:noWrap/>
                            <w:vAlign w:val="bottom"/>
                            <w:hideMark/>
                          </w:tcPr>
                          <w:p w14:paraId="7900FBBB" w14:textId="77777777" w:rsidR="00AD312A" w:rsidRPr="00122306" w:rsidRDefault="00AD312A" w:rsidP="00E55835">
                            <w:pPr>
                              <w:rPr>
                                <w:rFonts w:ascii="Calibri" w:hAnsi="Calibri" w:cs="Times New Roman"/>
                                <w:b/>
                                <w:bCs/>
                                <w:color w:val="000000"/>
                                <w:sz w:val="18"/>
                                <w:szCs w:val="18"/>
                              </w:rPr>
                            </w:pPr>
                          </w:p>
                        </w:tc>
                        <w:tc>
                          <w:tcPr>
                            <w:tcW w:w="716" w:type="dxa"/>
                            <w:tcBorders>
                              <w:top w:val="nil"/>
                              <w:left w:val="nil"/>
                              <w:bottom w:val="nil"/>
                              <w:right w:val="nil"/>
                            </w:tcBorders>
                            <w:shd w:val="clear" w:color="auto" w:fill="auto"/>
                            <w:noWrap/>
                            <w:vAlign w:val="bottom"/>
                            <w:hideMark/>
                          </w:tcPr>
                          <w:p w14:paraId="35C621A8" w14:textId="77777777" w:rsidR="00AD312A" w:rsidRPr="00122306" w:rsidRDefault="00AD312A" w:rsidP="00E55835">
                            <w:pPr>
                              <w:rPr>
                                <w:rFonts w:ascii="Calibri" w:hAnsi="Calibri" w:cs="Times New Roman"/>
                                <w:b/>
                                <w:bCs/>
                                <w:color w:val="000000"/>
                                <w:sz w:val="18"/>
                                <w:szCs w:val="18"/>
                              </w:rPr>
                            </w:pPr>
                            <w:proofErr w:type="spellStart"/>
                            <w:r w:rsidRPr="00122306">
                              <w:rPr>
                                <w:rFonts w:ascii="Calibri" w:hAnsi="Calibri" w:cs="Times New Roman"/>
                                <w:b/>
                                <w:bCs/>
                                <w:color w:val="000000"/>
                                <w:sz w:val="18"/>
                                <w:szCs w:val="18"/>
                              </w:rPr>
                              <w:t>Death</w:t>
                            </w:r>
                            <w:proofErr w:type="spellEnd"/>
                          </w:p>
                        </w:tc>
                        <w:tc>
                          <w:tcPr>
                            <w:tcW w:w="692" w:type="dxa"/>
                            <w:tcBorders>
                              <w:top w:val="nil"/>
                              <w:left w:val="nil"/>
                              <w:bottom w:val="nil"/>
                              <w:right w:val="nil"/>
                            </w:tcBorders>
                            <w:shd w:val="clear" w:color="auto" w:fill="auto"/>
                            <w:noWrap/>
                            <w:vAlign w:val="bottom"/>
                            <w:hideMark/>
                          </w:tcPr>
                          <w:p w14:paraId="0D05F317" w14:textId="77777777" w:rsidR="00AD312A" w:rsidRPr="00122306" w:rsidRDefault="00AD312A" w:rsidP="00E55835">
                            <w:pPr>
                              <w:rPr>
                                <w:rFonts w:ascii="Calibri" w:hAnsi="Calibri" w:cs="Times New Roman"/>
                                <w:b/>
                                <w:bCs/>
                                <w:color w:val="000000"/>
                                <w:sz w:val="18"/>
                                <w:szCs w:val="18"/>
                              </w:rPr>
                            </w:pPr>
                          </w:p>
                        </w:tc>
                        <w:tc>
                          <w:tcPr>
                            <w:tcW w:w="1104" w:type="dxa"/>
                            <w:tcBorders>
                              <w:top w:val="nil"/>
                              <w:left w:val="nil"/>
                              <w:bottom w:val="nil"/>
                              <w:right w:val="nil"/>
                            </w:tcBorders>
                            <w:shd w:val="clear" w:color="auto" w:fill="auto"/>
                            <w:noWrap/>
                            <w:vAlign w:val="bottom"/>
                            <w:hideMark/>
                          </w:tcPr>
                          <w:p w14:paraId="384B70A7" w14:textId="77777777" w:rsidR="00AD312A" w:rsidRPr="00122306" w:rsidRDefault="00AD312A" w:rsidP="00E55835">
                            <w:pPr>
                              <w:rPr>
                                <w:rFonts w:ascii="Calibri" w:hAnsi="Calibri" w:cs="Times New Roman"/>
                                <w:b/>
                                <w:bCs/>
                                <w:color w:val="000000"/>
                                <w:sz w:val="18"/>
                                <w:szCs w:val="18"/>
                              </w:rPr>
                            </w:pPr>
                          </w:p>
                        </w:tc>
                        <w:tc>
                          <w:tcPr>
                            <w:tcW w:w="196" w:type="dxa"/>
                            <w:tcBorders>
                              <w:top w:val="nil"/>
                              <w:left w:val="nil"/>
                              <w:bottom w:val="nil"/>
                              <w:right w:val="nil"/>
                            </w:tcBorders>
                            <w:shd w:val="clear" w:color="auto" w:fill="auto"/>
                            <w:noWrap/>
                            <w:vAlign w:val="bottom"/>
                            <w:hideMark/>
                          </w:tcPr>
                          <w:p w14:paraId="412D9275" w14:textId="77777777" w:rsidR="00AD312A" w:rsidRPr="00122306" w:rsidRDefault="00AD312A" w:rsidP="00E55835">
                            <w:pPr>
                              <w:rPr>
                                <w:rFonts w:ascii="Calibri" w:hAnsi="Calibri" w:cs="Times New Roman"/>
                                <w:b/>
                                <w:bCs/>
                                <w:color w:val="000000"/>
                                <w:sz w:val="18"/>
                                <w:szCs w:val="18"/>
                              </w:rPr>
                            </w:pPr>
                          </w:p>
                        </w:tc>
                        <w:tc>
                          <w:tcPr>
                            <w:tcW w:w="2512" w:type="dxa"/>
                            <w:gridSpan w:val="3"/>
                            <w:tcBorders>
                              <w:top w:val="nil"/>
                              <w:left w:val="nil"/>
                              <w:bottom w:val="nil"/>
                            </w:tcBorders>
                            <w:shd w:val="clear" w:color="auto" w:fill="auto"/>
                            <w:noWrap/>
                            <w:vAlign w:val="bottom"/>
                            <w:hideMark/>
                          </w:tcPr>
                          <w:p w14:paraId="0C58598A" w14:textId="77777777" w:rsidR="00AD312A" w:rsidRPr="00122306" w:rsidRDefault="00AD312A" w:rsidP="00E55835">
                            <w:pPr>
                              <w:rPr>
                                <w:rFonts w:ascii="Calibri" w:hAnsi="Calibri" w:cs="Times New Roman"/>
                                <w:b/>
                                <w:bCs/>
                                <w:color w:val="000000"/>
                                <w:sz w:val="18"/>
                                <w:szCs w:val="18"/>
                              </w:rPr>
                            </w:pPr>
                            <w:proofErr w:type="spellStart"/>
                            <w:r w:rsidRPr="00122306">
                              <w:rPr>
                                <w:rFonts w:ascii="Calibri" w:hAnsi="Calibri" w:cs="Times New Roman"/>
                                <w:b/>
                                <w:bCs/>
                                <w:color w:val="000000"/>
                                <w:sz w:val="18"/>
                                <w:szCs w:val="18"/>
                              </w:rPr>
                              <w:t>Composite</w:t>
                            </w:r>
                            <w:proofErr w:type="spellEnd"/>
                            <w:r w:rsidRPr="00122306">
                              <w:rPr>
                                <w:rFonts w:ascii="Calibri" w:hAnsi="Calibri" w:cs="Times New Roman"/>
                                <w:b/>
                                <w:bCs/>
                                <w:color w:val="000000"/>
                                <w:sz w:val="18"/>
                                <w:szCs w:val="18"/>
                              </w:rPr>
                              <w:t xml:space="preserve"> </w:t>
                            </w:r>
                            <w:proofErr w:type="spellStart"/>
                            <w:r w:rsidRPr="00122306">
                              <w:rPr>
                                <w:rFonts w:ascii="Calibri" w:hAnsi="Calibri" w:cs="Times New Roman"/>
                                <w:b/>
                                <w:bCs/>
                                <w:color w:val="000000"/>
                                <w:sz w:val="18"/>
                                <w:szCs w:val="18"/>
                              </w:rPr>
                              <w:t>Stroke</w:t>
                            </w:r>
                            <w:proofErr w:type="spellEnd"/>
                            <w:r w:rsidRPr="00122306">
                              <w:rPr>
                                <w:rFonts w:ascii="Calibri" w:hAnsi="Calibri" w:cs="Times New Roman"/>
                                <w:b/>
                                <w:bCs/>
                                <w:color w:val="000000"/>
                                <w:sz w:val="18"/>
                                <w:szCs w:val="18"/>
                              </w:rPr>
                              <w:t xml:space="preserve"> and </w:t>
                            </w:r>
                            <w:proofErr w:type="spellStart"/>
                            <w:r w:rsidRPr="00122306">
                              <w:rPr>
                                <w:rFonts w:ascii="Calibri" w:hAnsi="Calibri" w:cs="Times New Roman"/>
                                <w:b/>
                                <w:bCs/>
                                <w:color w:val="000000"/>
                                <w:sz w:val="18"/>
                                <w:szCs w:val="18"/>
                              </w:rPr>
                              <w:t>Death</w:t>
                            </w:r>
                            <w:proofErr w:type="spellEnd"/>
                          </w:p>
                        </w:tc>
                      </w:tr>
                      <w:tr w:rsidR="00AD312A" w:rsidRPr="00122306" w14:paraId="1337F57B" w14:textId="77777777" w:rsidTr="004E3A09">
                        <w:trPr>
                          <w:trHeight w:val="312"/>
                        </w:trPr>
                        <w:tc>
                          <w:tcPr>
                            <w:tcW w:w="843" w:type="dxa"/>
                            <w:tcBorders>
                              <w:top w:val="single" w:sz="8" w:space="0" w:color="auto"/>
                              <w:left w:val="single" w:sz="8" w:space="0" w:color="auto"/>
                              <w:bottom w:val="single" w:sz="8" w:space="0" w:color="auto"/>
                              <w:right w:val="nil"/>
                            </w:tcBorders>
                            <w:shd w:val="clear" w:color="auto" w:fill="auto"/>
                            <w:noWrap/>
                            <w:vAlign w:val="bottom"/>
                            <w:hideMark/>
                          </w:tcPr>
                          <w:p w14:paraId="3DDCC369"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Age Group</w:t>
                            </w:r>
                          </w:p>
                        </w:tc>
                        <w:tc>
                          <w:tcPr>
                            <w:tcW w:w="595" w:type="dxa"/>
                            <w:tcBorders>
                              <w:top w:val="single" w:sz="8" w:space="0" w:color="auto"/>
                              <w:left w:val="nil"/>
                              <w:bottom w:val="single" w:sz="8" w:space="0" w:color="auto"/>
                              <w:right w:val="nil"/>
                            </w:tcBorders>
                            <w:shd w:val="clear" w:color="auto" w:fill="auto"/>
                            <w:noWrap/>
                            <w:vAlign w:val="bottom"/>
                            <w:hideMark/>
                          </w:tcPr>
                          <w:p w14:paraId="5941766C"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Score</w:t>
                            </w:r>
                          </w:p>
                        </w:tc>
                        <w:tc>
                          <w:tcPr>
                            <w:tcW w:w="775" w:type="dxa"/>
                            <w:tcBorders>
                              <w:top w:val="single" w:sz="8" w:space="0" w:color="auto"/>
                              <w:left w:val="nil"/>
                              <w:bottom w:val="single" w:sz="8" w:space="0" w:color="auto"/>
                              <w:right w:val="nil"/>
                            </w:tcBorders>
                            <w:shd w:val="clear" w:color="auto" w:fill="auto"/>
                            <w:noWrap/>
                            <w:vAlign w:val="bottom"/>
                            <w:hideMark/>
                          </w:tcPr>
                          <w:p w14:paraId="3F6900ED"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Event No.</w:t>
                            </w:r>
                          </w:p>
                        </w:tc>
                        <w:tc>
                          <w:tcPr>
                            <w:tcW w:w="692" w:type="dxa"/>
                            <w:tcBorders>
                              <w:top w:val="single" w:sz="8" w:space="0" w:color="auto"/>
                              <w:left w:val="nil"/>
                              <w:bottom w:val="single" w:sz="8" w:space="0" w:color="auto"/>
                              <w:right w:val="nil"/>
                            </w:tcBorders>
                            <w:shd w:val="clear" w:color="auto" w:fill="auto"/>
                            <w:noWrap/>
                            <w:vAlign w:val="bottom"/>
                            <w:hideMark/>
                          </w:tcPr>
                          <w:p w14:paraId="3A5548F5" w14:textId="77777777" w:rsidR="00AD312A" w:rsidRPr="00122306" w:rsidRDefault="00AD312A" w:rsidP="00E55835">
                            <w:pPr>
                              <w:jc w:val="right"/>
                              <w:rPr>
                                <w:rFonts w:ascii="Calibri" w:hAnsi="Calibri" w:cs="Times New Roman"/>
                                <w:b/>
                                <w:bCs/>
                                <w:color w:val="000000"/>
                                <w:sz w:val="18"/>
                                <w:szCs w:val="18"/>
                              </w:rPr>
                            </w:pPr>
                            <w:r w:rsidRPr="00122306">
                              <w:rPr>
                                <w:rFonts w:ascii="Calibri" w:hAnsi="Calibri" w:cs="Times New Roman"/>
                                <w:b/>
                                <w:bCs/>
                                <w:color w:val="000000"/>
                                <w:sz w:val="18"/>
                                <w:szCs w:val="18"/>
                              </w:rPr>
                              <w:t>Rate</w:t>
                            </w:r>
                          </w:p>
                        </w:tc>
                        <w:tc>
                          <w:tcPr>
                            <w:tcW w:w="1104" w:type="dxa"/>
                            <w:tcBorders>
                              <w:top w:val="single" w:sz="8" w:space="0" w:color="auto"/>
                              <w:left w:val="nil"/>
                              <w:bottom w:val="single" w:sz="8" w:space="0" w:color="auto"/>
                              <w:right w:val="nil"/>
                            </w:tcBorders>
                            <w:shd w:val="clear" w:color="auto" w:fill="auto"/>
                            <w:noWrap/>
                            <w:vAlign w:val="bottom"/>
                            <w:hideMark/>
                          </w:tcPr>
                          <w:p w14:paraId="74DCB611"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w:t>
                            </w:r>
                            <w:proofErr w:type="gramStart"/>
                            <w:r w:rsidRPr="00122306">
                              <w:rPr>
                                <w:rFonts w:ascii="Calibri" w:hAnsi="Calibri" w:cs="Times New Roman"/>
                                <w:b/>
                                <w:bCs/>
                                <w:color w:val="000000"/>
                                <w:sz w:val="18"/>
                                <w:szCs w:val="18"/>
                              </w:rPr>
                              <w:t>95%</w:t>
                            </w:r>
                            <w:proofErr w:type="gramEnd"/>
                            <w:r w:rsidRPr="00122306">
                              <w:rPr>
                                <w:rFonts w:ascii="Calibri" w:hAnsi="Calibri" w:cs="Times New Roman"/>
                                <w:b/>
                                <w:bCs/>
                                <w:color w:val="000000"/>
                                <w:sz w:val="18"/>
                                <w:szCs w:val="18"/>
                              </w:rPr>
                              <w:t xml:space="preserve"> CI)</w:t>
                            </w:r>
                          </w:p>
                        </w:tc>
                        <w:tc>
                          <w:tcPr>
                            <w:tcW w:w="196" w:type="dxa"/>
                            <w:tcBorders>
                              <w:top w:val="single" w:sz="8" w:space="0" w:color="auto"/>
                              <w:left w:val="nil"/>
                              <w:bottom w:val="single" w:sz="8" w:space="0" w:color="auto"/>
                              <w:right w:val="nil"/>
                            </w:tcBorders>
                            <w:shd w:val="clear" w:color="auto" w:fill="auto"/>
                            <w:noWrap/>
                            <w:vAlign w:val="bottom"/>
                            <w:hideMark/>
                          </w:tcPr>
                          <w:p w14:paraId="5241ACED"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 </w:t>
                            </w:r>
                          </w:p>
                        </w:tc>
                        <w:tc>
                          <w:tcPr>
                            <w:tcW w:w="716" w:type="dxa"/>
                            <w:tcBorders>
                              <w:top w:val="single" w:sz="8" w:space="0" w:color="auto"/>
                              <w:left w:val="nil"/>
                              <w:bottom w:val="single" w:sz="8" w:space="0" w:color="auto"/>
                              <w:right w:val="nil"/>
                            </w:tcBorders>
                            <w:shd w:val="clear" w:color="auto" w:fill="auto"/>
                            <w:noWrap/>
                            <w:vAlign w:val="bottom"/>
                            <w:hideMark/>
                          </w:tcPr>
                          <w:p w14:paraId="3C93D897"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Event No.</w:t>
                            </w:r>
                          </w:p>
                        </w:tc>
                        <w:tc>
                          <w:tcPr>
                            <w:tcW w:w="692" w:type="dxa"/>
                            <w:tcBorders>
                              <w:top w:val="single" w:sz="8" w:space="0" w:color="auto"/>
                              <w:left w:val="nil"/>
                              <w:bottom w:val="single" w:sz="8" w:space="0" w:color="auto"/>
                              <w:right w:val="nil"/>
                            </w:tcBorders>
                            <w:shd w:val="clear" w:color="auto" w:fill="auto"/>
                            <w:noWrap/>
                            <w:vAlign w:val="bottom"/>
                            <w:hideMark/>
                          </w:tcPr>
                          <w:p w14:paraId="0EE8E031" w14:textId="77777777" w:rsidR="00AD312A" w:rsidRPr="00122306" w:rsidRDefault="00AD312A" w:rsidP="00E55835">
                            <w:pPr>
                              <w:jc w:val="right"/>
                              <w:rPr>
                                <w:rFonts w:ascii="Calibri" w:hAnsi="Calibri" w:cs="Times New Roman"/>
                                <w:b/>
                                <w:bCs/>
                                <w:color w:val="000000"/>
                                <w:sz w:val="18"/>
                                <w:szCs w:val="18"/>
                              </w:rPr>
                            </w:pPr>
                            <w:r w:rsidRPr="00122306">
                              <w:rPr>
                                <w:rFonts w:ascii="Calibri" w:hAnsi="Calibri" w:cs="Times New Roman"/>
                                <w:b/>
                                <w:bCs/>
                                <w:color w:val="000000"/>
                                <w:sz w:val="18"/>
                                <w:szCs w:val="18"/>
                              </w:rPr>
                              <w:t>Rate</w:t>
                            </w:r>
                          </w:p>
                        </w:tc>
                        <w:tc>
                          <w:tcPr>
                            <w:tcW w:w="1104" w:type="dxa"/>
                            <w:tcBorders>
                              <w:top w:val="single" w:sz="8" w:space="0" w:color="auto"/>
                              <w:left w:val="nil"/>
                              <w:bottom w:val="single" w:sz="8" w:space="0" w:color="auto"/>
                              <w:right w:val="nil"/>
                            </w:tcBorders>
                            <w:shd w:val="clear" w:color="auto" w:fill="auto"/>
                            <w:noWrap/>
                            <w:vAlign w:val="bottom"/>
                            <w:hideMark/>
                          </w:tcPr>
                          <w:p w14:paraId="16ED6848"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w:t>
                            </w:r>
                            <w:proofErr w:type="gramStart"/>
                            <w:r w:rsidRPr="00122306">
                              <w:rPr>
                                <w:rFonts w:ascii="Calibri" w:hAnsi="Calibri" w:cs="Times New Roman"/>
                                <w:b/>
                                <w:bCs/>
                                <w:color w:val="000000"/>
                                <w:sz w:val="18"/>
                                <w:szCs w:val="18"/>
                              </w:rPr>
                              <w:t>95%</w:t>
                            </w:r>
                            <w:proofErr w:type="gramEnd"/>
                            <w:r w:rsidRPr="00122306">
                              <w:rPr>
                                <w:rFonts w:ascii="Calibri" w:hAnsi="Calibri" w:cs="Times New Roman"/>
                                <w:b/>
                                <w:bCs/>
                                <w:color w:val="000000"/>
                                <w:sz w:val="18"/>
                                <w:szCs w:val="18"/>
                              </w:rPr>
                              <w:t xml:space="preserve"> CI)</w:t>
                            </w:r>
                          </w:p>
                        </w:tc>
                        <w:tc>
                          <w:tcPr>
                            <w:tcW w:w="196" w:type="dxa"/>
                            <w:tcBorders>
                              <w:top w:val="single" w:sz="8" w:space="0" w:color="auto"/>
                              <w:left w:val="nil"/>
                              <w:bottom w:val="single" w:sz="8" w:space="0" w:color="auto"/>
                              <w:right w:val="nil"/>
                            </w:tcBorders>
                            <w:shd w:val="clear" w:color="auto" w:fill="auto"/>
                            <w:noWrap/>
                            <w:vAlign w:val="bottom"/>
                            <w:hideMark/>
                          </w:tcPr>
                          <w:p w14:paraId="2CC659A4"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 </w:t>
                            </w:r>
                          </w:p>
                        </w:tc>
                        <w:tc>
                          <w:tcPr>
                            <w:tcW w:w="716" w:type="dxa"/>
                            <w:tcBorders>
                              <w:top w:val="single" w:sz="8" w:space="0" w:color="auto"/>
                              <w:left w:val="nil"/>
                              <w:bottom w:val="single" w:sz="8" w:space="0" w:color="auto"/>
                              <w:right w:val="nil"/>
                            </w:tcBorders>
                            <w:shd w:val="clear" w:color="auto" w:fill="auto"/>
                            <w:noWrap/>
                            <w:vAlign w:val="bottom"/>
                            <w:hideMark/>
                          </w:tcPr>
                          <w:p w14:paraId="5069A6FE"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Event No.</w:t>
                            </w:r>
                          </w:p>
                        </w:tc>
                        <w:tc>
                          <w:tcPr>
                            <w:tcW w:w="692" w:type="dxa"/>
                            <w:tcBorders>
                              <w:top w:val="single" w:sz="8" w:space="0" w:color="auto"/>
                              <w:left w:val="nil"/>
                              <w:bottom w:val="single" w:sz="8" w:space="0" w:color="auto"/>
                              <w:right w:val="nil"/>
                            </w:tcBorders>
                            <w:shd w:val="clear" w:color="auto" w:fill="auto"/>
                            <w:noWrap/>
                            <w:vAlign w:val="bottom"/>
                            <w:hideMark/>
                          </w:tcPr>
                          <w:p w14:paraId="003843E1" w14:textId="77777777" w:rsidR="00AD312A" w:rsidRPr="00122306" w:rsidRDefault="00AD312A" w:rsidP="00E55835">
                            <w:pPr>
                              <w:jc w:val="right"/>
                              <w:rPr>
                                <w:rFonts w:ascii="Calibri" w:hAnsi="Calibri" w:cs="Times New Roman"/>
                                <w:b/>
                                <w:bCs/>
                                <w:color w:val="000000"/>
                                <w:sz w:val="18"/>
                                <w:szCs w:val="18"/>
                              </w:rPr>
                            </w:pPr>
                            <w:r w:rsidRPr="00122306">
                              <w:rPr>
                                <w:rFonts w:ascii="Calibri" w:hAnsi="Calibri" w:cs="Times New Roman"/>
                                <w:b/>
                                <w:bCs/>
                                <w:color w:val="000000"/>
                                <w:sz w:val="18"/>
                                <w:szCs w:val="18"/>
                              </w:rPr>
                              <w:t>Rate</w:t>
                            </w:r>
                          </w:p>
                        </w:tc>
                        <w:tc>
                          <w:tcPr>
                            <w:tcW w:w="1104" w:type="dxa"/>
                            <w:tcBorders>
                              <w:top w:val="single" w:sz="8" w:space="0" w:color="auto"/>
                              <w:left w:val="nil"/>
                              <w:bottom w:val="single" w:sz="8" w:space="0" w:color="auto"/>
                              <w:right w:val="single" w:sz="8" w:space="0" w:color="auto"/>
                            </w:tcBorders>
                            <w:shd w:val="clear" w:color="auto" w:fill="auto"/>
                            <w:noWrap/>
                            <w:vAlign w:val="bottom"/>
                            <w:hideMark/>
                          </w:tcPr>
                          <w:p w14:paraId="0990CDE8" w14:textId="77777777" w:rsidR="00AD312A" w:rsidRPr="00122306" w:rsidRDefault="00AD312A" w:rsidP="00E55835">
                            <w:pPr>
                              <w:rPr>
                                <w:rFonts w:ascii="Calibri" w:hAnsi="Calibri" w:cs="Times New Roman"/>
                                <w:b/>
                                <w:bCs/>
                                <w:color w:val="000000"/>
                                <w:sz w:val="18"/>
                                <w:szCs w:val="18"/>
                              </w:rPr>
                            </w:pPr>
                            <w:r w:rsidRPr="00122306">
                              <w:rPr>
                                <w:rFonts w:ascii="Calibri" w:hAnsi="Calibri" w:cs="Times New Roman"/>
                                <w:b/>
                                <w:bCs/>
                                <w:color w:val="000000"/>
                                <w:sz w:val="18"/>
                                <w:szCs w:val="18"/>
                              </w:rPr>
                              <w:t>(</w:t>
                            </w:r>
                            <w:proofErr w:type="gramStart"/>
                            <w:r w:rsidRPr="00122306">
                              <w:rPr>
                                <w:rFonts w:ascii="Calibri" w:hAnsi="Calibri" w:cs="Times New Roman"/>
                                <w:b/>
                                <w:bCs/>
                                <w:color w:val="000000"/>
                                <w:sz w:val="18"/>
                                <w:szCs w:val="18"/>
                              </w:rPr>
                              <w:t>95%</w:t>
                            </w:r>
                            <w:proofErr w:type="gramEnd"/>
                            <w:r w:rsidRPr="00122306">
                              <w:rPr>
                                <w:rFonts w:ascii="Calibri" w:hAnsi="Calibri" w:cs="Times New Roman"/>
                                <w:b/>
                                <w:bCs/>
                                <w:color w:val="000000"/>
                                <w:sz w:val="18"/>
                                <w:szCs w:val="18"/>
                              </w:rPr>
                              <w:t xml:space="preserve"> CI)</w:t>
                            </w:r>
                          </w:p>
                        </w:tc>
                      </w:tr>
                      <w:tr w:rsidR="00AD312A" w:rsidRPr="00122306" w14:paraId="4A84AD69"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64D13A6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nil"/>
                              <w:right w:val="nil"/>
                            </w:tcBorders>
                            <w:shd w:val="clear" w:color="000000" w:fill="EEECE1"/>
                            <w:noWrap/>
                            <w:vAlign w:val="bottom"/>
                            <w:hideMark/>
                          </w:tcPr>
                          <w:p w14:paraId="49B9698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000000" w:fill="EEECE1"/>
                            <w:noWrap/>
                            <w:vAlign w:val="bottom"/>
                            <w:hideMark/>
                          </w:tcPr>
                          <w:p w14:paraId="691135F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w:t>
                            </w:r>
                          </w:p>
                        </w:tc>
                        <w:tc>
                          <w:tcPr>
                            <w:tcW w:w="692" w:type="dxa"/>
                            <w:tcBorders>
                              <w:top w:val="nil"/>
                              <w:left w:val="nil"/>
                              <w:bottom w:val="nil"/>
                              <w:right w:val="nil"/>
                            </w:tcBorders>
                            <w:shd w:val="clear" w:color="000000" w:fill="EEECE1"/>
                            <w:noWrap/>
                            <w:vAlign w:val="bottom"/>
                            <w:hideMark/>
                          </w:tcPr>
                          <w:p w14:paraId="544FC56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0.38</w:t>
                            </w:r>
                          </w:p>
                        </w:tc>
                        <w:tc>
                          <w:tcPr>
                            <w:tcW w:w="1104" w:type="dxa"/>
                            <w:tcBorders>
                              <w:top w:val="nil"/>
                              <w:left w:val="nil"/>
                              <w:bottom w:val="nil"/>
                              <w:right w:val="nil"/>
                            </w:tcBorders>
                            <w:shd w:val="clear" w:color="000000" w:fill="EEECE1"/>
                            <w:noWrap/>
                            <w:vAlign w:val="bottom"/>
                            <w:hideMark/>
                          </w:tcPr>
                          <w:p w14:paraId="1354F29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(0.14-1.01)</w:t>
                            </w:r>
                          </w:p>
                        </w:tc>
                        <w:tc>
                          <w:tcPr>
                            <w:tcW w:w="196" w:type="dxa"/>
                            <w:tcBorders>
                              <w:top w:val="nil"/>
                              <w:left w:val="nil"/>
                              <w:bottom w:val="nil"/>
                              <w:right w:val="nil"/>
                            </w:tcBorders>
                            <w:shd w:val="clear" w:color="000000" w:fill="EEECE1"/>
                            <w:noWrap/>
                            <w:vAlign w:val="bottom"/>
                            <w:hideMark/>
                          </w:tcPr>
                          <w:p w14:paraId="3CEC1D9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4939132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27</w:t>
                            </w:r>
                          </w:p>
                        </w:tc>
                        <w:tc>
                          <w:tcPr>
                            <w:tcW w:w="692" w:type="dxa"/>
                            <w:tcBorders>
                              <w:top w:val="nil"/>
                              <w:left w:val="nil"/>
                              <w:bottom w:val="nil"/>
                              <w:right w:val="nil"/>
                            </w:tcBorders>
                            <w:shd w:val="clear" w:color="000000" w:fill="EEECE1"/>
                            <w:noWrap/>
                            <w:vAlign w:val="bottom"/>
                            <w:hideMark/>
                          </w:tcPr>
                          <w:p w14:paraId="2DA0E0C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2.56</w:t>
                            </w:r>
                          </w:p>
                        </w:tc>
                        <w:tc>
                          <w:tcPr>
                            <w:tcW w:w="1104" w:type="dxa"/>
                            <w:tcBorders>
                              <w:top w:val="nil"/>
                              <w:left w:val="nil"/>
                              <w:bottom w:val="nil"/>
                              <w:right w:val="nil"/>
                            </w:tcBorders>
                            <w:shd w:val="clear" w:color="000000" w:fill="EEECE1"/>
                            <w:noWrap/>
                            <w:vAlign w:val="bottom"/>
                            <w:hideMark/>
                          </w:tcPr>
                          <w:p w14:paraId="0FDC778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1.75</w:t>
                            </w:r>
                            <w:proofErr w:type="gramEnd"/>
                            <w:r w:rsidRPr="00122306">
                              <w:rPr>
                                <w:rFonts w:ascii="Calibri" w:hAnsi="Calibri" w:cs="Times New Roman"/>
                                <w:color w:val="000000"/>
                                <w:sz w:val="18"/>
                                <w:szCs w:val="18"/>
                              </w:rPr>
                              <w:t>-3.73)</w:t>
                            </w:r>
                          </w:p>
                        </w:tc>
                        <w:tc>
                          <w:tcPr>
                            <w:tcW w:w="196" w:type="dxa"/>
                            <w:tcBorders>
                              <w:top w:val="nil"/>
                              <w:left w:val="nil"/>
                              <w:bottom w:val="nil"/>
                              <w:right w:val="nil"/>
                            </w:tcBorders>
                            <w:shd w:val="clear" w:color="000000" w:fill="EEECE1"/>
                            <w:noWrap/>
                            <w:vAlign w:val="bottom"/>
                            <w:hideMark/>
                          </w:tcPr>
                          <w:p w14:paraId="17E16CB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3E13EAE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31</w:t>
                            </w:r>
                          </w:p>
                        </w:tc>
                        <w:tc>
                          <w:tcPr>
                            <w:tcW w:w="692" w:type="dxa"/>
                            <w:tcBorders>
                              <w:top w:val="nil"/>
                              <w:left w:val="nil"/>
                              <w:bottom w:val="nil"/>
                              <w:right w:val="nil"/>
                            </w:tcBorders>
                            <w:shd w:val="clear" w:color="000000" w:fill="EEECE1"/>
                            <w:noWrap/>
                            <w:vAlign w:val="bottom"/>
                            <w:hideMark/>
                          </w:tcPr>
                          <w:p w14:paraId="1D26FAD5"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2.94</w:t>
                            </w:r>
                            <w:proofErr w:type="gramEnd"/>
                          </w:p>
                        </w:tc>
                        <w:tc>
                          <w:tcPr>
                            <w:tcW w:w="1104" w:type="dxa"/>
                            <w:tcBorders>
                              <w:top w:val="nil"/>
                              <w:left w:val="nil"/>
                              <w:bottom w:val="nil"/>
                              <w:right w:val="single" w:sz="8" w:space="0" w:color="auto"/>
                            </w:tcBorders>
                            <w:shd w:val="clear" w:color="000000" w:fill="EEECE1"/>
                            <w:noWrap/>
                            <w:vAlign w:val="bottom"/>
                            <w:hideMark/>
                          </w:tcPr>
                          <w:p w14:paraId="7B71743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(2.07-4.18)</w:t>
                            </w:r>
                          </w:p>
                        </w:tc>
                      </w:tr>
                      <w:tr w:rsidR="00AD312A" w:rsidRPr="00122306" w14:paraId="1D234E91"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EFD74F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nil"/>
                              <w:right w:val="nil"/>
                            </w:tcBorders>
                            <w:shd w:val="clear" w:color="000000" w:fill="EEECE1"/>
                            <w:noWrap/>
                            <w:vAlign w:val="bottom"/>
                            <w:hideMark/>
                          </w:tcPr>
                          <w:p w14:paraId="3C7D80E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000000" w:fill="EEECE1"/>
                            <w:noWrap/>
                            <w:vAlign w:val="bottom"/>
                            <w:hideMark/>
                          </w:tcPr>
                          <w:p w14:paraId="35C5D3F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692" w:type="dxa"/>
                            <w:tcBorders>
                              <w:top w:val="nil"/>
                              <w:left w:val="nil"/>
                              <w:bottom w:val="nil"/>
                              <w:right w:val="nil"/>
                            </w:tcBorders>
                            <w:shd w:val="clear" w:color="000000" w:fill="EEECE1"/>
                            <w:noWrap/>
                            <w:vAlign w:val="bottom"/>
                            <w:hideMark/>
                          </w:tcPr>
                          <w:p w14:paraId="016256B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0.00</w:t>
                            </w:r>
                          </w:p>
                        </w:tc>
                        <w:tc>
                          <w:tcPr>
                            <w:tcW w:w="1104" w:type="dxa"/>
                            <w:tcBorders>
                              <w:top w:val="nil"/>
                              <w:left w:val="nil"/>
                              <w:bottom w:val="nil"/>
                              <w:right w:val="nil"/>
                            </w:tcBorders>
                            <w:shd w:val="clear" w:color="000000" w:fill="EEECE1"/>
                            <w:noWrap/>
                            <w:vAlign w:val="bottom"/>
                            <w:hideMark/>
                          </w:tcPr>
                          <w:p w14:paraId="34A69BF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
                        </w:tc>
                        <w:tc>
                          <w:tcPr>
                            <w:tcW w:w="196" w:type="dxa"/>
                            <w:tcBorders>
                              <w:top w:val="nil"/>
                              <w:left w:val="nil"/>
                              <w:bottom w:val="nil"/>
                              <w:right w:val="nil"/>
                            </w:tcBorders>
                            <w:shd w:val="clear" w:color="000000" w:fill="EEECE1"/>
                            <w:noWrap/>
                            <w:vAlign w:val="bottom"/>
                            <w:hideMark/>
                          </w:tcPr>
                          <w:p w14:paraId="76B9ACD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4C27B6B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w:t>
                            </w:r>
                          </w:p>
                        </w:tc>
                        <w:tc>
                          <w:tcPr>
                            <w:tcW w:w="692" w:type="dxa"/>
                            <w:tcBorders>
                              <w:top w:val="nil"/>
                              <w:left w:val="nil"/>
                              <w:bottom w:val="nil"/>
                              <w:right w:val="nil"/>
                            </w:tcBorders>
                            <w:shd w:val="clear" w:color="000000" w:fill="EEECE1"/>
                            <w:noWrap/>
                            <w:vAlign w:val="bottom"/>
                            <w:hideMark/>
                          </w:tcPr>
                          <w:p w14:paraId="2A99520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40.58</w:t>
                            </w:r>
                          </w:p>
                        </w:tc>
                        <w:tc>
                          <w:tcPr>
                            <w:tcW w:w="1104" w:type="dxa"/>
                            <w:tcBorders>
                              <w:top w:val="nil"/>
                              <w:left w:val="nil"/>
                              <w:bottom w:val="nil"/>
                              <w:right w:val="nil"/>
                            </w:tcBorders>
                            <w:shd w:val="clear" w:color="000000" w:fill="EEECE1"/>
                            <w:noWrap/>
                            <w:vAlign w:val="bottom"/>
                            <w:hideMark/>
                          </w:tcPr>
                          <w:p w14:paraId="56ED0F0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(24.47-67-32)</w:t>
                            </w:r>
                          </w:p>
                        </w:tc>
                        <w:tc>
                          <w:tcPr>
                            <w:tcW w:w="196" w:type="dxa"/>
                            <w:tcBorders>
                              <w:top w:val="nil"/>
                              <w:left w:val="nil"/>
                              <w:bottom w:val="nil"/>
                              <w:right w:val="nil"/>
                            </w:tcBorders>
                            <w:shd w:val="clear" w:color="000000" w:fill="EEECE1"/>
                            <w:noWrap/>
                            <w:vAlign w:val="bottom"/>
                            <w:hideMark/>
                          </w:tcPr>
                          <w:p w14:paraId="5F65EDE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6465CFB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w:t>
                            </w:r>
                          </w:p>
                        </w:tc>
                        <w:tc>
                          <w:tcPr>
                            <w:tcW w:w="692" w:type="dxa"/>
                            <w:tcBorders>
                              <w:top w:val="nil"/>
                              <w:left w:val="nil"/>
                              <w:bottom w:val="nil"/>
                              <w:right w:val="nil"/>
                            </w:tcBorders>
                            <w:shd w:val="clear" w:color="000000" w:fill="EEECE1"/>
                            <w:noWrap/>
                            <w:vAlign w:val="bottom"/>
                            <w:hideMark/>
                          </w:tcPr>
                          <w:p w14:paraId="30DEED9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40.58</w:t>
                            </w:r>
                          </w:p>
                        </w:tc>
                        <w:tc>
                          <w:tcPr>
                            <w:tcW w:w="1104" w:type="dxa"/>
                            <w:tcBorders>
                              <w:top w:val="nil"/>
                              <w:left w:val="nil"/>
                              <w:bottom w:val="nil"/>
                              <w:right w:val="single" w:sz="8" w:space="0" w:color="auto"/>
                            </w:tcBorders>
                            <w:shd w:val="clear" w:color="000000" w:fill="EEECE1"/>
                            <w:noWrap/>
                            <w:vAlign w:val="bottom"/>
                            <w:hideMark/>
                          </w:tcPr>
                          <w:p w14:paraId="734E47B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(24.47-67.32)</w:t>
                            </w:r>
                          </w:p>
                        </w:tc>
                      </w:tr>
                      <w:tr w:rsidR="00AD312A" w:rsidRPr="00122306" w14:paraId="4A14E64B"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6E89E4F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nil"/>
                              <w:right w:val="nil"/>
                            </w:tcBorders>
                            <w:shd w:val="clear" w:color="000000" w:fill="EEECE1"/>
                            <w:noWrap/>
                            <w:vAlign w:val="bottom"/>
                            <w:hideMark/>
                          </w:tcPr>
                          <w:p w14:paraId="3B21E53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000000" w:fill="EEECE1"/>
                            <w:noWrap/>
                            <w:vAlign w:val="bottom"/>
                            <w:hideMark/>
                          </w:tcPr>
                          <w:p w14:paraId="1E62869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w:t>
                            </w:r>
                          </w:p>
                        </w:tc>
                        <w:tc>
                          <w:tcPr>
                            <w:tcW w:w="692" w:type="dxa"/>
                            <w:tcBorders>
                              <w:top w:val="nil"/>
                              <w:left w:val="nil"/>
                              <w:bottom w:val="nil"/>
                              <w:right w:val="nil"/>
                            </w:tcBorders>
                            <w:shd w:val="clear" w:color="000000" w:fill="EEECE1"/>
                            <w:noWrap/>
                            <w:vAlign w:val="bottom"/>
                            <w:hideMark/>
                          </w:tcPr>
                          <w:p w14:paraId="44D2C12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23.34</w:t>
                            </w:r>
                          </w:p>
                        </w:tc>
                        <w:tc>
                          <w:tcPr>
                            <w:tcW w:w="1104" w:type="dxa"/>
                            <w:tcBorders>
                              <w:top w:val="nil"/>
                              <w:left w:val="nil"/>
                              <w:bottom w:val="nil"/>
                              <w:right w:val="nil"/>
                            </w:tcBorders>
                            <w:shd w:val="clear" w:color="000000" w:fill="EEECE1"/>
                            <w:noWrap/>
                            <w:vAlign w:val="bottom"/>
                            <w:hideMark/>
                          </w:tcPr>
                          <w:p w14:paraId="64499F2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8.76</w:t>
                            </w:r>
                            <w:proofErr w:type="gramEnd"/>
                            <w:r w:rsidRPr="00122306">
                              <w:rPr>
                                <w:rFonts w:ascii="Calibri" w:hAnsi="Calibri" w:cs="Times New Roman"/>
                                <w:color w:val="000000"/>
                                <w:sz w:val="18"/>
                                <w:szCs w:val="18"/>
                              </w:rPr>
                              <w:t>-62.19)</w:t>
                            </w:r>
                          </w:p>
                        </w:tc>
                        <w:tc>
                          <w:tcPr>
                            <w:tcW w:w="196" w:type="dxa"/>
                            <w:tcBorders>
                              <w:top w:val="nil"/>
                              <w:left w:val="nil"/>
                              <w:bottom w:val="nil"/>
                              <w:right w:val="nil"/>
                            </w:tcBorders>
                            <w:shd w:val="clear" w:color="000000" w:fill="EEECE1"/>
                            <w:noWrap/>
                            <w:vAlign w:val="bottom"/>
                            <w:hideMark/>
                          </w:tcPr>
                          <w:p w14:paraId="776BAA2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786AA3B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692" w:type="dxa"/>
                            <w:tcBorders>
                              <w:top w:val="nil"/>
                              <w:left w:val="nil"/>
                              <w:bottom w:val="nil"/>
                              <w:right w:val="nil"/>
                            </w:tcBorders>
                            <w:shd w:val="clear" w:color="000000" w:fill="EEECE1"/>
                            <w:noWrap/>
                            <w:vAlign w:val="bottom"/>
                            <w:hideMark/>
                          </w:tcPr>
                          <w:p w14:paraId="2E172A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10.44</w:t>
                            </w:r>
                          </w:p>
                        </w:tc>
                        <w:tc>
                          <w:tcPr>
                            <w:tcW w:w="1104" w:type="dxa"/>
                            <w:tcBorders>
                              <w:top w:val="nil"/>
                              <w:left w:val="nil"/>
                              <w:bottom w:val="nil"/>
                              <w:right w:val="nil"/>
                            </w:tcBorders>
                            <w:shd w:val="clear" w:color="000000" w:fill="EEECE1"/>
                            <w:noWrap/>
                            <w:vAlign w:val="bottom"/>
                            <w:hideMark/>
                          </w:tcPr>
                          <w:p w14:paraId="49B3145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2.61</w:t>
                            </w:r>
                            <w:proofErr w:type="gramEnd"/>
                            <w:r w:rsidRPr="00122306">
                              <w:rPr>
                                <w:rFonts w:ascii="Calibri" w:hAnsi="Calibri" w:cs="Times New Roman"/>
                                <w:color w:val="000000"/>
                                <w:sz w:val="18"/>
                                <w:szCs w:val="18"/>
                              </w:rPr>
                              <w:t>-41-73)</w:t>
                            </w:r>
                          </w:p>
                        </w:tc>
                        <w:tc>
                          <w:tcPr>
                            <w:tcW w:w="196" w:type="dxa"/>
                            <w:tcBorders>
                              <w:top w:val="nil"/>
                              <w:left w:val="nil"/>
                              <w:bottom w:val="nil"/>
                              <w:right w:val="nil"/>
                            </w:tcBorders>
                            <w:shd w:val="clear" w:color="000000" w:fill="EEECE1"/>
                            <w:noWrap/>
                            <w:vAlign w:val="bottom"/>
                            <w:hideMark/>
                          </w:tcPr>
                          <w:p w14:paraId="762065B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53EAC69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w:t>
                            </w:r>
                          </w:p>
                        </w:tc>
                        <w:tc>
                          <w:tcPr>
                            <w:tcW w:w="692" w:type="dxa"/>
                            <w:tcBorders>
                              <w:top w:val="nil"/>
                              <w:left w:val="nil"/>
                              <w:bottom w:val="nil"/>
                              <w:right w:val="nil"/>
                            </w:tcBorders>
                            <w:shd w:val="clear" w:color="000000" w:fill="EEECE1"/>
                            <w:noWrap/>
                            <w:vAlign w:val="bottom"/>
                            <w:hideMark/>
                          </w:tcPr>
                          <w:p w14:paraId="70D26A9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35.01</w:t>
                            </w:r>
                          </w:p>
                        </w:tc>
                        <w:tc>
                          <w:tcPr>
                            <w:tcW w:w="1104" w:type="dxa"/>
                            <w:tcBorders>
                              <w:top w:val="nil"/>
                              <w:left w:val="nil"/>
                              <w:bottom w:val="nil"/>
                              <w:right w:val="single" w:sz="8" w:space="0" w:color="auto"/>
                            </w:tcBorders>
                            <w:shd w:val="clear" w:color="000000" w:fill="EEECE1"/>
                            <w:noWrap/>
                            <w:vAlign w:val="bottom"/>
                            <w:hideMark/>
                          </w:tcPr>
                          <w:p w14:paraId="5350493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15.73</w:t>
                            </w:r>
                            <w:proofErr w:type="gramEnd"/>
                            <w:r w:rsidRPr="00122306">
                              <w:rPr>
                                <w:rFonts w:ascii="Calibri" w:hAnsi="Calibri" w:cs="Times New Roman"/>
                                <w:color w:val="000000"/>
                                <w:sz w:val="18"/>
                                <w:szCs w:val="18"/>
                              </w:rPr>
                              <w:t>-77.93)</w:t>
                            </w:r>
                          </w:p>
                        </w:tc>
                      </w:tr>
                      <w:tr w:rsidR="00AD312A" w:rsidRPr="00122306" w14:paraId="1154FFDD" w14:textId="77777777" w:rsidTr="006143D9">
                        <w:trPr>
                          <w:trHeight w:val="299"/>
                        </w:trPr>
                        <w:tc>
                          <w:tcPr>
                            <w:tcW w:w="843" w:type="dxa"/>
                            <w:tcBorders>
                              <w:top w:val="nil"/>
                              <w:left w:val="single" w:sz="8" w:space="0" w:color="auto"/>
                              <w:bottom w:val="single" w:sz="4" w:space="0" w:color="auto"/>
                              <w:right w:val="nil"/>
                            </w:tcBorders>
                            <w:shd w:val="clear" w:color="000000" w:fill="EEECE1"/>
                            <w:noWrap/>
                            <w:vAlign w:val="bottom"/>
                            <w:hideMark/>
                          </w:tcPr>
                          <w:p w14:paraId="1ED3B10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20-35</w:t>
                            </w:r>
                          </w:p>
                        </w:tc>
                        <w:tc>
                          <w:tcPr>
                            <w:tcW w:w="595" w:type="dxa"/>
                            <w:tcBorders>
                              <w:top w:val="nil"/>
                              <w:left w:val="nil"/>
                              <w:bottom w:val="single" w:sz="4" w:space="0" w:color="auto"/>
                              <w:right w:val="nil"/>
                            </w:tcBorders>
                            <w:shd w:val="clear" w:color="000000" w:fill="EEECE1"/>
                            <w:noWrap/>
                            <w:vAlign w:val="bottom"/>
                            <w:hideMark/>
                          </w:tcPr>
                          <w:p w14:paraId="3A3A1A1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000000" w:fill="EEECE1"/>
                            <w:noWrap/>
                            <w:vAlign w:val="bottom"/>
                            <w:hideMark/>
                          </w:tcPr>
                          <w:p w14:paraId="62082DC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692" w:type="dxa"/>
                            <w:tcBorders>
                              <w:top w:val="nil"/>
                              <w:left w:val="nil"/>
                              <w:bottom w:val="single" w:sz="4" w:space="0" w:color="auto"/>
                              <w:right w:val="nil"/>
                            </w:tcBorders>
                            <w:shd w:val="clear" w:color="000000" w:fill="EEECE1"/>
                            <w:noWrap/>
                            <w:vAlign w:val="bottom"/>
                            <w:hideMark/>
                          </w:tcPr>
                          <w:p w14:paraId="6ED0754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53.00</w:t>
                            </w:r>
                          </w:p>
                        </w:tc>
                        <w:tc>
                          <w:tcPr>
                            <w:tcW w:w="1104" w:type="dxa"/>
                            <w:tcBorders>
                              <w:top w:val="nil"/>
                              <w:left w:val="nil"/>
                              <w:bottom w:val="single" w:sz="4" w:space="0" w:color="auto"/>
                              <w:right w:val="nil"/>
                            </w:tcBorders>
                            <w:shd w:val="clear" w:color="000000" w:fill="EEECE1"/>
                            <w:noWrap/>
                            <w:vAlign w:val="bottom"/>
                            <w:hideMark/>
                          </w:tcPr>
                          <w:p w14:paraId="4E2FB35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(7.47-380.00)</w:t>
                            </w:r>
                          </w:p>
                        </w:tc>
                        <w:tc>
                          <w:tcPr>
                            <w:tcW w:w="196" w:type="dxa"/>
                            <w:tcBorders>
                              <w:top w:val="nil"/>
                              <w:left w:val="nil"/>
                              <w:bottom w:val="single" w:sz="4" w:space="0" w:color="auto"/>
                              <w:right w:val="nil"/>
                            </w:tcBorders>
                            <w:shd w:val="clear" w:color="000000" w:fill="EEECE1"/>
                            <w:noWrap/>
                            <w:vAlign w:val="bottom"/>
                            <w:hideMark/>
                          </w:tcPr>
                          <w:p w14:paraId="16FF808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62F15FF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692" w:type="dxa"/>
                            <w:tcBorders>
                              <w:top w:val="nil"/>
                              <w:left w:val="nil"/>
                              <w:bottom w:val="single" w:sz="4" w:space="0" w:color="auto"/>
                              <w:right w:val="nil"/>
                            </w:tcBorders>
                            <w:shd w:val="clear" w:color="000000" w:fill="EEECE1"/>
                            <w:noWrap/>
                            <w:vAlign w:val="bottom"/>
                            <w:hideMark/>
                          </w:tcPr>
                          <w:p w14:paraId="60FAE8F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52.22</w:t>
                            </w:r>
                          </w:p>
                        </w:tc>
                        <w:tc>
                          <w:tcPr>
                            <w:tcW w:w="1104" w:type="dxa"/>
                            <w:tcBorders>
                              <w:top w:val="nil"/>
                              <w:left w:val="nil"/>
                              <w:bottom w:val="single" w:sz="4" w:space="0" w:color="auto"/>
                              <w:right w:val="nil"/>
                            </w:tcBorders>
                            <w:shd w:val="clear" w:color="000000" w:fill="EEECE1"/>
                            <w:noWrap/>
                            <w:vAlign w:val="bottom"/>
                            <w:hideMark/>
                          </w:tcPr>
                          <w:p w14:paraId="14C8E11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(7.36-370.71)</w:t>
                            </w:r>
                          </w:p>
                        </w:tc>
                        <w:tc>
                          <w:tcPr>
                            <w:tcW w:w="196" w:type="dxa"/>
                            <w:tcBorders>
                              <w:top w:val="nil"/>
                              <w:left w:val="nil"/>
                              <w:bottom w:val="single" w:sz="4" w:space="0" w:color="auto"/>
                              <w:right w:val="nil"/>
                            </w:tcBorders>
                            <w:shd w:val="clear" w:color="000000" w:fill="EEECE1"/>
                            <w:noWrap/>
                            <w:vAlign w:val="bottom"/>
                            <w:hideMark/>
                          </w:tcPr>
                          <w:p w14:paraId="7971000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7F1A2AD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692" w:type="dxa"/>
                            <w:tcBorders>
                              <w:top w:val="nil"/>
                              <w:left w:val="nil"/>
                              <w:bottom w:val="single" w:sz="4" w:space="0" w:color="auto"/>
                              <w:right w:val="nil"/>
                            </w:tcBorders>
                            <w:shd w:val="clear" w:color="000000" w:fill="EEECE1"/>
                            <w:noWrap/>
                            <w:vAlign w:val="bottom"/>
                            <w:hideMark/>
                          </w:tcPr>
                          <w:p w14:paraId="29EA32F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105.99</w:t>
                            </w:r>
                          </w:p>
                        </w:tc>
                        <w:tc>
                          <w:tcPr>
                            <w:tcW w:w="1104" w:type="dxa"/>
                            <w:tcBorders>
                              <w:top w:val="nil"/>
                              <w:left w:val="nil"/>
                              <w:bottom w:val="single" w:sz="4" w:space="0" w:color="auto"/>
                              <w:right w:val="single" w:sz="8" w:space="0" w:color="auto"/>
                            </w:tcBorders>
                            <w:shd w:val="clear" w:color="000000" w:fill="EEECE1"/>
                            <w:noWrap/>
                            <w:vAlign w:val="bottom"/>
                            <w:hideMark/>
                          </w:tcPr>
                          <w:p w14:paraId="18B2759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(26.51-423.80)</w:t>
                            </w:r>
                          </w:p>
                        </w:tc>
                      </w:tr>
                      <w:tr w:rsidR="00AD312A" w:rsidRPr="00122306" w14:paraId="217B11EC"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04E8800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nil"/>
                              <w:right w:val="nil"/>
                            </w:tcBorders>
                            <w:shd w:val="clear" w:color="auto" w:fill="auto"/>
                            <w:noWrap/>
                            <w:vAlign w:val="bottom"/>
                            <w:hideMark/>
                          </w:tcPr>
                          <w:p w14:paraId="66835B1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auto" w:fill="auto"/>
                            <w:noWrap/>
                            <w:vAlign w:val="bottom"/>
                            <w:hideMark/>
                          </w:tcPr>
                          <w:p w14:paraId="584B3C9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112</w:t>
                            </w:r>
                          </w:p>
                        </w:tc>
                        <w:tc>
                          <w:tcPr>
                            <w:tcW w:w="692" w:type="dxa"/>
                            <w:tcBorders>
                              <w:top w:val="nil"/>
                              <w:left w:val="nil"/>
                              <w:bottom w:val="nil"/>
                              <w:right w:val="nil"/>
                            </w:tcBorders>
                            <w:shd w:val="clear" w:color="auto" w:fill="auto"/>
                            <w:noWrap/>
                            <w:vAlign w:val="bottom"/>
                            <w:hideMark/>
                          </w:tcPr>
                          <w:p w14:paraId="595FD9D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3.04</w:t>
                            </w:r>
                          </w:p>
                        </w:tc>
                        <w:tc>
                          <w:tcPr>
                            <w:tcW w:w="1104" w:type="dxa"/>
                            <w:tcBorders>
                              <w:top w:val="nil"/>
                              <w:left w:val="nil"/>
                              <w:bottom w:val="nil"/>
                              <w:right w:val="nil"/>
                            </w:tcBorders>
                            <w:shd w:val="clear" w:color="auto" w:fill="auto"/>
                            <w:noWrap/>
                            <w:vAlign w:val="bottom"/>
                            <w:hideMark/>
                          </w:tcPr>
                          <w:p w14:paraId="4D34483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(2.53-3.66)</w:t>
                            </w:r>
                          </w:p>
                        </w:tc>
                        <w:tc>
                          <w:tcPr>
                            <w:tcW w:w="196" w:type="dxa"/>
                            <w:tcBorders>
                              <w:top w:val="nil"/>
                              <w:left w:val="nil"/>
                              <w:bottom w:val="nil"/>
                              <w:right w:val="nil"/>
                            </w:tcBorders>
                            <w:shd w:val="clear" w:color="auto" w:fill="auto"/>
                            <w:noWrap/>
                            <w:vAlign w:val="bottom"/>
                            <w:hideMark/>
                          </w:tcPr>
                          <w:p w14:paraId="69C4757F"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0DC767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294</w:t>
                            </w:r>
                          </w:p>
                        </w:tc>
                        <w:tc>
                          <w:tcPr>
                            <w:tcW w:w="692" w:type="dxa"/>
                            <w:tcBorders>
                              <w:top w:val="nil"/>
                              <w:left w:val="nil"/>
                              <w:bottom w:val="nil"/>
                              <w:right w:val="nil"/>
                            </w:tcBorders>
                            <w:shd w:val="clear" w:color="auto" w:fill="auto"/>
                            <w:noWrap/>
                            <w:vAlign w:val="bottom"/>
                            <w:hideMark/>
                          </w:tcPr>
                          <w:p w14:paraId="14B940DF"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7.89</w:t>
                            </w:r>
                            <w:proofErr w:type="gramEnd"/>
                          </w:p>
                        </w:tc>
                        <w:tc>
                          <w:tcPr>
                            <w:tcW w:w="1104" w:type="dxa"/>
                            <w:tcBorders>
                              <w:top w:val="nil"/>
                              <w:left w:val="nil"/>
                              <w:bottom w:val="nil"/>
                              <w:right w:val="nil"/>
                            </w:tcBorders>
                            <w:shd w:val="clear" w:color="auto" w:fill="auto"/>
                            <w:noWrap/>
                            <w:vAlign w:val="bottom"/>
                            <w:hideMark/>
                          </w:tcPr>
                          <w:p w14:paraId="21FA60B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(7.04-8.84)</w:t>
                            </w:r>
                          </w:p>
                        </w:tc>
                        <w:tc>
                          <w:tcPr>
                            <w:tcW w:w="196" w:type="dxa"/>
                            <w:tcBorders>
                              <w:top w:val="nil"/>
                              <w:left w:val="nil"/>
                              <w:bottom w:val="nil"/>
                              <w:right w:val="nil"/>
                            </w:tcBorders>
                            <w:shd w:val="clear" w:color="auto" w:fill="auto"/>
                            <w:noWrap/>
                            <w:vAlign w:val="bottom"/>
                            <w:hideMark/>
                          </w:tcPr>
                          <w:p w14:paraId="1D5DEF34"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7AE6EB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389</w:t>
                            </w:r>
                          </w:p>
                        </w:tc>
                        <w:tc>
                          <w:tcPr>
                            <w:tcW w:w="692" w:type="dxa"/>
                            <w:tcBorders>
                              <w:top w:val="nil"/>
                              <w:left w:val="nil"/>
                              <w:bottom w:val="nil"/>
                              <w:right w:val="nil"/>
                            </w:tcBorders>
                            <w:shd w:val="clear" w:color="auto" w:fill="auto"/>
                            <w:noWrap/>
                            <w:vAlign w:val="bottom"/>
                            <w:hideMark/>
                          </w:tcPr>
                          <w:p w14:paraId="39DB222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10.56</w:t>
                            </w:r>
                          </w:p>
                        </w:tc>
                        <w:tc>
                          <w:tcPr>
                            <w:tcW w:w="1104" w:type="dxa"/>
                            <w:tcBorders>
                              <w:top w:val="nil"/>
                              <w:left w:val="nil"/>
                              <w:bottom w:val="nil"/>
                              <w:right w:val="single" w:sz="8" w:space="0" w:color="auto"/>
                            </w:tcBorders>
                            <w:shd w:val="clear" w:color="auto" w:fill="auto"/>
                            <w:noWrap/>
                            <w:vAlign w:val="bottom"/>
                            <w:hideMark/>
                          </w:tcPr>
                          <w:p w14:paraId="26B8FAD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(9.56-11.66)</w:t>
                            </w:r>
                          </w:p>
                        </w:tc>
                      </w:tr>
                      <w:tr w:rsidR="00AD312A" w:rsidRPr="00122306" w14:paraId="516960FC"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096B571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nil"/>
                              <w:right w:val="nil"/>
                            </w:tcBorders>
                            <w:shd w:val="clear" w:color="auto" w:fill="auto"/>
                            <w:noWrap/>
                            <w:vAlign w:val="bottom"/>
                            <w:hideMark/>
                          </w:tcPr>
                          <w:p w14:paraId="75F8C45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auto" w:fill="auto"/>
                            <w:noWrap/>
                            <w:vAlign w:val="bottom"/>
                            <w:hideMark/>
                          </w:tcPr>
                          <w:p w14:paraId="639196F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37</w:t>
                            </w:r>
                          </w:p>
                        </w:tc>
                        <w:tc>
                          <w:tcPr>
                            <w:tcW w:w="692" w:type="dxa"/>
                            <w:tcBorders>
                              <w:top w:val="nil"/>
                              <w:left w:val="nil"/>
                              <w:bottom w:val="nil"/>
                              <w:right w:val="nil"/>
                            </w:tcBorders>
                            <w:shd w:val="clear" w:color="auto" w:fill="auto"/>
                            <w:noWrap/>
                            <w:vAlign w:val="bottom"/>
                            <w:hideMark/>
                          </w:tcPr>
                          <w:p w14:paraId="6359A60C"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7.79</w:t>
                            </w:r>
                            <w:proofErr w:type="gramEnd"/>
                          </w:p>
                        </w:tc>
                        <w:tc>
                          <w:tcPr>
                            <w:tcW w:w="1104" w:type="dxa"/>
                            <w:tcBorders>
                              <w:top w:val="nil"/>
                              <w:left w:val="nil"/>
                              <w:bottom w:val="nil"/>
                              <w:right w:val="nil"/>
                            </w:tcBorders>
                            <w:shd w:val="clear" w:color="auto" w:fill="auto"/>
                            <w:noWrap/>
                            <w:vAlign w:val="bottom"/>
                            <w:hideMark/>
                          </w:tcPr>
                          <w:p w14:paraId="0144012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5.64</w:t>
                            </w:r>
                            <w:proofErr w:type="gramEnd"/>
                            <w:r w:rsidRPr="00122306">
                              <w:rPr>
                                <w:rFonts w:ascii="Calibri" w:hAnsi="Calibri" w:cs="Times New Roman"/>
                                <w:color w:val="000000"/>
                                <w:sz w:val="18"/>
                                <w:szCs w:val="18"/>
                              </w:rPr>
                              <w:t>-10.74)</w:t>
                            </w:r>
                          </w:p>
                        </w:tc>
                        <w:tc>
                          <w:tcPr>
                            <w:tcW w:w="196" w:type="dxa"/>
                            <w:tcBorders>
                              <w:top w:val="nil"/>
                              <w:left w:val="nil"/>
                              <w:bottom w:val="nil"/>
                              <w:right w:val="nil"/>
                            </w:tcBorders>
                            <w:shd w:val="clear" w:color="auto" w:fill="auto"/>
                            <w:noWrap/>
                            <w:vAlign w:val="bottom"/>
                            <w:hideMark/>
                          </w:tcPr>
                          <w:p w14:paraId="28ED63D4"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61B7F0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118</w:t>
                            </w:r>
                          </w:p>
                        </w:tc>
                        <w:tc>
                          <w:tcPr>
                            <w:tcW w:w="692" w:type="dxa"/>
                            <w:tcBorders>
                              <w:top w:val="nil"/>
                              <w:left w:val="nil"/>
                              <w:bottom w:val="nil"/>
                              <w:right w:val="nil"/>
                            </w:tcBorders>
                            <w:shd w:val="clear" w:color="auto" w:fill="auto"/>
                            <w:noWrap/>
                            <w:vAlign w:val="bottom"/>
                            <w:hideMark/>
                          </w:tcPr>
                          <w:p w14:paraId="57E4172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24.02</w:t>
                            </w:r>
                          </w:p>
                        </w:tc>
                        <w:tc>
                          <w:tcPr>
                            <w:tcW w:w="1104" w:type="dxa"/>
                            <w:tcBorders>
                              <w:top w:val="nil"/>
                              <w:left w:val="nil"/>
                              <w:bottom w:val="nil"/>
                              <w:right w:val="nil"/>
                            </w:tcBorders>
                            <w:shd w:val="clear" w:color="auto" w:fill="auto"/>
                            <w:noWrap/>
                            <w:vAlign w:val="bottom"/>
                            <w:hideMark/>
                          </w:tcPr>
                          <w:p w14:paraId="6459F85B"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(20.05-</w:t>
                            </w:r>
                            <w:proofErr w:type="gramStart"/>
                            <w:r w:rsidRPr="00122306">
                              <w:rPr>
                                <w:rFonts w:ascii="Calibri" w:hAnsi="Calibri" w:cs="Times New Roman"/>
                                <w:color w:val="000000"/>
                                <w:sz w:val="18"/>
                                <w:szCs w:val="18"/>
                              </w:rPr>
                              <w:t>28.77</w:t>
                            </w:r>
                            <w:proofErr w:type="gramEnd"/>
                            <w:r w:rsidRPr="00122306">
                              <w:rPr>
                                <w:rFonts w:ascii="Calibri" w:hAnsi="Calibri" w:cs="Times New Roman"/>
                                <w:color w:val="000000"/>
                                <w:sz w:val="18"/>
                                <w:szCs w:val="18"/>
                              </w:rPr>
                              <w:t>)</w:t>
                            </w:r>
                          </w:p>
                        </w:tc>
                        <w:tc>
                          <w:tcPr>
                            <w:tcW w:w="196" w:type="dxa"/>
                            <w:tcBorders>
                              <w:top w:val="nil"/>
                              <w:left w:val="nil"/>
                              <w:bottom w:val="nil"/>
                              <w:right w:val="nil"/>
                            </w:tcBorders>
                            <w:shd w:val="clear" w:color="auto" w:fill="auto"/>
                            <w:noWrap/>
                            <w:vAlign w:val="bottom"/>
                            <w:hideMark/>
                          </w:tcPr>
                          <w:p w14:paraId="6A99A12F"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22C9780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151</w:t>
                            </w:r>
                          </w:p>
                        </w:tc>
                        <w:tc>
                          <w:tcPr>
                            <w:tcW w:w="692" w:type="dxa"/>
                            <w:tcBorders>
                              <w:top w:val="nil"/>
                              <w:left w:val="nil"/>
                              <w:bottom w:val="nil"/>
                              <w:right w:val="nil"/>
                            </w:tcBorders>
                            <w:shd w:val="clear" w:color="auto" w:fill="auto"/>
                            <w:noWrap/>
                            <w:vAlign w:val="bottom"/>
                            <w:hideMark/>
                          </w:tcPr>
                          <w:p w14:paraId="260E1988"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31.77</w:t>
                            </w:r>
                            <w:proofErr w:type="gramEnd"/>
                          </w:p>
                        </w:tc>
                        <w:tc>
                          <w:tcPr>
                            <w:tcW w:w="1104" w:type="dxa"/>
                            <w:tcBorders>
                              <w:top w:val="nil"/>
                              <w:left w:val="nil"/>
                              <w:bottom w:val="nil"/>
                              <w:right w:val="single" w:sz="8" w:space="0" w:color="auto"/>
                            </w:tcBorders>
                            <w:shd w:val="clear" w:color="auto" w:fill="auto"/>
                            <w:noWrap/>
                            <w:vAlign w:val="bottom"/>
                            <w:hideMark/>
                          </w:tcPr>
                          <w:p w14:paraId="05F6355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(27.09-37.27)</w:t>
                            </w:r>
                          </w:p>
                        </w:tc>
                      </w:tr>
                      <w:tr w:rsidR="00AD312A" w:rsidRPr="00122306" w14:paraId="4E2932E5"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52BA929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nil"/>
                              <w:right w:val="nil"/>
                            </w:tcBorders>
                            <w:shd w:val="clear" w:color="auto" w:fill="auto"/>
                            <w:noWrap/>
                            <w:vAlign w:val="bottom"/>
                            <w:hideMark/>
                          </w:tcPr>
                          <w:p w14:paraId="5A968C0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auto" w:fill="auto"/>
                            <w:noWrap/>
                            <w:vAlign w:val="bottom"/>
                            <w:hideMark/>
                          </w:tcPr>
                          <w:p w14:paraId="5C8725A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70</w:t>
                            </w:r>
                          </w:p>
                        </w:tc>
                        <w:tc>
                          <w:tcPr>
                            <w:tcW w:w="692" w:type="dxa"/>
                            <w:tcBorders>
                              <w:top w:val="nil"/>
                              <w:left w:val="nil"/>
                              <w:bottom w:val="nil"/>
                              <w:right w:val="nil"/>
                            </w:tcBorders>
                            <w:shd w:val="clear" w:color="auto" w:fill="auto"/>
                            <w:noWrap/>
                            <w:vAlign w:val="bottom"/>
                            <w:hideMark/>
                          </w:tcPr>
                          <w:p w14:paraId="47BCAFE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47.71</w:t>
                            </w:r>
                          </w:p>
                        </w:tc>
                        <w:tc>
                          <w:tcPr>
                            <w:tcW w:w="1104" w:type="dxa"/>
                            <w:tcBorders>
                              <w:top w:val="nil"/>
                              <w:left w:val="nil"/>
                              <w:bottom w:val="nil"/>
                              <w:right w:val="nil"/>
                            </w:tcBorders>
                            <w:shd w:val="clear" w:color="auto" w:fill="auto"/>
                            <w:noWrap/>
                            <w:vAlign w:val="bottom"/>
                            <w:hideMark/>
                          </w:tcPr>
                          <w:p w14:paraId="2CB596F3"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(37.75-60.31)</w:t>
                            </w:r>
                          </w:p>
                        </w:tc>
                        <w:tc>
                          <w:tcPr>
                            <w:tcW w:w="196" w:type="dxa"/>
                            <w:tcBorders>
                              <w:top w:val="nil"/>
                              <w:left w:val="nil"/>
                              <w:bottom w:val="nil"/>
                              <w:right w:val="nil"/>
                            </w:tcBorders>
                            <w:shd w:val="clear" w:color="auto" w:fill="auto"/>
                            <w:noWrap/>
                            <w:vAlign w:val="bottom"/>
                            <w:hideMark/>
                          </w:tcPr>
                          <w:p w14:paraId="4D6CB42E"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5E4922A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66</w:t>
                            </w:r>
                          </w:p>
                        </w:tc>
                        <w:tc>
                          <w:tcPr>
                            <w:tcW w:w="692" w:type="dxa"/>
                            <w:tcBorders>
                              <w:top w:val="nil"/>
                              <w:left w:val="nil"/>
                              <w:bottom w:val="nil"/>
                              <w:right w:val="nil"/>
                            </w:tcBorders>
                            <w:shd w:val="clear" w:color="auto" w:fill="auto"/>
                            <w:noWrap/>
                            <w:vAlign w:val="bottom"/>
                            <w:hideMark/>
                          </w:tcPr>
                          <w:p w14:paraId="36C22CC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37.76</w:t>
                            </w:r>
                          </w:p>
                        </w:tc>
                        <w:tc>
                          <w:tcPr>
                            <w:tcW w:w="1104" w:type="dxa"/>
                            <w:tcBorders>
                              <w:top w:val="nil"/>
                              <w:left w:val="nil"/>
                              <w:bottom w:val="nil"/>
                              <w:right w:val="nil"/>
                            </w:tcBorders>
                            <w:shd w:val="clear" w:color="auto" w:fill="auto"/>
                            <w:noWrap/>
                            <w:vAlign w:val="bottom"/>
                            <w:hideMark/>
                          </w:tcPr>
                          <w:p w14:paraId="523C307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29.66</w:t>
                            </w:r>
                            <w:proofErr w:type="gramEnd"/>
                            <w:r w:rsidRPr="00122306">
                              <w:rPr>
                                <w:rFonts w:ascii="Calibri" w:hAnsi="Calibri" w:cs="Times New Roman"/>
                                <w:color w:val="000000"/>
                                <w:sz w:val="18"/>
                                <w:szCs w:val="18"/>
                              </w:rPr>
                              <w:t>-48.06)</w:t>
                            </w:r>
                          </w:p>
                        </w:tc>
                        <w:tc>
                          <w:tcPr>
                            <w:tcW w:w="196" w:type="dxa"/>
                            <w:tcBorders>
                              <w:top w:val="nil"/>
                              <w:left w:val="nil"/>
                              <w:bottom w:val="nil"/>
                              <w:right w:val="nil"/>
                            </w:tcBorders>
                            <w:shd w:val="clear" w:color="auto" w:fill="auto"/>
                            <w:noWrap/>
                            <w:vAlign w:val="bottom"/>
                            <w:hideMark/>
                          </w:tcPr>
                          <w:p w14:paraId="6A1C608E"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5DB1162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123</w:t>
                            </w:r>
                          </w:p>
                        </w:tc>
                        <w:tc>
                          <w:tcPr>
                            <w:tcW w:w="692" w:type="dxa"/>
                            <w:tcBorders>
                              <w:top w:val="nil"/>
                              <w:left w:val="nil"/>
                              <w:bottom w:val="nil"/>
                              <w:right w:val="nil"/>
                            </w:tcBorders>
                            <w:shd w:val="clear" w:color="auto" w:fill="auto"/>
                            <w:noWrap/>
                            <w:vAlign w:val="bottom"/>
                            <w:hideMark/>
                          </w:tcPr>
                          <w:p w14:paraId="6DACC07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83.84</w:t>
                            </w:r>
                          </w:p>
                        </w:tc>
                        <w:tc>
                          <w:tcPr>
                            <w:tcW w:w="1104" w:type="dxa"/>
                            <w:tcBorders>
                              <w:top w:val="nil"/>
                              <w:left w:val="nil"/>
                              <w:bottom w:val="nil"/>
                              <w:right w:val="single" w:sz="8" w:space="0" w:color="auto"/>
                            </w:tcBorders>
                            <w:shd w:val="clear" w:color="auto" w:fill="auto"/>
                            <w:noWrap/>
                            <w:vAlign w:val="bottom"/>
                            <w:hideMark/>
                          </w:tcPr>
                          <w:p w14:paraId="175FB82C"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(70.26-100.05)</w:t>
                            </w:r>
                          </w:p>
                        </w:tc>
                      </w:tr>
                      <w:tr w:rsidR="00AD312A" w:rsidRPr="00122306" w14:paraId="66BC24F2" w14:textId="77777777" w:rsidTr="006143D9">
                        <w:trPr>
                          <w:trHeight w:val="299"/>
                        </w:trPr>
                        <w:tc>
                          <w:tcPr>
                            <w:tcW w:w="843" w:type="dxa"/>
                            <w:tcBorders>
                              <w:top w:val="nil"/>
                              <w:left w:val="single" w:sz="8" w:space="0" w:color="auto"/>
                              <w:bottom w:val="single" w:sz="4" w:space="0" w:color="auto"/>
                              <w:right w:val="nil"/>
                            </w:tcBorders>
                            <w:shd w:val="clear" w:color="auto" w:fill="auto"/>
                            <w:noWrap/>
                            <w:vAlign w:val="bottom"/>
                            <w:hideMark/>
                          </w:tcPr>
                          <w:p w14:paraId="1D925CE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35-50</w:t>
                            </w:r>
                          </w:p>
                        </w:tc>
                        <w:tc>
                          <w:tcPr>
                            <w:tcW w:w="595" w:type="dxa"/>
                            <w:tcBorders>
                              <w:top w:val="nil"/>
                              <w:left w:val="nil"/>
                              <w:bottom w:val="single" w:sz="4" w:space="0" w:color="auto"/>
                              <w:right w:val="nil"/>
                            </w:tcBorders>
                            <w:shd w:val="clear" w:color="auto" w:fill="auto"/>
                            <w:noWrap/>
                            <w:vAlign w:val="bottom"/>
                            <w:hideMark/>
                          </w:tcPr>
                          <w:p w14:paraId="1302B8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auto" w:fill="auto"/>
                            <w:noWrap/>
                            <w:vAlign w:val="bottom"/>
                            <w:hideMark/>
                          </w:tcPr>
                          <w:p w14:paraId="6A59A6A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w:t>
                            </w:r>
                          </w:p>
                        </w:tc>
                        <w:tc>
                          <w:tcPr>
                            <w:tcW w:w="692" w:type="dxa"/>
                            <w:tcBorders>
                              <w:top w:val="nil"/>
                              <w:left w:val="nil"/>
                              <w:bottom w:val="single" w:sz="4" w:space="0" w:color="auto"/>
                              <w:right w:val="nil"/>
                            </w:tcBorders>
                            <w:shd w:val="clear" w:color="auto" w:fill="auto"/>
                            <w:noWrap/>
                            <w:vAlign w:val="bottom"/>
                            <w:hideMark/>
                          </w:tcPr>
                          <w:p w14:paraId="0C5C0A0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67.06</w:t>
                            </w:r>
                          </w:p>
                        </w:tc>
                        <w:tc>
                          <w:tcPr>
                            <w:tcW w:w="1104" w:type="dxa"/>
                            <w:tcBorders>
                              <w:top w:val="nil"/>
                              <w:left w:val="nil"/>
                              <w:bottom w:val="single" w:sz="4" w:space="0" w:color="auto"/>
                              <w:right w:val="nil"/>
                            </w:tcBorders>
                            <w:shd w:val="clear" w:color="auto" w:fill="auto"/>
                            <w:noWrap/>
                            <w:vAlign w:val="bottom"/>
                            <w:hideMark/>
                          </w:tcPr>
                          <w:p w14:paraId="41FA47F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(46.89-95.91)</w:t>
                            </w:r>
                          </w:p>
                        </w:tc>
                        <w:tc>
                          <w:tcPr>
                            <w:tcW w:w="196" w:type="dxa"/>
                            <w:tcBorders>
                              <w:top w:val="nil"/>
                              <w:left w:val="nil"/>
                              <w:bottom w:val="single" w:sz="4" w:space="0" w:color="auto"/>
                              <w:right w:val="nil"/>
                            </w:tcBorders>
                            <w:shd w:val="clear" w:color="auto" w:fill="auto"/>
                            <w:noWrap/>
                            <w:vAlign w:val="bottom"/>
                            <w:hideMark/>
                          </w:tcPr>
                          <w:p w14:paraId="39A7FE9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7CDEA63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34</w:t>
                            </w:r>
                          </w:p>
                        </w:tc>
                        <w:tc>
                          <w:tcPr>
                            <w:tcW w:w="692" w:type="dxa"/>
                            <w:tcBorders>
                              <w:top w:val="nil"/>
                              <w:left w:val="nil"/>
                              <w:bottom w:val="single" w:sz="4" w:space="0" w:color="auto"/>
                              <w:right w:val="nil"/>
                            </w:tcBorders>
                            <w:shd w:val="clear" w:color="auto" w:fill="auto"/>
                            <w:noWrap/>
                            <w:vAlign w:val="bottom"/>
                            <w:hideMark/>
                          </w:tcPr>
                          <w:p w14:paraId="049C8BF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60.61</w:t>
                            </w:r>
                          </w:p>
                        </w:tc>
                        <w:tc>
                          <w:tcPr>
                            <w:tcW w:w="1104" w:type="dxa"/>
                            <w:tcBorders>
                              <w:top w:val="nil"/>
                              <w:left w:val="nil"/>
                              <w:bottom w:val="single" w:sz="4" w:space="0" w:color="auto"/>
                              <w:right w:val="nil"/>
                            </w:tcBorders>
                            <w:shd w:val="clear" w:color="auto" w:fill="auto"/>
                            <w:noWrap/>
                            <w:vAlign w:val="bottom"/>
                            <w:hideMark/>
                          </w:tcPr>
                          <w:p w14:paraId="04B33F4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(43.31-84.83)</w:t>
                            </w:r>
                          </w:p>
                        </w:tc>
                        <w:tc>
                          <w:tcPr>
                            <w:tcW w:w="196" w:type="dxa"/>
                            <w:tcBorders>
                              <w:top w:val="nil"/>
                              <w:left w:val="nil"/>
                              <w:bottom w:val="single" w:sz="4" w:space="0" w:color="auto"/>
                              <w:right w:val="nil"/>
                            </w:tcBorders>
                            <w:shd w:val="clear" w:color="auto" w:fill="auto"/>
                            <w:noWrap/>
                            <w:vAlign w:val="bottom"/>
                            <w:hideMark/>
                          </w:tcPr>
                          <w:p w14:paraId="6B90575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1B74AEA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59</w:t>
                            </w:r>
                          </w:p>
                        </w:tc>
                        <w:tc>
                          <w:tcPr>
                            <w:tcW w:w="692" w:type="dxa"/>
                            <w:tcBorders>
                              <w:top w:val="nil"/>
                              <w:left w:val="nil"/>
                              <w:bottom w:val="single" w:sz="4" w:space="0" w:color="auto"/>
                              <w:right w:val="nil"/>
                            </w:tcBorders>
                            <w:shd w:val="clear" w:color="auto" w:fill="auto"/>
                            <w:noWrap/>
                            <w:vAlign w:val="bottom"/>
                            <w:hideMark/>
                          </w:tcPr>
                          <w:p w14:paraId="665D201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131.88</w:t>
                            </w:r>
                          </w:p>
                        </w:tc>
                        <w:tc>
                          <w:tcPr>
                            <w:tcW w:w="1104" w:type="dxa"/>
                            <w:tcBorders>
                              <w:top w:val="nil"/>
                              <w:left w:val="nil"/>
                              <w:bottom w:val="single" w:sz="4" w:space="0" w:color="auto"/>
                              <w:right w:val="single" w:sz="8" w:space="0" w:color="auto"/>
                            </w:tcBorders>
                            <w:shd w:val="clear" w:color="auto" w:fill="auto"/>
                            <w:noWrap/>
                            <w:vAlign w:val="bottom"/>
                            <w:hideMark/>
                          </w:tcPr>
                          <w:p w14:paraId="1DA53A5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(102.18-170.22)</w:t>
                            </w:r>
                          </w:p>
                        </w:tc>
                      </w:tr>
                      <w:tr w:rsidR="00AD312A" w:rsidRPr="00122306" w14:paraId="17AC9508"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AE2561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nil"/>
                              <w:right w:val="nil"/>
                            </w:tcBorders>
                            <w:shd w:val="clear" w:color="000000" w:fill="EEECE1"/>
                            <w:noWrap/>
                            <w:vAlign w:val="bottom"/>
                            <w:hideMark/>
                          </w:tcPr>
                          <w:p w14:paraId="380DAC1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000000" w:fill="EEECE1"/>
                            <w:noWrap/>
                            <w:vAlign w:val="bottom"/>
                            <w:hideMark/>
                          </w:tcPr>
                          <w:p w14:paraId="7F8EB76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959</w:t>
                            </w:r>
                          </w:p>
                        </w:tc>
                        <w:tc>
                          <w:tcPr>
                            <w:tcW w:w="692" w:type="dxa"/>
                            <w:tcBorders>
                              <w:top w:val="nil"/>
                              <w:left w:val="nil"/>
                              <w:bottom w:val="nil"/>
                              <w:right w:val="nil"/>
                            </w:tcBorders>
                            <w:shd w:val="clear" w:color="000000" w:fill="EEECE1"/>
                            <w:noWrap/>
                            <w:vAlign w:val="bottom"/>
                            <w:hideMark/>
                          </w:tcPr>
                          <w:p w14:paraId="211DEEB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8.51</w:t>
                            </w:r>
                          </w:p>
                        </w:tc>
                        <w:tc>
                          <w:tcPr>
                            <w:tcW w:w="1104" w:type="dxa"/>
                            <w:tcBorders>
                              <w:top w:val="nil"/>
                              <w:left w:val="nil"/>
                              <w:bottom w:val="nil"/>
                              <w:right w:val="nil"/>
                            </w:tcBorders>
                            <w:shd w:val="clear" w:color="000000" w:fill="EEECE1"/>
                            <w:noWrap/>
                            <w:vAlign w:val="bottom"/>
                            <w:hideMark/>
                          </w:tcPr>
                          <w:p w14:paraId="145B9A4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7.99</w:t>
                            </w:r>
                            <w:proofErr w:type="gramEnd"/>
                            <w:r w:rsidRPr="00122306">
                              <w:rPr>
                                <w:rFonts w:ascii="Calibri" w:hAnsi="Calibri" w:cs="Times New Roman"/>
                                <w:color w:val="000000"/>
                                <w:sz w:val="18"/>
                                <w:szCs w:val="18"/>
                              </w:rPr>
                              <w:t>-9.07)</w:t>
                            </w:r>
                          </w:p>
                        </w:tc>
                        <w:tc>
                          <w:tcPr>
                            <w:tcW w:w="196" w:type="dxa"/>
                            <w:tcBorders>
                              <w:top w:val="nil"/>
                              <w:left w:val="nil"/>
                              <w:bottom w:val="nil"/>
                              <w:right w:val="nil"/>
                            </w:tcBorders>
                            <w:shd w:val="clear" w:color="000000" w:fill="EEECE1"/>
                            <w:noWrap/>
                            <w:vAlign w:val="bottom"/>
                            <w:hideMark/>
                          </w:tcPr>
                          <w:p w14:paraId="193B622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63228E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2289</w:t>
                            </w:r>
                          </w:p>
                        </w:tc>
                        <w:tc>
                          <w:tcPr>
                            <w:tcW w:w="692" w:type="dxa"/>
                            <w:tcBorders>
                              <w:top w:val="nil"/>
                              <w:left w:val="nil"/>
                              <w:bottom w:val="nil"/>
                              <w:right w:val="nil"/>
                            </w:tcBorders>
                            <w:shd w:val="clear" w:color="000000" w:fill="EEECE1"/>
                            <w:noWrap/>
                            <w:vAlign w:val="bottom"/>
                            <w:hideMark/>
                          </w:tcPr>
                          <w:p w14:paraId="1D57BD26"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19.69</w:t>
                            </w:r>
                            <w:proofErr w:type="gramEnd"/>
                          </w:p>
                        </w:tc>
                        <w:tc>
                          <w:tcPr>
                            <w:tcW w:w="1104" w:type="dxa"/>
                            <w:tcBorders>
                              <w:top w:val="nil"/>
                              <w:left w:val="nil"/>
                              <w:bottom w:val="nil"/>
                              <w:right w:val="nil"/>
                            </w:tcBorders>
                            <w:shd w:val="clear" w:color="000000" w:fill="EEECE1"/>
                            <w:noWrap/>
                            <w:vAlign w:val="bottom"/>
                            <w:hideMark/>
                          </w:tcPr>
                          <w:p w14:paraId="4A001A1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18.90</w:t>
                            </w:r>
                            <w:proofErr w:type="gramEnd"/>
                            <w:r w:rsidRPr="00122306">
                              <w:rPr>
                                <w:rFonts w:ascii="Calibri" w:hAnsi="Calibri" w:cs="Times New Roman"/>
                                <w:color w:val="000000"/>
                                <w:sz w:val="18"/>
                                <w:szCs w:val="18"/>
                              </w:rPr>
                              <w:t>-20.52)</w:t>
                            </w:r>
                          </w:p>
                        </w:tc>
                        <w:tc>
                          <w:tcPr>
                            <w:tcW w:w="196" w:type="dxa"/>
                            <w:tcBorders>
                              <w:top w:val="nil"/>
                              <w:left w:val="nil"/>
                              <w:bottom w:val="nil"/>
                              <w:right w:val="nil"/>
                            </w:tcBorders>
                            <w:shd w:val="clear" w:color="000000" w:fill="EEECE1"/>
                            <w:noWrap/>
                            <w:vAlign w:val="bottom"/>
                            <w:hideMark/>
                          </w:tcPr>
                          <w:p w14:paraId="00F6DD6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998462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3007</w:t>
                            </w:r>
                          </w:p>
                        </w:tc>
                        <w:tc>
                          <w:tcPr>
                            <w:tcW w:w="692" w:type="dxa"/>
                            <w:tcBorders>
                              <w:top w:val="nil"/>
                              <w:left w:val="nil"/>
                              <w:bottom w:val="nil"/>
                              <w:right w:val="nil"/>
                            </w:tcBorders>
                            <w:shd w:val="clear" w:color="000000" w:fill="EEECE1"/>
                            <w:noWrap/>
                            <w:vAlign w:val="bottom"/>
                            <w:hideMark/>
                          </w:tcPr>
                          <w:p w14:paraId="01C7430C"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26.69</w:t>
                            </w:r>
                            <w:proofErr w:type="gramEnd"/>
                          </w:p>
                        </w:tc>
                        <w:tc>
                          <w:tcPr>
                            <w:tcW w:w="1104" w:type="dxa"/>
                            <w:tcBorders>
                              <w:top w:val="nil"/>
                              <w:left w:val="nil"/>
                              <w:bottom w:val="nil"/>
                              <w:right w:val="single" w:sz="8" w:space="0" w:color="auto"/>
                            </w:tcBorders>
                            <w:shd w:val="clear" w:color="000000" w:fill="EEECE1"/>
                            <w:noWrap/>
                            <w:vAlign w:val="bottom"/>
                            <w:hideMark/>
                          </w:tcPr>
                          <w:p w14:paraId="5463E74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25.76</w:t>
                            </w:r>
                            <w:proofErr w:type="gramEnd"/>
                            <w:r w:rsidRPr="00122306">
                              <w:rPr>
                                <w:rFonts w:ascii="Calibri" w:hAnsi="Calibri" w:cs="Times New Roman"/>
                                <w:color w:val="000000"/>
                                <w:sz w:val="18"/>
                                <w:szCs w:val="18"/>
                              </w:rPr>
                              <w:t>-27.66)</w:t>
                            </w:r>
                          </w:p>
                        </w:tc>
                      </w:tr>
                      <w:tr w:rsidR="00AD312A" w:rsidRPr="00122306" w14:paraId="1B16E104"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2DE1AD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nil"/>
                              <w:right w:val="nil"/>
                            </w:tcBorders>
                            <w:shd w:val="clear" w:color="000000" w:fill="EEECE1"/>
                            <w:noWrap/>
                            <w:vAlign w:val="bottom"/>
                            <w:hideMark/>
                          </w:tcPr>
                          <w:p w14:paraId="2DB96AA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000000" w:fill="EEECE1"/>
                            <w:noWrap/>
                            <w:vAlign w:val="bottom"/>
                            <w:hideMark/>
                          </w:tcPr>
                          <w:p w14:paraId="3D3D3E6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402</w:t>
                            </w:r>
                          </w:p>
                        </w:tc>
                        <w:tc>
                          <w:tcPr>
                            <w:tcW w:w="692" w:type="dxa"/>
                            <w:tcBorders>
                              <w:top w:val="nil"/>
                              <w:left w:val="nil"/>
                              <w:bottom w:val="nil"/>
                              <w:right w:val="nil"/>
                            </w:tcBorders>
                            <w:shd w:val="clear" w:color="000000" w:fill="EEECE1"/>
                            <w:noWrap/>
                            <w:vAlign w:val="bottom"/>
                            <w:hideMark/>
                          </w:tcPr>
                          <w:p w14:paraId="718F653B"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11.98</w:t>
                            </w:r>
                            <w:proofErr w:type="gramEnd"/>
                          </w:p>
                        </w:tc>
                        <w:tc>
                          <w:tcPr>
                            <w:tcW w:w="1104" w:type="dxa"/>
                            <w:tcBorders>
                              <w:top w:val="nil"/>
                              <w:left w:val="nil"/>
                              <w:bottom w:val="nil"/>
                              <w:right w:val="nil"/>
                            </w:tcBorders>
                            <w:shd w:val="clear" w:color="000000" w:fill="EEECE1"/>
                            <w:noWrap/>
                            <w:vAlign w:val="bottom"/>
                            <w:hideMark/>
                          </w:tcPr>
                          <w:p w14:paraId="252B7FA5"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10.87</w:t>
                            </w:r>
                            <w:proofErr w:type="gramEnd"/>
                            <w:r w:rsidRPr="00122306">
                              <w:rPr>
                                <w:rFonts w:ascii="Calibri" w:hAnsi="Calibri" w:cs="Times New Roman"/>
                                <w:color w:val="000000"/>
                                <w:sz w:val="18"/>
                                <w:szCs w:val="18"/>
                              </w:rPr>
                              <w:t>-13.21)</w:t>
                            </w:r>
                          </w:p>
                        </w:tc>
                        <w:tc>
                          <w:tcPr>
                            <w:tcW w:w="196" w:type="dxa"/>
                            <w:tcBorders>
                              <w:top w:val="nil"/>
                              <w:left w:val="nil"/>
                              <w:bottom w:val="nil"/>
                              <w:right w:val="nil"/>
                            </w:tcBorders>
                            <w:shd w:val="clear" w:color="000000" w:fill="EEECE1"/>
                            <w:noWrap/>
                            <w:vAlign w:val="bottom"/>
                            <w:hideMark/>
                          </w:tcPr>
                          <w:p w14:paraId="10CCB67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88168D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1410</w:t>
                            </w:r>
                          </w:p>
                        </w:tc>
                        <w:tc>
                          <w:tcPr>
                            <w:tcW w:w="692" w:type="dxa"/>
                            <w:tcBorders>
                              <w:top w:val="nil"/>
                              <w:left w:val="nil"/>
                              <w:bottom w:val="nil"/>
                              <w:right w:val="nil"/>
                            </w:tcBorders>
                            <w:shd w:val="clear" w:color="000000" w:fill="EEECE1"/>
                            <w:noWrap/>
                            <w:vAlign w:val="bottom"/>
                            <w:hideMark/>
                          </w:tcPr>
                          <w:p w14:paraId="37A0105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40.34</w:t>
                            </w:r>
                          </w:p>
                        </w:tc>
                        <w:tc>
                          <w:tcPr>
                            <w:tcW w:w="1104" w:type="dxa"/>
                            <w:tcBorders>
                              <w:top w:val="nil"/>
                              <w:left w:val="nil"/>
                              <w:bottom w:val="nil"/>
                              <w:right w:val="nil"/>
                            </w:tcBorders>
                            <w:shd w:val="clear" w:color="000000" w:fill="EEECE1"/>
                            <w:noWrap/>
                            <w:vAlign w:val="bottom"/>
                            <w:hideMark/>
                          </w:tcPr>
                          <w:p w14:paraId="129FCCB3"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(38.29-42.50)</w:t>
                            </w:r>
                          </w:p>
                        </w:tc>
                        <w:tc>
                          <w:tcPr>
                            <w:tcW w:w="196" w:type="dxa"/>
                            <w:tcBorders>
                              <w:top w:val="nil"/>
                              <w:left w:val="nil"/>
                              <w:bottom w:val="nil"/>
                              <w:right w:val="nil"/>
                            </w:tcBorders>
                            <w:shd w:val="clear" w:color="000000" w:fill="EEECE1"/>
                            <w:noWrap/>
                            <w:vAlign w:val="bottom"/>
                            <w:hideMark/>
                          </w:tcPr>
                          <w:p w14:paraId="177CA28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2373008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1654</w:t>
                            </w:r>
                          </w:p>
                        </w:tc>
                        <w:tc>
                          <w:tcPr>
                            <w:tcW w:w="692" w:type="dxa"/>
                            <w:tcBorders>
                              <w:top w:val="nil"/>
                              <w:left w:val="nil"/>
                              <w:bottom w:val="nil"/>
                              <w:right w:val="nil"/>
                            </w:tcBorders>
                            <w:shd w:val="clear" w:color="000000" w:fill="EEECE1"/>
                            <w:noWrap/>
                            <w:vAlign w:val="bottom"/>
                            <w:hideMark/>
                          </w:tcPr>
                          <w:p w14:paraId="0DE8612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49.30</w:t>
                            </w:r>
                          </w:p>
                        </w:tc>
                        <w:tc>
                          <w:tcPr>
                            <w:tcW w:w="1104" w:type="dxa"/>
                            <w:tcBorders>
                              <w:top w:val="nil"/>
                              <w:left w:val="nil"/>
                              <w:bottom w:val="nil"/>
                              <w:right w:val="single" w:sz="8" w:space="0" w:color="auto"/>
                            </w:tcBorders>
                            <w:shd w:val="clear" w:color="000000" w:fill="EEECE1"/>
                            <w:noWrap/>
                            <w:vAlign w:val="bottom"/>
                            <w:hideMark/>
                          </w:tcPr>
                          <w:p w14:paraId="26E4301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(46.98-51.74)</w:t>
                            </w:r>
                          </w:p>
                        </w:tc>
                      </w:tr>
                      <w:tr w:rsidR="00AD312A" w:rsidRPr="00122306" w14:paraId="0A0DF692"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57C3226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nil"/>
                              <w:right w:val="nil"/>
                            </w:tcBorders>
                            <w:shd w:val="clear" w:color="000000" w:fill="EEECE1"/>
                            <w:noWrap/>
                            <w:vAlign w:val="bottom"/>
                            <w:hideMark/>
                          </w:tcPr>
                          <w:p w14:paraId="740CB6D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000000" w:fill="EEECE1"/>
                            <w:noWrap/>
                            <w:vAlign w:val="bottom"/>
                            <w:hideMark/>
                          </w:tcPr>
                          <w:p w14:paraId="26CF50F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636</w:t>
                            </w:r>
                          </w:p>
                        </w:tc>
                        <w:tc>
                          <w:tcPr>
                            <w:tcW w:w="692" w:type="dxa"/>
                            <w:tcBorders>
                              <w:top w:val="nil"/>
                              <w:left w:val="nil"/>
                              <w:bottom w:val="nil"/>
                              <w:right w:val="nil"/>
                            </w:tcBorders>
                            <w:shd w:val="clear" w:color="000000" w:fill="EEECE1"/>
                            <w:noWrap/>
                            <w:vAlign w:val="bottom"/>
                            <w:hideMark/>
                          </w:tcPr>
                          <w:p w14:paraId="7A62CF8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44.52</w:t>
                            </w:r>
                          </w:p>
                        </w:tc>
                        <w:tc>
                          <w:tcPr>
                            <w:tcW w:w="1104" w:type="dxa"/>
                            <w:tcBorders>
                              <w:top w:val="nil"/>
                              <w:left w:val="nil"/>
                              <w:bottom w:val="nil"/>
                              <w:right w:val="nil"/>
                            </w:tcBorders>
                            <w:shd w:val="clear" w:color="000000" w:fill="EEECE1"/>
                            <w:noWrap/>
                            <w:vAlign w:val="bottom"/>
                            <w:hideMark/>
                          </w:tcPr>
                          <w:p w14:paraId="3BC145A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(41.19-48.12)</w:t>
                            </w:r>
                          </w:p>
                        </w:tc>
                        <w:tc>
                          <w:tcPr>
                            <w:tcW w:w="196" w:type="dxa"/>
                            <w:tcBorders>
                              <w:top w:val="nil"/>
                              <w:left w:val="nil"/>
                              <w:bottom w:val="nil"/>
                              <w:right w:val="nil"/>
                            </w:tcBorders>
                            <w:shd w:val="clear" w:color="000000" w:fill="EEECE1"/>
                            <w:noWrap/>
                            <w:vAlign w:val="bottom"/>
                            <w:hideMark/>
                          </w:tcPr>
                          <w:p w14:paraId="009A64C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3E17D2F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919</w:t>
                            </w:r>
                          </w:p>
                        </w:tc>
                        <w:tc>
                          <w:tcPr>
                            <w:tcW w:w="692" w:type="dxa"/>
                            <w:tcBorders>
                              <w:top w:val="nil"/>
                              <w:left w:val="nil"/>
                              <w:bottom w:val="nil"/>
                              <w:right w:val="nil"/>
                            </w:tcBorders>
                            <w:shd w:val="clear" w:color="000000" w:fill="EEECE1"/>
                            <w:noWrap/>
                            <w:vAlign w:val="bottom"/>
                            <w:hideMark/>
                          </w:tcPr>
                          <w:p w14:paraId="330651C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53.68</w:t>
                            </w:r>
                          </w:p>
                        </w:tc>
                        <w:tc>
                          <w:tcPr>
                            <w:tcW w:w="1104" w:type="dxa"/>
                            <w:tcBorders>
                              <w:top w:val="nil"/>
                              <w:left w:val="nil"/>
                              <w:bottom w:val="nil"/>
                              <w:right w:val="nil"/>
                            </w:tcBorders>
                            <w:shd w:val="clear" w:color="000000" w:fill="EEECE1"/>
                            <w:noWrap/>
                            <w:vAlign w:val="bottom"/>
                            <w:hideMark/>
                          </w:tcPr>
                          <w:p w14:paraId="147C667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(50.32-57.26)</w:t>
                            </w:r>
                          </w:p>
                        </w:tc>
                        <w:tc>
                          <w:tcPr>
                            <w:tcW w:w="196" w:type="dxa"/>
                            <w:tcBorders>
                              <w:top w:val="nil"/>
                              <w:left w:val="nil"/>
                              <w:bottom w:val="nil"/>
                              <w:right w:val="nil"/>
                            </w:tcBorders>
                            <w:shd w:val="clear" w:color="000000" w:fill="EEECE1"/>
                            <w:noWrap/>
                            <w:vAlign w:val="bottom"/>
                            <w:hideMark/>
                          </w:tcPr>
                          <w:p w14:paraId="0373799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00B41B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1377</w:t>
                            </w:r>
                          </w:p>
                        </w:tc>
                        <w:tc>
                          <w:tcPr>
                            <w:tcW w:w="692" w:type="dxa"/>
                            <w:tcBorders>
                              <w:top w:val="nil"/>
                              <w:left w:val="nil"/>
                              <w:bottom w:val="nil"/>
                              <w:right w:val="nil"/>
                            </w:tcBorders>
                            <w:shd w:val="clear" w:color="000000" w:fill="EEECE1"/>
                            <w:noWrap/>
                            <w:vAlign w:val="bottom"/>
                            <w:hideMark/>
                          </w:tcPr>
                          <w:p w14:paraId="4AE59A8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96.40</w:t>
                            </w:r>
                          </w:p>
                        </w:tc>
                        <w:tc>
                          <w:tcPr>
                            <w:tcW w:w="1104" w:type="dxa"/>
                            <w:tcBorders>
                              <w:top w:val="nil"/>
                              <w:left w:val="nil"/>
                              <w:bottom w:val="nil"/>
                              <w:right w:val="single" w:sz="8" w:space="0" w:color="auto"/>
                            </w:tcBorders>
                            <w:shd w:val="clear" w:color="000000" w:fill="EEECE1"/>
                            <w:noWrap/>
                            <w:vAlign w:val="bottom"/>
                            <w:hideMark/>
                          </w:tcPr>
                          <w:p w14:paraId="6565B642"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(91.44-101.63)</w:t>
                            </w:r>
                          </w:p>
                        </w:tc>
                      </w:tr>
                      <w:tr w:rsidR="00AD312A" w:rsidRPr="00122306" w14:paraId="3659AB78" w14:textId="77777777" w:rsidTr="006143D9">
                        <w:trPr>
                          <w:trHeight w:val="299"/>
                        </w:trPr>
                        <w:tc>
                          <w:tcPr>
                            <w:tcW w:w="843" w:type="dxa"/>
                            <w:tcBorders>
                              <w:top w:val="nil"/>
                              <w:left w:val="single" w:sz="8" w:space="0" w:color="auto"/>
                              <w:bottom w:val="single" w:sz="4" w:space="0" w:color="auto"/>
                              <w:right w:val="nil"/>
                            </w:tcBorders>
                            <w:shd w:val="clear" w:color="000000" w:fill="EEECE1"/>
                            <w:noWrap/>
                            <w:vAlign w:val="bottom"/>
                            <w:hideMark/>
                          </w:tcPr>
                          <w:p w14:paraId="54B8E46D"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50-65</w:t>
                            </w:r>
                          </w:p>
                        </w:tc>
                        <w:tc>
                          <w:tcPr>
                            <w:tcW w:w="595" w:type="dxa"/>
                            <w:tcBorders>
                              <w:top w:val="nil"/>
                              <w:left w:val="nil"/>
                              <w:bottom w:val="single" w:sz="4" w:space="0" w:color="auto"/>
                              <w:right w:val="nil"/>
                            </w:tcBorders>
                            <w:shd w:val="clear" w:color="000000" w:fill="EEECE1"/>
                            <w:noWrap/>
                            <w:vAlign w:val="bottom"/>
                            <w:hideMark/>
                          </w:tcPr>
                          <w:p w14:paraId="54201BF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000000" w:fill="EEECE1"/>
                            <w:noWrap/>
                            <w:vAlign w:val="bottom"/>
                            <w:hideMark/>
                          </w:tcPr>
                          <w:p w14:paraId="6EDCA71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389</w:t>
                            </w:r>
                          </w:p>
                        </w:tc>
                        <w:tc>
                          <w:tcPr>
                            <w:tcW w:w="692" w:type="dxa"/>
                            <w:tcBorders>
                              <w:top w:val="nil"/>
                              <w:left w:val="nil"/>
                              <w:bottom w:val="single" w:sz="4" w:space="0" w:color="auto"/>
                              <w:right w:val="nil"/>
                            </w:tcBorders>
                            <w:shd w:val="clear" w:color="000000" w:fill="EEECE1"/>
                            <w:noWrap/>
                            <w:vAlign w:val="bottom"/>
                            <w:hideMark/>
                          </w:tcPr>
                          <w:p w14:paraId="2202320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74.59</w:t>
                            </w:r>
                          </w:p>
                        </w:tc>
                        <w:tc>
                          <w:tcPr>
                            <w:tcW w:w="1104" w:type="dxa"/>
                            <w:tcBorders>
                              <w:top w:val="nil"/>
                              <w:left w:val="nil"/>
                              <w:bottom w:val="single" w:sz="4" w:space="0" w:color="auto"/>
                              <w:right w:val="nil"/>
                            </w:tcBorders>
                            <w:shd w:val="clear" w:color="000000" w:fill="EEECE1"/>
                            <w:noWrap/>
                            <w:vAlign w:val="bottom"/>
                            <w:hideMark/>
                          </w:tcPr>
                          <w:p w14:paraId="49473F1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(67.53-82.38)</w:t>
                            </w:r>
                          </w:p>
                        </w:tc>
                        <w:tc>
                          <w:tcPr>
                            <w:tcW w:w="196" w:type="dxa"/>
                            <w:tcBorders>
                              <w:top w:val="nil"/>
                              <w:left w:val="nil"/>
                              <w:bottom w:val="single" w:sz="4" w:space="0" w:color="auto"/>
                              <w:right w:val="nil"/>
                            </w:tcBorders>
                            <w:shd w:val="clear" w:color="000000" w:fill="EEECE1"/>
                            <w:noWrap/>
                            <w:vAlign w:val="bottom"/>
                            <w:hideMark/>
                          </w:tcPr>
                          <w:p w14:paraId="4D4C46CC"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0244DA1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597</w:t>
                            </w:r>
                          </w:p>
                        </w:tc>
                        <w:tc>
                          <w:tcPr>
                            <w:tcW w:w="692" w:type="dxa"/>
                            <w:tcBorders>
                              <w:top w:val="nil"/>
                              <w:left w:val="nil"/>
                              <w:bottom w:val="single" w:sz="4" w:space="0" w:color="auto"/>
                              <w:right w:val="nil"/>
                            </w:tcBorders>
                            <w:shd w:val="clear" w:color="000000" w:fill="EEECE1"/>
                            <w:noWrap/>
                            <w:vAlign w:val="bottom"/>
                            <w:hideMark/>
                          </w:tcPr>
                          <w:p w14:paraId="266FD0B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88.80</w:t>
                            </w:r>
                          </w:p>
                        </w:tc>
                        <w:tc>
                          <w:tcPr>
                            <w:tcW w:w="1104" w:type="dxa"/>
                            <w:tcBorders>
                              <w:top w:val="nil"/>
                              <w:left w:val="nil"/>
                              <w:bottom w:val="single" w:sz="4" w:space="0" w:color="auto"/>
                              <w:right w:val="nil"/>
                            </w:tcBorders>
                            <w:shd w:val="clear" w:color="000000" w:fill="EEECE1"/>
                            <w:noWrap/>
                            <w:vAlign w:val="bottom"/>
                            <w:hideMark/>
                          </w:tcPr>
                          <w:p w14:paraId="2AA5E77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(81.95-96.21)</w:t>
                            </w:r>
                          </w:p>
                        </w:tc>
                        <w:tc>
                          <w:tcPr>
                            <w:tcW w:w="196" w:type="dxa"/>
                            <w:tcBorders>
                              <w:top w:val="nil"/>
                              <w:left w:val="nil"/>
                              <w:bottom w:val="single" w:sz="4" w:space="0" w:color="auto"/>
                              <w:right w:val="nil"/>
                            </w:tcBorders>
                            <w:shd w:val="clear" w:color="000000" w:fill="EEECE1"/>
                            <w:noWrap/>
                            <w:vAlign w:val="bottom"/>
                            <w:hideMark/>
                          </w:tcPr>
                          <w:p w14:paraId="39AD0CC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000000" w:fill="EEECE1"/>
                            <w:noWrap/>
                            <w:vAlign w:val="bottom"/>
                            <w:hideMark/>
                          </w:tcPr>
                          <w:p w14:paraId="3ECF2A1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821</w:t>
                            </w:r>
                          </w:p>
                        </w:tc>
                        <w:tc>
                          <w:tcPr>
                            <w:tcW w:w="692" w:type="dxa"/>
                            <w:tcBorders>
                              <w:top w:val="nil"/>
                              <w:left w:val="nil"/>
                              <w:bottom w:val="single" w:sz="4" w:space="0" w:color="auto"/>
                              <w:right w:val="nil"/>
                            </w:tcBorders>
                            <w:shd w:val="clear" w:color="000000" w:fill="EEECE1"/>
                            <w:noWrap/>
                            <w:vAlign w:val="bottom"/>
                            <w:hideMark/>
                          </w:tcPr>
                          <w:p w14:paraId="2C8FB13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157.42</w:t>
                            </w:r>
                          </w:p>
                        </w:tc>
                        <w:tc>
                          <w:tcPr>
                            <w:tcW w:w="1104" w:type="dxa"/>
                            <w:tcBorders>
                              <w:top w:val="nil"/>
                              <w:left w:val="nil"/>
                              <w:bottom w:val="single" w:sz="4" w:space="0" w:color="auto"/>
                              <w:right w:val="single" w:sz="8" w:space="0" w:color="auto"/>
                            </w:tcBorders>
                            <w:shd w:val="clear" w:color="000000" w:fill="EEECE1"/>
                            <w:noWrap/>
                            <w:vAlign w:val="bottom"/>
                            <w:hideMark/>
                          </w:tcPr>
                          <w:p w14:paraId="1F8E6F8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(147.01-168.57)</w:t>
                            </w:r>
                          </w:p>
                        </w:tc>
                      </w:tr>
                      <w:tr w:rsidR="00AD312A" w:rsidRPr="00122306" w14:paraId="072CAF3F"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2913E62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nil"/>
                              <w:right w:val="nil"/>
                            </w:tcBorders>
                            <w:shd w:val="clear" w:color="auto" w:fill="auto"/>
                            <w:noWrap/>
                            <w:vAlign w:val="bottom"/>
                            <w:hideMark/>
                          </w:tcPr>
                          <w:p w14:paraId="7B7010B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auto" w:fill="auto"/>
                            <w:noWrap/>
                            <w:vAlign w:val="bottom"/>
                            <w:hideMark/>
                          </w:tcPr>
                          <w:p w14:paraId="153D69E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1523</w:t>
                            </w:r>
                          </w:p>
                        </w:tc>
                        <w:tc>
                          <w:tcPr>
                            <w:tcW w:w="692" w:type="dxa"/>
                            <w:tcBorders>
                              <w:top w:val="nil"/>
                              <w:left w:val="nil"/>
                              <w:bottom w:val="nil"/>
                              <w:right w:val="nil"/>
                            </w:tcBorders>
                            <w:shd w:val="clear" w:color="auto" w:fill="auto"/>
                            <w:noWrap/>
                            <w:vAlign w:val="bottom"/>
                            <w:hideMark/>
                          </w:tcPr>
                          <w:p w14:paraId="7014E30A"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15.88</w:t>
                            </w:r>
                            <w:proofErr w:type="gramEnd"/>
                          </w:p>
                        </w:tc>
                        <w:tc>
                          <w:tcPr>
                            <w:tcW w:w="1104" w:type="dxa"/>
                            <w:tcBorders>
                              <w:top w:val="nil"/>
                              <w:left w:val="nil"/>
                              <w:bottom w:val="nil"/>
                              <w:right w:val="nil"/>
                            </w:tcBorders>
                            <w:shd w:val="clear" w:color="auto" w:fill="auto"/>
                            <w:noWrap/>
                            <w:vAlign w:val="bottom"/>
                            <w:hideMark/>
                          </w:tcPr>
                          <w:p w14:paraId="6C56D6D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(15.10-16.70)</w:t>
                            </w:r>
                          </w:p>
                        </w:tc>
                        <w:tc>
                          <w:tcPr>
                            <w:tcW w:w="196" w:type="dxa"/>
                            <w:tcBorders>
                              <w:top w:val="nil"/>
                              <w:left w:val="nil"/>
                              <w:bottom w:val="nil"/>
                              <w:right w:val="nil"/>
                            </w:tcBorders>
                            <w:shd w:val="clear" w:color="auto" w:fill="auto"/>
                            <w:noWrap/>
                            <w:vAlign w:val="bottom"/>
                            <w:hideMark/>
                          </w:tcPr>
                          <w:p w14:paraId="5A7CD8A3"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028FB9A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5001</w:t>
                            </w:r>
                          </w:p>
                        </w:tc>
                        <w:tc>
                          <w:tcPr>
                            <w:tcW w:w="692" w:type="dxa"/>
                            <w:tcBorders>
                              <w:top w:val="nil"/>
                              <w:left w:val="nil"/>
                              <w:bottom w:val="nil"/>
                              <w:right w:val="nil"/>
                            </w:tcBorders>
                            <w:shd w:val="clear" w:color="auto" w:fill="auto"/>
                            <w:noWrap/>
                            <w:vAlign w:val="bottom"/>
                            <w:hideMark/>
                          </w:tcPr>
                          <w:p w14:paraId="5ED2571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49.67</w:t>
                            </w:r>
                          </w:p>
                        </w:tc>
                        <w:tc>
                          <w:tcPr>
                            <w:tcW w:w="1104" w:type="dxa"/>
                            <w:tcBorders>
                              <w:top w:val="nil"/>
                              <w:left w:val="nil"/>
                              <w:bottom w:val="nil"/>
                              <w:right w:val="nil"/>
                            </w:tcBorders>
                            <w:shd w:val="clear" w:color="auto" w:fill="auto"/>
                            <w:noWrap/>
                            <w:vAlign w:val="bottom"/>
                            <w:hideMark/>
                          </w:tcPr>
                          <w:p w14:paraId="46631CBE"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(48.32-51.07)</w:t>
                            </w:r>
                          </w:p>
                        </w:tc>
                        <w:tc>
                          <w:tcPr>
                            <w:tcW w:w="196" w:type="dxa"/>
                            <w:tcBorders>
                              <w:top w:val="nil"/>
                              <w:left w:val="nil"/>
                              <w:bottom w:val="nil"/>
                              <w:right w:val="nil"/>
                            </w:tcBorders>
                            <w:shd w:val="clear" w:color="auto" w:fill="auto"/>
                            <w:noWrap/>
                            <w:vAlign w:val="bottom"/>
                            <w:hideMark/>
                          </w:tcPr>
                          <w:p w14:paraId="63526F47"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6C83D0D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5838</w:t>
                            </w:r>
                          </w:p>
                        </w:tc>
                        <w:tc>
                          <w:tcPr>
                            <w:tcW w:w="692" w:type="dxa"/>
                            <w:tcBorders>
                              <w:top w:val="nil"/>
                              <w:left w:val="nil"/>
                              <w:bottom w:val="nil"/>
                              <w:right w:val="nil"/>
                            </w:tcBorders>
                            <w:shd w:val="clear" w:color="auto" w:fill="auto"/>
                            <w:noWrap/>
                            <w:vAlign w:val="bottom"/>
                            <w:hideMark/>
                          </w:tcPr>
                          <w:p w14:paraId="17F0482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60.88</w:t>
                            </w:r>
                          </w:p>
                        </w:tc>
                        <w:tc>
                          <w:tcPr>
                            <w:tcW w:w="1104" w:type="dxa"/>
                            <w:tcBorders>
                              <w:top w:val="nil"/>
                              <w:left w:val="nil"/>
                              <w:bottom w:val="nil"/>
                              <w:right w:val="single" w:sz="8" w:space="0" w:color="auto"/>
                            </w:tcBorders>
                            <w:shd w:val="clear" w:color="auto" w:fill="auto"/>
                            <w:noWrap/>
                            <w:vAlign w:val="bottom"/>
                            <w:hideMark/>
                          </w:tcPr>
                          <w:p w14:paraId="780C33D0"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(59.33-62.46)</w:t>
                            </w:r>
                          </w:p>
                        </w:tc>
                      </w:tr>
                      <w:tr w:rsidR="00AD312A" w:rsidRPr="00122306" w14:paraId="278BFD1B"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584BC0F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nil"/>
                              <w:right w:val="nil"/>
                            </w:tcBorders>
                            <w:shd w:val="clear" w:color="auto" w:fill="auto"/>
                            <w:noWrap/>
                            <w:vAlign w:val="bottom"/>
                            <w:hideMark/>
                          </w:tcPr>
                          <w:p w14:paraId="6D362BE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auto" w:fill="auto"/>
                            <w:noWrap/>
                            <w:vAlign w:val="bottom"/>
                            <w:hideMark/>
                          </w:tcPr>
                          <w:p w14:paraId="523F1FE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802</w:t>
                            </w:r>
                          </w:p>
                        </w:tc>
                        <w:tc>
                          <w:tcPr>
                            <w:tcW w:w="692" w:type="dxa"/>
                            <w:tcBorders>
                              <w:top w:val="nil"/>
                              <w:left w:val="nil"/>
                              <w:bottom w:val="nil"/>
                              <w:right w:val="nil"/>
                            </w:tcBorders>
                            <w:shd w:val="clear" w:color="auto" w:fill="auto"/>
                            <w:noWrap/>
                            <w:vAlign w:val="bottom"/>
                            <w:hideMark/>
                          </w:tcPr>
                          <w:p w14:paraId="5AB79272"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19.84</w:t>
                            </w:r>
                            <w:proofErr w:type="gramEnd"/>
                          </w:p>
                        </w:tc>
                        <w:tc>
                          <w:tcPr>
                            <w:tcW w:w="1104" w:type="dxa"/>
                            <w:tcBorders>
                              <w:top w:val="nil"/>
                              <w:left w:val="nil"/>
                              <w:bottom w:val="nil"/>
                              <w:right w:val="nil"/>
                            </w:tcBorders>
                            <w:shd w:val="clear" w:color="auto" w:fill="auto"/>
                            <w:noWrap/>
                            <w:vAlign w:val="bottom"/>
                            <w:hideMark/>
                          </w:tcPr>
                          <w:p w14:paraId="4F79FBB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(18.52-21.27)</w:t>
                            </w:r>
                          </w:p>
                        </w:tc>
                        <w:tc>
                          <w:tcPr>
                            <w:tcW w:w="196" w:type="dxa"/>
                            <w:tcBorders>
                              <w:top w:val="nil"/>
                              <w:left w:val="nil"/>
                              <w:bottom w:val="nil"/>
                              <w:right w:val="nil"/>
                            </w:tcBorders>
                            <w:shd w:val="clear" w:color="auto" w:fill="auto"/>
                            <w:noWrap/>
                            <w:vAlign w:val="bottom"/>
                            <w:hideMark/>
                          </w:tcPr>
                          <w:p w14:paraId="15BAE005"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D30E44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3485</w:t>
                            </w:r>
                          </w:p>
                        </w:tc>
                        <w:tc>
                          <w:tcPr>
                            <w:tcW w:w="692" w:type="dxa"/>
                            <w:tcBorders>
                              <w:top w:val="nil"/>
                              <w:left w:val="nil"/>
                              <w:bottom w:val="nil"/>
                              <w:right w:val="nil"/>
                            </w:tcBorders>
                            <w:shd w:val="clear" w:color="auto" w:fill="auto"/>
                            <w:noWrap/>
                            <w:vAlign w:val="bottom"/>
                            <w:hideMark/>
                          </w:tcPr>
                          <w:p w14:paraId="17B3389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82.02</w:t>
                            </w:r>
                          </w:p>
                        </w:tc>
                        <w:tc>
                          <w:tcPr>
                            <w:tcW w:w="1104" w:type="dxa"/>
                            <w:tcBorders>
                              <w:top w:val="nil"/>
                              <w:left w:val="nil"/>
                              <w:bottom w:val="nil"/>
                              <w:right w:val="nil"/>
                            </w:tcBorders>
                            <w:shd w:val="clear" w:color="auto" w:fill="auto"/>
                            <w:noWrap/>
                            <w:vAlign w:val="bottom"/>
                            <w:hideMark/>
                          </w:tcPr>
                          <w:p w14:paraId="518DB6F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(79.34-84.79)</w:t>
                            </w:r>
                          </w:p>
                        </w:tc>
                        <w:tc>
                          <w:tcPr>
                            <w:tcW w:w="196" w:type="dxa"/>
                            <w:tcBorders>
                              <w:top w:val="nil"/>
                              <w:left w:val="nil"/>
                              <w:bottom w:val="nil"/>
                              <w:right w:val="nil"/>
                            </w:tcBorders>
                            <w:shd w:val="clear" w:color="auto" w:fill="auto"/>
                            <w:noWrap/>
                            <w:vAlign w:val="bottom"/>
                            <w:hideMark/>
                          </w:tcPr>
                          <w:p w14:paraId="44B01218"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1B2F4B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3857</w:t>
                            </w:r>
                          </w:p>
                        </w:tc>
                        <w:tc>
                          <w:tcPr>
                            <w:tcW w:w="692" w:type="dxa"/>
                            <w:tcBorders>
                              <w:top w:val="nil"/>
                              <w:left w:val="nil"/>
                              <w:bottom w:val="nil"/>
                              <w:right w:val="nil"/>
                            </w:tcBorders>
                            <w:shd w:val="clear" w:color="auto" w:fill="auto"/>
                            <w:noWrap/>
                            <w:vAlign w:val="bottom"/>
                            <w:hideMark/>
                          </w:tcPr>
                          <w:p w14:paraId="3961F93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95.43</w:t>
                            </w:r>
                          </w:p>
                        </w:tc>
                        <w:tc>
                          <w:tcPr>
                            <w:tcW w:w="1104" w:type="dxa"/>
                            <w:tcBorders>
                              <w:top w:val="nil"/>
                              <w:left w:val="nil"/>
                              <w:bottom w:val="nil"/>
                              <w:right w:val="single" w:sz="8" w:space="0" w:color="auto"/>
                            </w:tcBorders>
                            <w:shd w:val="clear" w:color="auto" w:fill="auto"/>
                            <w:noWrap/>
                            <w:vAlign w:val="bottom"/>
                            <w:hideMark/>
                          </w:tcPr>
                          <w:p w14:paraId="7EA1FDA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(92.47-98.49)</w:t>
                            </w:r>
                          </w:p>
                        </w:tc>
                      </w:tr>
                      <w:tr w:rsidR="00AD312A" w:rsidRPr="00122306" w14:paraId="036FBFE4" w14:textId="77777777" w:rsidTr="006143D9">
                        <w:trPr>
                          <w:trHeight w:val="299"/>
                        </w:trPr>
                        <w:tc>
                          <w:tcPr>
                            <w:tcW w:w="843" w:type="dxa"/>
                            <w:tcBorders>
                              <w:top w:val="nil"/>
                              <w:left w:val="single" w:sz="8" w:space="0" w:color="auto"/>
                              <w:bottom w:val="nil"/>
                              <w:right w:val="nil"/>
                            </w:tcBorders>
                            <w:shd w:val="clear" w:color="auto" w:fill="auto"/>
                            <w:noWrap/>
                            <w:vAlign w:val="bottom"/>
                            <w:hideMark/>
                          </w:tcPr>
                          <w:p w14:paraId="4079B2C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nil"/>
                              <w:right w:val="nil"/>
                            </w:tcBorders>
                            <w:shd w:val="clear" w:color="auto" w:fill="auto"/>
                            <w:noWrap/>
                            <w:vAlign w:val="bottom"/>
                            <w:hideMark/>
                          </w:tcPr>
                          <w:p w14:paraId="17CC381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auto" w:fill="auto"/>
                            <w:noWrap/>
                            <w:vAlign w:val="bottom"/>
                            <w:hideMark/>
                          </w:tcPr>
                          <w:p w14:paraId="10907BE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1202</w:t>
                            </w:r>
                          </w:p>
                        </w:tc>
                        <w:tc>
                          <w:tcPr>
                            <w:tcW w:w="692" w:type="dxa"/>
                            <w:tcBorders>
                              <w:top w:val="nil"/>
                              <w:left w:val="nil"/>
                              <w:bottom w:val="nil"/>
                              <w:right w:val="nil"/>
                            </w:tcBorders>
                            <w:shd w:val="clear" w:color="auto" w:fill="auto"/>
                            <w:noWrap/>
                            <w:vAlign w:val="bottom"/>
                            <w:hideMark/>
                          </w:tcPr>
                          <w:p w14:paraId="11ED696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56.35</w:t>
                            </w:r>
                          </w:p>
                        </w:tc>
                        <w:tc>
                          <w:tcPr>
                            <w:tcW w:w="1104" w:type="dxa"/>
                            <w:tcBorders>
                              <w:top w:val="nil"/>
                              <w:left w:val="nil"/>
                              <w:bottom w:val="nil"/>
                              <w:right w:val="nil"/>
                            </w:tcBorders>
                            <w:shd w:val="clear" w:color="auto" w:fill="auto"/>
                            <w:noWrap/>
                            <w:vAlign w:val="bottom"/>
                            <w:hideMark/>
                          </w:tcPr>
                          <w:p w14:paraId="5BF1D8F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(53.26-59.63)</w:t>
                            </w:r>
                          </w:p>
                        </w:tc>
                        <w:tc>
                          <w:tcPr>
                            <w:tcW w:w="196" w:type="dxa"/>
                            <w:tcBorders>
                              <w:top w:val="nil"/>
                              <w:left w:val="nil"/>
                              <w:bottom w:val="nil"/>
                              <w:right w:val="nil"/>
                            </w:tcBorders>
                            <w:shd w:val="clear" w:color="auto" w:fill="auto"/>
                            <w:noWrap/>
                            <w:vAlign w:val="bottom"/>
                            <w:hideMark/>
                          </w:tcPr>
                          <w:p w14:paraId="681CF37C"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39B5DD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2608</w:t>
                            </w:r>
                          </w:p>
                        </w:tc>
                        <w:tc>
                          <w:tcPr>
                            <w:tcW w:w="692" w:type="dxa"/>
                            <w:tcBorders>
                              <w:top w:val="nil"/>
                              <w:left w:val="nil"/>
                              <w:bottom w:val="nil"/>
                              <w:right w:val="nil"/>
                            </w:tcBorders>
                            <w:shd w:val="clear" w:color="auto" w:fill="auto"/>
                            <w:noWrap/>
                            <w:vAlign w:val="bottom"/>
                            <w:hideMark/>
                          </w:tcPr>
                          <w:p w14:paraId="10EC13A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101.65</w:t>
                            </w:r>
                          </w:p>
                        </w:tc>
                        <w:tc>
                          <w:tcPr>
                            <w:tcW w:w="1104" w:type="dxa"/>
                            <w:tcBorders>
                              <w:top w:val="nil"/>
                              <w:left w:val="nil"/>
                              <w:bottom w:val="nil"/>
                              <w:right w:val="nil"/>
                            </w:tcBorders>
                            <w:shd w:val="clear" w:color="auto" w:fill="auto"/>
                            <w:noWrap/>
                            <w:vAlign w:val="bottom"/>
                            <w:hideMark/>
                          </w:tcPr>
                          <w:p w14:paraId="4BB9DE0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(97.82-105.62)</w:t>
                            </w:r>
                          </w:p>
                        </w:tc>
                        <w:tc>
                          <w:tcPr>
                            <w:tcW w:w="196" w:type="dxa"/>
                            <w:tcBorders>
                              <w:top w:val="nil"/>
                              <w:left w:val="nil"/>
                              <w:bottom w:val="nil"/>
                              <w:right w:val="nil"/>
                            </w:tcBorders>
                            <w:shd w:val="clear" w:color="auto" w:fill="auto"/>
                            <w:noWrap/>
                            <w:vAlign w:val="bottom"/>
                            <w:hideMark/>
                          </w:tcPr>
                          <w:p w14:paraId="3487AAE1" w14:textId="77777777" w:rsidR="00AD312A" w:rsidRPr="00122306" w:rsidRDefault="00AD312A" w:rsidP="00E55835">
                            <w:pPr>
                              <w:jc w:val="right"/>
                              <w:rPr>
                                <w:rFonts w:ascii="Calibri" w:hAnsi="Calibri" w:cs="Times New Roman"/>
                                <w:color w:val="000000"/>
                                <w:sz w:val="18"/>
                                <w:szCs w:val="18"/>
                              </w:rPr>
                            </w:pPr>
                          </w:p>
                        </w:tc>
                        <w:tc>
                          <w:tcPr>
                            <w:tcW w:w="716" w:type="dxa"/>
                            <w:tcBorders>
                              <w:top w:val="nil"/>
                              <w:left w:val="nil"/>
                              <w:bottom w:val="nil"/>
                              <w:right w:val="nil"/>
                            </w:tcBorders>
                            <w:shd w:val="clear" w:color="auto" w:fill="auto"/>
                            <w:noWrap/>
                            <w:vAlign w:val="bottom"/>
                            <w:hideMark/>
                          </w:tcPr>
                          <w:p w14:paraId="53B348A3"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3212</w:t>
                            </w:r>
                          </w:p>
                        </w:tc>
                        <w:tc>
                          <w:tcPr>
                            <w:tcW w:w="692" w:type="dxa"/>
                            <w:tcBorders>
                              <w:top w:val="nil"/>
                              <w:left w:val="nil"/>
                              <w:bottom w:val="nil"/>
                              <w:right w:val="nil"/>
                            </w:tcBorders>
                            <w:shd w:val="clear" w:color="auto" w:fill="auto"/>
                            <w:noWrap/>
                            <w:vAlign w:val="bottom"/>
                            <w:hideMark/>
                          </w:tcPr>
                          <w:p w14:paraId="1FF6795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150.59</w:t>
                            </w:r>
                          </w:p>
                        </w:tc>
                        <w:tc>
                          <w:tcPr>
                            <w:tcW w:w="1104" w:type="dxa"/>
                            <w:tcBorders>
                              <w:top w:val="nil"/>
                              <w:left w:val="nil"/>
                              <w:bottom w:val="nil"/>
                              <w:right w:val="single" w:sz="8" w:space="0" w:color="auto"/>
                            </w:tcBorders>
                            <w:shd w:val="clear" w:color="auto" w:fill="auto"/>
                            <w:noWrap/>
                            <w:vAlign w:val="bottom"/>
                            <w:hideMark/>
                          </w:tcPr>
                          <w:p w14:paraId="4D990C0A"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(145.47-155.88)</w:t>
                            </w:r>
                          </w:p>
                        </w:tc>
                      </w:tr>
                      <w:tr w:rsidR="00AD312A" w:rsidRPr="00122306" w14:paraId="00673E1E" w14:textId="77777777" w:rsidTr="006143D9">
                        <w:trPr>
                          <w:trHeight w:val="299"/>
                        </w:trPr>
                        <w:tc>
                          <w:tcPr>
                            <w:tcW w:w="843" w:type="dxa"/>
                            <w:tcBorders>
                              <w:top w:val="nil"/>
                              <w:left w:val="single" w:sz="8" w:space="0" w:color="auto"/>
                              <w:bottom w:val="single" w:sz="4" w:space="0" w:color="auto"/>
                              <w:right w:val="nil"/>
                            </w:tcBorders>
                            <w:shd w:val="clear" w:color="auto" w:fill="auto"/>
                            <w:noWrap/>
                            <w:vAlign w:val="bottom"/>
                            <w:hideMark/>
                          </w:tcPr>
                          <w:p w14:paraId="712142A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65-75</w:t>
                            </w:r>
                          </w:p>
                        </w:tc>
                        <w:tc>
                          <w:tcPr>
                            <w:tcW w:w="595" w:type="dxa"/>
                            <w:tcBorders>
                              <w:top w:val="nil"/>
                              <w:left w:val="nil"/>
                              <w:bottom w:val="single" w:sz="4" w:space="0" w:color="auto"/>
                              <w:right w:val="nil"/>
                            </w:tcBorders>
                            <w:shd w:val="clear" w:color="auto" w:fill="auto"/>
                            <w:noWrap/>
                            <w:vAlign w:val="bottom"/>
                            <w:hideMark/>
                          </w:tcPr>
                          <w:p w14:paraId="2406DCA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4" w:space="0" w:color="auto"/>
                              <w:right w:val="nil"/>
                            </w:tcBorders>
                            <w:shd w:val="clear" w:color="auto" w:fill="auto"/>
                            <w:noWrap/>
                            <w:vAlign w:val="bottom"/>
                            <w:hideMark/>
                          </w:tcPr>
                          <w:p w14:paraId="364CDB2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828</w:t>
                            </w:r>
                          </w:p>
                        </w:tc>
                        <w:tc>
                          <w:tcPr>
                            <w:tcW w:w="692" w:type="dxa"/>
                            <w:tcBorders>
                              <w:top w:val="nil"/>
                              <w:left w:val="nil"/>
                              <w:bottom w:val="single" w:sz="4" w:space="0" w:color="auto"/>
                              <w:right w:val="nil"/>
                            </w:tcBorders>
                            <w:shd w:val="clear" w:color="auto" w:fill="auto"/>
                            <w:noWrap/>
                            <w:vAlign w:val="bottom"/>
                            <w:hideMark/>
                          </w:tcPr>
                          <w:p w14:paraId="3D8015C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82.21</w:t>
                            </w:r>
                          </w:p>
                        </w:tc>
                        <w:tc>
                          <w:tcPr>
                            <w:tcW w:w="1104" w:type="dxa"/>
                            <w:tcBorders>
                              <w:top w:val="nil"/>
                              <w:left w:val="nil"/>
                              <w:bottom w:val="single" w:sz="4" w:space="0" w:color="auto"/>
                              <w:right w:val="nil"/>
                            </w:tcBorders>
                            <w:shd w:val="clear" w:color="auto" w:fill="auto"/>
                            <w:noWrap/>
                            <w:vAlign w:val="bottom"/>
                            <w:hideMark/>
                          </w:tcPr>
                          <w:p w14:paraId="75D0260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(76.80-88.00)</w:t>
                            </w:r>
                          </w:p>
                        </w:tc>
                        <w:tc>
                          <w:tcPr>
                            <w:tcW w:w="196" w:type="dxa"/>
                            <w:tcBorders>
                              <w:top w:val="nil"/>
                              <w:left w:val="nil"/>
                              <w:bottom w:val="single" w:sz="4" w:space="0" w:color="auto"/>
                              <w:right w:val="nil"/>
                            </w:tcBorders>
                            <w:shd w:val="clear" w:color="auto" w:fill="auto"/>
                            <w:noWrap/>
                            <w:vAlign w:val="bottom"/>
                            <w:hideMark/>
                          </w:tcPr>
                          <w:p w14:paraId="4D4F668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7A1D4BA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1829</w:t>
                            </w:r>
                          </w:p>
                        </w:tc>
                        <w:tc>
                          <w:tcPr>
                            <w:tcW w:w="692" w:type="dxa"/>
                            <w:tcBorders>
                              <w:top w:val="nil"/>
                              <w:left w:val="nil"/>
                              <w:bottom w:val="single" w:sz="4" w:space="0" w:color="auto"/>
                              <w:right w:val="nil"/>
                            </w:tcBorders>
                            <w:shd w:val="clear" w:color="auto" w:fill="auto"/>
                            <w:noWrap/>
                            <w:vAlign w:val="bottom"/>
                            <w:hideMark/>
                          </w:tcPr>
                          <w:p w14:paraId="50EBC36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146.10</w:t>
                            </w:r>
                          </w:p>
                        </w:tc>
                        <w:tc>
                          <w:tcPr>
                            <w:tcW w:w="1104" w:type="dxa"/>
                            <w:tcBorders>
                              <w:top w:val="nil"/>
                              <w:left w:val="nil"/>
                              <w:bottom w:val="single" w:sz="4" w:space="0" w:color="auto"/>
                              <w:right w:val="nil"/>
                            </w:tcBorders>
                            <w:shd w:val="clear" w:color="auto" w:fill="auto"/>
                            <w:noWrap/>
                            <w:vAlign w:val="bottom"/>
                            <w:hideMark/>
                          </w:tcPr>
                          <w:p w14:paraId="7FB4CED6"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(139.55-152.95)</w:t>
                            </w:r>
                          </w:p>
                        </w:tc>
                        <w:tc>
                          <w:tcPr>
                            <w:tcW w:w="196" w:type="dxa"/>
                            <w:tcBorders>
                              <w:top w:val="nil"/>
                              <w:left w:val="nil"/>
                              <w:bottom w:val="single" w:sz="4" w:space="0" w:color="auto"/>
                              <w:right w:val="nil"/>
                            </w:tcBorders>
                            <w:shd w:val="clear" w:color="auto" w:fill="auto"/>
                            <w:noWrap/>
                            <w:vAlign w:val="bottom"/>
                            <w:hideMark/>
                          </w:tcPr>
                          <w:p w14:paraId="566FE85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1E305FF1"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2178</w:t>
                            </w:r>
                          </w:p>
                        </w:tc>
                        <w:tc>
                          <w:tcPr>
                            <w:tcW w:w="692" w:type="dxa"/>
                            <w:tcBorders>
                              <w:top w:val="nil"/>
                              <w:left w:val="nil"/>
                              <w:bottom w:val="single" w:sz="4" w:space="0" w:color="auto"/>
                              <w:right w:val="nil"/>
                            </w:tcBorders>
                            <w:shd w:val="clear" w:color="auto" w:fill="auto"/>
                            <w:noWrap/>
                            <w:vAlign w:val="bottom"/>
                            <w:hideMark/>
                          </w:tcPr>
                          <w:p w14:paraId="40DD655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216.24</w:t>
                            </w:r>
                          </w:p>
                        </w:tc>
                        <w:tc>
                          <w:tcPr>
                            <w:tcW w:w="1104" w:type="dxa"/>
                            <w:tcBorders>
                              <w:top w:val="nil"/>
                              <w:left w:val="nil"/>
                              <w:bottom w:val="single" w:sz="4" w:space="0" w:color="auto"/>
                              <w:right w:val="single" w:sz="8" w:space="0" w:color="auto"/>
                            </w:tcBorders>
                            <w:shd w:val="clear" w:color="auto" w:fill="auto"/>
                            <w:noWrap/>
                            <w:vAlign w:val="bottom"/>
                            <w:hideMark/>
                          </w:tcPr>
                          <w:p w14:paraId="0885645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(207.35-225.52)</w:t>
                            </w:r>
                          </w:p>
                        </w:tc>
                      </w:tr>
                      <w:tr w:rsidR="00AD312A" w:rsidRPr="00122306" w14:paraId="213B13A5"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13C6B69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nil"/>
                              <w:right w:val="nil"/>
                            </w:tcBorders>
                            <w:shd w:val="clear" w:color="000000" w:fill="EEECE1"/>
                            <w:noWrap/>
                            <w:vAlign w:val="bottom"/>
                            <w:hideMark/>
                          </w:tcPr>
                          <w:p w14:paraId="49570FA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0</w:t>
                            </w:r>
                          </w:p>
                        </w:tc>
                        <w:tc>
                          <w:tcPr>
                            <w:tcW w:w="775" w:type="dxa"/>
                            <w:tcBorders>
                              <w:top w:val="nil"/>
                              <w:left w:val="nil"/>
                              <w:bottom w:val="nil"/>
                              <w:right w:val="nil"/>
                            </w:tcBorders>
                            <w:shd w:val="clear" w:color="000000" w:fill="EEECE1"/>
                            <w:noWrap/>
                            <w:vAlign w:val="bottom"/>
                            <w:hideMark/>
                          </w:tcPr>
                          <w:p w14:paraId="2C00513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3223</w:t>
                            </w:r>
                          </w:p>
                        </w:tc>
                        <w:tc>
                          <w:tcPr>
                            <w:tcW w:w="692" w:type="dxa"/>
                            <w:tcBorders>
                              <w:top w:val="nil"/>
                              <w:left w:val="nil"/>
                              <w:bottom w:val="nil"/>
                              <w:right w:val="nil"/>
                            </w:tcBorders>
                            <w:shd w:val="clear" w:color="000000" w:fill="EEECE1"/>
                            <w:noWrap/>
                            <w:vAlign w:val="bottom"/>
                            <w:hideMark/>
                          </w:tcPr>
                          <w:p w14:paraId="23397FD5"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31.98</w:t>
                            </w:r>
                            <w:proofErr w:type="gramEnd"/>
                          </w:p>
                        </w:tc>
                        <w:tc>
                          <w:tcPr>
                            <w:tcW w:w="1104" w:type="dxa"/>
                            <w:tcBorders>
                              <w:top w:val="nil"/>
                              <w:left w:val="nil"/>
                              <w:bottom w:val="nil"/>
                              <w:right w:val="nil"/>
                            </w:tcBorders>
                            <w:shd w:val="clear" w:color="000000" w:fill="EEECE1"/>
                            <w:noWrap/>
                            <w:vAlign w:val="bottom"/>
                            <w:hideMark/>
                          </w:tcPr>
                          <w:p w14:paraId="6FE9CCB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w:t>
                            </w:r>
                            <w:proofErr w:type="gramStart"/>
                            <w:r w:rsidRPr="00122306">
                              <w:rPr>
                                <w:rFonts w:ascii="Calibri" w:hAnsi="Calibri" w:cs="Times New Roman"/>
                                <w:color w:val="000000"/>
                                <w:sz w:val="18"/>
                                <w:szCs w:val="18"/>
                              </w:rPr>
                              <w:t>30.90</w:t>
                            </w:r>
                            <w:proofErr w:type="gramEnd"/>
                            <w:r w:rsidRPr="00122306">
                              <w:rPr>
                                <w:rFonts w:ascii="Calibri" w:hAnsi="Calibri" w:cs="Times New Roman"/>
                                <w:color w:val="000000"/>
                                <w:sz w:val="18"/>
                                <w:szCs w:val="18"/>
                              </w:rPr>
                              <w:t>-33.11)</w:t>
                            </w:r>
                          </w:p>
                        </w:tc>
                        <w:tc>
                          <w:tcPr>
                            <w:tcW w:w="196" w:type="dxa"/>
                            <w:tcBorders>
                              <w:top w:val="nil"/>
                              <w:left w:val="nil"/>
                              <w:bottom w:val="nil"/>
                              <w:right w:val="nil"/>
                            </w:tcBorders>
                            <w:shd w:val="clear" w:color="000000" w:fill="EEECE1"/>
                            <w:noWrap/>
                            <w:vAlign w:val="bottom"/>
                            <w:hideMark/>
                          </w:tcPr>
                          <w:p w14:paraId="775F8D7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27C36B0C"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15935</w:t>
                            </w:r>
                            <w:proofErr w:type="gramEnd"/>
                          </w:p>
                        </w:tc>
                        <w:tc>
                          <w:tcPr>
                            <w:tcW w:w="692" w:type="dxa"/>
                            <w:tcBorders>
                              <w:top w:val="nil"/>
                              <w:left w:val="nil"/>
                              <w:bottom w:val="nil"/>
                              <w:right w:val="nil"/>
                            </w:tcBorders>
                            <w:shd w:val="clear" w:color="000000" w:fill="EEECE1"/>
                            <w:noWrap/>
                            <w:vAlign w:val="bottom"/>
                            <w:hideMark/>
                          </w:tcPr>
                          <w:p w14:paraId="0EEE6A3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148.79</w:t>
                            </w:r>
                          </w:p>
                        </w:tc>
                        <w:tc>
                          <w:tcPr>
                            <w:tcW w:w="1104" w:type="dxa"/>
                            <w:tcBorders>
                              <w:top w:val="nil"/>
                              <w:left w:val="nil"/>
                              <w:bottom w:val="nil"/>
                              <w:right w:val="nil"/>
                            </w:tcBorders>
                            <w:shd w:val="clear" w:color="000000" w:fill="EEECE1"/>
                            <w:noWrap/>
                            <w:vAlign w:val="bottom"/>
                            <w:hideMark/>
                          </w:tcPr>
                          <w:p w14:paraId="6B6DF5C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(146.50-151.12)</w:t>
                            </w:r>
                          </w:p>
                        </w:tc>
                        <w:tc>
                          <w:tcPr>
                            <w:tcW w:w="196" w:type="dxa"/>
                            <w:tcBorders>
                              <w:top w:val="nil"/>
                              <w:left w:val="nil"/>
                              <w:bottom w:val="nil"/>
                              <w:right w:val="nil"/>
                            </w:tcBorders>
                            <w:shd w:val="clear" w:color="000000" w:fill="EEECE1"/>
                            <w:noWrap/>
                            <w:vAlign w:val="bottom"/>
                            <w:hideMark/>
                          </w:tcPr>
                          <w:p w14:paraId="7479E04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29DE4AE"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16768</w:t>
                            </w:r>
                            <w:proofErr w:type="gramEnd"/>
                          </w:p>
                        </w:tc>
                        <w:tc>
                          <w:tcPr>
                            <w:tcW w:w="692" w:type="dxa"/>
                            <w:tcBorders>
                              <w:top w:val="nil"/>
                              <w:left w:val="nil"/>
                              <w:bottom w:val="nil"/>
                              <w:right w:val="nil"/>
                            </w:tcBorders>
                            <w:shd w:val="clear" w:color="000000" w:fill="EEECE1"/>
                            <w:noWrap/>
                            <w:vAlign w:val="bottom"/>
                            <w:hideMark/>
                          </w:tcPr>
                          <w:p w14:paraId="7E5A957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166.39</w:t>
                            </w:r>
                          </w:p>
                        </w:tc>
                        <w:tc>
                          <w:tcPr>
                            <w:tcW w:w="1104" w:type="dxa"/>
                            <w:tcBorders>
                              <w:top w:val="nil"/>
                              <w:left w:val="nil"/>
                              <w:bottom w:val="nil"/>
                              <w:right w:val="single" w:sz="8" w:space="0" w:color="auto"/>
                            </w:tcBorders>
                            <w:shd w:val="clear" w:color="000000" w:fill="EEECE1"/>
                            <w:noWrap/>
                            <w:vAlign w:val="bottom"/>
                            <w:hideMark/>
                          </w:tcPr>
                          <w:p w14:paraId="7423ECA9"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(163.89-168.93)</w:t>
                            </w:r>
                          </w:p>
                        </w:tc>
                      </w:tr>
                      <w:tr w:rsidR="00AD312A" w:rsidRPr="00122306" w14:paraId="7880D6ED"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726D6B58"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nil"/>
                              <w:right w:val="nil"/>
                            </w:tcBorders>
                            <w:shd w:val="clear" w:color="000000" w:fill="EEECE1"/>
                            <w:noWrap/>
                            <w:vAlign w:val="bottom"/>
                            <w:hideMark/>
                          </w:tcPr>
                          <w:p w14:paraId="6ABBF6F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w:t>
                            </w:r>
                          </w:p>
                        </w:tc>
                        <w:tc>
                          <w:tcPr>
                            <w:tcW w:w="775" w:type="dxa"/>
                            <w:tcBorders>
                              <w:top w:val="nil"/>
                              <w:left w:val="nil"/>
                              <w:bottom w:val="nil"/>
                              <w:right w:val="nil"/>
                            </w:tcBorders>
                            <w:shd w:val="clear" w:color="000000" w:fill="EEECE1"/>
                            <w:noWrap/>
                            <w:vAlign w:val="bottom"/>
                            <w:hideMark/>
                          </w:tcPr>
                          <w:p w14:paraId="47FE666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1854</w:t>
                            </w:r>
                          </w:p>
                        </w:tc>
                        <w:tc>
                          <w:tcPr>
                            <w:tcW w:w="692" w:type="dxa"/>
                            <w:tcBorders>
                              <w:top w:val="nil"/>
                              <w:left w:val="nil"/>
                              <w:bottom w:val="nil"/>
                              <w:right w:val="nil"/>
                            </w:tcBorders>
                            <w:shd w:val="clear" w:color="000000" w:fill="EEECE1"/>
                            <w:noWrap/>
                            <w:vAlign w:val="bottom"/>
                            <w:hideMark/>
                          </w:tcPr>
                          <w:p w14:paraId="05AC57B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37.12</w:t>
                            </w:r>
                          </w:p>
                        </w:tc>
                        <w:tc>
                          <w:tcPr>
                            <w:tcW w:w="1104" w:type="dxa"/>
                            <w:tcBorders>
                              <w:top w:val="nil"/>
                              <w:left w:val="nil"/>
                              <w:bottom w:val="nil"/>
                              <w:right w:val="nil"/>
                            </w:tcBorders>
                            <w:shd w:val="clear" w:color="000000" w:fill="EEECE1"/>
                            <w:noWrap/>
                            <w:vAlign w:val="bottom"/>
                            <w:hideMark/>
                          </w:tcPr>
                          <w:p w14:paraId="3FAEB5F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(35.47-38.85)</w:t>
                            </w:r>
                          </w:p>
                        </w:tc>
                        <w:tc>
                          <w:tcPr>
                            <w:tcW w:w="196" w:type="dxa"/>
                            <w:tcBorders>
                              <w:top w:val="nil"/>
                              <w:left w:val="nil"/>
                              <w:bottom w:val="nil"/>
                              <w:right w:val="nil"/>
                            </w:tcBorders>
                            <w:shd w:val="clear" w:color="000000" w:fill="EEECE1"/>
                            <w:noWrap/>
                            <w:vAlign w:val="bottom"/>
                            <w:hideMark/>
                          </w:tcPr>
                          <w:p w14:paraId="2C87A97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6B7BE5F5"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11049</w:t>
                            </w:r>
                            <w:proofErr w:type="gramEnd"/>
                          </w:p>
                        </w:tc>
                        <w:tc>
                          <w:tcPr>
                            <w:tcW w:w="692" w:type="dxa"/>
                            <w:tcBorders>
                              <w:top w:val="nil"/>
                              <w:left w:val="nil"/>
                              <w:bottom w:val="nil"/>
                              <w:right w:val="nil"/>
                            </w:tcBorders>
                            <w:shd w:val="clear" w:color="000000" w:fill="EEECE1"/>
                            <w:noWrap/>
                            <w:vAlign w:val="bottom"/>
                            <w:hideMark/>
                          </w:tcPr>
                          <w:p w14:paraId="0B31D1A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206.98</w:t>
                            </w:r>
                          </w:p>
                        </w:tc>
                        <w:tc>
                          <w:tcPr>
                            <w:tcW w:w="1104" w:type="dxa"/>
                            <w:tcBorders>
                              <w:top w:val="nil"/>
                              <w:left w:val="nil"/>
                              <w:bottom w:val="nil"/>
                              <w:right w:val="nil"/>
                            </w:tcBorders>
                            <w:shd w:val="clear" w:color="000000" w:fill="EEECE1"/>
                            <w:noWrap/>
                            <w:vAlign w:val="bottom"/>
                            <w:hideMark/>
                          </w:tcPr>
                          <w:p w14:paraId="1144D1DB"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(203.16-210.88)</w:t>
                            </w:r>
                          </w:p>
                        </w:tc>
                        <w:tc>
                          <w:tcPr>
                            <w:tcW w:w="196" w:type="dxa"/>
                            <w:tcBorders>
                              <w:top w:val="nil"/>
                              <w:left w:val="nil"/>
                              <w:bottom w:val="nil"/>
                              <w:right w:val="nil"/>
                            </w:tcBorders>
                            <w:shd w:val="clear" w:color="000000" w:fill="EEECE1"/>
                            <w:noWrap/>
                            <w:vAlign w:val="bottom"/>
                            <w:hideMark/>
                          </w:tcPr>
                          <w:p w14:paraId="18337E66"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A84DF9B" w14:textId="77777777" w:rsidR="00AD312A" w:rsidRPr="00122306" w:rsidRDefault="00AD312A" w:rsidP="00E55835">
                            <w:pPr>
                              <w:jc w:val="right"/>
                              <w:rPr>
                                <w:rFonts w:ascii="Calibri" w:hAnsi="Calibri" w:cs="Times New Roman"/>
                                <w:color w:val="000000"/>
                                <w:sz w:val="18"/>
                                <w:szCs w:val="18"/>
                              </w:rPr>
                            </w:pPr>
                            <w:proofErr w:type="gramStart"/>
                            <w:r w:rsidRPr="00122306">
                              <w:rPr>
                                <w:rFonts w:ascii="Calibri" w:hAnsi="Calibri" w:cs="Times New Roman"/>
                                <w:color w:val="000000"/>
                                <w:sz w:val="18"/>
                                <w:szCs w:val="18"/>
                              </w:rPr>
                              <w:t>11445</w:t>
                            </w:r>
                            <w:proofErr w:type="gramEnd"/>
                          </w:p>
                        </w:tc>
                        <w:tc>
                          <w:tcPr>
                            <w:tcW w:w="692" w:type="dxa"/>
                            <w:tcBorders>
                              <w:top w:val="nil"/>
                              <w:left w:val="nil"/>
                              <w:bottom w:val="nil"/>
                              <w:right w:val="nil"/>
                            </w:tcBorders>
                            <w:shd w:val="clear" w:color="000000" w:fill="EEECE1"/>
                            <w:noWrap/>
                            <w:vAlign w:val="bottom"/>
                            <w:hideMark/>
                          </w:tcPr>
                          <w:p w14:paraId="2682FAE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229.17</w:t>
                            </w:r>
                          </w:p>
                        </w:tc>
                        <w:tc>
                          <w:tcPr>
                            <w:tcW w:w="1104" w:type="dxa"/>
                            <w:tcBorders>
                              <w:top w:val="nil"/>
                              <w:left w:val="nil"/>
                              <w:bottom w:val="nil"/>
                              <w:right w:val="single" w:sz="8" w:space="0" w:color="auto"/>
                            </w:tcBorders>
                            <w:shd w:val="clear" w:color="000000" w:fill="EEECE1"/>
                            <w:noWrap/>
                            <w:vAlign w:val="bottom"/>
                            <w:hideMark/>
                          </w:tcPr>
                          <w:p w14:paraId="09E02F3C"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(225.01-233.41)</w:t>
                            </w:r>
                          </w:p>
                        </w:tc>
                      </w:tr>
                      <w:tr w:rsidR="00AD312A" w:rsidRPr="00122306" w14:paraId="0F26D7CE" w14:textId="77777777" w:rsidTr="006143D9">
                        <w:trPr>
                          <w:trHeight w:val="299"/>
                        </w:trPr>
                        <w:tc>
                          <w:tcPr>
                            <w:tcW w:w="843" w:type="dxa"/>
                            <w:tcBorders>
                              <w:top w:val="nil"/>
                              <w:left w:val="single" w:sz="8" w:space="0" w:color="auto"/>
                              <w:bottom w:val="nil"/>
                              <w:right w:val="nil"/>
                            </w:tcBorders>
                            <w:shd w:val="clear" w:color="000000" w:fill="EEECE1"/>
                            <w:noWrap/>
                            <w:vAlign w:val="bottom"/>
                            <w:hideMark/>
                          </w:tcPr>
                          <w:p w14:paraId="01C242E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nil"/>
                              <w:right w:val="nil"/>
                            </w:tcBorders>
                            <w:shd w:val="clear" w:color="000000" w:fill="EEECE1"/>
                            <w:noWrap/>
                            <w:vAlign w:val="bottom"/>
                            <w:hideMark/>
                          </w:tcPr>
                          <w:p w14:paraId="148D54B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w:t>
                            </w:r>
                          </w:p>
                        </w:tc>
                        <w:tc>
                          <w:tcPr>
                            <w:tcW w:w="775" w:type="dxa"/>
                            <w:tcBorders>
                              <w:top w:val="nil"/>
                              <w:left w:val="nil"/>
                              <w:bottom w:val="nil"/>
                              <w:right w:val="nil"/>
                            </w:tcBorders>
                            <w:shd w:val="clear" w:color="000000" w:fill="EEECE1"/>
                            <w:noWrap/>
                            <w:vAlign w:val="bottom"/>
                            <w:hideMark/>
                          </w:tcPr>
                          <w:p w14:paraId="0CF6A355"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2747</w:t>
                            </w:r>
                          </w:p>
                        </w:tc>
                        <w:tc>
                          <w:tcPr>
                            <w:tcW w:w="692" w:type="dxa"/>
                            <w:tcBorders>
                              <w:top w:val="nil"/>
                              <w:left w:val="nil"/>
                              <w:bottom w:val="nil"/>
                              <w:right w:val="nil"/>
                            </w:tcBorders>
                            <w:shd w:val="clear" w:color="000000" w:fill="EEECE1"/>
                            <w:noWrap/>
                            <w:vAlign w:val="bottom"/>
                            <w:hideMark/>
                          </w:tcPr>
                          <w:p w14:paraId="6CE4B19E"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93.01</w:t>
                            </w:r>
                          </w:p>
                        </w:tc>
                        <w:tc>
                          <w:tcPr>
                            <w:tcW w:w="1104" w:type="dxa"/>
                            <w:tcBorders>
                              <w:top w:val="nil"/>
                              <w:left w:val="nil"/>
                              <w:bottom w:val="nil"/>
                              <w:right w:val="nil"/>
                            </w:tcBorders>
                            <w:shd w:val="clear" w:color="000000" w:fill="EEECE1"/>
                            <w:noWrap/>
                            <w:vAlign w:val="bottom"/>
                            <w:hideMark/>
                          </w:tcPr>
                          <w:p w14:paraId="1C7EEE0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(89.60-96.55)</w:t>
                            </w:r>
                          </w:p>
                        </w:tc>
                        <w:tc>
                          <w:tcPr>
                            <w:tcW w:w="196" w:type="dxa"/>
                            <w:tcBorders>
                              <w:top w:val="nil"/>
                              <w:left w:val="nil"/>
                              <w:bottom w:val="nil"/>
                              <w:right w:val="nil"/>
                            </w:tcBorders>
                            <w:shd w:val="clear" w:color="000000" w:fill="EEECE1"/>
                            <w:noWrap/>
                            <w:vAlign w:val="bottom"/>
                            <w:hideMark/>
                          </w:tcPr>
                          <w:p w14:paraId="4C7DCD6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113E6408"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8598</w:t>
                            </w:r>
                          </w:p>
                        </w:tc>
                        <w:tc>
                          <w:tcPr>
                            <w:tcW w:w="692" w:type="dxa"/>
                            <w:tcBorders>
                              <w:top w:val="nil"/>
                              <w:left w:val="nil"/>
                              <w:bottom w:val="nil"/>
                              <w:right w:val="nil"/>
                            </w:tcBorders>
                            <w:shd w:val="clear" w:color="000000" w:fill="EEECE1"/>
                            <w:noWrap/>
                            <w:vAlign w:val="bottom"/>
                            <w:hideMark/>
                          </w:tcPr>
                          <w:p w14:paraId="2190387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237.10</w:t>
                            </w:r>
                          </w:p>
                        </w:tc>
                        <w:tc>
                          <w:tcPr>
                            <w:tcW w:w="1104" w:type="dxa"/>
                            <w:tcBorders>
                              <w:top w:val="nil"/>
                              <w:left w:val="nil"/>
                              <w:bottom w:val="nil"/>
                              <w:right w:val="nil"/>
                            </w:tcBorders>
                            <w:shd w:val="clear" w:color="000000" w:fill="EEECE1"/>
                            <w:noWrap/>
                            <w:vAlign w:val="bottom"/>
                            <w:hideMark/>
                          </w:tcPr>
                          <w:p w14:paraId="34D1D6A3"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(232.14-242.16)</w:t>
                            </w:r>
                          </w:p>
                        </w:tc>
                        <w:tc>
                          <w:tcPr>
                            <w:tcW w:w="196" w:type="dxa"/>
                            <w:tcBorders>
                              <w:top w:val="nil"/>
                              <w:left w:val="nil"/>
                              <w:bottom w:val="nil"/>
                              <w:right w:val="nil"/>
                            </w:tcBorders>
                            <w:shd w:val="clear" w:color="000000" w:fill="EEECE1"/>
                            <w:noWrap/>
                            <w:vAlign w:val="bottom"/>
                            <w:hideMark/>
                          </w:tcPr>
                          <w:p w14:paraId="7123FCA9"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nil"/>
                              <w:right w:val="nil"/>
                            </w:tcBorders>
                            <w:shd w:val="clear" w:color="000000" w:fill="EEECE1"/>
                            <w:noWrap/>
                            <w:vAlign w:val="bottom"/>
                            <w:hideMark/>
                          </w:tcPr>
                          <w:p w14:paraId="0CA0CA3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9318</w:t>
                            </w:r>
                          </w:p>
                        </w:tc>
                        <w:tc>
                          <w:tcPr>
                            <w:tcW w:w="692" w:type="dxa"/>
                            <w:tcBorders>
                              <w:top w:val="nil"/>
                              <w:left w:val="nil"/>
                              <w:bottom w:val="nil"/>
                              <w:right w:val="nil"/>
                            </w:tcBorders>
                            <w:shd w:val="clear" w:color="000000" w:fill="EEECE1"/>
                            <w:noWrap/>
                            <w:vAlign w:val="bottom"/>
                            <w:hideMark/>
                          </w:tcPr>
                          <w:p w14:paraId="0F7B871D"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315.50</w:t>
                            </w:r>
                          </w:p>
                        </w:tc>
                        <w:tc>
                          <w:tcPr>
                            <w:tcW w:w="1104" w:type="dxa"/>
                            <w:tcBorders>
                              <w:top w:val="nil"/>
                              <w:left w:val="nil"/>
                              <w:bottom w:val="nil"/>
                              <w:right w:val="single" w:sz="8" w:space="0" w:color="auto"/>
                            </w:tcBorders>
                            <w:shd w:val="clear" w:color="000000" w:fill="EEECE1"/>
                            <w:noWrap/>
                            <w:vAlign w:val="bottom"/>
                            <w:hideMark/>
                          </w:tcPr>
                          <w:p w14:paraId="10FB2E2B"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(309.16-321.97)</w:t>
                            </w:r>
                          </w:p>
                        </w:tc>
                      </w:tr>
                      <w:tr w:rsidR="00AD312A" w:rsidRPr="00122306" w14:paraId="7A564112" w14:textId="77777777" w:rsidTr="006143D9">
                        <w:trPr>
                          <w:trHeight w:val="312"/>
                        </w:trPr>
                        <w:tc>
                          <w:tcPr>
                            <w:tcW w:w="843" w:type="dxa"/>
                            <w:tcBorders>
                              <w:top w:val="nil"/>
                              <w:left w:val="single" w:sz="8" w:space="0" w:color="auto"/>
                              <w:bottom w:val="single" w:sz="8" w:space="0" w:color="auto"/>
                              <w:right w:val="nil"/>
                            </w:tcBorders>
                            <w:shd w:val="clear" w:color="000000" w:fill="EEECE1"/>
                            <w:noWrap/>
                            <w:vAlign w:val="bottom"/>
                            <w:hideMark/>
                          </w:tcPr>
                          <w:p w14:paraId="6031A571"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75-90</w:t>
                            </w:r>
                          </w:p>
                        </w:tc>
                        <w:tc>
                          <w:tcPr>
                            <w:tcW w:w="595" w:type="dxa"/>
                            <w:tcBorders>
                              <w:top w:val="nil"/>
                              <w:left w:val="nil"/>
                              <w:bottom w:val="single" w:sz="8" w:space="0" w:color="auto"/>
                              <w:right w:val="nil"/>
                            </w:tcBorders>
                            <w:shd w:val="clear" w:color="000000" w:fill="EEECE1"/>
                            <w:noWrap/>
                            <w:vAlign w:val="bottom"/>
                            <w:hideMark/>
                          </w:tcPr>
                          <w:p w14:paraId="6BA4D55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w:t>
                            </w:r>
                          </w:p>
                        </w:tc>
                        <w:tc>
                          <w:tcPr>
                            <w:tcW w:w="775" w:type="dxa"/>
                            <w:tcBorders>
                              <w:top w:val="nil"/>
                              <w:left w:val="nil"/>
                              <w:bottom w:val="single" w:sz="8" w:space="0" w:color="auto"/>
                              <w:right w:val="nil"/>
                            </w:tcBorders>
                            <w:shd w:val="clear" w:color="000000" w:fill="EEECE1"/>
                            <w:noWrap/>
                            <w:vAlign w:val="bottom"/>
                            <w:hideMark/>
                          </w:tcPr>
                          <w:p w14:paraId="2D98422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1833</w:t>
                            </w:r>
                          </w:p>
                        </w:tc>
                        <w:tc>
                          <w:tcPr>
                            <w:tcW w:w="692" w:type="dxa"/>
                            <w:tcBorders>
                              <w:top w:val="nil"/>
                              <w:left w:val="nil"/>
                              <w:bottom w:val="single" w:sz="8" w:space="0" w:color="auto"/>
                              <w:right w:val="nil"/>
                            </w:tcBorders>
                            <w:shd w:val="clear" w:color="000000" w:fill="EEECE1"/>
                            <w:noWrap/>
                            <w:vAlign w:val="bottom"/>
                            <w:hideMark/>
                          </w:tcPr>
                          <w:p w14:paraId="452F38DF"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130.00</w:t>
                            </w:r>
                          </w:p>
                        </w:tc>
                        <w:tc>
                          <w:tcPr>
                            <w:tcW w:w="1104" w:type="dxa"/>
                            <w:tcBorders>
                              <w:top w:val="nil"/>
                              <w:left w:val="nil"/>
                              <w:bottom w:val="single" w:sz="8" w:space="0" w:color="auto"/>
                              <w:right w:val="nil"/>
                            </w:tcBorders>
                            <w:shd w:val="clear" w:color="000000" w:fill="EEECE1"/>
                            <w:noWrap/>
                            <w:vAlign w:val="bottom"/>
                            <w:hideMark/>
                          </w:tcPr>
                          <w:p w14:paraId="3FA5A744"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(120.00-130.00)</w:t>
                            </w:r>
                          </w:p>
                        </w:tc>
                        <w:tc>
                          <w:tcPr>
                            <w:tcW w:w="196" w:type="dxa"/>
                            <w:tcBorders>
                              <w:top w:val="nil"/>
                              <w:left w:val="nil"/>
                              <w:bottom w:val="single" w:sz="8" w:space="0" w:color="auto"/>
                              <w:right w:val="nil"/>
                            </w:tcBorders>
                            <w:shd w:val="clear" w:color="000000" w:fill="EEECE1"/>
                            <w:noWrap/>
                            <w:vAlign w:val="bottom"/>
                            <w:hideMark/>
                          </w:tcPr>
                          <w:p w14:paraId="510EB6E4"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8" w:space="0" w:color="auto"/>
                              <w:right w:val="nil"/>
                            </w:tcBorders>
                            <w:shd w:val="clear" w:color="000000" w:fill="EEECE1"/>
                            <w:noWrap/>
                            <w:vAlign w:val="bottom"/>
                            <w:hideMark/>
                          </w:tcPr>
                          <w:p w14:paraId="3C8B24D7"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5542</w:t>
                            </w:r>
                          </w:p>
                        </w:tc>
                        <w:tc>
                          <w:tcPr>
                            <w:tcW w:w="692" w:type="dxa"/>
                            <w:tcBorders>
                              <w:top w:val="nil"/>
                              <w:left w:val="nil"/>
                              <w:bottom w:val="single" w:sz="8" w:space="0" w:color="auto"/>
                              <w:right w:val="nil"/>
                            </w:tcBorders>
                            <w:shd w:val="clear" w:color="000000" w:fill="EEECE1"/>
                            <w:noWrap/>
                            <w:vAlign w:val="bottom"/>
                            <w:hideMark/>
                          </w:tcPr>
                          <w:p w14:paraId="4111280B"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303.80</w:t>
                            </w:r>
                          </w:p>
                        </w:tc>
                        <w:tc>
                          <w:tcPr>
                            <w:tcW w:w="1104" w:type="dxa"/>
                            <w:tcBorders>
                              <w:top w:val="nil"/>
                              <w:left w:val="nil"/>
                              <w:bottom w:val="single" w:sz="8" w:space="0" w:color="auto"/>
                              <w:right w:val="nil"/>
                            </w:tcBorders>
                            <w:shd w:val="clear" w:color="000000" w:fill="EEECE1"/>
                            <w:noWrap/>
                            <w:vAlign w:val="bottom"/>
                            <w:hideMark/>
                          </w:tcPr>
                          <w:p w14:paraId="4A3A02F7"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(295.91-311.91)</w:t>
                            </w:r>
                          </w:p>
                        </w:tc>
                        <w:tc>
                          <w:tcPr>
                            <w:tcW w:w="196" w:type="dxa"/>
                            <w:tcBorders>
                              <w:top w:val="nil"/>
                              <w:left w:val="nil"/>
                              <w:bottom w:val="single" w:sz="8" w:space="0" w:color="auto"/>
                              <w:right w:val="nil"/>
                            </w:tcBorders>
                            <w:shd w:val="clear" w:color="000000" w:fill="EEECE1"/>
                            <w:noWrap/>
                            <w:vAlign w:val="bottom"/>
                            <w:hideMark/>
                          </w:tcPr>
                          <w:p w14:paraId="2E9096D2"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 </w:t>
                            </w:r>
                          </w:p>
                        </w:tc>
                        <w:tc>
                          <w:tcPr>
                            <w:tcW w:w="716" w:type="dxa"/>
                            <w:tcBorders>
                              <w:top w:val="nil"/>
                              <w:left w:val="nil"/>
                              <w:bottom w:val="single" w:sz="8" w:space="0" w:color="auto"/>
                              <w:right w:val="nil"/>
                            </w:tcBorders>
                            <w:shd w:val="clear" w:color="000000" w:fill="EEECE1"/>
                            <w:noWrap/>
                            <w:vAlign w:val="bottom"/>
                            <w:hideMark/>
                          </w:tcPr>
                          <w:p w14:paraId="7BF6CF00"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6000</w:t>
                            </w:r>
                          </w:p>
                        </w:tc>
                        <w:tc>
                          <w:tcPr>
                            <w:tcW w:w="692" w:type="dxa"/>
                            <w:tcBorders>
                              <w:top w:val="nil"/>
                              <w:left w:val="nil"/>
                              <w:bottom w:val="single" w:sz="8" w:space="0" w:color="auto"/>
                              <w:right w:val="nil"/>
                            </w:tcBorders>
                            <w:shd w:val="clear" w:color="000000" w:fill="EEECE1"/>
                            <w:noWrap/>
                            <w:vAlign w:val="bottom"/>
                            <w:hideMark/>
                          </w:tcPr>
                          <w:p w14:paraId="4670359A" w14:textId="77777777" w:rsidR="00AD312A" w:rsidRPr="00122306" w:rsidRDefault="00AD312A" w:rsidP="00E55835">
                            <w:pPr>
                              <w:jc w:val="right"/>
                              <w:rPr>
                                <w:rFonts w:ascii="Calibri" w:hAnsi="Calibri" w:cs="Times New Roman"/>
                                <w:color w:val="000000"/>
                                <w:sz w:val="18"/>
                                <w:szCs w:val="18"/>
                              </w:rPr>
                            </w:pPr>
                            <w:r w:rsidRPr="00122306">
                              <w:rPr>
                                <w:rFonts w:ascii="Calibri" w:hAnsi="Calibri" w:cs="Times New Roman"/>
                                <w:color w:val="000000"/>
                                <w:sz w:val="18"/>
                                <w:szCs w:val="18"/>
                              </w:rPr>
                              <w:t>415.36</w:t>
                            </w:r>
                          </w:p>
                        </w:tc>
                        <w:tc>
                          <w:tcPr>
                            <w:tcW w:w="1104" w:type="dxa"/>
                            <w:tcBorders>
                              <w:top w:val="nil"/>
                              <w:left w:val="nil"/>
                              <w:bottom w:val="single" w:sz="8" w:space="0" w:color="auto"/>
                              <w:right w:val="single" w:sz="8" w:space="0" w:color="auto"/>
                            </w:tcBorders>
                            <w:shd w:val="clear" w:color="000000" w:fill="EEECE1"/>
                            <w:noWrap/>
                            <w:vAlign w:val="bottom"/>
                            <w:hideMark/>
                          </w:tcPr>
                          <w:p w14:paraId="59C51F7F" w14:textId="77777777" w:rsidR="00AD312A" w:rsidRPr="00122306" w:rsidRDefault="00AD312A" w:rsidP="00E55835">
                            <w:pPr>
                              <w:rPr>
                                <w:rFonts w:ascii="Calibri" w:hAnsi="Calibri" w:cs="Times New Roman"/>
                                <w:color w:val="000000"/>
                                <w:sz w:val="18"/>
                                <w:szCs w:val="18"/>
                              </w:rPr>
                            </w:pPr>
                            <w:r w:rsidRPr="00122306">
                              <w:rPr>
                                <w:rFonts w:ascii="Calibri" w:hAnsi="Calibri" w:cs="Times New Roman"/>
                                <w:color w:val="000000"/>
                                <w:sz w:val="18"/>
                                <w:szCs w:val="18"/>
                              </w:rPr>
                              <w:t>(404.98-426.01)</w:t>
                            </w:r>
                          </w:p>
                        </w:tc>
                      </w:tr>
                    </w:tbl>
                    <w:p w14:paraId="3181D0E4" w14:textId="6D69E57B" w:rsidR="00AD312A" w:rsidRDefault="00AD312A"/>
                  </w:txbxContent>
                </v:textbox>
                <w10:wrap type="square" anchorx="margin" anchory="margin"/>
              </v:shape>
            </w:pict>
          </mc:Fallback>
        </mc:AlternateContent>
      </w:r>
      <w:r w:rsidR="00D028C5" w:rsidRPr="005B79BA">
        <w:rPr>
          <w:rFonts w:asciiTheme="majorHAnsi" w:eastAsia="AdvTimes" w:hAnsiTheme="majorHAnsi" w:cs="Times New Roman"/>
          <w:sz w:val="20"/>
          <w:szCs w:val="20"/>
          <w:lang w:val="en-US"/>
        </w:rPr>
        <w:t xml:space="preserve">The </w:t>
      </w:r>
      <w:r w:rsidR="000578B1" w:rsidRPr="005B79BA">
        <w:rPr>
          <w:rFonts w:asciiTheme="majorHAnsi" w:eastAsia="AdvTimes" w:hAnsiTheme="majorHAnsi" w:cs="Times New Roman"/>
          <w:sz w:val="20"/>
          <w:szCs w:val="20"/>
          <w:lang w:val="en-US"/>
        </w:rPr>
        <w:t xml:space="preserve">incidence rate </w:t>
      </w:r>
      <w:r w:rsidR="00D028C5" w:rsidRPr="005B79BA">
        <w:rPr>
          <w:rFonts w:asciiTheme="majorHAnsi" w:eastAsia="AdvTimes" w:hAnsiTheme="majorHAnsi" w:cs="Times New Roman"/>
          <w:sz w:val="20"/>
          <w:szCs w:val="20"/>
          <w:lang w:val="en-US"/>
        </w:rPr>
        <w:t xml:space="preserve">of stroke </w:t>
      </w:r>
      <w:r w:rsidR="00751FF6" w:rsidRPr="005B79BA">
        <w:rPr>
          <w:rFonts w:asciiTheme="majorHAnsi" w:eastAsia="AdvTimes" w:hAnsiTheme="majorHAnsi" w:cs="Times New Roman"/>
          <w:sz w:val="20"/>
          <w:szCs w:val="20"/>
          <w:lang w:val="en-US"/>
        </w:rPr>
        <w:t xml:space="preserve">per year </w:t>
      </w:r>
      <w:r w:rsidR="00D028C5" w:rsidRPr="005B79BA">
        <w:rPr>
          <w:rFonts w:asciiTheme="majorHAnsi" w:eastAsia="AdvTimes" w:hAnsiTheme="majorHAnsi" w:cs="Times New Roman"/>
          <w:sz w:val="20"/>
          <w:szCs w:val="20"/>
          <w:lang w:val="en-US"/>
        </w:rPr>
        <w:t xml:space="preserve">was significantly associated with higher </w:t>
      </w:r>
      <w:r w:rsidR="00D028C5" w:rsidRPr="005B79BA">
        <w:rPr>
          <w:rFonts w:asciiTheme="majorHAnsi" w:hAnsiTheme="majorHAnsi" w:cs="Times New Roman"/>
          <w:sz w:val="20"/>
          <w:szCs w:val="20"/>
          <w:lang w:val="en-US"/>
        </w:rPr>
        <w:t>CHA</w:t>
      </w:r>
      <w:r w:rsidR="00D028C5" w:rsidRPr="005B79BA">
        <w:rPr>
          <w:rFonts w:asciiTheme="majorHAnsi" w:hAnsiTheme="majorHAnsi" w:cs="Times New Roman"/>
          <w:sz w:val="20"/>
          <w:szCs w:val="20"/>
          <w:vertAlign w:val="subscript"/>
          <w:lang w:val="en-US"/>
        </w:rPr>
        <w:t>2</w:t>
      </w:r>
      <w:r w:rsidR="00D028C5" w:rsidRPr="005B79BA">
        <w:rPr>
          <w:rFonts w:asciiTheme="majorHAnsi" w:hAnsiTheme="majorHAnsi" w:cs="Times New Roman"/>
          <w:sz w:val="20"/>
          <w:szCs w:val="20"/>
          <w:lang w:val="en-US"/>
        </w:rPr>
        <w:t>DS</w:t>
      </w:r>
      <w:r w:rsidR="00D028C5" w:rsidRPr="005B79BA">
        <w:rPr>
          <w:rFonts w:asciiTheme="majorHAnsi" w:hAnsiTheme="majorHAnsi" w:cs="Times New Roman"/>
          <w:sz w:val="20"/>
          <w:szCs w:val="20"/>
          <w:vertAlign w:val="subscript"/>
          <w:lang w:val="en-US"/>
        </w:rPr>
        <w:t>2</w:t>
      </w:r>
      <w:r w:rsidR="00D028C5" w:rsidRPr="005B79BA">
        <w:rPr>
          <w:rFonts w:asciiTheme="majorHAnsi" w:hAnsiTheme="majorHAnsi" w:cs="Times New Roman"/>
          <w:sz w:val="20"/>
          <w:szCs w:val="20"/>
          <w:lang w:val="en-US"/>
        </w:rPr>
        <w:t>-</w:t>
      </w:r>
      <w:proofErr w:type="gramStart"/>
      <w:r w:rsidR="00D028C5" w:rsidRPr="005B79BA">
        <w:rPr>
          <w:rFonts w:asciiTheme="majorHAnsi" w:hAnsiTheme="majorHAnsi" w:cs="Times New Roman"/>
          <w:sz w:val="20"/>
          <w:szCs w:val="20"/>
          <w:lang w:val="en-US"/>
        </w:rPr>
        <w:t xml:space="preserve">VASc </w:t>
      </w:r>
      <w:r w:rsidR="00AD312A">
        <w:rPr>
          <w:rFonts w:asciiTheme="majorHAnsi" w:hAnsiTheme="majorHAnsi" w:cs="Times New Roman"/>
          <w:sz w:val="20"/>
          <w:szCs w:val="20"/>
          <w:lang w:val="en-US"/>
        </w:rPr>
        <w:t xml:space="preserve"> </w:t>
      </w:r>
      <w:r w:rsidR="00D028C5" w:rsidRPr="005B79BA">
        <w:rPr>
          <w:rFonts w:asciiTheme="majorHAnsi" w:hAnsiTheme="majorHAnsi" w:cs="Times New Roman"/>
          <w:sz w:val="20"/>
          <w:szCs w:val="20"/>
          <w:lang w:val="en-US"/>
        </w:rPr>
        <w:t>score</w:t>
      </w:r>
      <w:proofErr w:type="gramEnd"/>
      <w:r w:rsidR="00F74FA8" w:rsidRPr="005B79BA">
        <w:rPr>
          <w:rFonts w:asciiTheme="majorHAnsi" w:hAnsiTheme="majorHAnsi" w:cs="Times New Roman"/>
          <w:sz w:val="20"/>
          <w:szCs w:val="20"/>
          <w:lang w:val="en-US"/>
        </w:rPr>
        <w:t xml:space="preserve"> [</w:t>
      </w:r>
      <w:r w:rsidR="00A40AE6" w:rsidRPr="005B79BA">
        <w:rPr>
          <w:rFonts w:asciiTheme="majorHAnsi" w:hAnsiTheme="majorHAnsi" w:cs="Times New Roman"/>
          <w:sz w:val="20"/>
          <w:szCs w:val="20"/>
          <w:lang w:val="en-US"/>
        </w:rPr>
        <w:t>Table 2</w:t>
      </w:r>
      <w:r w:rsidR="00F74FA8" w:rsidRPr="005B79BA">
        <w:rPr>
          <w:rFonts w:asciiTheme="majorHAnsi" w:hAnsiTheme="majorHAnsi" w:cs="Times New Roman"/>
          <w:sz w:val="20"/>
          <w:szCs w:val="20"/>
          <w:lang w:val="en-US"/>
        </w:rPr>
        <w:t>]</w:t>
      </w:r>
      <w:r w:rsidR="00D028C5" w:rsidRPr="005B79BA">
        <w:rPr>
          <w:rFonts w:asciiTheme="majorHAnsi" w:hAnsiTheme="majorHAnsi" w:cs="Times New Roman"/>
          <w:sz w:val="20"/>
          <w:szCs w:val="20"/>
          <w:lang w:val="en-US"/>
        </w:rPr>
        <w:t>.</w:t>
      </w:r>
      <w:r w:rsidR="00A40AE6" w:rsidRPr="005B79BA">
        <w:rPr>
          <w:rFonts w:asciiTheme="majorHAnsi" w:hAnsiTheme="majorHAnsi" w:cs="Times New Roman"/>
          <w:sz w:val="20"/>
          <w:szCs w:val="20"/>
          <w:lang w:val="en-US"/>
        </w:rPr>
        <w:t xml:space="preserve"> A similar association existed between event rate of death and </w:t>
      </w:r>
      <w:r w:rsidR="00A40AE6" w:rsidRPr="005B79BA">
        <w:rPr>
          <w:rFonts w:asciiTheme="majorHAnsi" w:eastAsia="AdvTimes" w:hAnsiTheme="majorHAnsi" w:cs="Times New Roman"/>
          <w:sz w:val="20"/>
          <w:szCs w:val="20"/>
          <w:lang w:val="en-US"/>
        </w:rPr>
        <w:t xml:space="preserve">higher </w:t>
      </w:r>
      <w:r w:rsidR="00A40AE6" w:rsidRPr="005B79BA">
        <w:rPr>
          <w:rFonts w:asciiTheme="majorHAnsi" w:hAnsiTheme="majorHAnsi" w:cs="Times New Roman"/>
          <w:sz w:val="20"/>
          <w:szCs w:val="20"/>
          <w:lang w:val="en-US"/>
        </w:rPr>
        <w:t>CHA</w:t>
      </w:r>
      <w:r w:rsidR="00A40AE6" w:rsidRPr="005B79BA">
        <w:rPr>
          <w:rFonts w:asciiTheme="majorHAnsi" w:hAnsiTheme="majorHAnsi" w:cs="Times New Roman"/>
          <w:sz w:val="20"/>
          <w:szCs w:val="20"/>
          <w:vertAlign w:val="subscript"/>
          <w:lang w:val="en-US"/>
        </w:rPr>
        <w:t>2</w:t>
      </w:r>
      <w:r w:rsidR="00A40AE6" w:rsidRPr="005B79BA">
        <w:rPr>
          <w:rFonts w:asciiTheme="majorHAnsi" w:hAnsiTheme="majorHAnsi" w:cs="Times New Roman"/>
          <w:sz w:val="20"/>
          <w:szCs w:val="20"/>
          <w:lang w:val="en-US"/>
        </w:rPr>
        <w:t>DS</w:t>
      </w:r>
      <w:r w:rsidR="00A40AE6" w:rsidRPr="005B79BA">
        <w:rPr>
          <w:rFonts w:asciiTheme="majorHAnsi" w:hAnsiTheme="majorHAnsi" w:cs="Times New Roman"/>
          <w:sz w:val="20"/>
          <w:szCs w:val="20"/>
          <w:vertAlign w:val="subscript"/>
          <w:lang w:val="en-US"/>
        </w:rPr>
        <w:t>2</w:t>
      </w:r>
      <w:r w:rsidR="00A40AE6" w:rsidRPr="005B79BA">
        <w:rPr>
          <w:rFonts w:asciiTheme="majorHAnsi" w:hAnsiTheme="majorHAnsi" w:cs="Times New Roman"/>
          <w:sz w:val="20"/>
          <w:szCs w:val="20"/>
          <w:lang w:val="en-US"/>
        </w:rPr>
        <w:t xml:space="preserve">-VASc score, and likewise between event rate of </w:t>
      </w:r>
      <w:r w:rsidR="008D115F" w:rsidRPr="005B79BA">
        <w:rPr>
          <w:rFonts w:asciiTheme="majorHAnsi" w:hAnsiTheme="majorHAnsi" w:cs="Times New Roman"/>
          <w:sz w:val="20"/>
          <w:szCs w:val="20"/>
          <w:lang w:val="en-US"/>
        </w:rPr>
        <w:t>‘</w:t>
      </w:r>
      <w:r w:rsidR="00A40AE6" w:rsidRPr="005B79BA">
        <w:rPr>
          <w:rFonts w:asciiTheme="majorHAnsi" w:hAnsiTheme="majorHAnsi" w:cs="Times New Roman"/>
          <w:sz w:val="20"/>
          <w:szCs w:val="20"/>
          <w:lang w:val="en-US"/>
        </w:rPr>
        <w:t>combined stroke and death</w:t>
      </w:r>
      <w:r w:rsidR="008D115F" w:rsidRPr="005B79BA">
        <w:rPr>
          <w:rFonts w:asciiTheme="majorHAnsi" w:hAnsiTheme="majorHAnsi" w:cs="Times New Roman"/>
          <w:sz w:val="20"/>
          <w:szCs w:val="20"/>
          <w:lang w:val="en-US"/>
        </w:rPr>
        <w:t xml:space="preserve">’ </w:t>
      </w:r>
      <w:r w:rsidR="00A40AE6" w:rsidRPr="005B79BA">
        <w:rPr>
          <w:rFonts w:asciiTheme="majorHAnsi" w:hAnsiTheme="majorHAnsi" w:cs="Times New Roman"/>
          <w:sz w:val="20"/>
          <w:szCs w:val="20"/>
          <w:lang w:val="en-US"/>
        </w:rPr>
        <w:t xml:space="preserve">and </w:t>
      </w:r>
      <w:r w:rsidR="00A40AE6" w:rsidRPr="005B79BA">
        <w:rPr>
          <w:rFonts w:asciiTheme="majorHAnsi" w:eastAsia="AdvTimes" w:hAnsiTheme="majorHAnsi" w:cs="Times New Roman"/>
          <w:sz w:val="20"/>
          <w:szCs w:val="20"/>
          <w:lang w:val="en-US"/>
        </w:rPr>
        <w:t xml:space="preserve">higher </w:t>
      </w:r>
      <w:r w:rsidR="00A40AE6" w:rsidRPr="005B79BA">
        <w:rPr>
          <w:rFonts w:asciiTheme="majorHAnsi" w:hAnsiTheme="majorHAnsi" w:cs="Times New Roman"/>
          <w:sz w:val="20"/>
          <w:szCs w:val="20"/>
          <w:lang w:val="en-US"/>
        </w:rPr>
        <w:t>CHA</w:t>
      </w:r>
      <w:r w:rsidR="00A40AE6" w:rsidRPr="005B79BA">
        <w:rPr>
          <w:rFonts w:asciiTheme="majorHAnsi" w:hAnsiTheme="majorHAnsi" w:cs="Times New Roman"/>
          <w:sz w:val="20"/>
          <w:szCs w:val="20"/>
          <w:vertAlign w:val="subscript"/>
          <w:lang w:val="en-US"/>
        </w:rPr>
        <w:t>2</w:t>
      </w:r>
      <w:r w:rsidR="00A40AE6" w:rsidRPr="005B79BA">
        <w:rPr>
          <w:rFonts w:asciiTheme="majorHAnsi" w:hAnsiTheme="majorHAnsi" w:cs="Times New Roman"/>
          <w:sz w:val="20"/>
          <w:szCs w:val="20"/>
          <w:lang w:val="en-US"/>
        </w:rPr>
        <w:t>DS</w:t>
      </w:r>
      <w:r w:rsidR="00A40AE6" w:rsidRPr="005B79BA">
        <w:rPr>
          <w:rFonts w:asciiTheme="majorHAnsi" w:hAnsiTheme="majorHAnsi" w:cs="Times New Roman"/>
          <w:sz w:val="20"/>
          <w:szCs w:val="20"/>
          <w:vertAlign w:val="subscript"/>
          <w:lang w:val="en-US"/>
        </w:rPr>
        <w:t>2</w:t>
      </w:r>
      <w:r w:rsidR="00A40AE6" w:rsidRPr="005B79BA">
        <w:rPr>
          <w:rFonts w:asciiTheme="majorHAnsi" w:hAnsiTheme="majorHAnsi" w:cs="Times New Roman"/>
          <w:sz w:val="20"/>
          <w:szCs w:val="20"/>
          <w:lang w:val="en-US"/>
        </w:rPr>
        <w:t xml:space="preserve">-VASc </w:t>
      </w:r>
      <w:proofErr w:type="gramStart"/>
      <w:r w:rsidR="00A40AE6" w:rsidRPr="005B79BA">
        <w:rPr>
          <w:rFonts w:asciiTheme="majorHAnsi" w:hAnsiTheme="majorHAnsi" w:cs="Times New Roman"/>
          <w:sz w:val="20"/>
          <w:szCs w:val="20"/>
          <w:lang w:val="en-US"/>
        </w:rPr>
        <w:t>score</w:t>
      </w:r>
      <w:proofErr w:type="gramEnd"/>
      <w:r w:rsidR="000578B1" w:rsidRPr="005B79BA">
        <w:rPr>
          <w:rFonts w:asciiTheme="majorHAnsi" w:eastAsia="AdvTimes" w:hAnsiTheme="majorHAnsi" w:cs="Times New Roman"/>
          <w:sz w:val="20"/>
          <w:szCs w:val="20"/>
          <w:lang w:val="en-US"/>
        </w:rPr>
        <w:t>.</w:t>
      </w:r>
      <w:r w:rsidR="00751FF6" w:rsidRPr="005B79BA">
        <w:rPr>
          <w:rFonts w:asciiTheme="majorHAnsi" w:eastAsia="AdvTimes" w:hAnsiTheme="majorHAnsi" w:cs="Times New Roman"/>
          <w:sz w:val="20"/>
          <w:szCs w:val="20"/>
          <w:lang w:val="en-US"/>
        </w:rPr>
        <w:t xml:space="preserve"> </w:t>
      </w:r>
      <w:r w:rsidR="006B4BC0" w:rsidRPr="005B79BA">
        <w:rPr>
          <w:rFonts w:asciiTheme="majorHAnsi" w:eastAsia="AdvTimes" w:hAnsiTheme="majorHAnsi" w:cs="Times New Roman"/>
          <w:sz w:val="20"/>
          <w:szCs w:val="20"/>
          <w:lang w:val="en-US"/>
        </w:rPr>
        <w:t xml:space="preserve">The incidence rate of stroke in the age group 20-35 had a </w:t>
      </w:r>
      <w:r w:rsidR="008011B7" w:rsidRPr="005B79BA">
        <w:rPr>
          <w:rFonts w:asciiTheme="majorHAnsi" w:eastAsia="AdvTimes" w:hAnsiTheme="majorHAnsi" w:cs="Times New Roman"/>
          <w:sz w:val="20"/>
          <w:szCs w:val="20"/>
          <w:lang w:val="en-US"/>
        </w:rPr>
        <w:t>similar</w:t>
      </w:r>
      <w:r w:rsidR="006B4BC0" w:rsidRPr="005B79BA">
        <w:rPr>
          <w:rFonts w:asciiTheme="majorHAnsi" w:eastAsia="AdvTimes" w:hAnsiTheme="majorHAnsi" w:cs="Times New Roman"/>
          <w:sz w:val="20"/>
          <w:szCs w:val="20"/>
          <w:lang w:val="en-US"/>
        </w:rPr>
        <w:t xml:space="preserve"> association with the </w:t>
      </w:r>
      <w:r w:rsidR="006B4BC0" w:rsidRPr="005B79BA">
        <w:rPr>
          <w:rFonts w:asciiTheme="majorHAnsi" w:hAnsiTheme="majorHAnsi" w:cs="Times New Roman"/>
          <w:sz w:val="20"/>
          <w:szCs w:val="20"/>
          <w:lang w:val="en-US"/>
        </w:rPr>
        <w:t>CHA</w:t>
      </w:r>
      <w:r w:rsidR="006B4BC0" w:rsidRPr="005B79BA">
        <w:rPr>
          <w:rFonts w:asciiTheme="majorHAnsi" w:hAnsiTheme="majorHAnsi" w:cs="Times New Roman"/>
          <w:sz w:val="20"/>
          <w:szCs w:val="20"/>
          <w:vertAlign w:val="subscript"/>
          <w:lang w:val="en-US"/>
        </w:rPr>
        <w:t>2</w:t>
      </w:r>
      <w:r w:rsidR="006B4BC0" w:rsidRPr="005B79BA">
        <w:rPr>
          <w:rFonts w:asciiTheme="majorHAnsi" w:hAnsiTheme="majorHAnsi" w:cs="Times New Roman"/>
          <w:sz w:val="20"/>
          <w:szCs w:val="20"/>
          <w:lang w:val="en-US"/>
        </w:rPr>
        <w:t>DS</w:t>
      </w:r>
      <w:r w:rsidR="006B4BC0" w:rsidRPr="005B79BA">
        <w:rPr>
          <w:rFonts w:asciiTheme="majorHAnsi" w:hAnsiTheme="majorHAnsi" w:cs="Times New Roman"/>
          <w:sz w:val="20"/>
          <w:szCs w:val="20"/>
          <w:vertAlign w:val="subscript"/>
          <w:lang w:val="en-US"/>
        </w:rPr>
        <w:t>2</w:t>
      </w:r>
      <w:r w:rsidR="00A40AE6" w:rsidRPr="005B79BA">
        <w:rPr>
          <w:rFonts w:asciiTheme="majorHAnsi" w:hAnsiTheme="majorHAnsi" w:cs="Times New Roman"/>
          <w:sz w:val="20"/>
          <w:szCs w:val="20"/>
          <w:lang w:val="en-US"/>
        </w:rPr>
        <w:t>-VASc score, though</w:t>
      </w:r>
      <w:r w:rsidR="006B4BC0" w:rsidRPr="005B79BA">
        <w:rPr>
          <w:rFonts w:asciiTheme="majorHAnsi" w:hAnsiTheme="majorHAnsi" w:cs="Times New Roman"/>
          <w:sz w:val="20"/>
          <w:szCs w:val="20"/>
          <w:lang w:val="en-US"/>
        </w:rPr>
        <w:t xml:space="preserve">, </w:t>
      </w:r>
      <w:r w:rsidR="0078532C" w:rsidRPr="005B79BA">
        <w:rPr>
          <w:rFonts w:asciiTheme="majorHAnsi" w:hAnsiTheme="majorHAnsi" w:cs="Times New Roman"/>
          <w:sz w:val="20"/>
          <w:szCs w:val="20"/>
          <w:lang w:val="en-US"/>
        </w:rPr>
        <w:t xml:space="preserve">most of </w:t>
      </w:r>
      <w:r w:rsidR="006B4BC0" w:rsidRPr="005B79BA">
        <w:rPr>
          <w:rFonts w:asciiTheme="majorHAnsi" w:hAnsiTheme="majorHAnsi" w:cs="Times New Roman"/>
          <w:sz w:val="20"/>
          <w:szCs w:val="20"/>
          <w:lang w:val="en-US"/>
        </w:rPr>
        <w:t>these incidence rates</w:t>
      </w:r>
      <w:r w:rsidR="0078532C" w:rsidRPr="005B79BA">
        <w:rPr>
          <w:rFonts w:asciiTheme="majorHAnsi" w:hAnsiTheme="majorHAnsi" w:cs="Times New Roman"/>
          <w:sz w:val="20"/>
          <w:szCs w:val="20"/>
          <w:lang w:val="en-US"/>
        </w:rPr>
        <w:t xml:space="preserve"> of stroke</w:t>
      </w:r>
      <w:r w:rsidR="006B4BC0" w:rsidRPr="005B79BA">
        <w:rPr>
          <w:rFonts w:asciiTheme="majorHAnsi" w:hAnsiTheme="majorHAnsi" w:cs="Times New Roman"/>
          <w:sz w:val="20"/>
          <w:szCs w:val="20"/>
          <w:lang w:val="en-US"/>
        </w:rPr>
        <w:t xml:space="preserve"> had wide confidence </w:t>
      </w:r>
      <w:r w:rsidR="006B4BC0" w:rsidRPr="005B79BA">
        <w:rPr>
          <w:rFonts w:asciiTheme="majorHAnsi" w:hAnsiTheme="majorHAnsi" w:cs="Times New Roman"/>
          <w:sz w:val="20"/>
          <w:szCs w:val="20"/>
          <w:lang w:val="en-US"/>
        </w:rPr>
        <w:lastRenderedPageBreak/>
        <w:t>intervals</w:t>
      </w:r>
      <w:r w:rsidR="0078532C" w:rsidRPr="005B79BA">
        <w:rPr>
          <w:rFonts w:asciiTheme="majorHAnsi" w:hAnsiTheme="majorHAnsi" w:cs="Times New Roman"/>
          <w:sz w:val="20"/>
          <w:szCs w:val="20"/>
          <w:lang w:val="en-US"/>
        </w:rPr>
        <w:t xml:space="preserve"> and n</w:t>
      </w:r>
      <w:r w:rsidR="006B4BC0" w:rsidRPr="005B79BA">
        <w:rPr>
          <w:rFonts w:asciiTheme="majorHAnsi" w:hAnsiTheme="majorHAnsi" w:cs="Times New Roman"/>
          <w:sz w:val="20"/>
          <w:szCs w:val="20"/>
          <w:lang w:val="en-US"/>
        </w:rPr>
        <w:t xml:space="preserve">o </w:t>
      </w:r>
      <w:r w:rsidR="00892EB1" w:rsidRPr="005B79BA">
        <w:rPr>
          <w:rFonts w:asciiTheme="majorHAnsi" w:hAnsiTheme="majorHAnsi" w:cs="Times New Roman"/>
          <w:sz w:val="20"/>
          <w:szCs w:val="20"/>
          <w:lang w:val="en-US"/>
        </w:rPr>
        <w:t xml:space="preserve">stroke </w:t>
      </w:r>
      <w:r w:rsidR="006B4BC0" w:rsidRPr="005B79BA">
        <w:rPr>
          <w:rFonts w:asciiTheme="majorHAnsi" w:hAnsiTheme="majorHAnsi" w:cs="Times New Roman"/>
          <w:sz w:val="20"/>
          <w:szCs w:val="20"/>
          <w:lang w:val="en-US"/>
        </w:rPr>
        <w:t>events occurred in patients in this age group with a CHA</w:t>
      </w:r>
      <w:r w:rsidR="006B4BC0" w:rsidRPr="005B79BA">
        <w:rPr>
          <w:rFonts w:asciiTheme="majorHAnsi" w:hAnsiTheme="majorHAnsi" w:cs="Times New Roman"/>
          <w:sz w:val="20"/>
          <w:szCs w:val="20"/>
          <w:vertAlign w:val="subscript"/>
          <w:lang w:val="en-US"/>
        </w:rPr>
        <w:t>2</w:t>
      </w:r>
      <w:r w:rsidR="006B4BC0" w:rsidRPr="005B79BA">
        <w:rPr>
          <w:rFonts w:asciiTheme="majorHAnsi" w:hAnsiTheme="majorHAnsi" w:cs="Times New Roman"/>
          <w:sz w:val="20"/>
          <w:szCs w:val="20"/>
          <w:lang w:val="en-US"/>
        </w:rPr>
        <w:t>DS</w:t>
      </w:r>
      <w:r w:rsidR="006B4BC0" w:rsidRPr="005B79BA">
        <w:rPr>
          <w:rFonts w:asciiTheme="majorHAnsi" w:hAnsiTheme="majorHAnsi" w:cs="Times New Roman"/>
          <w:sz w:val="20"/>
          <w:szCs w:val="20"/>
          <w:vertAlign w:val="subscript"/>
          <w:lang w:val="en-US"/>
        </w:rPr>
        <w:t>2</w:t>
      </w:r>
      <w:r w:rsidR="006B4BC0" w:rsidRPr="005B79BA">
        <w:rPr>
          <w:rFonts w:asciiTheme="majorHAnsi" w:hAnsiTheme="majorHAnsi" w:cs="Times New Roman"/>
          <w:sz w:val="20"/>
          <w:szCs w:val="20"/>
          <w:lang w:val="en-US"/>
        </w:rPr>
        <w:t>-VASc score of 1.</w:t>
      </w:r>
    </w:p>
    <w:p w14:paraId="10ADF36B" w14:textId="77777777" w:rsidR="00D44339" w:rsidRDefault="00D56A2C" w:rsidP="005B79BA">
      <w:pPr>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Figure 2 shows age-dependent 5-years cumulative incidence rates of death, and combined endpoint death or stroke in </w:t>
      </w:r>
      <w:r w:rsidR="00332352" w:rsidRPr="005B79BA">
        <w:rPr>
          <w:rFonts w:asciiTheme="majorHAnsi" w:hAnsiTheme="majorHAnsi" w:cs="Times New Roman"/>
          <w:sz w:val="20"/>
          <w:szCs w:val="20"/>
          <w:lang w:val="en-US"/>
        </w:rPr>
        <w:t>each age interval according to m</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 xml:space="preserve">-VASc scores of 0 (no risk factors present, </w:t>
      </w:r>
      <w:r w:rsidRPr="005B79BA">
        <w:rPr>
          <w:rFonts w:asciiTheme="majorHAnsi" w:hAnsiTheme="majorHAnsi"/>
          <w:sz w:val="20"/>
          <w:szCs w:val="20"/>
          <w:lang w:val="en-US"/>
        </w:rPr>
        <w:t>including females</w:t>
      </w:r>
      <w:r w:rsidRPr="005B79BA">
        <w:rPr>
          <w:rFonts w:asciiTheme="majorHAnsi" w:hAnsiTheme="majorHAnsi" w:cs="Times New Roman"/>
          <w:sz w:val="20"/>
          <w:szCs w:val="20"/>
          <w:lang w:val="en-US"/>
        </w:rPr>
        <w:t>), 1, 2 and ≥3. The survival probability of stroke or death significantly decreased in patients with a higher 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 in each age group</w:t>
      </w:r>
      <w:r w:rsidR="00892EB1" w:rsidRPr="005B79BA">
        <w:rPr>
          <w:rFonts w:asciiTheme="majorHAnsi" w:hAnsiTheme="majorHAnsi" w:cs="Times New Roman"/>
          <w:sz w:val="20"/>
          <w:szCs w:val="20"/>
          <w:lang w:val="en-US"/>
        </w:rPr>
        <w:t>,</w:t>
      </w:r>
      <w:r w:rsidRPr="005B79BA">
        <w:rPr>
          <w:rFonts w:asciiTheme="majorHAnsi" w:hAnsiTheme="majorHAnsi" w:cs="Times New Roman"/>
          <w:sz w:val="20"/>
          <w:szCs w:val="20"/>
          <w:lang w:val="en-US"/>
        </w:rPr>
        <w:t xml:space="preserve"> with a score of ≥3 being the </w:t>
      </w:r>
    </w:p>
    <w:p w14:paraId="720352AE" w14:textId="25F7F9F3" w:rsidR="00D56A2C" w:rsidRPr="005B79BA" w:rsidRDefault="006143D9" w:rsidP="005B79BA">
      <w:pPr>
        <w:jc w:val="both"/>
        <w:rPr>
          <w:rFonts w:asciiTheme="majorHAnsi" w:hAnsiTheme="majorHAnsi" w:cs="Times New Roman"/>
          <w:sz w:val="20"/>
          <w:szCs w:val="20"/>
          <w:lang w:val="en-US"/>
        </w:rPr>
      </w:pPr>
      <w:r w:rsidRPr="000B58C5">
        <w:rPr>
          <w:rFonts w:asciiTheme="majorHAnsi" w:hAnsiTheme="majorHAnsi" w:cs="Times New Roman"/>
          <w:noProof/>
          <w:sz w:val="20"/>
          <w:szCs w:val="20"/>
          <w:lang w:bidi="ar-SA"/>
        </w:rPr>
        <w:lastRenderedPageBreak/>
        <mc:AlternateContent>
          <mc:Choice Requires="wps">
            <w:drawing>
              <wp:anchor distT="0" distB="0" distL="114300" distR="114300" simplePos="0" relativeHeight="251664384" behindDoc="0" locked="0" layoutInCell="1" allowOverlap="1" wp14:anchorId="603FC89D" wp14:editId="251EBF0B">
                <wp:simplePos x="0" y="0"/>
                <wp:positionH relativeFrom="margin">
                  <wp:align>left</wp:align>
                </wp:positionH>
                <wp:positionV relativeFrom="margin">
                  <wp:align>top</wp:align>
                </wp:positionV>
                <wp:extent cx="6195695" cy="5213350"/>
                <wp:effectExtent l="0" t="0" r="14605" b="2540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5213445"/>
                        </a:xfrm>
                        <a:prstGeom prst="rect">
                          <a:avLst/>
                        </a:prstGeom>
                        <a:solidFill>
                          <a:srgbClr val="FFFFFF"/>
                        </a:solidFill>
                        <a:ln w="9525">
                          <a:solidFill>
                            <a:schemeClr val="bg1"/>
                          </a:solidFill>
                          <a:miter lim="800000"/>
                          <a:headEnd/>
                          <a:tailEnd/>
                        </a:ln>
                      </wps:spPr>
                      <wps:txbx>
                        <w:txbxContent>
                          <w:p w14:paraId="5B3107CC" w14:textId="77777777" w:rsidR="00AD312A" w:rsidRPr="000B6CFC" w:rsidRDefault="00AD312A" w:rsidP="000B58C5">
                            <w:pPr>
                              <w:rPr>
                                <w:i/>
                                <w:sz w:val="20"/>
                                <w:szCs w:val="20"/>
                                <w:lang w:val="en-US"/>
                              </w:rPr>
                            </w:pPr>
                            <w:r w:rsidRPr="000B6CFC">
                              <w:rPr>
                                <w:b/>
                                <w:sz w:val="20"/>
                                <w:szCs w:val="20"/>
                                <w:lang w:val="en-US"/>
                              </w:rPr>
                              <w:t>Figure 2</w:t>
                            </w:r>
                            <w:r w:rsidRPr="000B6CFC">
                              <w:rPr>
                                <w:sz w:val="20"/>
                                <w:szCs w:val="20"/>
                                <w:lang w:val="en-US"/>
                              </w:rPr>
                              <w:t xml:space="preserve">: </w:t>
                            </w:r>
                            <w:r w:rsidRPr="000B6CFC">
                              <w:rPr>
                                <w:i/>
                                <w:sz w:val="20"/>
                                <w:szCs w:val="20"/>
                                <w:lang w:val="en-US"/>
                              </w:rPr>
                              <w:t xml:space="preserve">5-Year Survival probability According to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-VASc</w:t>
                            </w:r>
                            <w:r w:rsidRPr="000B6CFC">
                              <w:rPr>
                                <w:rFonts w:cs="Times New Roman"/>
                                <w:color w:val="000000"/>
                                <w:sz w:val="20"/>
                                <w:szCs w:val="20"/>
                                <w:lang w:val="en-US"/>
                              </w:rPr>
                              <w:t xml:space="preserve"> </w:t>
                            </w:r>
                            <w:r w:rsidRPr="000B6CFC">
                              <w:rPr>
                                <w:i/>
                                <w:sz w:val="20"/>
                                <w:szCs w:val="20"/>
                                <w:lang w:val="en-US"/>
                              </w:rPr>
                              <w:t xml:space="preserve">Score. The figure is composed of two graphs that illustrate the survival probability of combined stroke and death and the survival probability of death alone. The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-VASc</w:t>
                            </w:r>
                            <w:r w:rsidRPr="000B6CFC">
                              <w:rPr>
                                <w:rFonts w:cs="Times New Roman"/>
                                <w:color w:val="000000"/>
                                <w:sz w:val="20"/>
                                <w:szCs w:val="20"/>
                                <w:lang w:val="en-US"/>
                              </w:rPr>
                              <w:t xml:space="preserve"> </w:t>
                            </w:r>
                            <w:r w:rsidRPr="000B6CFC">
                              <w:rPr>
                                <w:i/>
                                <w:sz w:val="20"/>
                                <w:szCs w:val="20"/>
                                <w:lang w:val="en-US"/>
                              </w:rPr>
                              <w:t xml:space="preserve">score, </w:t>
                            </w:r>
                            <w:r w:rsidRPr="000B6CFC">
                              <w:rPr>
                                <w:rFonts w:cs="Times New Roman"/>
                                <w:i/>
                                <w:color w:val="000000"/>
                                <w:sz w:val="20"/>
                                <w:szCs w:val="20"/>
                                <w:lang w:val="en-US"/>
                              </w:rPr>
                              <w:t>without age and sex as a risk factor,</w:t>
                            </w:r>
                            <w:r w:rsidRPr="000B6CFC">
                              <w:rPr>
                                <w:i/>
                                <w:sz w:val="20"/>
                                <w:szCs w:val="20"/>
                                <w:lang w:val="en-US"/>
                              </w:rPr>
                              <w:t xml:space="preserve"> is divided into scores of 0 (no risk factors present), 1, 2, and 3+ and is separated into age groups. ES is an abbreviation for effect size and 95% CI is the 95% confidence interval.</w:t>
                            </w:r>
                          </w:p>
                          <w:p w14:paraId="703B0431" w14:textId="524C2CE9" w:rsidR="00AD312A" w:rsidRDefault="00AD312A">
                            <w:r>
                              <w:rPr>
                                <w:noProof/>
                                <w:lang w:bidi="ar-SA"/>
                              </w:rPr>
                              <w:drawing>
                                <wp:inline distT="0" distB="0" distL="0" distR="0" wp14:anchorId="4F63C401" wp14:editId="24F82FB4">
                                  <wp:extent cx="6110489" cy="4299044"/>
                                  <wp:effectExtent l="0" t="0" r="5080"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035" t="19684" r="5035" b="19132"/>
                                          <a:stretch/>
                                        </pic:blipFill>
                                        <pic:spPr bwMode="auto">
                                          <a:xfrm>
                                            <a:off x="0" y="0"/>
                                            <a:ext cx="6114212" cy="43016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87.85pt;height:41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" strokecolor="white [3212]">
                <v:textbox>
                  <w:txbxContent>
                    <w:p w14:paraId="5B3107CC" w14:textId="77777777" w:rsidR="00AD312A" w:rsidRPr="000B6CFC" w:rsidRDefault="00AD312A" w:rsidP="000B58C5">
                      <w:pPr>
                        <w:rPr>
                          <w:i/>
                          <w:sz w:val="20"/>
                          <w:szCs w:val="20"/>
                          <w:lang w:val="en-US"/>
                        </w:rPr>
                      </w:pPr>
                      <w:r w:rsidRPr="000B6CFC">
                        <w:rPr>
                          <w:b/>
                          <w:sz w:val="20"/>
                          <w:szCs w:val="20"/>
                          <w:lang w:val="en-US"/>
                        </w:rPr>
                        <w:t>Figure 2</w:t>
                      </w:r>
                      <w:r w:rsidRPr="000B6CFC">
                        <w:rPr>
                          <w:sz w:val="20"/>
                          <w:szCs w:val="20"/>
                          <w:lang w:val="en-US"/>
                        </w:rPr>
                        <w:t xml:space="preserve">: </w:t>
                      </w:r>
                      <w:r w:rsidRPr="000B6CFC">
                        <w:rPr>
                          <w:i/>
                          <w:sz w:val="20"/>
                          <w:szCs w:val="20"/>
                          <w:lang w:val="en-US"/>
                        </w:rPr>
                        <w:t xml:space="preserve">5-Year Survival probability According to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-VASc</w:t>
                      </w:r>
                      <w:r w:rsidRPr="000B6CFC">
                        <w:rPr>
                          <w:rFonts w:cs="Times New Roman"/>
                          <w:color w:val="000000"/>
                          <w:sz w:val="20"/>
                          <w:szCs w:val="20"/>
                          <w:lang w:val="en-US"/>
                        </w:rPr>
                        <w:t xml:space="preserve"> </w:t>
                      </w:r>
                      <w:r w:rsidRPr="000B6CFC">
                        <w:rPr>
                          <w:i/>
                          <w:sz w:val="20"/>
                          <w:szCs w:val="20"/>
                          <w:lang w:val="en-US"/>
                        </w:rPr>
                        <w:t xml:space="preserve">Score. The figure is composed of two graphs that illustrate the survival probability of combined stroke and death and the survival probability of death alone. The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-VASc</w:t>
                      </w:r>
                      <w:r w:rsidRPr="000B6CFC">
                        <w:rPr>
                          <w:rFonts w:cs="Times New Roman"/>
                          <w:color w:val="000000"/>
                          <w:sz w:val="20"/>
                          <w:szCs w:val="20"/>
                          <w:lang w:val="en-US"/>
                        </w:rPr>
                        <w:t xml:space="preserve"> </w:t>
                      </w:r>
                      <w:r w:rsidRPr="000B6CFC">
                        <w:rPr>
                          <w:i/>
                          <w:sz w:val="20"/>
                          <w:szCs w:val="20"/>
                          <w:lang w:val="en-US"/>
                        </w:rPr>
                        <w:t xml:space="preserve">score, </w:t>
                      </w:r>
                      <w:r w:rsidRPr="000B6CFC">
                        <w:rPr>
                          <w:rFonts w:cs="Times New Roman"/>
                          <w:i/>
                          <w:color w:val="000000"/>
                          <w:sz w:val="20"/>
                          <w:szCs w:val="20"/>
                          <w:lang w:val="en-US"/>
                        </w:rPr>
                        <w:t>without age and sex as a risk factor,</w:t>
                      </w:r>
                      <w:r w:rsidRPr="000B6CFC">
                        <w:rPr>
                          <w:i/>
                          <w:sz w:val="20"/>
                          <w:szCs w:val="20"/>
                          <w:lang w:val="en-US"/>
                        </w:rPr>
                        <w:t xml:space="preserve"> is divided into scores of 0 (no risk factors present), 1, 2, and 3+ and is separated into age groups. ES is an abbreviation for effect size and 95% CI is the 95% confidence interval.</w:t>
                      </w:r>
                    </w:p>
                    <w:p w14:paraId="703B0431" w14:textId="524C2CE9" w:rsidR="00AD312A" w:rsidRDefault="00AD312A">
                      <w:r>
                        <w:rPr>
                          <w:noProof/>
                          <w:lang w:bidi="ar-SA"/>
                        </w:rPr>
                        <w:drawing>
                          <wp:inline distT="0" distB="0" distL="0" distR="0" wp14:anchorId="4F63C401" wp14:editId="24F82FB4">
                            <wp:extent cx="6110489" cy="4299044"/>
                            <wp:effectExtent l="0" t="0" r="5080"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035" t="19684" r="5035" b="19132"/>
                                    <a:stretch/>
                                  </pic:blipFill>
                                  <pic:spPr bwMode="auto">
                                    <a:xfrm>
                                      <a:off x="0" y="0"/>
                                      <a:ext cx="6114212" cy="43016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proofErr w:type="gramStart"/>
      <w:r w:rsidR="00D56A2C" w:rsidRPr="005B79BA">
        <w:rPr>
          <w:rFonts w:asciiTheme="majorHAnsi" w:hAnsiTheme="majorHAnsi" w:cs="Times New Roman"/>
          <w:sz w:val="20"/>
          <w:szCs w:val="20"/>
          <w:lang w:val="en-US"/>
        </w:rPr>
        <w:t>most</w:t>
      </w:r>
      <w:proofErr w:type="gramEnd"/>
      <w:r w:rsidR="00D56A2C" w:rsidRPr="005B79BA">
        <w:rPr>
          <w:rFonts w:asciiTheme="majorHAnsi" w:hAnsiTheme="majorHAnsi" w:cs="Times New Roman"/>
          <w:sz w:val="20"/>
          <w:szCs w:val="20"/>
          <w:lang w:val="en-US"/>
        </w:rPr>
        <w:t xml:space="preserve"> hazardous score associated with a lower survival. In the age </w:t>
      </w:r>
      <w:r w:rsidR="00892EB1" w:rsidRPr="005B79BA">
        <w:rPr>
          <w:rFonts w:asciiTheme="majorHAnsi" w:hAnsiTheme="majorHAnsi" w:cs="Times New Roman"/>
          <w:sz w:val="20"/>
          <w:szCs w:val="20"/>
          <w:lang w:val="en-US"/>
        </w:rPr>
        <w:t>group</w:t>
      </w:r>
      <w:r w:rsidR="00D56A2C" w:rsidRPr="005B79BA">
        <w:rPr>
          <w:rFonts w:asciiTheme="majorHAnsi" w:hAnsiTheme="majorHAnsi" w:cs="Times New Roman"/>
          <w:sz w:val="20"/>
          <w:szCs w:val="20"/>
          <w:lang w:val="en-US"/>
        </w:rPr>
        <w:t xml:space="preserve"> 20-35</w:t>
      </w:r>
      <w:r w:rsidR="00892EB1" w:rsidRPr="005B79BA">
        <w:rPr>
          <w:rFonts w:asciiTheme="majorHAnsi" w:hAnsiTheme="majorHAnsi" w:cs="Times New Roman"/>
          <w:sz w:val="20"/>
          <w:szCs w:val="20"/>
          <w:lang w:val="en-US"/>
        </w:rPr>
        <w:t>,</w:t>
      </w:r>
      <w:r w:rsidR="00D56A2C" w:rsidRPr="005B79BA">
        <w:rPr>
          <w:rFonts w:asciiTheme="majorHAnsi" w:hAnsiTheme="majorHAnsi" w:cs="Times New Roman"/>
          <w:sz w:val="20"/>
          <w:szCs w:val="20"/>
          <w:lang w:val="en-US"/>
        </w:rPr>
        <w:t xml:space="preserve"> the association was more diffuse and small numbers were seen. In terms of hazard ratios, the presence of one </w:t>
      </w:r>
      <w:r w:rsidR="00892EB1" w:rsidRPr="005B79BA">
        <w:rPr>
          <w:rFonts w:asciiTheme="majorHAnsi" w:hAnsiTheme="majorHAnsi" w:cs="Times New Roman"/>
          <w:sz w:val="20"/>
          <w:szCs w:val="20"/>
          <w:lang w:val="en-US"/>
        </w:rPr>
        <w:t>risk factor increased</w:t>
      </w:r>
      <w:r w:rsidR="00D56A2C" w:rsidRPr="005B79BA">
        <w:rPr>
          <w:rFonts w:asciiTheme="majorHAnsi" w:hAnsiTheme="majorHAnsi" w:cs="Times New Roman"/>
          <w:sz w:val="20"/>
          <w:szCs w:val="20"/>
          <w:lang w:val="en-US"/>
        </w:rPr>
        <w:t xml:space="preserve"> the risk significantly in all age groups.</w:t>
      </w:r>
    </w:p>
    <w:p w14:paraId="0487DF4A" w14:textId="23D7B999" w:rsidR="00D56A2C" w:rsidRPr="005B79BA" w:rsidRDefault="00D56A2C" w:rsidP="005B79BA">
      <w:pPr>
        <w:jc w:val="both"/>
        <w:rPr>
          <w:rFonts w:asciiTheme="majorHAnsi" w:hAnsiTheme="majorHAnsi" w:cs="Times New Roman"/>
          <w:sz w:val="20"/>
          <w:szCs w:val="20"/>
          <w:lang w:val="en-US"/>
        </w:rPr>
      </w:pPr>
    </w:p>
    <w:p w14:paraId="54B01A5C" w14:textId="6AD06B46" w:rsidR="00A05C30" w:rsidRPr="005B79BA" w:rsidRDefault="009C1E65" w:rsidP="005B79BA">
      <w:pPr>
        <w:pStyle w:val="Kommentartekst"/>
        <w:jc w:val="both"/>
        <w:rPr>
          <w:rFonts w:asciiTheme="majorHAnsi" w:hAnsiTheme="majorHAnsi"/>
          <w:szCs w:val="20"/>
          <w:lang w:val="en-US"/>
        </w:rPr>
      </w:pPr>
      <w:r w:rsidRPr="005B79BA">
        <w:rPr>
          <w:rFonts w:asciiTheme="majorHAnsi" w:hAnsiTheme="majorHAnsi"/>
          <w:szCs w:val="20"/>
          <w:lang w:val="en-US"/>
        </w:rPr>
        <w:t>The independent risk factors for stroke</w:t>
      </w:r>
      <w:r w:rsidR="00631E76" w:rsidRPr="005B79BA">
        <w:rPr>
          <w:rFonts w:asciiTheme="majorHAnsi" w:hAnsiTheme="majorHAnsi"/>
          <w:szCs w:val="20"/>
          <w:lang w:val="en-US"/>
        </w:rPr>
        <w:t xml:space="preserve">, death and </w:t>
      </w:r>
      <w:r w:rsidR="00AD312A">
        <w:rPr>
          <w:rFonts w:asciiTheme="majorHAnsi" w:hAnsiTheme="majorHAnsi"/>
          <w:szCs w:val="20"/>
          <w:lang w:val="en-US"/>
        </w:rPr>
        <w:t>‘</w:t>
      </w:r>
      <w:r w:rsidR="00631E76" w:rsidRPr="005B79BA">
        <w:rPr>
          <w:rFonts w:asciiTheme="majorHAnsi" w:hAnsiTheme="majorHAnsi"/>
          <w:szCs w:val="20"/>
          <w:lang w:val="en-US"/>
        </w:rPr>
        <w:t xml:space="preserve">composite stroke and </w:t>
      </w:r>
      <w:r w:rsidR="00A14D59" w:rsidRPr="005B79BA">
        <w:rPr>
          <w:rFonts w:asciiTheme="majorHAnsi" w:hAnsiTheme="majorHAnsi"/>
          <w:szCs w:val="20"/>
          <w:lang w:val="en-US"/>
        </w:rPr>
        <w:t>death</w:t>
      </w:r>
      <w:r w:rsidR="00AD312A">
        <w:rPr>
          <w:rFonts w:asciiTheme="majorHAnsi" w:hAnsiTheme="majorHAnsi"/>
          <w:szCs w:val="20"/>
          <w:lang w:val="en-US"/>
        </w:rPr>
        <w:t>’</w:t>
      </w:r>
      <w:r w:rsidR="00A14D59" w:rsidRPr="005B79BA">
        <w:rPr>
          <w:rFonts w:asciiTheme="majorHAnsi" w:hAnsiTheme="majorHAnsi"/>
          <w:szCs w:val="20"/>
          <w:lang w:val="en-US"/>
        </w:rPr>
        <w:t xml:space="preserve"> in</w:t>
      </w:r>
      <w:r w:rsidRPr="005B79BA">
        <w:rPr>
          <w:rFonts w:asciiTheme="majorHAnsi" w:hAnsiTheme="majorHAnsi"/>
          <w:szCs w:val="20"/>
          <w:lang w:val="en-US"/>
        </w:rPr>
        <w:t xml:space="preserve"> each age strata are shown in </w:t>
      </w:r>
      <w:r w:rsidR="001117CA" w:rsidRPr="005B79BA">
        <w:rPr>
          <w:rFonts w:asciiTheme="majorHAnsi" w:hAnsiTheme="majorHAnsi"/>
          <w:szCs w:val="20"/>
          <w:lang w:val="en-US"/>
        </w:rPr>
        <w:t xml:space="preserve">Figure </w:t>
      </w:r>
      <w:r w:rsidR="009C12E5" w:rsidRPr="005B79BA">
        <w:rPr>
          <w:rFonts w:asciiTheme="majorHAnsi" w:hAnsiTheme="majorHAnsi"/>
          <w:szCs w:val="20"/>
          <w:lang w:val="en-US"/>
        </w:rPr>
        <w:t>3</w:t>
      </w:r>
      <w:r w:rsidRPr="005B79BA">
        <w:rPr>
          <w:rFonts w:asciiTheme="majorHAnsi" w:hAnsiTheme="majorHAnsi"/>
          <w:szCs w:val="20"/>
          <w:lang w:val="en-US"/>
        </w:rPr>
        <w:t xml:space="preserve">. </w:t>
      </w:r>
      <w:r w:rsidR="00A14D59" w:rsidRPr="005B79BA">
        <w:rPr>
          <w:rFonts w:asciiTheme="majorHAnsi" w:hAnsiTheme="majorHAnsi"/>
          <w:szCs w:val="20"/>
          <w:lang w:val="en-US"/>
        </w:rPr>
        <w:t xml:space="preserve">The figure shows hazard ratios of stroke, death and </w:t>
      </w:r>
      <w:r w:rsidR="00AD312A">
        <w:rPr>
          <w:rFonts w:asciiTheme="majorHAnsi" w:hAnsiTheme="majorHAnsi"/>
          <w:szCs w:val="20"/>
          <w:lang w:val="en-US"/>
        </w:rPr>
        <w:t>‘</w:t>
      </w:r>
      <w:r w:rsidR="00A14D59" w:rsidRPr="005B79BA">
        <w:rPr>
          <w:rFonts w:asciiTheme="majorHAnsi" w:hAnsiTheme="majorHAnsi"/>
          <w:szCs w:val="20"/>
          <w:lang w:val="en-US"/>
        </w:rPr>
        <w:t>composite stroke and death</w:t>
      </w:r>
      <w:r w:rsidR="00AD312A">
        <w:rPr>
          <w:rFonts w:asciiTheme="majorHAnsi" w:hAnsiTheme="majorHAnsi"/>
          <w:szCs w:val="20"/>
          <w:lang w:val="en-US"/>
        </w:rPr>
        <w:t>’</w:t>
      </w:r>
      <w:r w:rsidR="00A14D59" w:rsidRPr="005B79BA">
        <w:rPr>
          <w:rFonts w:asciiTheme="majorHAnsi" w:hAnsiTheme="majorHAnsi"/>
          <w:szCs w:val="20"/>
          <w:lang w:val="en-US"/>
        </w:rPr>
        <w:t xml:space="preserve"> in the presence of heart failure, hypertension, diabetes, prior stroke</w:t>
      </w:r>
      <w:r w:rsidR="00521942" w:rsidRPr="005B79BA">
        <w:rPr>
          <w:rFonts w:asciiTheme="majorHAnsi" w:hAnsiTheme="majorHAnsi"/>
          <w:szCs w:val="20"/>
          <w:lang w:val="en-US"/>
        </w:rPr>
        <w:t>, vascular disease,</w:t>
      </w:r>
      <w:r w:rsidR="00A14D59" w:rsidRPr="005B79BA">
        <w:rPr>
          <w:rFonts w:asciiTheme="majorHAnsi" w:hAnsiTheme="majorHAnsi"/>
          <w:szCs w:val="20"/>
          <w:lang w:val="en-US"/>
        </w:rPr>
        <w:t xml:space="preserve"> and female sex.</w:t>
      </w:r>
    </w:p>
    <w:p w14:paraId="386E28F7" w14:textId="14596CD7" w:rsidR="00D56A2C" w:rsidRPr="005B79BA" w:rsidRDefault="00A05C30" w:rsidP="005B79BA">
      <w:pPr>
        <w:pStyle w:val="Kommentartekst"/>
        <w:jc w:val="both"/>
        <w:rPr>
          <w:rFonts w:asciiTheme="majorHAnsi" w:hAnsiTheme="majorHAnsi"/>
          <w:szCs w:val="20"/>
          <w:lang w:val="en-US"/>
        </w:rPr>
      </w:pPr>
      <w:r w:rsidRPr="005B79BA">
        <w:rPr>
          <w:rFonts w:asciiTheme="majorHAnsi" w:hAnsiTheme="majorHAnsi"/>
          <w:szCs w:val="20"/>
          <w:lang w:val="en-US"/>
        </w:rPr>
        <w:t>The endpoint of s</w:t>
      </w:r>
      <w:r w:rsidR="008011B7" w:rsidRPr="005B79BA">
        <w:rPr>
          <w:rFonts w:asciiTheme="majorHAnsi" w:hAnsiTheme="majorHAnsi"/>
          <w:szCs w:val="20"/>
          <w:lang w:val="en-US"/>
        </w:rPr>
        <w:t xml:space="preserve">troke </w:t>
      </w:r>
      <w:r w:rsidRPr="005B79BA">
        <w:rPr>
          <w:rFonts w:asciiTheme="majorHAnsi" w:hAnsiTheme="majorHAnsi"/>
          <w:szCs w:val="20"/>
          <w:lang w:val="en-US"/>
        </w:rPr>
        <w:t>was strongly associated</w:t>
      </w:r>
      <w:r w:rsidR="00A14D59" w:rsidRPr="005B79BA">
        <w:rPr>
          <w:rFonts w:asciiTheme="majorHAnsi" w:hAnsiTheme="majorHAnsi"/>
          <w:szCs w:val="20"/>
          <w:lang w:val="en-US"/>
        </w:rPr>
        <w:t xml:space="preserve"> with the presence of </w:t>
      </w:r>
      <w:r w:rsidR="00D56A2C" w:rsidRPr="005B79BA">
        <w:rPr>
          <w:rFonts w:asciiTheme="majorHAnsi" w:hAnsiTheme="majorHAnsi"/>
          <w:szCs w:val="20"/>
          <w:lang w:val="en-US"/>
        </w:rPr>
        <w:t>prior stroke (</w:t>
      </w:r>
      <w:r w:rsidRPr="005B79BA">
        <w:rPr>
          <w:rFonts w:asciiTheme="majorHAnsi" w:hAnsiTheme="majorHAnsi"/>
          <w:szCs w:val="20"/>
          <w:lang w:val="en-US"/>
        </w:rPr>
        <w:t xml:space="preserve">hazard ratio </w:t>
      </w:r>
      <w:r w:rsidR="00D56A2C" w:rsidRPr="005B79BA">
        <w:rPr>
          <w:rFonts w:asciiTheme="majorHAnsi" w:hAnsiTheme="majorHAnsi"/>
          <w:szCs w:val="20"/>
          <w:lang w:val="en-US"/>
        </w:rPr>
        <w:t xml:space="preserve">HR, </w:t>
      </w:r>
      <w:r w:rsidR="00113F5D" w:rsidRPr="005B79BA">
        <w:rPr>
          <w:rFonts w:asciiTheme="majorHAnsi" w:hAnsiTheme="majorHAnsi"/>
          <w:szCs w:val="20"/>
          <w:lang w:val="en-US"/>
        </w:rPr>
        <w:t>24.3, 95% CI, 6.1</w:t>
      </w:r>
      <w:r w:rsidR="00D56A2C" w:rsidRPr="005B79BA">
        <w:rPr>
          <w:rFonts w:asciiTheme="majorHAnsi" w:hAnsiTheme="majorHAnsi"/>
          <w:szCs w:val="20"/>
          <w:lang w:val="en-US"/>
        </w:rPr>
        <w:t>-9</w:t>
      </w:r>
      <w:r w:rsidR="00113F5D" w:rsidRPr="005B79BA">
        <w:rPr>
          <w:rFonts w:asciiTheme="majorHAnsi" w:hAnsiTheme="majorHAnsi"/>
          <w:szCs w:val="20"/>
          <w:lang w:val="en-US"/>
        </w:rPr>
        <w:t>7.0), vascular disease (HR, 5.2</w:t>
      </w:r>
      <w:r w:rsidR="00D56A2C" w:rsidRPr="005B79BA">
        <w:rPr>
          <w:rFonts w:asciiTheme="majorHAnsi" w:hAnsiTheme="majorHAnsi"/>
          <w:szCs w:val="20"/>
          <w:lang w:val="en-US"/>
        </w:rPr>
        <w:t>, 95% CI, 0.6-</w:t>
      </w:r>
      <w:r w:rsidR="00113F5D" w:rsidRPr="005B79BA">
        <w:rPr>
          <w:rFonts w:asciiTheme="majorHAnsi" w:hAnsiTheme="majorHAnsi"/>
          <w:szCs w:val="20"/>
          <w:lang w:val="en-US"/>
        </w:rPr>
        <w:t>42.4</w:t>
      </w:r>
      <w:r w:rsidR="00D56A2C" w:rsidRPr="005B79BA">
        <w:rPr>
          <w:rFonts w:asciiTheme="majorHAnsi" w:hAnsiTheme="majorHAnsi"/>
          <w:szCs w:val="20"/>
          <w:lang w:val="en-US"/>
        </w:rPr>
        <w:t xml:space="preserve">) and female sex (HR, </w:t>
      </w:r>
      <w:r w:rsidR="00113F5D" w:rsidRPr="005B79BA">
        <w:rPr>
          <w:rFonts w:asciiTheme="majorHAnsi" w:hAnsiTheme="majorHAnsi"/>
          <w:szCs w:val="20"/>
          <w:lang w:val="en-US"/>
        </w:rPr>
        <w:t>4.0</w:t>
      </w:r>
      <w:r w:rsidR="00D56A2C" w:rsidRPr="005B79BA">
        <w:rPr>
          <w:rFonts w:asciiTheme="majorHAnsi" w:hAnsiTheme="majorHAnsi"/>
          <w:szCs w:val="20"/>
          <w:lang w:val="en-US"/>
        </w:rPr>
        <w:t xml:space="preserve">, 95% CI, </w:t>
      </w:r>
      <w:r w:rsidR="00113F5D" w:rsidRPr="005B79BA">
        <w:rPr>
          <w:rFonts w:asciiTheme="majorHAnsi" w:hAnsiTheme="majorHAnsi"/>
          <w:szCs w:val="20"/>
          <w:lang w:val="en-US"/>
        </w:rPr>
        <w:t>1.1-14.</w:t>
      </w:r>
      <w:r w:rsidR="0046161F" w:rsidRPr="005B79BA">
        <w:rPr>
          <w:rFonts w:asciiTheme="majorHAnsi" w:hAnsiTheme="majorHAnsi"/>
          <w:szCs w:val="20"/>
          <w:lang w:val="en-US"/>
        </w:rPr>
        <w:t>9</w:t>
      </w:r>
      <w:r w:rsidR="00D56A2C" w:rsidRPr="005B79BA">
        <w:rPr>
          <w:rFonts w:asciiTheme="majorHAnsi" w:hAnsiTheme="majorHAnsi"/>
          <w:szCs w:val="20"/>
          <w:lang w:val="en-US"/>
        </w:rPr>
        <w:t>) in the age group of 20-35</w:t>
      </w:r>
      <w:r w:rsidR="00F74FA8" w:rsidRPr="005B79BA">
        <w:rPr>
          <w:rFonts w:asciiTheme="majorHAnsi" w:hAnsiTheme="majorHAnsi"/>
          <w:szCs w:val="20"/>
          <w:lang w:val="en-US"/>
        </w:rPr>
        <w:t xml:space="preserve"> [Figure 3].</w:t>
      </w:r>
      <w:r w:rsidRPr="005B79BA">
        <w:rPr>
          <w:rFonts w:asciiTheme="majorHAnsi" w:hAnsiTheme="majorHAnsi"/>
          <w:szCs w:val="20"/>
          <w:lang w:val="en-US"/>
        </w:rPr>
        <w:t xml:space="preserve"> W</w:t>
      </w:r>
      <w:r w:rsidR="00D56A2C" w:rsidRPr="005B79BA">
        <w:rPr>
          <w:rFonts w:asciiTheme="majorHAnsi" w:hAnsiTheme="majorHAnsi"/>
          <w:szCs w:val="20"/>
          <w:lang w:val="en-US"/>
        </w:rPr>
        <w:t>ide confidence intervals existed in th</w:t>
      </w:r>
      <w:r w:rsidRPr="005B79BA">
        <w:rPr>
          <w:rFonts w:asciiTheme="majorHAnsi" w:hAnsiTheme="majorHAnsi"/>
          <w:szCs w:val="20"/>
          <w:lang w:val="en-US"/>
        </w:rPr>
        <w:t>e latter</w:t>
      </w:r>
      <w:r w:rsidR="00D56A2C" w:rsidRPr="005B79BA">
        <w:rPr>
          <w:rFonts w:asciiTheme="majorHAnsi" w:hAnsiTheme="majorHAnsi"/>
          <w:szCs w:val="20"/>
          <w:lang w:val="en-US"/>
        </w:rPr>
        <w:t xml:space="preserve"> age group.</w:t>
      </w:r>
      <w:r w:rsidR="0046161F" w:rsidRPr="005B79BA">
        <w:rPr>
          <w:rFonts w:asciiTheme="majorHAnsi" w:hAnsiTheme="majorHAnsi"/>
          <w:szCs w:val="20"/>
          <w:lang w:val="en-US"/>
        </w:rPr>
        <w:t xml:space="preserve"> </w:t>
      </w:r>
      <w:r w:rsidRPr="005B79BA">
        <w:rPr>
          <w:rFonts w:asciiTheme="majorHAnsi" w:hAnsiTheme="majorHAnsi"/>
          <w:szCs w:val="20"/>
          <w:lang w:val="en-US"/>
        </w:rPr>
        <w:t>I</w:t>
      </w:r>
      <w:r w:rsidR="0046161F" w:rsidRPr="005B79BA">
        <w:rPr>
          <w:rFonts w:asciiTheme="majorHAnsi" w:hAnsiTheme="majorHAnsi"/>
          <w:szCs w:val="20"/>
          <w:lang w:val="en-US"/>
        </w:rPr>
        <w:t>n the age group of 35-50</w:t>
      </w:r>
      <w:r w:rsidR="00906F9B" w:rsidRPr="005B79BA">
        <w:rPr>
          <w:rFonts w:asciiTheme="majorHAnsi" w:hAnsiTheme="majorHAnsi"/>
          <w:szCs w:val="20"/>
          <w:lang w:val="en-US"/>
        </w:rPr>
        <w:t>,</w:t>
      </w:r>
      <w:r w:rsidR="0046161F" w:rsidRPr="005B79BA">
        <w:rPr>
          <w:rFonts w:asciiTheme="majorHAnsi" w:hAnsiTheme="majorHAnsi"/>
          <w:szCs w:val="20"/>
          <w:lang w:val="en-US"/>
        </w:rPr>
        <w:t xml:space="preserve"> the </w:t>
      </w:r>
      <w:r w:rsidRPr="005B79BA">
        <w:rPr>
          <w:rFonts w:asciiTheme="majorHAnsi" w:hAnsiTheme="majorHAnsi"/>
          <w:szCs w:val="20"/>
          <w:lang w:val="en-US"/>
        </w:rPr>
        <w:t xml:space="preserve">strongest </w:t>
      </w:r>
      <w:r w:rsidR="0046161F" w:rsidRPr="005B79BA">
        <w:rPr>
          <w:rFonts w:asciiTheme="majorHAnsi" w:hAnsiTheme="majorHAnsi"/>
          <w:szCs w:val="20"/>
          <w:lang w:val="en-US"/>
        </w:rPr>
        <w:t>association</w:t>
      </w:r>
      <w:r w:rsidRPr="005B79BA">
        <w:rPr>
          <w:rFonts w:asciiTheme="majorHAnsi" w:hAnsiTheme="majorHAnsi"/>
          <w:szCs w:val="20"/>
          <w:lang w:val="en-US"/>
        </w:rPr>
        <w:t>s</w:t>
      </w:r>
      <w:r w:rsidR="0046161F" w:rsidRPr="005B79BA">
        <w:rPr>
          <w:rFonts w:asciiTheme="majorHAnsi" w:hAnsiTheme="majorHAnsi"/>
          <w:szCs w:val="20"/>
          <w:lang w:val="en-US"/>
        </w:rPr>
        <w:t xml:space="preserve"> with stroke </w:t>
      </w:r>
      <w:r w:rsidRPr="005B79BA">
        <w:rPr>
          <w:rFonts w:asciiTheme="majorHAnsi" w:hAnsiTheme="majorHAnsi"/>
          <w:szCs w:val="20"/>
          <w:lang w:val="en-US"/>
        </w:rPr>
        <w:t xml:space="preserve">were </w:t>
      </w:r>
      <w:r w:rsidR="00906F9B" w:rsidRPr="005B79BA">
        <w:rPr>
          <w:rFonts w:asciiTheme="majorHAnsi" w:hAnsiTheme="majorHAnsi"/>
          <w:szCs w:val="20"/>
          <w:lang w:val="en-US"/>
        </w:rPr>
        <w:t>with</w:t>
      </w:r>
      <w:r w:rsidR="0046161F" w:rsidRPr="005B79BA">
        <w:rPr>
          <w:rFonts w:asciiTheme="majorHAnsi" w:hAnsiTheme="majorHAnsi"/>
          <w:szCs w:val="20"/>
          <w:lang w:val="en-US"/>
        </w:rPr>
        <w:t xml:space="preserve"> prior stroke (HR, 16.0, 95% CI, 11.5</w:t>
      </w:r>
      <w:r w:rsidR="00113F5D" w:rsidRPr="005B79BA">
        <w:rPr>
          <w:rFonts w:asciiTheme="majorHAnsi" w:hAnsiTheme="majorHAnsi"/>
          <w:szCs w:val="20"/>
          <w:lang w:val="en-US"/>
        </w:rPr>
        <w:t>-22.4</w:t>
      </w:r>
      <w:r w:rsidR="0046161F" w:rsidRPr="005B79BA">
        <w:rPr>
          <w:rFonts w:asciiTheme="majorHAnsi" w:hAnsiTheme="majorHAnsi"/>
          <w:szCs w:val="20"/>
          <w:lang w:val="en-US"/>
        </w:rPr>
        <w:t>), vascular disease (HR, 2.8, 95% CI, 1.7-4.5</w:t>
      </w:r>
      <w:r w:rsidR="00113F5D" w:rsidRPr="005B79BA">
        <w:rPr>
          <w:rFonts w:asciiTheme="majorHAnsi" w:hAnsiTheme="majorHAnsi"/>
          <w:szCs w:val="20"/>
          <w:lang w:val="en-US"/>
        </w:rPr>
        <w:t>), and diabetes (HR, 1.8</w:t>
      </w:r>
      <w:r w:rsidR="0046161F" w:rsidRPr="005B79BA">
        <w:rPr>
          <w:rFonts w:asciiTheme="majorHAnsi" w:hAnsiTheme="majorHAnsi"/>
          <w:szCs w:val="20"/>
          <w:lang w:val="en-US"/>
        </w:rPr>
        <w:t>, 95% CI, 1.0-3.1). In</w:t>
      </w:r>
      <w:r w:rsidR="00906F9B" w:rsidRPr="005B79BA">
        <w:rPr>
          <w:rFonts w:asciiTheme="majorHAnsi" w:hAnsiTheme="majorHAnsi"/>
          <w:szCs w:val="20"/>
          <w:lang w:val="en-US"/>
        </w:rPr>
        <w:t xml:space="preserve"> the age group of 50-65, the</w:t>
      </w:r>
      <w:r w:rsidRPr="005B79BA">
        <w:rPr>
          <w:rFonts w:asciiTheme="majorHAnsi" w:hAnsiTheme="majorHAnsi"/>
          <w:szCs w:val="20"/>
          <w:lang w:val="en-US"/>
        </w:rPr>
        <w:t xml:space="preserve"> strongest</w:t>
      </w:r>
      <w:r w:rsidR="00906F9B" w:rsidRPr="005B79BA">
        <w:rPr>
          <w:rFonts w:asciiTheme="majorHAnsi" w:hAnsiTheme="majorHAnsi"/>
          <w:szCs w:val="20"/>
          <w:lang w:val="en-US"/>
        </w:rPr>
        <w:t xml:space="preserve"> association</w:t>
      </w:r>
      <w:r w:rsidRPr="005B79BA">
        <w:rPr>
          <w:rFonts w:asciiTheme="majorHAnsi" w:hAnsiTheme="majorHAnsi"/>
          <w:szCs w:val="20"/>
          <w:lang w:val="en-US"/>
        </w:rPr>
        <w:t>s</w:t>
      </w:r>
      <w:r w:rsidR="00906F9B" w:rsidRPr="005B79BA">
        <w:rPr>
          <w:rFonts w:asciiTheme="majorHAnsi" w:hAnsiTheme="majorHAnsi"/>
          <w:szCs w:val="20"/>
          <w:lang w:val="en-US"/>
        </w:rPr>
        <w:t xml:space="preserve"> with stroke </w:t>
      </w:r>
      <w:r w:rsidRPr="005B79BA">
        <w:rPr>
          <w:rFonts w:asciiTheme="majorHAnsi" w:hAnsiTheme="majorHAnsi"/>
          <w:szCs w:val="20"/>
          <w:lang w:val="en-US"/>
        </w:rPr>
        <w:t xml:space="preserve">were </w:t>
      </w:r>
      <w:r w:rsidR="00906F9B" w:rsidRPr="005B79BA">
        <w:rPr>
          <w:rFonts w:asciiTheme="majorHAnsi" w:hAnsiTheme="majorHAnsi"/>
          <w:szCs w:val="20"/>
          <w:lang w:val="en-US"/>
        </w:rPr>
        <w:t>with</w:t>
      </w:r>
      <w:r w:rsidR="00113F5D" w:rsidRPr="005B79BA">
        <w:rPr>
          <w:rFonts w:asciiTheme="majorHAnsi" w:hAnsiTheme="majorHAnsi"/>
          <w:szCs w:val="20"/>
          <w:lang w:val="en-US"/>
        </w:rPr>
        <w:t xml:space="preserve"> prior stroke (HR, 8.2, 95% CI, 7.4-9.0</w:t>
      </w:r>
      <w:r w:rsidR="0046161F" w:rsidRPr="005B79BA">
        <w:rPr>
          <w:rFonts w:asciiTheme="majorHAnsi" w:hAnsiTheme="majorHAnsi"/>
          <w:szCs w:val="20"/>
          <w:lang w:val="en-US"/>
        </w:rPr>
        <w:t>), vascular disease (HR, 1</w:t>
      </w:r>
      <w:r w:rsidR="00113F5D" w:rsidRPr="005B79BA">
        <w:rPr>
          <w:rFonts w:asciiTheme="majorHAnsi" w:hAnsiTheme="majorHAnsi"/>
          <w:szCs w:val="20"/>
          <w:lang w:val="en-US"/>
        </w:rPr>
        <w:t>.8, 95% CI, 1.6</w:t>
      </w:r>
      <w:r w:rsidR="0046161F" w:rsidRPr="005B79BA">
        <w:rPr>
          <w:rFonts w:asciiTheme="majorHAnsi" w:hAnsiTheme="majorHAnsi"/>
          <w:szCs w:val="20"/>
          <w:lang w:val="en-US"/>
        </w:rPr>
        <w:t>-4.5), and diabetes (HR, 1</w:t>
      </w:r>
      <w:r w:rsidR="00113F5D" w:rsidRPr="005B79BA">
        <w:rPr>
          <w:rFonts w:asciiTheme="majorHAnsi" w:hAnsiTheme="majorHAnsi"/>
          <w:szCs w:val="20"/>
          <w:lang w:val="en-US"/>
        </w:rPr>
        <w:t>.</w:t>
      </w:r>
      <w:r w:rsidR="0046161F" w:rsidRPr="005B79BA">
        <w:rPr>
          <w:rFonts w:asciiTheme="majorHAnsi" w:hAnsiTheme="majorHAnsi"/>
          <w:szCs w:val="20"/>
          <w:lang w:val="en-US"/>
        </w:rPr>
        <w:t>4, 95% CI, 1.2-1.6).</w:t>
      </w:r>
    </w:p>
    <w:p w14:paraId="51D624EA" w14:textId="77777777" w:rsidR="00A05C30" w:rsidRPr="005B79BA" w:rsidRDefault="00A05C30" w:rsidP="005B79BA">
      <w:pPr>
        <w:pStyle w:val="Kommentartekst"/>
        <w:jc w:val="both"/>
        <w:rPr>
          <w:rFonts w:asciiTheme="majorHAnsi" w:hAnsiTheme="majorHAnsi"/>
          <w:szCs w:val="20"/>
          <w:lang w:val="en-US"/>
        </w:rPr>
      </w:pPr>
    </w:p>
    <w:p w14:paraId="74F0CBA7" w14:textId="58B044E1" w:rsidR="00A05C30" w:rsidRPr="005B79BA" w:rsidRDefault="004232EF" w:rsidP="005B79BA">
      <w:pPr>
        <w:pStyle w:val="Kommentartekst"/>
        <w:jc w:val="both"/>
        <w:rPr>
          <w:rFonts w:asciiTheme="majorHAnsi" w:hAnsiTheme="majorHAnsi"/>
          <w:szCs w:val="20"/>
          <w:lang w:val="en-US"/>
        </w:rPr>
      </w:pPr>
      <w:r w:rsidRPr="005B79BA">
        <w:rPr>
          <w:rFonts w:asciiTheme="majorHAnsi" w:hAnsiTheme="majorHAnsi"/>
          <w:szCs w:val="20"/>
          <w:lang w:val="en-US"/>
        </w:rPr>
        <w:t xml:space="preserve">The </w:t>
      </w:r>
      <w:r w:rsidR="00A05C30" w:rsidRPr="005B79BA">
        <w:rPr>
          <w:rFonts w:asciiTheme="majorHAnsi" w:hAnsiTheme="majorHAnsi"/>
          <w:szCs w:val="20"/>
          <w:lang w:val="en-US"/>
        </w:rPr>
        <w:t xml:space="preserve">endpoint </w:t>
      </w:r>
      <w:r w:rsidRPr="005B79BA">
        <w:rPr>
          <w:rFonts w:asciiTheme="majorHAnsi" w:hAnsiTheme="majorHAnsi"/>
          <w:szCs w:val="20"/>
          <w:lang w:val="en-US"/>
        </w:rPr>
        <w:t xml:space="preserve">of death in the age group of 20-35 </w:t>
      </w:r>
      <w:r w:rsidR="00A05C30" w:rsidRPr="005B79BA">
        <w:rPr>
          <w:rFonts w:asciiTheme="majorHAnsi" w:hAnsiTheme="majorHAnsi"/>
          <w:szCs w:val="20"/>
          <w:lang w:val="en-US"/>
        </w:rPr>
        <w:t>w</w:t>
      </w:r>
      <w:r w:rsidR="00113F5D" w:rsidRPr="005B79BA">
        <w:rPr>
          <w:rFonts w:asciiTheme="majorHAnsi" w:hAnsiTheme="majorHAnsi"/>
          <w:szCs w:val="20"/>
          <w:lang w:val="en-US"/>
        </w:rPr>
        <w:t>as</w:t>
      </w:r>
      <w:r w:rsidR="00A05C30" w:rsidRPr="005B79BA">
        <w:rPr>
          <w:rFonts w:asciiTheme="majorHAnsi" w:hAnsiTheme="majorHAnsi"/>
          <w:szCs w:val="20"/>
          <w:lang w:val="en-US"/>
        </w:rPr>
        <w:t xml:space="preserve"> strongly associated with</w:t>
      </w:r>
      <w:r w:rsidRPr="005B79BA">
        <w:rPr>
          <w:rFonts w:asciiTheme="majorHAnsi" w:hAnsiTheme="majorHAnsi"/>
          <w:szCs w:val="20"/>
          <w:lang w:val="en-US"/>
        </w:rPr>
        <w:t xml:space="preserve"> diabetes, heart failure, and prior stroke</w:t>
      </w:r>
      <w:r w:rsidR="00F74FA8" w:rsidRPr="005B79BA">
        <w:rPr>
          <w:rFonts w:asciiTheme="majorHAnsi" w:hAnsiTheme="majorHAnsi"/>
          <w:szCs w:val="20"/>
          <w:lang w:val="en-US"/>
        </w:rPr>
        <w:t xml:space="preserve"> [Figure 3]</w:t>
      </w:r>
      <w:r w:rsidR="002F7A03" w:rsidRPr="005B79BA">
        <w:rPr>
          <w:rFonts w:asciiTheme="majorHAnsi" w:hAnsiTheme="majorHAnsi"/>
          <w:szCs w:val="20"/>
          <w:lang w:val="en-US"/>
        </w:rPr>
        <w:t>.</w:t>
      </w:r>
      <w:r w:rsidRPr="005B79BA">
        <w:rPr>
          <w:rFonts w:asciiTheme="majorHAnsi" w:hAnsiTheme="majorHAnsi"/>
          <w:szCs w:val="20"/>
          <w:lang w:val="en-US"/>
        </w:rPr>
        <w:t xml:space="preserve"> </w:t>
      </w:r>
      <w:r w:rsidR="00A05C30" w:rsidRPr="005B79BA">
        <w:rPr>
          <w:rFonts w:asciiTheme="majorHAnsi" w:hAnsiTheme="majorHAnsi"/>
          <w:szCs w:val="20"/>
          <w:lang w:val="en-US"/>
        </w:rPr>
        <w:t>In</w:t>
      </w:r>
      <w:r w:rsidRPr="005B79BA">
        <w:rPr>
          <w:rFonts w:asciiTheme="majorHAnsi" w:hAnsiTheme="majorHAnsi"/>
          <w:szCs w:val="20"/>
          <w:lang w:val="en-US"/>
        </w:rPr>
        <w:t xml:space="preserve"> the age group</w:t>
      </w:r>
      <w:r w:rsidR="00A05C30" w:rsidRPr="005B79BA">
        <w:rPr>
          <w:rFonts w:asciiTheme="majorHAnsi" w:hAnsiTheme="majorHAnsi"/>
          <w:szCs w:val="20"/>
          <w:lang w:val="en-US"/>
        </w:rPr>
        <w:t>s</w:t>
      </w:r>
      <w:r w:rsidRPr="005B79BA">
        <w:rPr>
          <w:rFonts w:asciiTheme="majorHAnsi" w:hAnsiTheme="majorHAnsi"/>
          <w:szCs w:val="20"/>
          <w:lang w:val="en-US"/>
        </w:rPr>
        <w:t xml:space="preserve"> of 35-50 and 50-65 the strongest association</w:t>
      </w:r>
      <w:r w:rsidR="00A05C30" w:rsidRPr="005B79BA">
        <w:rPr>
          <w:rFonts w:asciiTheme="majorHAnsi" w:hAnsiTheme="majorHAnsi"/>
          <w:szCs w:val="20"/>
          <w:lang w:val="en-US"/>
        </w:rPr>
        <w:t>s</w:t>
      </w:r>
      <w:r w:rsidRPr="005B79BA">
        <w:rPr>
          <w:rFonts w:asciiTheme="majorHAnsi" w:hAnsiTheme="majorHAnsi"/>
          <w:szCs w:val="20"/>
          <w:lang w:val="en-US"/>
        </w:rPr>
        <w:t xml:space="preserve"> with death </w:t>
      </w:r>
      <w:r w:rsidR="00A05C30" w:rsidRPr="005B79BA">
        <w:rPr>
          <w:rFonts w:asciiTheme="majorHAnsi" w:hAnsiTheme="majorHAnsi"/>
          <w:szCs w:val="20"/>
          <w:lang w:val="en-US"/>
        </w:rPr>
        <w:t xml:space="preserve">were </w:t>
      </w:r>
      <w:r w:rsidRPr="005B79BA">
        <w:rPr>
          <w:rFonts w:asciiTheme="majorHAnsi" w:hAnsiTheme="majorHAnsi"/>
          <w:szCs w:val="20"/>
          <w:lang w:val="en-US"/>
        </w:rPr>
        <w:t>with heart failure, diabetes and vascular disease.</w:t>
      </w:r>
      <w:r w:rsidR="0062186B" w:rsidRPr="005B79BA">
        <w:rPr>
          <w:rFonts w:asciiTheme="majorHAnsi" w:hAnsiTheme="majorHAnsi"/>
          <w:szCs w:val="20"/>
          <w:lang w:val="en-US"/>
        </w:rPr>
        <w:t xml:space="preserve"> As expected, female sex had a lower HR when associated with death in the age groups of 50-65, 65-75, and 75-90.</w:t>
      </w:r>
    </w:p>
    <w:p w14:paraId="0A19FA93" w14:textId="52886CF1" w:rsidR="00A05C30" w:rsidRPr="005B79BA" w:rsidRDefault="004232EF" w:rsidP="005B79BA">
      <w:pPr>
        <w:pStyle w:val="Kommentartekst"/>
        <w:jc w:val="both"/>
        <w:rPr>
          <w:rFonts w:asciiTheme="majorHAnsi" w:hAnsiTheme="majorHAnsi"/>
          <w:szCs w:val="20"/>
          <w:lang w:val="en-US"/>
        </w:rPr>
      </w:pPr>
      <w:r w:rsidRPr="005B79BA">
        <w:rPr>
          <w:rFonts w:asciiTheme="majorHAnsi" w:hAnsiTheme="majorHAnsi"/>
          <w:szCs w:val="20"/>
          <w:lang w:val="en-US"/>
        </w:rPr>
        <w:t xml:space="preserve">The composite </w:t>
      </w:r>
      <w:r w:rsidR="00A05C30" w:rsidRPr="005B79BA">
        <w:rPr>
          <w:rFonts w:asciiTheme="majorHAnsi" w:hAnsiTheme="majorHAnsi"/>
          <w:szCs w:val="20"/>
          <w:lang w:val="en-US"/>
        </w:rPr>
        <w:t>endpoint of ‘</w:t>
      </w:r>
      <w:r w:rsidRPr="005B79BA">
        <w:rPr>
          <w:rFonts w:asciiTheme="majorHAnsi" w:hAnsiTheme="majorHAnsi"/>
          <w:szCs w:val="20"/>
          <w:lang w:val="en-US"/>
        </w:rPr>
        <w:t>stroke and death</w:t>
      </w:r>
      <w:r w:rsidR="00A05C30" w:rsidRPr="005B79BA">
        <w:rPr>
          <w:rFonts w:asciiTheme="majorHAnsi" w:hAnsiTheme="majorHAnsi"/>
          <w:szCs w:val="20"/>
          <w:lang w:val="en-US"/>
        </w:rPr>
        <w:t>’</w:t>
      </w:r>
      <w:r w:rsidR="002F7A03" w:rsidRPr="005B79BA">
        <w:rPr>
          <w:rFonts w:asciiTheme="majorHAnsi" w:hAnsiTheme="majorHAnsi"/>
          <w:szCs w:val="20"/>
          <w:lang w:val="en-US"/>
        </w:rPr>
        <w:t xml:space="preserve"> in the age group of 20-35 was </w:t>
      </w:r>
      <w:r w:rsidR="00A05C30" w:rsidRPr="005B79BA">
        <w:rPr>
          <w:rFonts w:asciiTheme="majorHAnsi" w:hAnsiTheme="majorHAnsi"/>
          <w:szCs w:val="20"/>
          <w:lang w:val="en-US"/>
        </w:rPr>
        <w:t xml:space="preserve">strongly associated </w:t>
      </w:r>
      <w:r w:rsidR="00F00586" w:rsidRPr="005B79BA">
        <w:rPr>
          <w:rFonts w:asciiTheme="majorHAnsi" w:hAnsiTheme="majorHAnsi"/>
          <w:szCs w:val="20"/>
          <w:lang w:val="en-US"/>
        </w:rPr>
        <w:t>with</w:t>
      </w:r>
      <w:r w:rsidR="002F7A03" w:rsidRPr="005B79BA">
        <w:rPr>
          <w:rFonts w:asciiTheme="majorHAnsi" w:hAnsiTheme="majorHAnsi"/>
          <w:szCs w:val="20"/>
          <w:lang w:val="en-US"/>
        </w:rPr>
        <w:t xml:space="preserve"> prior stroke, diabetes</w:t>
      </w:r>
      <w:r w:rsidR="00A05C30" w:rsidRPr="005B79BA">
        <w:rPr>
          <w:rFonts w:asciiTheme="majorHAnsi" w:hAnsiTheme="majorHAnsi"/>
          <w:szCs w:val="20"/>
          <w:lang w:val="en-US"/>
        </w:rPr>
        <w:t xml:space="preserve"> mellitus </w:t>
      </w:r>
      <w:r w:rsidR="002F7A03" w:rsidRPr="005B79BA">
        <w:rPr>
          <w:rFonts w:asciiTheme="majorHAnsi" w:hAnsiTheme="majorHAnsi"/>
          <w:szCs w:val="20"/>
          <w:lang w:val="en-US"/>
        </w:rPr>
        <w:t>and heart failure</w:t>
      </w:r>
      <w:r w:rsidR="00F74FA8" w:rsidRPr="005B79BA">
        <w:rPr>
          <w:rFonts w:asciiTheme="majorHAnsi" w:hAnsiTheme="majorHAnsi"/>
          <w:szCs w:val="20"/>
          <w:lang w:val="en-US"/>
        </w:rPr>
        <w:t xml:space="preserve"> [Figure 3]</w:t>
      </w:r>
      <w:r w:rsidR="002F7A03" w:rsidRPr="005B79BA">
        <w:rPr>
          <w:rFonts w:asciiTheme="majorHAnsi" w:hAnsiTheme="majorHAnsi"/>
          <w:szCs w:val="20"/>
          <w:lang w:val="en-US"/>
        </w:rPr>
        <w:t xml:space="preserve">. </w:t>
      </w:r>
      <w:r w:rsidR="00A05C30" w:rsidRPr="005B79BA">
        <w:rPr>
          <w:rFonts w:asciiTheme="majorHAnsi" w:hAnsiTheme="majorHAnsi"/>
          <w:szCs w:val="20"/>
          <w:lang w:val="en-US"/>
        </w:rPr>
        <w:t>In</w:t>
      </w:r>
      <w:r w:rsidR="002F7A03" w:rsidRPr="005B79BA">
        <w:rPr>
          <w:rFonts w:asciiTheme="majorHAnsi" w:hAnsiTheme="majorHAnsi"/>
          <w:szCs w:val="20"/>
          <w:lang w:val="en-US"/>
        </w:rPr>
        <w:t xml:space="preserve"> the age group of 35-50 and 50-65 the strongest association</w:t>
      </w:r>
      <w:r w:rsidR="00A05C30" w:rsidRPr="005B79BA">
        <w:rPr>
          <w:rFonts w:asciiTheme="majorHAnsi" w:hAnsiTheme="majorHAnsi"/>
          <w:szCs w:val="20"/>
          <w:lang w:val="en-US"/>
        </w:rPr>
        <w:t>s</w:t>
      </w:r>
      <w:r w:rsidR="002F7A03" w:rsidRPr="005B79BA">
        <w:rPr>
          <w:rFonts w:asciiTheme="majorHAnsi" w:hAnsiTheme="majorHAnsi"/>
          <w:szCs w:val="20"/>
          <w:lang w:val="en-US"/>
        </w:rPr>
        <w:t xml:space="preserve"> with </w:t>
      </w:r>
      <w:r w:rsidR="00AD312A">
        <w:rPr>
          <w:rFonts w:asciiTheme="majorHAnsi" w:hAnsiTheme="majorHAnsi"/>
          <w:szCs w:val="20"/>
          <w:lang w:val="en-US"/>
        </w:rPr>
        <w:t xml:space="preserve">‘stroke and </w:t>
      </w:r>
      <w:r w:rsidR="002F7A03" w:rsidRPr="005B79BA">
        <w:rPr>
          <w:rFonts w:asciiTheme="majorHAnsi" w:hAnsiTheme="majorHAnsi"/>
          <w:szCs w:val="20"/>
          <w:lang w:val="en-US"/>
        </w:rPr>
        <w:t>death</w:t>
      </w:r>
      <w:r w:rsidR="00AD312A">
        <w:rPr>
          <w:rFonts w:asciiTheme="majorHAnsi" w:hAnsiTheme="majorHAnsi"/>
          <w:szCs w:val="20"/>
          <w:lang w:val="en-US"/>
        </w:rPr>
        <w:t>’</w:t>
      </w:r>
      <w:r w:rsidR="002F7A03" w:rsidRPr="005B79BA">
        <w:rPr>
          <w:rFonts w:asciiTheme="majorHAnsi" w:hAnsiTheme="majorHAnsi"/>
          <w:szCs w:val="20"/>
          <w:lang w:val="en-US"/>
        </w:rPr>
        <w:t xml:space="preserve"> </w:t>
      </w:r>
      <w:r w:rsidR="00A05C30" w:rsidRPr="005B79BA">
        <w:rPr>
          <w:rFonts w:asciiTheme="majorHAnsi" w:hAnsiTheme="majorHAnsi"/>
          <w:szCs w:val="20"/>
          <w:lang w:val="en-US"/>
        </w:rPr>
        <w:t>were</w:t>
      </w:r>
      <w:r w:rsidR="00AD312A">
        <w:rPr>
          <w:rFonts w:asciiTheme="majorHAnsi" w:hAnsiTheme="majorHAnsi"/>
          <w:szCs w:val="20"/>
          <w:lang w:val="en-US"/>
        </w:rPr>
        <w:t xml:space="preserve"> </w:t>
      </w:r>
      <w:r w:rsidR="002F7A03" w:rsidRPr="005B79BA">
        <w:rPr>
          <w:rFonts w:asciiTheme="majorHAnsi" w:hAnsiTheme="majorHAnsi"/>
          <w:szCs w:val="20"/>
          <w:lang w:val="en-US"/>
        </w:rPr>
        <w:t xml:space="preserve">with prior stroke, heart failure, and vascular disease. </w:t>
      </w:r>
    </w:p>
    <w:p w14:paraId="42EEC7ED" w14:textId="772A908A" w:rsidR="00A05C30" w:rsidRPr="005B79BA" w:rsidRDefault="005B39B0" w:rsidP="005B79BA">
      <w:pPr>
        <w:pStyle w:val="Kommentartekst"/>
        <w:jc w:val="both"/>
        <w:rPr>
          <w:rFonts w:asciiTheme="majorHAnsi" w:hAnsiTheme="majorHAnsi"/>
          <w:szCs w:val="20"/>
          <w:lang w:val="en-US"/>
        </w:rPr>
      </w:pPr>
      <w:r>
        <w:rPr>
          <w:rFonts w:asciiTheme="majorHAnsi" w:eastAsia="AdvTimes" w:hAnsiTheme="majorHAnsi" w:cs="Times New Roman"/>
          <w:noProof/>
          <w:szCs w:val="20"/>
          <w:lang w:bidi="ar-SA"/>
        </w:rPr>
        <w:lastRenderedPageBreak/>
        <mc:AlternateContent>
          <mc:Choice Requires="wps">
            <w:drawing>
              <wp:anchor distT="0" distB="0" distL="114300" distR="114300" simplePos="0" relativeHeight="251669504" behindDoc="0" locked="0" layoutInCell="1" allowOverlap="1" wp14:anchorId="5AFCC848" wp14:editId="6779D72B">
                <wp:simplePos x="0" y="0"/>
                <wp:positionH relativeFrom="column">
                  <wp:posOffset>3128010</wp:posOffset>
                </wp:positionH>
                <wp:positionV relativeFrom="paragraph">
                  <wp:posOffset>3887470</wp:posOffset>
                </wp:positionV>
                <wp:extent cx="2879090" cy="4940300"/>
                <wp:effectExtent l="0" t="0" r="16510" b="12700"/>
                <wp:wrapSquare wrapText="bothSides"/>
                <wp:docPr id="15" name="Tekstboks 15"/>
                <wp:cNvGraphicFramePr/>
                <a:graphic xmlns:a="http://schemas.openxmlformats.org/drawingml/2006/main">
                  <a:graphicData uri="http://schemas.microsoft.com/office/word/2010/wordprocessingShape">
                    <wps:wsp>
                      <wps:cNvSpPr txBox="1"/>
                      <wps:spPr>
                        <a:xfrm>
                          <a:off x="0" y="0"/>
                          <a:ext cx="2879090" cy="4940300"/>
                        </a:xfrm>
                        <a:prstGeom prst="rect">
                          <a:avLst/>
                        </a:prstGeom>
                        <a:solidFill>
                          <a:sysClr val="window" lastClr="FFFFFF"/>
                        </a:solidFill>
                        <a:ln w="6350">
                          <a:solidFill>
                            <a:sysClr val="window" lastClr="FFFFFF"/>
                          </a:solidFill>
                        </a:ln>
                        <a:effectLst/>
                      </wps:spPr>
                      <wps:txbx>
                        <w:txbxContent>
                          <w:p w14:paraId="2939358F" w14:textId="77777777" w:rsidR="005B39B0" w:rsidRDefault="005B39B0" w:rsidP="005B39B0">
                            <w:pPr>
                              <w:autoSpaceDE w:val="0"/>
                              <w:autoSpaceDN w:val="0"/>
                              <w:adjustRightInd w:val="0"/>
                              <w:jc w:val="both"/>
                              <w:rPr>
                                <w:rFonts w:asciiTheme="majorHAnsi" w:hAnsiTheme="majorHAnsi" w:cs="Times New Roman"/>
                                <w:b/>
                                <w:sz w:val="20"/>
                                <w:szCs w:val="20"/>
                                <w:lang w:val="en-US"/>
                              </w:rPr>
                            </w:pPr>
                          </w:p>
                          <w:p w14:paraId="12C880B3" w14:textId="77777777" w:rsidR="005B39B0" w:rsidRPr="005B79BA" w:rsidRDefault="005B39B0" w:rsidP="005B39B0">
                            <w:pPr>
                              <w:autoSpaceDE w:val="0"/>
                              <w:autoSpaceDN w:val="0"/>
                              <w:adjustRightInd w:val="0"/>
                              <w:jc w:val="both"/>
                              <w:rPr>
                                <w:rFonts w:asciiTheme="majorHAnsi" w:hAnsiTheme="majorHAnsi" w:cs="Times New Roman"/>
                                <w:b/>
                                <w:sz w:val="20"/>
                                <w:szCs w:val="20"/>
                                <w:lang w:val="en-US"/>
                              </w:rPr>
                            </w:pPr>
                            <w:r w:rsidRPr="005B79BA">
                              <w:rPr>
                                <w:rFonts w:asciiTheme="majorHAnsi" w:hAnsiTheme="majorHAnsi" w:cs="Times New Roman"/>
                                <w:b/>
                                <w:sz w:val="20"/>
                                <w:szCs w:val="20"/>
                                <w:lang w:val="en-US"/>
                              </w:rPr>
                              <w:t>Discussion</w:t>
                            </w:r>
                          </w:p>
                          <w:p w14:paraId="30FE0D06" w14:textId="77777777" w:rsidR="005B39B0" w:rsidRDefault="005B39B0" w:rsidP="005B39B0">
                            <w:pPr>
                              <w:autoSpaceDE w:val="0"/>
                              <w:autoSpaceDN w:val="0"/>
                              <w:adjustRightInd w:val="0"/>
                              <w:jc w:val="both"/>
                              <w:rPr>
                                <w:rFonts w:asciiTheme="majorHAnsi" w:hAnsiTheme="majorHAnsi" w:cs="Times New Roman"/>
                                <w:sz w:val="20"/>
                                <w:szCs w:val="20"/>
                                <w:lang w:val="en-US"/>
                              </w:rPr>
                            </w:pPr>
                          </w:p>
                          <w:p w14:paraId="1D466949" w14:textId="77777777" w:rsidR="005B39B0" w:rsidRPr="005B79BA" w:rsidRDefault="005B39B0" w:rsidP="005B39B0">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In this real-world cohort study, we confirmed a low risk of stroke in patients aged &lt;65, but demonstrated that the risk is different in each age strata. The risk of stroke increased by the risk</w:t>
                            </w:r>
                            <w:r>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 xml:space="preserve">factors of prior stroke, heart failure, vascular disease, diabetes, and hypertension in most age categories. Event rates for ‘stroke and death’ were significantly increased in all non-valvular AF patients by the presence of these risk factors. </w:t>
                            </w:r>
                            <w:r w:rsidRPr="005B79BA">
                              <w:rPr>
                                <w:rFonts w:asciiTheme="majorHAnsi" w:eastAsia="AdvTimes" w:hAnsiTheme="majorHAnsi" w:cs="Times New Roman"/>
                                <w:sz w:val="20"/>
                                <w:szCs w:val="20"/>
                                <w:lang w:val="en-US"/>
                              </w:rPr>
                              <w:t xml:space="preserve">Indeed, higher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scores</w:t>
                            </w:r>
                            <w:r w:rsidRPr="005B79BA">
                              <w:rPr>
                                <w:rFonts w:asciiTheme="majorHAnsi" w:eastAsia="AdvTimes" w:hAnsiTheme="majorHAnsi" w:cs="Times New Roman"/>
                                <w:sz w:val="20"/>
                                <w:szCs w:val="20"/>
                                <w:lang w:val="en-US" w:eastAsia="en-US" w:bidi="ar-SA"/>
                              </w:rPr>
                              <w:t xml:space="preserve"> were</w:t>
                            </w:r>
                            <w:r>
                              <w:rPr>
                                <w:rFonts w:asciiTheme="majorHAnsi" w:eastAsia="AdvTimes" w:hAnsiTheme="majorHAnsi" w:cs="Times New Roman"/>
                                <w:sz w:val="20"/>
                                <w:szCs w:val="20"/>
                                <w:lang w:val="en-US" w:eastAsia="en-US" w:bidi="ar-SA"/>
                              </w:rPr>
                              <w:t xml:space="preserve"> </w:t>
                            </w:r>
                            <w:r w:rsidRPr="005B79BA">
                              <w:rPr>
                                <w:rFonts w:asciiTheme="majorHAnsi" w:eastAsia="AdvTimes" w:hAnsiTheme="majorHAnsi" w:cs="Times New Roman"/>
                                <w:sz w:val="20"/>
                                <w:szCs w:val="20"/>
                                <w:lang w:val="en-US" w:eastAsia="en-US" w:bidi="ar-SA"/>
                              </w:rPr>
                              <w:t>associated with decreased survival probability in all age groups.</w:t>
                            </w:r>
                          </w:p>
                          <w:p w14:paraId="3141E1A6" w14:textId="77777777" w:rsidR="005B39B0" w:rsidRPr="005B79BA" w:rsidRDefault="005B39B0" w:rsidP="005B39B0">
                            <w:pPr>
                              <w:autoSpaceDE w:val="0"/>
                              <w:autoSpaceDN w:val="0"/>
                              <w:adjustRightInd w:val="0"/>
                              <w:jc w:val="both"/>
                              <w:rPr>
                                <w:rFonts w:asciiTheme="majorHAnsi" w:hAnsiTheme="majorHAnsi" w:cs="Times New Roman"/>
                                <w:sz w:val="20"/>
                                <w:szCs w:val="20"/>
                                <w:lang w:val="en-US"/>
                              </w:rPr>
                            </w:pPr>
                          </w:p>
                          <w:p w14:paraId="477A65C3" w14:textId="77777777" w:rsidR="005B39B0" w:rsidRDefault="005B39B0" w:rsidP="005B39B0">
                            <w:pPr>
                              <w:jc w:val="both"/>
                            </w:pPr>
                            <w:r w:rsidRPr="005B79BA">
                              <w:rPr>
                                <w:rFonts w:asciiTheme="majorHAnsi" w:hAnsiTheme="majorHAnsi" w:cs="Times New Roman"/>
                                <w:sz w:val="20"/>
                                <w:szCs w:val="20"/>
                                <w:lang w:val="en-US"/>
                              </w:rPr>
                              <w:t>Patients with AF age &lt;65 are considered to have a low annual risk of thromboembolic events</w:t>
                            </w:r>
                            <w:r w:rsidRPr="005B79BA">
                              <w:rPr>
                                <w:rFonts w:asciiTheme="majorHAnsi" w:hAnsiTheme="majorHAnsi" w:cs="Times New Roman"/>
                                <w:sz w:val="20"/>
                                <w:szCs w:val="20"/>
                                <w:lang w:val="en-US"/>
                              </w:rPr>
                              <w:fldChar w:fldCharType="begin" w:fldLock="1"/>
                            </w:r>
                            <w:r w:rsidRPr="005B79BA">
                              <w:rPr>
                                <w:rFonts w:asciiTheme="majorHAnsi" w:hAnsiTheme="majorHAnsi" w:cs="Times New Roman"/>
                                <w:sz w:val="20"/>
                                <w:szCs w:val="20"/>
                                <w:lang w:val="en-US"/>
                              </w:rPr>
                              <w:instrText xml:space="preserve">ADDIN Mendeley Citation{ac3de4ee-64f1-4b1f-b7ce-30e7ebd87ee3} CSL_CITATION  { "citationItems" : [ { "id" : "ITEM-1", "itemData" : { "DOI" : "10.1378/chest.09-1584", "abstract" : "Contemporary clinical risk stratification schemata for predicting stroke and thromboembolism (TE) in patients with atrial fibrillation (AF) are largely derived from risk factors identified from trial cohorts. Thus, many potential risk factors have not been included.", "author" : [ { "family" : "Lip", "given" : "Gregory Y H" }, { "family" : "Nieuwlaat", "given" : "Robby" }, { "family" : "Pisters", "given" : "Ron" }, { "family" : "Lane", "given" : "Deirdre a" }, { "family" : "Crijns", "given" : "Harry J G M" } ], "container-title" : "Chest", "id" : "ITEM-1", "issue" : "2", "issued" : { "date-parts" : [ [ "2010", "2" ] ] }, "note" : "\u003cm:note\u003e\u003c/m:note\u003e", "page" : "263-72", "title" : "Refining clinical risk stratification for predicting stroke and thromboembolism in atrial fibrillation using a novel risk factor-based approach: the euro heart survey on atrial fibrillation.", "type" : "article-journal", "volume" : "137" }, "uris" : [ "http://www.mendeley.com/documents/?uuid=ac3de4ee-64f1-4b1f-b7ce-30e7ebd87ee3" ] } ], "mendeley" : { "previouslyFormattedCitation" : "\u003csup\u003e8\u003c/sup\u003e" }, "properties" : { "noteIndex" : 0 }, "schema" : "https://github.com/citation-style-language/schema/raw/master/csl-citation.json" } </w:instrText>
                            </w:r>
                            <w:r w:rsidRPr="005B79BA">
                              <w:rPr>
                                <w:rFonts w:asciiTheme="majorHAnsi" w:hAnsiTheme="majorHAnsi" w:cs="Times New Roman"/>
                                <w:sz w:val="20"/>
                                <w:szCs w:val="20"/>
                                <w:lang w:val="en-US"/>
                              </w:rPr>
                              <w:fldChar w:fldCharType="separate"/>
                            </w:r>
                            <w:r w:rsidRPr="005B79BA">
                              <w:rPr>
                                <w:rFonts w:asciiTheme="majorHAnsi" w:hAnsiTheme="majorHAnsi" w:cs="Times New Roman"/>
                                <w:noProof/>
                                <w:sz w:val="20"/>
                                <w:szCs w:val="20"/>
                                <w:vertAlign w:val="superscript"/>
                                <w:lang w:val="en-US"/>
                              </w:rPr>
                              <w:t>8</w:t>
                            </w:r>
                            <w:r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as supported by the results of this study. In current</w:t>
                            </w:r>
                            <w:r w:rsidRPr="007476C9">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guidelines, no antithrombotic treatment is recommended for most of these patients, if age &lt;65 and lone AF</w:t>
                            </w:r>
                            <w:r w:rsidRPr="005B79BA">
                              <w:rPr>
                                <w:rFonts w:asciiTheme="majorHAnsi" w:hAnsiTheme="majorHAnsi" w:cs="Times New Roman"/>
                                <w:sz w:val="20"/>
                                <w:szCs w:val="20"/>
                                <w:lang w:val="en-US"/>
                              </w:rPr>
                              <w:fldChar w:fldCharType="begin" w:fldLock="1"/>
                            </w:r>
                            <w:r w:rsidRPr="005B79BA">
                              <w:rPr>
                                <w:rFonts w:asciiTheme="majorHAnsi" w:hAnsiTheme="majorHAnsi" w:cs="Times New Roman"/>
                                <w:sz w:val="20"/>
                                <w:szCs w:val="20"/>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"\u003csup\u003e16\u003c/sup\u003e" }, "properties" : { "noteIndex" : 0 }, "schema" : "https://github.com/citation-style-language/schema/raw/master/csl-citation.json" } </w:instrText>
                            </w:r>
                            <w:r w:rsidRPr="005B79BA">
                              <w:rPr>
                                <w:rFonts w:asciiTheme="majorHAnsi" w:hAnsiTheme="majorHAnsi" w:cs="Times New Roman"/>
                                <w:sz w:val="20"/>
                                <w:szCs w:val="20"/>
                                <w:lang w:val="en-US"/>
                              </w:rPr>
                              <w:fldChar w:fldCharType="separate"/>
                            </w:r>
                            <w:r w:rsidRPr="005B79BA">
                              <w:rPr>
                                <w:rFonts w:asciiTheme="majorHAnsi" w:hAnsiTheme="majorHAnsi" w:cs="Times New Roman"/>
                                <w:noProof/>
                                <w:sz w:val="20"/>
                                <w:szCs w:val="20"/>
                                <w:vertAlign w:val="superscript"/>
                                <w:lang w:val="en-US"/>
                              </w:rPr>
                              <w:t>16</w:t>
                            </w:r>
                            <w:r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The influence of independent risk factors, as used in the 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 have essentially been evaluated in AF patients age &lt;65 as a homogenous group</w:t>
                            </w:r>
                            <w:r w:rsidRPr="005B79BA">
                              <w:rPr>
                                <w:rFonts w:asciiTheme="majorHAnsi" w:hAnsiTheme="majorHAnsi" w:cs="Times New Roman"/>
                                <w:sz w:val="20"/>
                                <w:szCs w:val="20"/>
                                <w:lang w:val="en-US"/>
                              </w:rPr>
                              <w:fldChar w:fldCharType="begin" w:fldLock="1"/>
                            </w:r>
                            <w:r w:rsidRPr="005B79BA">
                              <w:rPr>
                                <w:rFonts w:asciiTheme="majorHAnsi" w:hAnsiTheme="majorHAnsi" w:cs="Times New Roman"/>
                                <w:sz w:val="20"/>
                                <w:szCs w:val="20"/>
                                <w:lang w:val="en-US"/>
                              </w:rPr>
                              <w:instrText xml:space="preserve">ADDIN Mendeley Citation{fd413c58-b591-4b7d-b9fb-2696b69f10ff} CSL_CITATION  { "citationItems" : [ { "id" : "ITEM-1", "itemData" : { "DOI" : "10.1378/chest.11-0862", "abstract" : "According to the latest European guidelines on the management of nonvalvular atrial fibrillation (NVAF), all patients aged \u2265 65 years should be treated with oral anticoagulation (if not contraindicated). Therefore, stroke risk factors should be investigated exclusively in patients with NVAF aged \u003c 65 years.", "author" : [ { "family" : "Olesen", "given" : "Jonas Bjerring" }, { "family" : "Fauchier", "given" : "Laurent" }, { "family" : "Lane", "given" : "Deirdre A" }, { "family" : "Taillandier", "given" : "Sophie" }, { "family" : "Lip", "given" : "Gregory Y H" } ], "container-title" : "Chest", "id" : "ITEM-1", "issue" : "1", "issued" : { "date-parts" : [ [ "2012", "1" ] ] }, "note" : "\u003cm:note\u003e\u003c/m:note\u003e", "page" : "147-53", "title" : "Risk factors for stroke and thromboembolism in relation to age among patients with atrial fibrillation: the Loire Valley Atrial Fibrillation Project.", "type" : "article-journal", "volume" : "141" }, "uris" : [ "http://www.mendeley.com/documents/?uuid=fd413c58-b591-4b7d-b9fb-2696b69f10ff" ] } ], "mendeley" : { "previouslyFormattedCitation" : "\u003csup\u003e17\u003c/sup\u003e" }, "properties" : { "noteIndex" : 0 }, "schema" : "https://github.com/citation-style-language/schema/raw/master/csl-citation.json" } </w:instrText>
                            </w:r>
                            <w:r w:rsidRPr="005B79BA">
                              <w:rPr>
                                <w:rFonts w:asciiTheme="majorHAnsi" w:hAnsiTheme="majorHAnsi" w:cs="Times New Roman"/>
                                <w:sz w:val="20"/>
                                <w:szCs w:val="20"/>
                                <w:lang w:val="en-US"/>
                              </w:rPr>
                              <w:fldChar w:fldCharType="separate"/>
                            </w:r>
                            <w:r w:rsidRPr="005B79BA">
                              <w:rPr>
                                <w:rFonts w:asciiTheme="majorHAnsi" w:hAnsiTheme="majorHAnsi" w:cs="Times New Roman"/>
                                <w:noProof/>
                                <w:sz w:val="20"/>
                                <w:szCs w:val="20"/>
                                <w:vertAlign w:val="superscript"/>
                                <w:lang w:val="en-US"/>
                              </w:rPr>
                              <w:t>17</w:t>
                            </w:r>
                            <w:r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One study found an</w:t>
                            </w:r>
                            <w:r>
                              <w:rPr>
                                <w:rFonts w:asciiTheme="majorHAnsi" w:hAnsiTheme="majorHAnsi" w:cs="Times New Roman"/>
                                <w:sz w:val="20"/>
                                <w:szCs w:val="20"/>
                                <w:lang w:val="en-US"/>
                              </w:rPr>
                              <w:t xml:space="preserve"> </w:t>
                            </w:r>
                            <w:r w:rsidRPr="005B79BA">
                              <w:rPr>
                                <w:rFonts w:asciiTheme="majorHAnsi" w:hAnsiTheme="majorHAnsi" w:cs="Times New Roman"/>
                                <w:color w:val="000000"/>
                                <w:sz w:val="20"/>
                                <w:szCs w:val="20"/>
                                <w:lang w:val="en-US"/>
                              </w:rPr>
                              <w:t>Nonetheless, when applying the CHA</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DS</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-VASc score on the young non-valvular AF patients, it is still preferable to score these patients and apply the CHA</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DS</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-VASc score in clinical practice, as recommended in the international guidelines by the European Society of Cardiology</w:t>
                            </w:r>
                            <w:r w:rsidRPr="005B79BA">
                              <w:rPr>
                                <w:rFonts w:asciiTheme="majorHAnsi" w:hAnsiTheme="majorHAnsi" w:cs="Times New Roman"/>
                                <w:color w:val="000000"/>
                                <w:sz w:val="20"/>
                                <w:szCs w:val="20"/>
                                <w:lang w:val="en-US"/>
                              </w:rPr>
                              <w:fldChar w:fldCharType="begin" w:fldLock="1"/>
                            </w:r>
                            <w:r w:rsidRPr="005B79BA">
                              <w:rPr>
                                <w:rFonts w:asciiTheme="majorHAnsi" w:hAnsiTheme="majorHAnsi" w:cs="Times New Roman"/>
                                <w:color w:val="000000"/>
                                <w:sz w:val="20"/>
                                <w:szCs w:val="20"/>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"\u003csup\u003e16\u003c/sup\u003e" }, "properties" : { "noteIndex" : 0 }, "schema" : "https://github.com/citation-style-language/schema/raw/master/csl-citation.json" } </w:instrText>
                            </w:r>
                            <w:r w:rsidRPr="005B79BA">
                              <w:rPr>
                                <w:rFonts w:asciiTheme="majorHAnsi" w:hAnsiTheme="majorHAnsi" w:cs="Times New Roman"/>
                                <w:color w:val="000000"/>
                                <w:sz w:val="20"/>
                                <w:szCs w:val="20"/>
                                <w:lang w:val="en-US"/>
                              </w:rPr>
                              <w:fldChar w:fldCharType="separate"/>
                            </w:r>
                            <w:r w:rsidRPr="005B79BA">
                              <w:rPr>
                                <w:rFonts w:asciiTheme="majorHAnsi" w:hAnsiTheme="majorHAnsi" w:cs="Times New Roman"/>
                                <w:noProof/>
                                <w:color w:val="000000"/>
                                <w:sz w:val="20"/>
                                <w:szCs w:val="20"/>
                                <w:vertAlign w:val="superscript"/>
                                <w:lang w:val="en-US"/>
                              </w:rPr>
                              <w:t>16</w:t>
                            </w:r>
                            <w:r w:rsidRPr="005B79BA">
                              <w:rPr>
                                <w:rFonts w:asciiTheme="majorHAnsi" w:hAnsiTheme="majorHAnsi" w:cs="Times New Roman"/>
                                <w:color w:val="000000"/>
                                <w:sz w:val="20"/>
                                <w:szCs w:val="20"/>
                                <w:lang w:val="en-US"/>
                              </w:rPr>
                              <w:fldChar w:fldCharType="end"/>
                            </w:r>
                            <w:r w:rsidRPr="005B79BA">
                              <w:rPr>
                                <w:rFonts w:asciiTheme="majorHAnsi" w:hAnsiTheme="majorHAnsi" w:cs="Times New Roman"/>
                                <w:color w:val="000000"/>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5" o:spid="_x0000_s1030" type="#_x0000_t202" style="position:absolute;left:0;text-align:left;margin-left:246.3pt;margin-top:306.1pt;width:226.7pt;height:3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" fillcolor="window" strokecolor="window" strokeweight=".5pt">
                <v:textbox>
                  <w:txbxContent>
                    <w:p w14:paraId="2939358F" w14:textId="77777777" w:rsidR="005B39B0" w:rsidRDefault="005B39B0" w:rsidP="005B39B0">
                      <w:pPr>
                        <w:autoSpaceDE w:val="0"/>
                        <w:autoSpaceDN w:val="0"/>
                        <w:adjustRightInd w:val="0"/>
                        <w:jc w:val="both"/>
                        <w:rPr>
                          <w:rFonts w:asciiTheme="majorHAnsi" w:hAnsiTheme="majorHAnsi" w:cs="Times New Roman"/>
                          <w:b/>
                          <w:sz w:val="20"/>
                          <w:szCs w:val="20"/>
                          <w:lang w:val="en-US"/>
                        </w:rPr>
                      </w:pPr>
                    </w:p>
                    <w:p w14:paraId="12C880B3" w14:textId="77777777" w:rsidR="005B39B0" w:rsidRPr="005B79BA" w:rsidRDefault="005B39B0" w:rsidP="005B39B0">
                      <w:pPr>
                        <w:autoSpaceDE w:val="0"/>
                        <w:autoSpaceDN w:val="0"/>
                        <w:adjustRightInd w:val="0"/>
                        <w:jc w:val="both"/>
                        <w:rPr>
                          <w:rFonts w:asciiTheme="majorHAnsi" w:hAnsiTheme="majorHAnsi" w:cs="Times New Roman"/>
                          <w:b/>
                          <w:sz w:val="20"/>
                          <w:szCs w:val="20"/>
                          <w:lang w:val="en-US"/>
                        </w:rPr>
                      </w:pPr>
                      <w:r w:rsidRPr="005B79BA">
                        <w:rPr>
                          <w:rFonts w:asciiTheme="majorHAnsi" w:hAnsiTheme="majorHAnsi" w:cs="Times New Roman"/>
                          <w:b/>
                          <w:sz w:val="20"/>
                          <w:szCs w:val="20"/>
                          <w:lang w:val="en-US"/>
                        </w:rPr>
                        <w:t>Discussion</w:t>
                      </w:r>
                    </w:p>
                    <w:p w14:paraId="30FE0D06" w14:textId="77777777" w:rsidR="005B39B0" w:rsidRDefault="005B39B0" w:rsidP="005B39B0">
                      <w:pPr>
                        <w:autoSpaceDE w:val="0"/>
                        <w:autoSpaceDN w:val="0"/>
                        <w:adjustRightInd w:val="0"/>
                        <w:jc w:val="both"/>
                        <w:rPr>
                          <w:rFonts w:asciiTheme="majorHAnsi" w:hAnsiTheme="majorHAnsi" w:cs="Times New Roman"/>
                          <w:sz w:val="20"/>
                          <w:szCs w:val="20"/>
                          <w:lang w:val="en-US"/>
                        </w:rPr>
                      </w:pPr>
                    </w:p>
                    <w:p w14:paraId="1D466949" w14:textId="77777777" w:rsidR="005B39B0" w:rsidRPr="005B79BA" w:rsidRDefault="005B39B0" w:rsidP="005B39B0">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In this real-world cohort study, we confirmed a low risk of stroke in patients aged &lt;65, but demonstrated that the risk is different in each age strata. The risk of stroke increased by the risk</w:t>
                      </w:r>
                      <w:r>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 xml:space="preserve">factors of prior stroke, heart failure, vascular disease, diabetes, and hypertension in most age categories. Event rates for ‘stroke and death’ were significantly increased in all non-valvular AF patients by the presence of these risk factors. </w:t>
                      </w:r>
                      <w:r w:rsidRPr="005B79BA">
                        <w:rPr>
                          <w:rFonts w:asciiTheme="majorHAnsi" w:eastAsia="AdvTimes" w:hAnsiTheme="majorHAnsi" w:cs="Times New Roman"/>
                          <w:sz w:val="20"/>
                          <w:szCs w:val="20"/>
                          <w:lang w:val="en-US"/>
                        </w:rPr>
                        <w:t xml:space="preserve">Indeed, higher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scores</w:t>
                      </w:r>
                      <w:r w:rsidRPr="005B79BA">
                        <w:rPr>
                          <w:rFonts w:asciiTheme="majorHAnsi" w:eastAsia="AdvTimes" w:hAnsiTheme="majorHAnsi" w:cs="Times New Roman"/>
                          <w:sz w:val="20"/>
                          <w:szCs w:val="20"/>
                          <w:lang w:val="en-US" w:eastAsia="en-US" w:bidi="ar-SA"/>
                        </w:rPr>
                        <w:t xml:space="preserve"> were</w:t>
                      </w:r>
                      <w:r>
                        <w:rPr>
                          <w:rFonts w:asciiTheme="majorHAnsi" w:eastAsia="AdvTimes" w:hAnsiTheme="majorHAnsi" w:cs="Times New Roman"/>
                          <w:sz w:val="20"/>
                          <w:szCs w:val="20"/>
                          <w:lang w:val="en-US" w:eastAsia="en-US" w:bidi="ar-SA"/>
                        </w:rPr>
                        <w:t xml:space="preserve"> </w:t>
                      </w:r>
                      <w:r w:rsidRPr="005B79BA">
                        <w:rPr>
                          <w:rFonts w:asciiTheme="majorHAnsi" w:eastAsia="AdvTimes" w:hAnsiTheme="majorHAnsi" w:cs="Times New Roman"/>
                          <w:sz w:val="20"/>
                          <w:szCs w:val="20"/>
                          <w:lang w:val="en-US" w:eastAsia="en-US" w:bidi="ar-SA"/>
                        </w:rPr>
                        <w:t>associated with decreased survival probability in all age groups.</w:t>
                      </w:r>
                    </w:p>
                    <w:p w14:paraId="3141E1A6" w14:textId="77777777" w:rsidR="005B39B0" w:rsidRPr="005B79BA" w:rsidRDefault="005B39B0" w:rsidP="005B39B0">
                      <w:pPr>
                        <w:autoSpaceDE w:val="0"/>
                        <w:autoSpaceDN w:val="0"/>
                        <w:adjustRightInd w:val="0"/>
                        <w:jc w:val="both"/>
                        <w:rPr>
                          <w:rFonts w:asciiTheme="majorHAnsi" w:hAnsiTheme="majorHAnsi" w:cs="Times New Roman"/>
                          <w:sz w:val="20"/>
                          <w:szCs w:val="20"/>
                          <w:lang w:val="en-US"/>
                        </w:rPr>
                      </w:pPr>
                    </w:p>
                    <w:p w14:paraId="477A65C3" w14:textId="77777777" w:rsidR="005B39B0" w:rsidRDefault="005B39B0" w:rsidP="005B39B0">
                      <w:pPr>
                        <w:jc w:val="both"/>
                      </w:pPr>
                      <w:r w:rsidRPr="005B79BA">
                        <w:rPr>
                          <w:rFonts w:asciiTheme="majorHAnsi" w:hAnsiTheme="majorHAnsi" w:cs="Times New Roman"/>
                          <w:sz w:val="20"/>
                          <w:szCs w:val="20"/>
                          <w:lang w:val="en-US"/>
                        </w:rPr>
                        <w:t>Patients with AF age &lt;65 are considered to have a low annual risk of thromboembolic events</w:t>
                      </w:r>
                      <w:r w:rsidRPr="005B79BA">
                        <w:rPr>
                          <w:rFonts w:asciiTheme="majorHAnsi" w:hAnsiTheme="majorHAnsi" w:cs="Times New Roman"/>
                          <w:sz w:val="20"/>
                          <w:szCs w:val="20"/>
                          <w:lang w:val="en-US"/>
                        </w:rPr>
                        <w:fldChar w:fldCharType="begin" w:fldLock="1"/>
                      </w:r>
                      <w:r w:rsidRPr="005B79BA">
                        <w:rPr>
                          <w:rFonts w:asciiTheme="majorHAnsi" w:hAnsiTheme="majorHAnsi" w:cs="Times New Roman"/>
                          <w:sz w:val="20"/>
                          <w:szCs w:val="20"/>
                          <w:lang w:val="en-US"/>
                        </w:rPr>
                        <w:instrText xml:space="preserve">ADDIN Mendeley Citation{ac3de4ee-64f1-4b1f-b7ce-30e7ebd87ee3} CSL_CITATION  { "citationItems" : [ { "id" : "ITEM-1", "itemData" : { "DOI" : "10.1378/chest.09-1584", "abstract" : "Contemporary clinical risk stratification schemata for predicting stroke and thromboembolism (TE) in patients with atrial fibrillation (AF) are largely derived from risk factors identified from trial cohorts. Thus, many potential risk factors have not been included.", "author" : [ { "family" : "Lip", "given" : "Gregory Y H" }, { "family" : "Nieuwlaat", "given" : "Robby" }, { "family" : "Pisters", "given" : "Ron" }, { "family" : "Lane", "given" : "Deirdre a" }, { "family" : "Crijns", "given" : "Harry J G M" } ], "container-title" : "Chest", "id" : "ITEM-1", "issue" : "2", "issued" : { "date-parts" : [ [ "2010", "2" ] ] }, "note" : "\u003cm:note\u003e\u003c/m:note\u003e", "page" : "263-72", "title" : "Refining clinical risk stratification for predicting stroke and thromboembolism in atrial fibrillation using a novel risk factor-based approach: the euro heart survey on atrial fibrillation.", "type" : "article-journal", "volume" : "137" }, "uris" : [ "http://www.mendeley.com/documents/?uuid=ac3de4ee-64f1-4b1f-b7ce-30e7ebd87ee3" ] } ], "mendeley" : { "previouslyFormattedCitation" : "\u003csup\u003e8\u003c/sup\u003e" }, "properties" : { "noteIndex" : 0 }, "schema" : "https://github.com/citation-style-language/schema/raw/master/csl-citation.json" } </w:instrText>
                      </w:r>
                      <w:r w:rsidRPr="005B79BA">
                        <w:rPr>
                          <w:rFonts w:asciiTheme="majorHAnsi" w:hAnsiTheme="majorHAnsi" w:cs="Times New Roman"/>
                          <w:sz w:val="20"/>
                          <w:szCs w:val="20"/>
                          <w:lang w:val="en-US"/>
                        </w:rPr>
                        <w:fldChar w:fldCharType="separate"/>
                      </w:r>
                      <w:r w:rsidRPr="005B79BA">
                        <w:rPr>
                          <w:rFonts w:asciiTheme="majorHAnsi" w:hAnsiTheme="majorHAnsi" w:cs="Times New Roman"/>
                          <w:noProof/>
                          <w:sz w:val="20"/>
                          <w:szCs w:val="20"/>
                          <w:vertAlign w:val="superscript"/>
                          <w:lang w:val="en-US"/>
                        </w:rPr>
                        <w:t>8</w:t>
                      </w:r>
                      <w:r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as supported by the results of this study. In current</w:t>
                      </w:r>
                      <w:r w:rsidRPr="007476C9">
                        <w:rPr>
                          <w:rFonts w:asciiTheme="majorHAnsi" w:hAnsiTheme="majorHAnsi" w:cs="Times New Roman"/>
                          <w:sz w:val="20"/>
                          <w:szCs w:val="20"/>
                          <w:lang w:val="en-US"/>
                        </w:rPr>
                        <w:t xml:space="preserve"> </w:t>
                      </w:r>
                      <w:r w:rsidRPr="005B79BA">
                        <w:rPr>
                          <w:rFonts w:asciiTheme="majorHAnsi" w:hAnsiTheme="majorHAnsi" w:cs="Times New Roman"/>
                          <w:sz w:val="20"/>
                          <w:szCs w:val="20"/>
                          <w:lang w:val="en-US"/>
                        </w:rPr>
                        <w:t>guidelines, no antithrombotic treatment is recommended for most of these patients, if age &lt;65 and lone AF</w:t>
                      </w:r>
                      <w:r w:rsidRPr="005B79BA">
                        <w:rPr>
                          <w:rFonts w:asciiTheme="majorHAnsi" w:hAnsiTheme="majorHAnsi" w:cs="Times New Roman"/>
                          <w:sz w:val="20"/>
                          <w:szCs w:val="20"/>
                          <w:lang w:val="en-US"/>
                        </w:rPr>
                        <w:fldChar w:fldCharType="begin" w:fldLock="1"/>
                      </w:r>
                      <w:r w:rsidRPr="005B79BA">
                        <w:rPr>
                          <w:rFonts w:asciiTheme="majorHAnsi" w:hAnsiTheme="majorHAnsi" w:cs="Times New Roman"/>
                          <w:sz w:val="20"/>
                          <w:szCs w:val="20"/>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"\u003csup\u003e16\u003c/sup\u003e" }, "properties" : { "noteIndex" : 0 }, "schema" : "https://github.com/citation-style-language/schema/raw/master/csl-citation.json" } </w:instrText>
                      </w:r>
                      <w:r w:rsidRPr="005B79BA">
                        <w:rPr>
                          <w:rFonts w:asciiTheme="majorHAnsi" w:hAnsiTheme="majorHAnsi" w:cs="Times New Roman"/>
                          <w:sz w:val="20"/>
                          <w:szCs w:val="20"/>
                          <w:lang w:val="en-US"/>
                        </w:rPr>
                        <w:fldChar w:fldCharType="separate"/>
                      </w:r>
                      <w:r w:rsidRPr="005B79BA">
                        <w:rPr>
                          <w:rFonts w:asciiTheme="majorHAnsi" w:hAnsiTheme="majorHAnsi" w:cs="Times New Roman"/>
                          <w:noProof/>
                          <w:sz w:val="20"/>
                          <w:szCs w:val="20"/>
                          <w:vertAlign w:val="superscript"/>
                          <w:lang w:val="en-US"/>
                        </w:rPr>
                        <w:t>16</w:t>
                      </w:r>
                      <w:r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The influence of independent risk factors, as used in the 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 have essentially been evaluated in AF patients age &lt;65 as a homogenous group</w:t>
                      </w:r>
                      <w:r w:rsidRPr="005B79BA">
                        <w:rPr>
                          <w:rFonts w:asciiTheme="majorHAnsi" w:hAnsiTheme="majorHAnsi" w:cs="Times New Roman"/>
                          <w:sz w:val="20"/>
                          <w:szCs w:val="20"/>
                          <w:lang w:val="en-US"/>
                        </w:rPr>
                        <w:fldChar w:fldCharType="begin" w:fldLock="1"/>
                      </w:r>
                      <w:r w:rsidRPr="005B79BA">
                        <w:rPr>
                          <w:rFonts w:asciiTheme="majorHAnsi" w:hAnsiTheme="majorHAnsi" w:cs="Times New Roman"/>
                          <w:sz w:val="20"/>
                          <w:szCs w:val="20"/>
                          <w:lang w:val="en-US"/>
                        </w:rPr>
                        <w:instrText xml:space="preserve">ADDIN Mendeley Citation{fd413c58-b591-4b7d-b9fb-2696b69f10ff} CSL_CITATION  { "citationItems" : [ { "id" : "ITEM-1", "itemData" : { "DOI" : "10.1378/chest.11-0862", "abstract" : "According to the latest European guidelines on the management of nonvalvular atrial fibrillation (NVAF), all patients aged \u2265 65 years should be treated with oral anticoagulation (if not contraindicated). Therefore, stroke risk factors should be investigated exclusively in patients with NVAF aged \u003c 65 years.", "author" : [ { "family" : "Olesen", "given" : "Jonas Bjerring" }, { "family" : "Fauchier", "given" : "Laurent" }, { "family" : "Lane", "given" : "Deirdre A" }, { "family" : "Taillandier", "given" : "Sophie" }, { "family" : "Lip", "given" : "Gregory Y H" } ], "container-title" : "Chest", "id" : "ITEM-1", "issue" : "1", "issued" : { "date-parts" : [ [ "2012", "1" ] ] }, "note" : "\u003cm:note\u003e\u003c/m:note\u003e", "page" : "147-53", "title" : "Risk factors for stroke and thromboembolism in relation to age among patients with atrial fibrillation: the Loire Valley Atrial Fibrillation Project.", "type" : "article-journal", "volume" : "141" }, "uris" : [ "http://www.mendeley.com/documents/?uuid=fd413c58-b591-4b7d-b9fb-2696b69f10ff" ] } ], "mendeley" : { "previouslyFormattedCitation" : "\u003csup\u003e17\u003c/sup\u003e" }, "properties" : { "noteIndex" : 0 }, "schema" : "https://github.com/citation-style-language/schema/raw/master/csl-citation.json" } </w:instrText>
                      </w:r>
                      <w:r w:rsidRPr="005B79BA">
                        <w:rPr>
                          <w:rFonts w:asciiTheme="majorHAnsi" w:hAnsiTheme="majorHAnsi" w:cs="Times New Roman"/>
                          <w:sz w:val="20"/>
                          <w:szCs w:val="20"/>
                          <w:lang w:val="en-US"/>
                        </w:rPr>
                        <w:fldChar w:fldCharType="separate"/>
                      </w:r>
                      <w:r w:rsidRPr="005B79BA">
                        <w:rPr>
                          <w:rFonts w:asciiTheme="majorHAnsi" w:hAnsiTheme="majorHAnsi" w:cs="Times New Roman"/>
                          <w:noProof/>
                          <w:sz w:val="20"/>
                          <w:szCs w:val="20"/>
                          <w:vertAlign w:val="superscript"/>
                          <w:lang w:val="en-US"/>
                        </w:rPr>
                        <w:t>17</w:t>
                      </w:r>
                      <w:r w:rsidRPr="005B79BA">
                        <w:rPr>
                          <w:rFonts w:asciiTheme="majorHAnsi" w:hAnsiTheme="majorHAnsi" w:cs="Times New Roman"/>
                          <w:sz w:val="20"/>
                          <w:szCs w:val="20"/>
                          <w:lang w:val="en-US"/>
                        </w:rPr>
                        <w:fldChar w:fldCharType="end"/>
                      </w:r>
                      <w:r w:rsidRPr="005B79BA">
                        <w:rPr>
                          <w:rFonts w:asciiTheme="majorHAnsi" w:hAnsiTheme="majorHAnsi" w:cs="Times New Roman"/>
                          <w:sz w:val="20"/>
                          <w:szCs w:val="20"/>
                          <w:lang w:val="en-US"/>
                        </w:rPr>
                        <w:t>. One study found an</w:t>
                      </w:r>
                      <w:r>
                        <w:rPr>
                          <w:rFonts w:asciiTheme="majorHAnsi" w:hAnsiTheme="majorHAnsi" w:cs="Times New Roman"/>
                          <w:sz w:val="20"/>
                          <w:szCs w:val="20"/>
                          <w:lang w:val="en-US"/>
                        </w:rPr>
                        <w:t xml:space="preserve"> </w:t>
                      </w:r>
                      <w:r w:rsidRPr="005B79BA">
                        <w:rPr>
                          <w:rFonts w:asciiTheme="majorHAnsi" w:hAnsiTheme="majorHAnsi" w:cs="Times New Roman"/>
                          <w:color w:val="000000"/>
                          <w:sz w:val="20"/>
                          <w:szCs w:val="20"/>
                          <w:lang w:val="en-US"/>
                        </w:rPr>
                        <w:t>Nonetheless, when applying the CHA</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DS</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-VASc score on the young non-valvular AF patients, it is still preferable to score these patients and apply the CHA</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DS</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-VASc score in clinical practice, as recommended in the international guidelines by the European Society of Cardiology</w:t>
                      </w:r>
                      <w:r w:rsidRPr="005B79BA">
                        <w:rPr>
                          <w:rFonts w:asciiTheme="majorHAnsi" w:hAnsiTheme="majorHAnsi" w:cs="Times New Roman"/>
                          <w:color w:val="000000"/>
                          <w:sz w:val="20"/>
                          <w:szCs w:val="20"/>
                          <w:lang w:val="en-US"/>
                        </w:rPr>
                        <w:fldChar w:fldCharType="begin" w:fldLock="1"/>
                      </w:r>
                      <w:r w:rsidRPr="005B79BA">
                        <w:rPr>
                          <w:rFonts w:asciiTheme="majorHAnsi" w:hAnsiTheme="majorHAnsi" w:cs="Times New Roman"/>
                          <w:color w:val="000000"/>
                          <w:sz w:val="20"/>
                          <w:szCs w:val="20"/>
                          <w:lang w:val="en-US"/>
                        </w:rPr>
                        <w:instrText xml:space="preserve">ADDIN Mendeley Citation{2ec09481-873a-454b-b7b9-1e35ace5a1ed} CSL_CITATION  { "citationItems" : [ { "id" : "ITEM-1",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"ITEM-1",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"mendeley" : { "previouslyFormattedCitation" : "\u003csup\u003e16\u003c/sup\u003e" }, "properties" : { "noteIndex" : 0 }, "schema" : "https://github.com/citation-style-language/schema/raw/master/csl-citation.json" } </w:instrText>
                      </w:r>
                      <w:r w:rsidRPr="005B79BA">
                        <w:rPr>
                          <w:rFonts w:asciiTheme="majorHAnsi" w:hAnsiTheme="majorHAnsi" w:cs="Times New Roman"/>
                          <w:color w:val="000000"/>
                          <w:sz w:val="20"/>
                          <w:szCs w:val="20"/>
                          <w:lang w:val="en-US"/>
                        </w:rPr>
                        <w:fldChar w:fldCharType="separate"/>
                      </w:r>
                      <w:r w:rsidRPr="005B79BA">
                        <w:rPr>
                          <w:rFonts w:asciiTheme="majorHAnsi" w:hAnsiTheme="majorHAnsi" w:cs="Times New Roman"/>
                          <w:noProof/>
                          <w:color w:val="000000"/>
                          <w:sz w:val="20"/>
                          <w:szCs w:val="20"/>
                          <w:vertAlign w:val="superscript"/>
                          <w:lang w:val="en-US"/>
                        </w:rPr>
                        <w:t>16</w:t>
                      </w:r>
                      <w:r w:rsidRPr="005B79BA">
                        <w:rPr>
                          <w:rFonts w:asciiTheme="majorHAnsi" w:hAnsiTheme="majorHAnsi" w:cs="Times New Roman"/>
                          <w:color w:val="000000"/>
                          <w:sz w:val="20"/>
                          <w:szCs w:val="20"/>
                          <w:lang w:val="en-US"/>
                        </w:rPr>
                        <w:fldChar w:fldCharType="end"/>
                      </w:r>
                      <w:r w:rsidRPr="005B79BA">
                        <w:rPr>
                          <w:rFonts w:asciiTheme="majorHAnsi" w:hAnsiTheme="majorHAnsi" w:cs="Times New Roman"/>
                          <w:color w:val="000000"/>
                          <w:sz w:val="20"/>
                          <w:szCs w:val="20"/>
                          <w:lang w:val="en-US"/>
                        </w:rPr>
                        <w:t>.</w:t>
                      </w:r>
                    </w:p>
                  </w:txbxContent>
                </v:textbox>
                <w10:wrap type="square"/>
              </v:shape>
            </w:pict>
          </mc:Fallback>
        </mc:AlternateContent>
      </w:r>
    </w:p>
    <w:p w14:paraId="2927AEB3" w14:textId="07E07BD3" w:rsidR="007476C9" w:rsidRDefault="007476C9" w:rsidP="006D0069">
      <w:pPr>
        <w:pStyle w:val="Kommentartekst"/>
        <w:jc w:val="both"/>
        <w:rPr>
          <w:rFonts w:asciiTheme="majorHAnsi" w:eastAsia="AdvTimes" w:hAnsiTheme="majorHAnsi" w:cs="Times New Roman"/>
          <w:szCs w:val="20"/>
          <w:lang w:val="en-US"/>
        </w:rPr>
      </w:pPr>
    </w:p>
    <w:p w14:paraId="7265CF88" w14:textId="77777777" w:rsidR="007476C9" w:rsidRDefault="007476C9" w:rsidP="006D0069">
      <w:pPr>
        <w:pStyle w:val="Kommentartekst"/>
        <w:jc w:val="both"/>
        <w:rPr>
          <w:rFonts w:asciiTheme="majorHAnsi" w:eastAsia="AdvTimes" w:hAnsiTheme="majorHAnsi" w:cs="Times New Roman"/>
          <w:szCs w:val="20"/>
          <w:lang w:val="en-US"/>
        </w:rPr>
      </w:pPr>
    </w:p>
    <w:p w14:paraId="6297A2C4" w14:textId="7F019705" w:rsidR="007476C9" w:rsidRDefault="006143D9" w:rsidP="006D0069">
      <w:pPr>
        <w:pStyle w:val="Kommentartekst"/>
        <w:jc w:val="both"/>
        <w:rPr>
          <w:rFonts w:asciiTheme="majorHAnsi" w:eastAsia="AdvTimes" w:hAnsiTheme="majorHAnsi" w:cs="Times New Roman"/>
          <w:szCs w:val="20"/>
          <w:lang w:val="en-US"/>
        </w:rPr>
      </w:pPr>
      <w:r w:rsidRPr="006143D9">
        <w:rPr>
          <w:rFonts w:asciiTheme="majorHAnsi" w:hAnsiTheme="majorHAnsi" w:cs="Times New Roman"/>
          <w:b/>
          <w:noProof/>
          <w:szCs w:val="20"/>
          <w:lang w:bidi="ar-SA"/>
        </w:rPr>
        <mc:AlternateContent>
          <mc:Choice Requires="wps">
            <w:drawing>
              <wp:anchor distT="0" distB="0" distL="114300" distR="114300" simplePos="0" relativeHeight="251666432" behindDoc="0" locked="0" layoutInCell="1" allowOverlap="1" wp14:anchorId="76696C70" wp14:editId="0943A99A">
                <wp:simplePos x="709684" y="1678675"/>
                <wp:positionH relativeFrom="margin">
                  <wp:align>left</wp:align>
                </wp:positionH>
                <wp:positionV relativeFrom="margin">
                  <wp:align>top</wp:align>
                </wp:positionV>
                <wp:extent cx="6141085" cy="7301230"/>
                <wp:effectExtent l="0" t="0" r="31115" b="3302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7301230"/>
                        </a:xfrm>
                        <a:custGeom>
                          <a:avLst/>
                          <a:gdLst>
                            <a:gd name="connsiteX0" fmla="*/ 0 w 6141085"/>
                            <a:gd name="connsiteY0" fmla="*/ 0 h 7301230"/>
                            <a:gd name="connsiteX1" fmla="*/ 6141085 w 6141085"/>
                            <a:gd name="connsiteY1" fmla="*/ 0 h 7301230"/>
                            <a:gd name="connsiteX2" fmla="*/ 6141085 w 6141085"/>
                            <a:gd name="connsiteY2" fmla="*/ 7301230 h 7301230"/>
                            <a:gd name="connsiteX3" fmla="*/ 0 w 6141085"/>
                            <a:gd name="connsiteY3" fmla="*/ 7301230 h 7301230"/>
                            <a:gd name="connsiteX4" fmla="*/ 0 w 6141085"/>
                            <a:gd name="connsiteY4" fmla="*/ 0 h 7301230"/>
                            <a:gd name="connsiteX0" fmla="*/ 0 w 6141085"/>
                            <a:gd name="connsiteY0" fmla="*/ 0 h 7301230"/>
                            <a:gd name="connsiteX1" fmla="*/ 6141085 w 6141085"/>
                            <a:gd name="connsiteY1" fmla="*/ 0 h 7301230"/>
                            <a:gd name="connsiteX2" fmla="*/ 6141085 w 6141085"/>
                            <a:gd name="connsiteY2" fmla="*/ 7301230 h 7301230"/>
                            <a:gd name="connsiteX3" fmla="*/ 0 w 6141085"/>
                            <a:gd name="connsiteY3" fmla="*/ 7301230 h 7301230"/>
                            <a:gd name="connsiteX4" fmla="*/ 0 w 6141085"/>
                            <a:gd name="connsiteY4" fmla="*/ 0 h 7301230"/>
                            <a:gd name="connsiteX0" fmla="*/ 0 w 6141085"/>
                            <a:gd name="connsiteY0" fmla="*/ 0 h 7301230"/>
                            <a:gd name="connsiteX1" fmla="*/ 6141085 w 6141085"/>
                            <a:gd name="connsiteY1" fmla="*/ 0 h 7301230"/>
                            <a:gd name="connsiteX2" fmla="*/ 6141085 w 6141085"/>
                            <a:gd name="connsiteY2" fmla="*/ 7301230 h 7301230"/>
                            <a:gd name="connsiteX3" fmla="*/ 0 w 6141085"/>
                            <a:gd name="connsiteY3" fmla="*/ 7301230 h 7301230"/>
                            <a:gd name="connsiteX4" fmla="*/ 0 w 6141085"/>
                            <a:gd name="connsiteY4" fmla="*/ 0 h 7301230"/>
                            <a:gd name="connsiteX0" fmla="*/ 0 w 6141085"/>
                            <a:gd name="connsiteY0" fmla="*/ 0 h 7301230"/>
                            <a:gd name="connsiteX1" fmla="*/ 6141085 w 6141085"/>
                            <a:gd name="connsiteY1" fmla="*/ 0 h 7301230"/>
                            <a:gd name="connsiteX2" fmla="*/ 3206816 w 6141085"/>
                            <a:gd name="connsiteY2" fmla="*/ 4080358 h 7301230"/>
                            <a:gd name="connsiteX3" fmla="*/ 0 w 6141085"/>
                            <a:gd name="connsiteY3" fmla="*/ 7301230 h 7301230"/>
                            <a:gd name="connsiteX4" fmla="*/ 0 w 6141085"/>
                            <a:gd name="connsiteY4" fmla="*/ 0 h 7301230"/>
                            <a:gd name="connsiteX0" fmla="*/ 0 w 6141085"/>
                            <a:gd name="connsiteY0" fmla="*/ 0 h 7301230"/>
                            <a:gd name="connsiteX1" fmla="*/ 6141085 w 6141085"/>
                            <a:gd name="connsiteY1" fmla="*/ 0 h 7301230"/>
                            <a:gd name="connsiteX2" fmla="*/ 3002508 w 6141085"/>
                            <a:gd name="connsiteY2" fmla="*/ 3889612 h 7301230"/>
                            <a:gd name="connsiteX3" fmla="*/ 0 w 6141085"/>
                            <a:gd name="connsiteY3" fmla="*/ 7301230 h 7301230"/>
                            <a:gd name="connsiteX4" fmla="*/ 0 w 6141085"/>
                            <a:gd name="connsiteY4" fmla="*/ 0 h 73012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41085" h="7301230">
                              <a:moveTo>
                                <a:pt x="0" y="0"/>
                              </a:moveTo>
                              <a:lnTo>
                                <a:pt x="6141085" y="0"/>
                              </a:lnTo>
                              <a:lnTo>
                                <a:pt x="3002508" y="3889612"/>
                              </a:lnTo>
                              <a:lnTo>
                                <a:pt x="0" y="7301230"/>
                              </a:lnTo>
                              <a:lnTo>
                                <a:pt x="0" y="0"/>
                              </a:lnTo>
                              <a:close/>
                            </a:path>
                          </a:pathLst>
                        </a:custGeom>
                        <a:solidFill>
                          <a:srgbClr val="FFFFFF"/>
                        </a:solidFill>
                        <a:ln w="9525">
                          <a:solidFill>
                            <a:schemeClr val="bg1"/>
                          </a:solidFill>
                          <a:miter lim="800000"/>
                          <a:headEnd/>
                          <a:tailEnd/>
                        </a:ln>
                      </wps:spPr>
                      <wps:txbx>
                        <w:txbxContent>
                          <w:p w14:paraId="04F85E19" w14:textId="77777777" w:rsidR="00AD312A" w:rsidRPr="000B6CFC" w:rsidRDefault="00AD312A" w:rsidP="006143D9">
                            <w:pPr>
                              <w:jc w:val="both"/>
                              <w:rPr>
                                <w:i/>
                                <w:sz w:val="20"/>
                                <w:szCs w:val="20"/>
                                <w:lang w:val="en-US"/>
                              </w:rPr>
                            </w:pPr>
                            <w:r w:rsidRPr="000B6CFC">
                              <w:rPr>
                                <w:b/>
                                <w:sz w:val="20"/>
                                <w:szCs w:val="20"/>
                                <w:lang w:val="en-US"/>
                              </w:rPr>
                              <w:t>Figure 3:</w:t>
                            </w:r>
                            <w:r w:rsidRPr="000B6CFC">
                              <w:rPr>
                                <w:i/>
                                <w:sz w:val="20"/>
                                <w:szCs w:val="20"/>
                                <w:lang w:val="en-US"/>
                              </w:rPr>
                              <w:t xml:space="preserve"> Independent Risk Factors of Stroke, Death and Composite Stroke and Death in each Age Group. The figure illustrates the hazard rate ratio for the presence of each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-VASc</w:t>
                            </w:r>
                            <w:r w:rsidRPr="000B6CFC">
                              <w:rPr>
                                <w:i/>
                                <w:sz w:val="20"/>
                                <w:szCs w:val="20"/>
                                <w:lang w:val="en-US"/>
                              </w:rPr>
                              <w:t xml:space="preserve"> risk factor (excl. age) in each age group</w:t>
                            </w:r>
                            <w:r>
                              <w:rPr>
                                <w:i/>
                                <w:sz w:val="20"/>
                                <w:szCs w:val="20"/>
                                <w:lang w:val="en-US"/>
                              </w:rPr>
                              <w:t xml:space="preserve">. In the age group of 20-35 no data </w:t>
                            </w:r>
                            <w:r w:rsidRPr="000B6CFC">
                              <w:rPr>
                                <w:i/>
                                <w:sz w:val="20"/>
                                <w:szCs w:val="20"/>
                                <w:lang w:val="en-US"/>
                              </w:rPr>
                              <w:t>on diabetes was observed</w:t>
                            </w:r>
                            <w:r>
                              <w:rPr>
                                <w:i/>
                                <w:sz w:val="20"/>
                                <w:szCs w:val="20"/>
                                <w:lang w:val="en-US"/>
                              </w:rPr>
                              <w:t xml:space="preserve"> in the event of stroke</w:t>
                            </w:r>
                            <w:r w:rsidRPr="000B6CFC">
                              <w:rPr>
                                <w:i/>
                                <w:sz w:val="20"/>
                                <w:szCs w:val="20"/>
                                <w:lang w:val="en-US"/>
                              </w:rPr>
                              <w:t>.</w:t>
                            </w:r>
                          </w:p>
                          <w:p w14:paraId="291A4973" w14:textId="77777777" w:rsidR="00AD312A" w:rsidRDefault="00AD312A" w:rsidP="006143D9">
                            <w:pPr>
                              <w:rPr>
                                <w:noProof/>
                              </w:rPr>
                            </w:pPr>
                            <w:r>
                              <w:t xml:space="preserve">   </w:t>
                            </w:r>
                            <w:r>
                              <w:rPr>
                                <w:noProof/>
                                <w:lang w:bidi="ar-SA"/>
                              </w:rPr>
                              <w:drawing>
                                <wp:inline distT="0" distB="0" distL="0" distR="0" wp14:anchorId="55507A7F" wp14:editId="0B782BBD">
                                  <wp:extent cx="2792730" cy="33947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2730" cy="3394710"/>
                                          </a:xfrm>
                                          <a:prstGeom prst="rect">
                                            <a:avLst/>
                                          </a:prstGeom>
                                          <a:noFill/>
                                          <a:ln>
                                            <a:noFill/>
                                          </a:ln>
                                        </pic:spPr>
                                      </pic:pic>
                                    </a:graphicData>
                                  </a:graphic>
                                </wp:inline>
                              </w:drawing>
                            </w:r>
                            <w:r>
                              <w:rPr>
                                <w:noProof/>
                                <w:lang w:bidi="ar-SA"/>
                              </w:rPr>
                              <w:drawing>
                                <wp:inline distT="0" distB="0" distL="0" distR="0" wp14:anchorId="1C329DB8" wp14:editId="5CD96E30">
                                  <wp:extent cx="2861945" cy="338328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1945" cy="3383280"/>
                                          </a:xfrm>
                                          <a:prstGeom prst="rect">
                                            <a:avLst/>
                                          </a:prstGeom>
                                          <a:noFill/>
                                          <a:ln>
                                            <a:noFill/>
                                          </a:ln>
                                        </pic:spPr>
                                      </pic:pic>
                                    </a:graphicData>
                                  </a:graphic>
                                </wp:inline>
                              </w:drawing>
                            </w:r>
                            <w:r>
                              <w:rPr>
                                <w:noProof/>
                              </w:rPr>
                              <w:t xml:space="preserve">      </w:t>
                            </w:r>
                          </w:p>
                          <w:p w14:paraId="2CE7D7D9" w14:textId="0DBEB358" w:rsidR="00AD312A" w:rsidRDefault="00AD312A" w:rsidP="006143D9">
                            <w:pPr>
                              <w:rPr>
                                <w:noProof/>
                              </w:rPr>
                            </w:pPr>
                            <w:r>
                              <w:rPr>
                                <w:noProof/>
                              </w:rPr>
                              <w:t xml:space="preserve">   </w:t>
                            </w:r>
                            <w:r>
                              <w:rPr>
                                <w:noProof/>
                                <w:lang w:bidi="ar-SA"/>
                              </w:rPr>
                              <w:drawing>
                                <wp:inline distT="0" distB="0" distL="0" distR="0" wp14:anchorId="1C65192E" wp14:editId="6D83C935">
                                  <wp:extent cx="2786380" cy="338709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6380" cy="3387090"/>
                                          </a:xfrm>
                                          <a:prstGeom prst="rect">
                                            <a:avLst/>
                                          </a:prstGeom>
                                          <a:noFill/>
                                          <a:ln>
                                            <a:noFill/>
                                          </a:ln>
                                        </pic:spPr>
                                      </pic:pic>
                                    </a:graphicData>
                                  </a:graphic>
                                </wp:inline>
                              </w:drawing>
                            </w:r>
                          </w:p>
                          <w:p w14:paraId="490C717A" w14:textId="77777777" w:rsidR="00AD312A" w:rsidRDefault="00AD312A" w:rsidP="006143D9"/>
                          <w:p w14:paraId="7728F866" w14:textId="517067B0" w:rsidR="00AD312A" w:rsidRDefault="00AD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0;margin-top:0;width:483.55pt;height:574.9pt;z-index:251666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6141085,7301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" adj="-11796480,,5400" path="m,l6141085,,3002508,3889612,,7301230,,xe" strokecolor="white [3212]">
                <v:stroke joinstyle="miter"/>
                <v:formulas/>
                <v:path o:connecttype="custom" o:connectlocs="0,0;6141085,0;3002508,3889612;0,7301230;0,0" o:connectangles="0,0,0,0,0" textboxrect="0,0,6141085,7301230"/>
                <v:textbox>
                  <w:txbxContent>
                    <w:p w14:paraId="04F85E19" w14:textId="77777777" w:rsidR="00AD312A" w:rsidRPr="000B6CFC" w:rsidRDefault="00AD312A" w:rsidP="006143D9">
                      <w:pPr>
                        <w:jc w:val="both"/>
                        <w:rPr>
                          <w:i/>
                          <w:sz w:val="20"/>
                          <w:szCs w:val="20"/>
                          <w:lang w:val="en-US"/>
                        </w:rPr>
                      </w:pPr>
                      <w:r w:rsidRPr="000B6CFC">
                        <w:rPr>
                          <w:b/>
                          <w:sz w:val="20"/>
                          <w:szCs w:val="20"/>
                          <w:lang w:val="en-US"/>
                        </w:rPr>
                        <w:t>Figure 3:</w:t>
                      </w:r>
                      <w:r w:rsidRPr="000B6CFC">
                        <w:rPr>
                          <w:i/>
                          <w:sz w:val="20"/>
                          <w:szCs w:val="20"/>
                          <w:lang w:val="en-US"/>
                        </w:rPr>
                        <w:t xml:space="preserve"> Independent Risk Factors of Stroke, Death and Composite Stroke and Death in each Age Group. The figure illustrates the hazard rate ratio for the presence of each </w:t>
                      </w:r>
                      <w:r w:rsidRPr="000B6CFC">
                        <w:rPr>
                          <w:rFonts w:cs="Times New Roman"/>
                          <w:i/>
                          <w:color w:val="000000"/>
                          <w:sz w:val="20"/>
                          <w:szCs w:val="20"/>
                          <w:lang w:val="en-US"/>
                        </w:rPr>
                        <w:t>CHA</w:t>
                      </w:r>
                      <w:r w:rsidRPr="000B6CFC">
                        <w:rPr>
                          <w:rFonts w:cs="Times New Roman"/>
                          <w:i/>
                          <w:color w:val="000000"/>
                          <w:sz w:val="20"/>
                          <w:szCs w:val="20"/>
                          <w:vertAlign w:val="subscript"/>
                          <w:lang w:val="en-US"/>
                        </w:rPr>
                        <w:t>2</w:t>
                      </w:r>
                      <w:r w:rsidRPr="000B6CFC">
                        <w:rPr>
                          <w:rFonts w:cs="Times New Roman"/>
                          <w:i/>
                          <w:color w:val="000000"/>
                          <w:sz w:val="20"/>
                          <w:szCs w:val="20"/>
                          <w:lang w:val="en-US"/>
                        </w:rPr>
                        <w:t>DS</w:t>
                      </w:r>
                      <w:r w:rsidRPr="000B6CFC">
                        <w:rPr>
                          <w:rFonts w:cs="Times New Roman"/>
                          <w:i/>
                          <w:color w:val="000000"/>
                          <w:sz w:val="20"/>
                          <w:szCs w:val="20"/>
                          <w:vertAlign w:val="subscript"/>
                          <w:lang w:val="en-US"/>
                        </w:rPr>
                        <w:t>2</w:t>
                      </w:r>
                      <w:r w:rsidRPr="000B6CFC">
                        <w:rPr>
                          <w:rFonts w:cs="Times New Roman"/>
                          <w:i/>
                          <w:color w:val="000000"/>
                          <w:sz w:val="20"/>
                          <w:szCs w:val="20"/>
                          <w:lang w:val="en-US"/>
                        </w:rPr>
                        <w:t>-VASc</w:t>
                      </w:r>
                      <w:r w:rsidRPr="000B6CFC">
                        <w:rPr>
                          <w:i/>
                          <w:sz w:val="20"/>
                          <w:szCs w:val="20"/>
                          <w:lang w:val="en-US"/>
                        </w:rPr>
                        <w:t xml:space="preserve"> risk factor (excl. age) in each age group</w:t>
                      </w:r>
                      <w:r>
                        <w:rPr>
                          <w:i/>
                          <w:sz w:val="20"/>
                          <w:szCs w:val="20"/>
                          <w:lang w:val="en-US"/>
                        </w:rPr>
                        <w:t xml:space="preserve">. In the age group of 20-35 no data </w:t>
                      </w:r>
                      <w:r w:rsidRPr="000B6CFC">
                        <w:rPr>
                          <w:i/>
                          <w:sz w:val="20"/>
                          <w:szCs w:val="20"/>
                          <w:lang w:val="en-US"/>
                        </w:rPr>
                        <w:t>on diabetes was observed</w:t>
                      </w:r>
                      <w:r>
                        <w:rPr>
                          <w:i/>
                          <w:sz w:val="20"/>
                          <w:szCs w:val="20"/>
                          <w:lang w:val="en-US"/>
                        </w:rPr>
                        <w:t xml:space="preserve"> in the event of stroke</w:t>
                      </w:r>
                      <w:r w:rsidRPr="000B6CFC">
                        <w:rPr>
                          <w:i/>
                          <w:sz w:val="20"/>
                          <w:szCs w:val="20"/>
                          <w:lang w:val="en-US"/>
                        </w:rPr>
                        <w:t>.</w:t>
                      </w:r>
                    </w:p>
                    <w:p w14:paraId="291A4973" w14:textId="77777777" w:rsidR="00AD312A" w:rsidRDefault="00AD312A" w:rsidP="006143D9">
                      <w:pPr>
                        <w:rPr>
                          <w:noProof/>
                        </w:rPr>
                      </w:pPr>
                      <w:r>
                        <w:t xml:space="preserve">   </w:t>
                      </w:r>
                      <w:r>
                        <w:rPr>
                          <w:noProof/>
                          <w:lang w:bidi="ar-SA"/>
                        </w:rPr>
                        <w:drawing>
                          <wp:inline distT="0" distB="0" distL="0" distR="0" wp14:anchorId="55507A7F" wp14:editId="0B782BBD">
                            <wp:extent cx="2792730" cy="33947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2730" cy="3394710"/>
                                    </a:xfrm>
                                    <a:prstGeom prst="rect">
                                      <a:avLst/>
                                    </a:prstGeom>
                                    <a:noFill/>
                                    <a:ln>
                                      <a:noFill/>
                                    </a:ln>
                                  </pic:spPr>
                                </pic:pic>
                              </a:graphicData>
                            </a:graphic>
                          </wp:inline>
                        </w:drawing>
                      </w:r>
                      <w:r>
                        <w:rPr>
                          <w:noProof/>
                          <w:lang w:bidi="ar-SA"/>
                        </w:rPr>
                        <w:drawing>
                          <wp:inline distT="0" distB="0" distL="0" distR="0" wp14:anchorId="1C329DB8" wp14:editId="5CD96E30">
                            <wp:extent cx="2861945" cy="338328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1945" cy="3383280"/>
                                    </a:xfrm>
                                    <a:prstGeom prst="rect">
                                      <a:avLst/>
                                    </a:prstGeom>
                                    <a:noFill/>
                                    <a:ln>
                                      <a:noFill/>
                                    </a:ln>
                                  </pic:spPr>
                                </pic:pic>
                              </a:graphicData>
                            </a:graphic>
                          </wp:inline>
                        </w:drawing>
                      </w:r>
                      <w:r>
                        <w:rPr>
                          <w:noProof/>
                        </w:rPr>
                        <w:t xml:space="preserve">      </w:t>
                      </w:r>
                    </w:p>
                    <w:p w14:paraId="2CE7D7D9" w14:textId="0DBEB358" w:rsidR="00AD312A" w:rsidRDefault="00AD312A" w:rsidP="006143D9">
                      <w:pPr>
                        <w:rPr>
                          <w:noProof/>
                        </w:rPr>
                      </w:pPr>
                      <w:r>
                        <w:rPr>
                          <w:noProof/>
                        </w:rPr>
                        <w:t xml:space="preserve">   </w:t>
                      </w:r>
                      <w:r>
                        <w:rPr>
                          <w:noProof/>
                          <w:lang w:bidi="ar-SA"/>
                        </w:rPr>
                        <w:drawing>
                          <wp:inline distT="0" distB="0" distL="0" distR="0" wp14:anchorId="1C65192E" wp14:editId="6D83C935">
                            <wp:extent cx="2786380" cy="338709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6380" cy="3387090"/>
                                    </a:xfrm>
                                    <a:prstGeom prst="rect">
                                      <a:avLst/>
                                    </a:prstGeom>
                                    <a:noFill/>
                                    <a:ln>
                                      <a:noFill/>
                                    </a:ln>
                                  </pic:spPr>
                                </pic:pic>
                              </a:graphicData>
                            </a:graphic>
                          </wp:inline>
                        </w:drawing>
                      </w:r>
                    </w:p>
                    <w:p w14:paraId="490C717A" w14:textId="77777777" w:rsidR="00AD312A" w:rsidRDefault="00AD312A" w:rsidP="006143D9"/>
                    <w:p w14:paraId="7728F866" w14:textId="517067B0" w:rsidR="00AD312A" w:rsidRDefault="00AD312A"/>
                  </w:txbxContent>
                </v:textbox>
                <w10:wrap type="square" anchorx="margin" anchory="margin"/>
              </v:shape>
            </w:pict>
          </mc:Fallback>
        </mc:AlternateContent>
      </w:r>
      <w:r w:rsidR="009C1E65" w:rsidRPr="005B79BA">
        <w:rPr>
          <w:rFonts w:asciiTheme="majorHAnsi" w:eastAsia="AdvTimes" w:hAnsiTheme="majorHAnsi" w:cs="Times New Roman"/>
          <w:szCs w:val="20"/>
          <w:lang w:val="en-US"/>
        </w:rPr>
        <w:t xml:space="preserve">Overall, risk factors such as prior stroke, heart </w:t>
      </w:r>
    </w:p>
    <w:p w14:paraId="41075D7B" w14:textId="70D003B1" w:rsidR="006D0069" w:rsidRPr="00D44339" w:rsidRDefault="009C1E65" w:rsidP="006D0069">
      <w:pPr>
        <w:pStyle w:val="Kommentartekst"/>
        <w:jc w:val="both"/>
        <w:rPr>
          <w:rFonts w:asciiTheme="majorHAnsi" w:eastAsia="AdvTimes" w:hAnsiTheme="majorHAnsi" w:cs="Times New Roman"/>
          <w:szCs w:val="20"/>
          <w:lang w:val="en-US"/>
        </w:rPr>
      </w:pPr>
      <w:proofErr w:type="gramStart"/>
      <w:r w:rsidRPr="005B79BA">
        <w:rPr>
          <w:rFonts w:asciiTheme="majorHAnsi" w:eastAsia="AdvTimes" w:hAnsiTheme="majorHAnsi" w:cs="Times New Roman"/>
          <w:szCs w:val="20"/>
          <w:lang w:val="en-US"/>
        </w:rPr>
        <w:t>failure</w:t>
      </w:r>
      <w:proofErr w:type="gramEnd"/>
      <w:r w:rsidRPr="005B79BA">
        <w:rPr>
          <w:rFonts w:asciiTheme="majorHAnsi" w:eastAsia="AdvTimes" w:hAnsiTheme="majorHAnsi" w:cs="Times New Roman"/>
          <w:szCs w:val="20"/>
          <w:lang w:val="en-US"/>
        </w:rPr>
        <w:t xml:space="preserve">, </w:t>
      </w:r>
      <w:r w:rsidR="00751FF6" w:rsidRPr="005B79BA">
        <w:rPr>
          <w:rFonts w:asciiTheme="majorHAnsi" w:eastAsia="AdvTimes" w:hAnsiTheme="majorHAnsi" w:cs="Times New Roman"/>
          <w:szCs w:val="20"/>
          <w:lang w:val="en-US"/>
        </w:rPr>
        <w:t xml:space="preserve">vascular disease, </w:t>
      </w:r>
      <w:r w:rsidR="00F00586" w:rsidRPr="005B79BA">
        <w:rPr>
          <w:rFonts w:asciiTheme="majorHAnsi" w:eastAsia="AdvTimes" w:hAnsiTheme="majorHAnsi" w:cs="Times New Roman"/>
          <w:szCs w:val="20"/>
          <w:lang w:val="en-US"/>
        </w:rPr>
        <w:t xml:space="preserve">and </w:t>
      </w:r>
      <w:r w:rsidRPr="005B79BA">
        <w:rPr>
          <w:rFonts w:asciiTheme="majorHAnsi" w:eastAsia="AdvTimes" w:hAnsiTheme="majorHAnsi" w:cs="Times New Roman"/>
          <w:szCs w:val="20"/>
          <w:lang w:val="en-US"/>
        </w:rPr>
        <w:t xml:space="preserve">diabetes </w:t>
      </w:r>
      <w:r w:rsidR="00751FF6" w:rsidRPr="005B79BA">
        <w:rPr>
          <w:rFonts w:asciiTheme="majorHAnsi" w:eastAsia="AdvTimes" w:hAnsiTheme="majorHAnsi" w:cs="Times New Roman"/>
          <w:szCs w:val="20"/>
          <w:lang w:val="en-US"/>
        </w:rPr>
        <w:t>remained</w:t>
      </w:r>
      <w:r w:rsidRPr="005B79BA">
        <w:rPr>
          <w:rFonts w:asciiTheme="majorHAnsi" w:eastAsia="AdvTimes" w:hAnsiTheme="majorHAnsi" w:cs="Times New Roman"/>
          <w:szCs w:val="20"/>
          <w:lang w:val="en-US"/>
        </w:rPr>
        <w:t xml:space="preserve"> independent predictors of stroke and death</w:t>
      </w:r>
      <w:r w:rsidR="008011B7" w:rsidRPr="005B79BA">
        <w:rPr>
          <w:rFonts w:asciiTheme="majorHAnsi" w:eastAsia="AdvTimes" w:hAnsiTheme="majorHAnsi" w:cs="Times New Roman"/>
          <w:szCs w:val="20"/>
          <w:lang w:val="en-US"/>
        </w:rPr>
        <w:t xml:space="preserve"> in non-valvular AF patients aged &lt;65</w:t>
      </w:r>
      <w:r w:rsidRPr="005B79BA">
        <w:rPr>
          <w:rFonts w:asciiTheme="majorHAnsi" w:eastAsia="AdvTimes" w:hAnsiTheme="majorHAnsi" w:cs="Times New Roman"/>
          <w:szCs w:val="20"/>
          <w:lang w:val="en-US"/>
        </w:rPr>
        <w:t xml:space="preserve">. </w:t>
      </w:r>
    </w:p>
    <w:p w14:paraId="45B13F8F" w14:textId="29C745DA" w:rsidR="005B79BA" w:rsidRDefault="005B79BA" w:rsidP="005B79BA">
      <w:pPr>
        <w:autoSpaceDE w:val="0"/>
        <w:autoSpaceDN w:val="0"/>
        <w:adjustRightInd w:val="0"/>
        <w:jc w:val="both"/>
        <w:rPr>
          <w:rFonts w:asciiTheme="majorHAnsi" w:hAnsiTheme="majorHAnsi" w:cs="Times New Roman"/>
          <w:b/>
          <w:sz w:val="20"/>
          <w:szCs w:val="20"/>
          <w:lang w:val="en-US"/>
        </w:rPr>
      </w:pPr>
    </w:p>
    <w:p w14:paraId="20EC012E" w14:textId="158190E7" w:rsidR="00C63C1F" w:rsidRPr="005B79BA" w:rsidRDefault="003514B7" w:rsidP="005B79BA">
      <w:pPr>
        <w:autoSpaceDE w:val="0"/>
        <w:autoSpaceDN w:val="0"/>
        <w:adjustRightInd w:val="0"/>
        <w:jc w:val="both"/>
        <w:rPr>
          <w:rFonts w:asciiTheme="majorHAnsi" w:hAnsiTheme="majorHAnsi" w:cs="Times New Roman"/>
          <w:color w:val="000000"/>
          <w:sz w:val="20"/>
          <w:szCs w:val="20"/>
          <w:lang w:val="en-US"/>
        </w:rPr>
      </w:pPr>
      <w:bookmarkStart w:id="0" w:name="_GoBack"/>
      <w:bookmarkEnd w:id="0"/>
      <w:r w:rsidRPr="005B79BA">
        <w:rPr>
          <w:rFonts w:asciiTheme="majorHAnsi" w:hAnsiTheme="majorHAnsi" w:cs="Times New Roman"/>
          <w:sz w:val="20"/>
          <w:szCs w:val="20"/>
          <w:lang w:val="en-US"/>
        </w:rPr>
        <w:lastRenderedPageBreak/>
        <w:t xml:space="preserve">Given that guidelines should be applicable for </w:t>
      </w:r>
      <w:r w:rsidR="00AA3656" w:rsidRPr="005B79BA">
        <w:rPr>
          <w:rFonts w:asciiTheme="majorHAnsi" w:hAnsiTheme="majorHAnsi" w:cs="Times New Roman"/>
          <w:sz w:val="20"/>
          <w:szCs w:val="20"/>
          <w:lang w:val="en-US"/>
        </w:rPr>
        <w:t>most</w:t>
      </w:r>
      <w:r w:rsidRPr="005B79BA">
        <w:rPr>
          <w:rFonts w:asciiTheme="majorHAnsi" w:hAnsiTheme="majorHAnsi" w:cs="Times New Roman"/>
          <w:sz w:val="20"/>
          <w:szCs w:val="20"/>
          <w:lang w:val="en-US"/>
        </w:rPr>
        <w:t xml:space="preserve"> of the time and for </w:t>
      </w:r>
      <w:r w:rsidR="00AA3656" w:rsidRPr="005B79BA">
        <w:rPr>
          <w:rFonts w:asciiTheme="majorHAnsi" w:hAnsiTheme="majorHAnsi" w:cs="Times New Roman"/>
          <w:sz w:val="20"/>
          <w:szCs w:val="20"/>
          <w:lang w:val="en-US"/>
        </w:rPr>
        <w:t>majority</w:t>
      </w:r>
      <w:r w:rsidRPr="005B79BA">
        <w:rPr>
          <w:rFonts w:asciiTheme="majorHAnsi" w:hAnsiTheme="majorHAnsi" w:cs="Times New Roman"/>
          <w:sz w:val="20"/>
          <w:szCs w:val="20"/>
          <w:lang w:val="en-US"/>
        </w:rPr>
        <w:t xml:space="preserve"> of the patients, the European Society of Cardiology guidelines and the </w:t>
      </w:r>
      <w:r w:rsidRPr="005B79BA">
        <w:rPr>
          <w:rFonts w:asciiTheme="majorHAnsi" w:hAnsiTheme="majorHAnsi" w:cs="Times New Roman"/>
          <w:color w:val="000000"/>
          <w:sz w:val="20"/>
          <w:szCs w:val="20"/>
          <w:lang w:val="en-US"/>
        </w:rPr>
        <w:t>CHA</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DS</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 xml:space="preserve">-VASc </w:t>
      </w:r>
      <w:r w:rsidRPr="005B79BA">
        <w:rPr>
          <w:rFonts w:asciiTheme="majorHAnsi" w:hAnsiTheme="majorHAnsi" w:cs="Times New Roman"/>
          <w:sz w:val="20"/>
          <w:szCs w:val="20"/>
          <w:lang w:val="en-US"/>
        </w:rPr>
        <w:t>stroke risk assessment approach would cover most of the patients who is commonly seen in everyday clinical practice, and consider the common stroke risk factors in such patients. However, patient values and preferences should also be considered</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Citation{3c2f2456-ed1f-43fd-af5b-1fd45924df5a};{bebee80f-bd2d-44c2-ae6c-e606e7043a5d} CSL_CITATION  { "citationItems" : [ { "id" : "ITEM-1", "itemData" : { "DOI" : "10.1111/j.1538-7836.2012.04853.x", "abstract" : "Background: Female sex has been suggested as a risk factor for stroke/thromboembolism in patients with non-valvular atrial fibrillation (AF) and therefore been included within risk scores, e.g. the CHA(2) DS(2) -VASc score, and guidelines. Objectives: We investigated the risk of stroke/thromboembolism associated with female sex in non-valvular AF patients. Patients/Methods: Using the national Danish registers we identified non-anticoagulated patients discharged with non-valvular AF (1997-2008), and subdivided the population into three age intervals: \u003c65, 65-74, and \u226575 years. We calculated stroke rates according to sex, and assessed the stroke risk associated with female sex using Cox regression analysis. Results: We included 87,202 AF patients, and 42,458 (51.3%) were female. The rate of stroke/thromboembolism for females aged \u003c65 and 65-74 years, was not increased compared to men, while the rate for females aged \u226575 years was increased. At both 1- and 12-years follow-up, female sex did not increase the risk of stroke for patients aged \u003c75 years. At 1-year follow-up, the hazard ratio associated with female sex was 0.89 (95% confidence interval: 0.70-1.13) and 0.91 (0.79-1.05) for patients aged \u003c65 and 65-74 years, respectively, while female sex\u226575 years was associated with an increased risk of stroke of 1.20 (1.12-1.28). Conclusion: Female sex was only associated with an increased risk of stroke for AF patients aged \u226575 years. Our study suggests that female sex should not be automatically included as an independent stroke/thromboembolic risk factor in guidelines or in the CHA(2) DS(2) -VASc score, without careful prior consideration of the 'age \u003c65 and lone AF' criterion. \u00a9 2012 International Society on Thrombosis and Haemostasis.", "author" : [ { "family" : "Mikkelsen", "given" : "a" }, { "family" : "Lindhardsen", "given" : "J" }, { "family" : "Lip", "given" : "G" }, { "family" : "Gislason", "given" : "G H" }, { "family" : "Torp-Pedersen", "given" : "C" }, { "family" : "Olesen", "given" : "J B" } ], "container-title" : "Journal of thrombosis and haemostasis : JTH", "id" : "ITEM-1", "issue" : "July", "issued" : { "date-parts" : [ [ "2012", "7", "14" ] ] }, "note" : "\u003cm:note\u003e\u003c/m:note\u003e", "page" : "1745-1751", "title" : "Female sex asa risk factor for stroke in atrial fibrillation: A nationwide cohort study.", "type" : "article-journal" }, "uris" : [ "http://www.mendeley.com/documents/?uuid=3c2f2456-ed1f-43fd-af5b-1fd45924df5a" ] }, { "id" : "ITEM-2", "itemData" : { "DOI" : "10.1093/eurheartj/ehs167", "abstract" : "AimsThe availability of new antithrombotic agents, each with a unique efficacy and bleeding profile, has introduced a considerable amount of clinical uncertainty with physicians. We have developed a clinical decision aid in order to assist clinicians in determining an optimal antithrombotic regime for the prevention of stroke in patients who are newly diagnosed with non-valvular atrial fibrillation.Methods and resultsThe CHA(2)DS(2)-VASc and HAS-BLED scoring systems were used to assess patients' baseline risks of stroke and major bleeding, respectively. The relative risks of stroke and major bleeding for each antithrombotic agent were then used to identify the agent associated with the lowest net risk. Individual patient factors such as the treatment threshold, bleeding ratio, and cost threshold modified the recommendations in order to generate a final recommendation. By considering both patient factors and clinical research concurrently, this clinical decision aid is able to provide specific advice to clinicians regarding an optimal stroke prevention strategy. The resulting treatment recommendation tables are consistent with the recommendations of the European Society of Cardiology and Canadian Cardiovascular Society Guidelines, which can be incorporated into either a paper-based or electronic format to allow clinicians to have decision support at the point of care.ConclusionThe use of a clinical decision aid that considers both patient factors and evidence-based medicine will serve to bridge the knowledge gap and provide practical guidance to clinicians in the prevention of stroke due to atrial fibrillation.", "author" : [ { "family" : "Lahaye", "given" : "Stephen Andrew" }, { "family" : "Gibbens", "given" : "Sabra Lynn" }, { "family" : "Ball", "given" : "David Gerald Andrew" }, { "family" : "Day", "given" : "Andrew George" }, { "family" : "Olesen", "given" : "Jonas Bjerring" }, { "family" : "Skanes", "given" : "Allan Cameron" } ], "container-title" : "European heart journal", "id" : "ITEM-2", "issued" : { "date-parts" : [ [ "2012", "7", "2" ] ] }, "note" : "\u003cm:note\u003e\u003c/m:note\u003e", "page" : "2163-2171", "title" : "A clinical decision aid for the selection of antithrombotic therapy for the prevention of stroke due to atrial fibrillation.", "type" : "article-journal" }, "uris" : [ "http://www.mendeley.com/documents/?uuid=bebee80f-bd2d-44c2-ae6c-e606e7043a5d" ] } ], "mendeley" : { "previouslyFormattedCitation" : "\u003csup\u003e12,18\u003c/sup\u003e"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12,18</w:t>
      </w:r>
      <w:r w:rsidR="009F7CE0" w:rsidRPr="005B79BA">
        <w:rPr>
          <w:rFonts w:asciiTheme="majorHAnsi" w:hAnsiTheme="majorHAnsi" w:cs="Times New Roman"/>
          <w:sz w:val="20"/>
          <w:szCs w:val="20"/>
          <w:lang w:val="en-US"/>
        </w:rPr>
        <w:fldChar w:fldCharType="end"/>
      </w:r>
      <w:r w:rsidR="00113F5D" w:rsidRPr="005B79BA">
        <w:rPr>
          <w:rFonts w:asciiTheme="majorHAnsi" w:hAnsiTheme="majorHAnsi" w:cs="Times New Roman"/>
          <w:sz w:val="20"/>
          <w:szCs w:val="20"/>
          <w:lang w:val="en-US"/>
        </w:rPr>
        <w:t xml:space="preserve">. </w:t>
      </w:r>
      <w:r w:rsidRPr="005B79BA">
        <w:rPr>
          <w:rFonts w:asciiTheme="majorHAnsi" w:hAnsiTheme="majorHAnsi" w:cs="Times New Roman"/>
          <w:color w:val="000000"/>
          <w:sz w:val="20"/>
          <w:szCs w:val="20"/>
          <w:lang w:val="en-US"/>
        </w:rPr>
        <w:t xml:space="preserve">Currently, every </w:t>
      </w:r>
      <w:r w:rsidR="004A081A" w:rsidRPr="005B79BA">
        <w:rPr>
          <w:rFonts w:asciiTheme="majorHAnsi" w:hAnsiTheme="majorHAnsi" w:cs="Times New Roman"/>
          <w:color w:val="000000"/>
          <w:sz w:val="20"/>
          <w:szCs w:val="20"/>
          <w:lang w:val="en-US"/>
        </w:rPr>
        <w:t>non-valvular</w:t>
      </w:r>
      <w:r w:rsidR="00C63C1F" w:rsidRPr="005B79BA">
        <w:rPr>
          <w:rFonts w:asciiTheme="majorHAnsi" w:hAnsiTheme="majorHAnsi" w:cs="Times New Roman"/>
          <w:color w:val="000000"/>
          <w:sz w:val="20"/>
          <w:szCs w:val="20"/>
          <w:lang w:val="en-US"/>
        </w:rPr>
        <w:t xml:space="preserve"> AF </w:t>
      </w:r>
      <w:r w:rsidRPr="005B79BA">
        <w:rPr>
          <w:rFonts w:asciiTheme="majorHAnsi" w:hAnsiTheme="majorHAnsi" w:cs="Times New Roman"/>
          <w:color w:val="000000"/>
          <w:sz w:val="20"/>
          <w:szCs w:val="20"/>
          <w:lang w:val="en-US"/>
        </w:rPr>
        <w:t xml:space="preserve">patient is </w:t>
      </w:r>
      <w:r w:rsidR="00AA3656" w:rsidRPr="005B79BA">
        <w:rPr>
          <w:rFonts w:asciiTheme="majorHAnsi" w:hAnsiTheme="majorHAnsi" w:cs="Times New Roman"/>
          <w:color w:val="000000"/>
          <w:sz w:val="20"/>
          <w:szCs w:val="20"/>
          <w:lang w:val="en-US"/>
        </w:rPr>
        <w:t xml:space="preserve">recommended </w:t>
      </w:r>
      <w:r w:rsidRPr="005B79BA">
        <w:rPr>
          <w:rFonts w:asciiTheme="majorHAnsi" w:hAnsiTheme="majorHAnsi" w:cs="Times New Roman"/>
          <w:color w:val="000000"/>
          <w:sz w:val="20"/>
          <w:szCs w:val="20"/>
          <w:lang w:val="en-US"/>
        </w:rPr>
        <w:t xml:space="preserve">antithrombotic treatment with a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 xml:space="preserve">-VASc </w:t>
      </w:r>
      <w:r w:rsidRPr="005B79BA">
        <w:rPr>
          <w:rFonts w:asciiTheme="majorHAnsi" w:hAnsiTheme="majorHAnsi" w:cs="Times New Roman"/>
          <w:color w:val="000000"/>
          <w:sz w:val="20"/>
          <w:szCs w:val="20"/>
          <w:lang w:val="en-US"/>
        </w:rPr>
        <w:t xml:space="preserve">score of ≥1. </w:t>
      </w:r>
      <w:r w:rsidR="00AA3656" w:rsidRPr="005B79BA">
        <w:rPr>
          <w:rFonts w:asciiTheme="majorHAnsi" w:hAnsiTheme="majorHAnsi" w:cs="Times New Roman"/>
          <w:color w:val="000000"/>
          <w:sz w:val="20"/>
          <w:szCs w:val="20"/>
          <w:lang w:val="en-US"/>
        </w:rPr>
        <w:t>T</w:t>
      </w:r>
      <w:r w:rsidRPr="005B79BA">
        <w:rPr>
          <w:rFonts w:asciiTheme="majorHAnsi" w:hAnsiTheme="majorHAnsi" w:cs="Times New Roman"/>
          <w:color w:val="000000"/>
          <w:sz w:val="20"/>
          <w:szCs w:val="20"/>
          <w:lang w:val="en-US"/>
        </w:rPr>
        <w:t xml:space="preserve">his broad biphasic decision-making </w:t>
      </w:r>
      <w:r w:rsidR="00C63C1F" w:rsidRPr="005B79BA">
        <w:rPr>
          <w:rFonts w:asciiTheme="majorHAnsi" w:hAnsiTheme="majorHAnsi" w:cs="Times New Roman"/>
          <w:color w:val="000000"/>
          <w:sz w:val="20"/>
          <w:szCs w:val="20"/>
          <w:lang w:val="en-US"/>
        </w:rPr>
        <w:t>may be</w:t>
      </w:r>
      <w:r w:rsidRPr="005B79BA">
        <w:rPr>
          <w:rFonts w:asciiTheme="majorHAnsi" w:hAnsiTheme="majorHAnsi" w:cs="Times New Roman"/>
          <w:color w:val="000000"/>
          <w:sz w:val="20"/>
          <w:szCs w:val="20"/>
          <w:lang w:val="en-US"/>
        </w:rPr>
        <w:t xml:space="preserve"> too simpl</w:t>
      </w:r>
      <w:r w:rsidR="00C63C1F" w:rsidRPr="005B79BA">
        <w:rPr>
          <w:rFonts w:asciiTheme="majorHAnsi" w:hAnsiTheme="majorHAnsi" w:cs="Times New Roman"/>
          <w:color w:val="000000"/>
          <w:sz w:val="20"/>
          <w:szCs w:val="20"/>
          <w:lang w:val="en-US"/>
        </w:rPr>
        <w:t>istic</w:t>
      </w:r>
      <w:r w:rsidRPr="005B79BA">
        <w:rPr>
          <w:rFonts w:asciiTheme="majorHAnsi" w:hAnsiTheme="majorHAnsi" w:cs="Times New Roman"/>
          <w:color w:val="000000"/>
          <w:sz w:val="20"/>
          <w:szCs w:val="20"/>
          <w:lang w:val="en-US"/>
        </w:rPr>
        <w:t>, since not every risk factor is equally important when estimating the risk of stroke</w:t>
      </w:r>
      <w:r w:rsidR="00E923F9" w:rsidRPr="005B79BA">
        <w:rPr>
          <w:rFonts w:asciiTheme="majorHAnsi" w:hAnsiTheme="majorHAnsi" w:cs="Times New Roman"/>
          <w:color w:val="000000"/>
          <w:sz w:val="20"/>
          <w:szCs w:val="20"/>
          <w:lang w:val="en-US"/>
        </w:rPr>
        <w:t xml:space="preserve"> as shown in </w:t>
      </w:r>
      <w:r w:rsidR="001117CA" w:rsidRPr="005B79BA">
        <w:rPr>
          <w:rFonts w:asciiTheme="majorHAnsi" w:hAnsiTheme="majorHAnsi" w:cs="Times New Roman"/>
          <w:color w:val="000000"/>
          <w:sz w:val="20"/>
          <w:szCs w:val="20"/>
          <w:lang w:val="en-US"/>
        </w:rPr>
        <w:t xml:space="preserve">Figure </w:t>
      </w:r>
      <w:r w:rsidR="009C12E5" w:rsidRPr="005B79BA">
        <w:rPr>
          <w:rFonts w:asciiTheme="majorHAnsi" w:hAnsiTheme="majorHAnsi" w:cs="Times New Roman"/>
          <w:color w:val="000000"/>
          <w:sz w:val="20"/>
          <w:szCs w:val="20"/>
          <w:lang w:val="en-US"/>
        </w:rPr>
        <w:t>3</w:t>
      </w:r>
      <w:r w:rsidRPr="005B79BA">
        <w:rPr>
          <w:rFonts w:asciiTheme="majorHAnsi" w:hAnsiTheme="majorHAnsi" w:cs="Times New Roman"/>
          <w:color w:val="000000"/>
          <w:sz w:val="20"/>
          <w:szCs w:val="20"/>
          <w:lang w:val="en-US"/>
        </w:rPr>
        <w:t xml:space="preserve">. </w:t>
      </w:r>
      <w:r w:rsidR="002A454E" w:rsidRPr="005B79BA">
        <w:rPr>
          <w:rFonts w:asciiTheme="majorHAnsi" w:hAnsiTheme="majorHAnsi" w:cs="Times New Roman"/>
          <w:color w:val="000000"/>
          <w:sz w:val="20"/>
          <w:szCs w:val="20"/>
          <w:lang w:val="en-US"/>
        </w:rPr>
        <w:t>In our study, the risk of stroke was not increased considerably by every risk factor</w:t>
      </w:r>
      <w:r w:rsidR="00DA5837" w:rsidRPr="005B79BA">
        <w:rPr>
          <w:rFonts w:asciiTheme="majorHAnsi" w:hAnsiTheme="majorHAnsi" w:cs="Times New Roman"/>
          <w:color w:val="000000"/>
          <w:sz w:val="20"/>
          <w:szCs w:val="20"/>
          <w:lang w:val="en-US"/>
        </w:rPr>
        <w:t xml:space="preserve">. </w:t>
      </w:r>
      <w:r w:rsidR="00AA3656" w:rsidRPr="005B79BA">
        <w:rPr>
          <w:rFonts w:asciiTheme="majorHAnsi" w:hAnsiTheme="majorHAnsi" w:cs="Times New Roman"/>
          <w:color w:val="000000"/>
          <w:sz w:val="20"/>
          <w:szCs w:val="20"/>
          <w:lang w:val="en-US"/>
        </w:rPr>
        <w:t xml:space="preserve">In particular, </w:t>
      </w:r>
      <w:r w:rsidR="00DA5837" w:rsidRPr="005B79BA">
        <w:rPr>
          <w:rFonts w:asciiTheme="majorHAnsi" w:hAnsiTheme="majorHAnsi" w:cs="Times New Roman"/>
          <w:color w:val="000000"/>
          <w:sz w:val="20"/>
          <w:szCs w:val="20"/>
          <w:lang w:val="en-US"/>
        </w:rPr>
        <w:t>heart failure and female sex did not increase this risk noticeably in some age group</w:t>
      </w:r>
      <w:r w:rsidR="00892EB1" w:rsidRPr="005B79BA">
        <w:rPr>
          <w:rFonts w:asciiTheme="majorHAnsi" w:hAnsiTheme="majorHAnsi" w:cs="Times New Roman"/>
          <w:color w:val="000000"/>
          <w:sz w:val="20"/>
          <w:szCs w:val="20"/>
          <w:lang w:val="en-US"/>
        </w:rPr>
        <w:t xml:space="preserve">s, </w:t>
      </w:r>
      <w:r w:rsidR="00AA3656" w:rsidRPr="005B79BA">
        <w:rPr>
          <w:rFonts w:asciiTheme="majorHAnsi" w:hAnsiTheme="majorHAnsi" w:cs="Times New Roman"/>
          <w:color w:val="000000"/>
          <w:sz w:val="20"/>
          <w:szCs w:val="20"/>
          <w:lang w:val="en-US"/>
        </w:rPr>
        <w:t>al</w:t>
      </w:r>
      <w:r w:rsidR="00892EB1" w:rsidRPr="005B79BA">
        <w:rPr>
          <w:rFonts w:asciiTheme="majorHAnsi" w:hAnsiTheme="majorHAnsi" w:cs="Times New Roman"/>
          <w:color w:val="000000"/>
          <w:sz w:val="20"/>
          <w:szCs w:val="20"/>
          <w:lang w:val="en-US"/>
        </w:rPr>
        <w:t>though</w:t>
      </w:r>
      <w:r w:rsidR="00AA3656" w:rsidRPr="005B79BA">
        <w:rPr>
          <w:rFonts w:asciiTheme="majorHAnsi" w:hAnsiTheme="majorHAnsi" w:cs="Times New Roman"/>
          <w:color w:val="000000"/>
          <w:sz w:val="20"/>
          <w:szCs w:val="20"/>
          <w:lang w:val="en-US"/>
        </w:rPr>
        <w:t xml:space="preserve"> </w:t>
      </w:r>
      <w:r w:rsidR="00892EB1" w:rsidRPr="005B79BA">
        <w:rPr>
          <w:rFonts w:asciiTheme="majorHAnsi" w:hAnsiTheme="majorHAnsi" w:cs="Times New Roman"/>
          <w:color w:val="000000"/>
          <w:sz w:val="20"/>
          <w:szCs w:val="20"/>
          <w:lang w:val="en-US"/>
        </w:rPr>
        <w:t>in the age group</w:t>
      </w:r>
      <w:r w:rsidR="00DA5837" w:rsidRPr="005B79BA">
        <w:rPr>
          <w:rFonts w:asciiTheme="majorHAnsi" w:hAnsiTheme="majorHAnsi" w:cs="Times New Roman"/>
          <w:color w:val="000000"/>
          <w:sz w:val="20"/>
          <w:szCs w:val="20"/>
          <w:lang w:val="en-US"/>
        </w:rPr>
        <w:t xml:space="preserve"> 20-35</w:t>
      </w:r>
      <w:r w:rsidR="00AA3656" w:rsidRPr="005B79BA">
        <w:rPr>
          <w:rFonts w:asciiTheme="majorHAnsi" w:hAnsiTheme="majorHAnsi" w:cs="Times New Roman"/>
          <w:color w:val="000000"/>
          <w:sz w:val="20"/>
          <w:szCs w:val="20"/>
          <w:lang w:val="en-US"/>
        </w:rPr>
        <w:t xml:space="preserve"> years, </w:t>
      </w:r>
      <w:r w:rsidR="00DA5837" w:rsidRPr="005B79BA">
        <w:rPr>
          <w:rFonts w:asciiTheme="majorHAnsi" w:hAnsiTheme="majorHAnsi" w:cs="Times New Roman"/>
          <w:color w:val="000000"/>
          <w:sz w:val="20"/>
          <w:szCs w:val="20"/>
          <w:lang w:val="en-US"/>
        </w:rPr>
        <w:t xml:space="preserve">these risk factors did increase the hazard ratio. </w:t>
      </w:r>
      <w:r w:rsidR="00EB214B">
        <w:rPr>
          <w:rFonts w:asciiTheme="majorHAnsi" w:hAnsiTheme="majorHAnsi" w:cs="Times New Roman"/>
          <w:color w:val="000000"/>
          <w:sz w:val="20"/>
          <w:szCs w:val="20"/>
          <w:lang w:val="en-US"/>
        </w:rPr>
        <w:t>However</w:t>
      </w:r>
      <w:r w:rsidR="00AA3656" w:rsidRPr="005B79BA">
        <w:rPr>
          <w:rFonts w:asciiTheme="majorHAnsi" w:hAnsiTheme="majorHAnsi" w:cs="Times New Roman"/>
          <w:color w:val="000000"/>
          <w:sz w:val="20"/>
          <w:szCs w:val="20"/>
          <w:lang w:val="en-US"/>
        </w:rPr>
        <w:t>,</w:t>
      </w:r>
      <w:r w:rsidR="00DA5837" w:rsidRPr="005B79BA">
        <w:rPr>
          <w:rFonts w:asciiTheme="majorHAnsi" w:hAnsiTheme="majorHAnsi" w:cs="Times New Roman"/>
          <w:color w:val="000000"/>
          <w:sz w:val="20"/>
          <w:szCs w:val="20"/>
          <w:lang w:val="en-US"/>
        </w:rPr>
        <w:t xml:space="preserve"> these results support the score of 2 points for prior stroke in the </w:t>
      </w:r>
      <w:r w:rsidR="00DA5837" w:rsidRPr="005B79BA">
        <w:rPr>
          <w:rFonts w:asciiTheme="majorHAnsi" w:hAnsiTheme="majorHAnsi" w:cs="Times New Roman"/>
          <w:sz w:val="20"/>
          <w:szCs w:val="20"/>
          <w:lang w:val="en-US"/>
        </w:rPr>
        <w:t>CHA</w:t>
      </w:r>
      <w:r w:rsidR="00DA5837" w:rsidRPr="005B79BA">
        <w:rPr>
          <w:rFonts w:asciiTheme="majorHAnsi" w:hAnsiTheme="majorHAnsi" w:cs="Times New Roman"/>
          <w:sz w:val="20"/>
          <w:szCs w:val="20"/>
          <w:vertAlign w:val="subscript"/>
          <w:lang w:val="en-US"/>
        </w:rPr>
        <w:t>2</w:t>
      </w:r>
      <w:r w:rsidR="00DA5837" w:rsidRPr="005B79BA">
        <w:rPr>
          <w:rFonts w:asciiTheme="majorHAnsi" w:hAnsiTheme="majorHAnsi" w:cs="Times New Roman"/>
          <w:sz w:val="20"/>
          <w:szCs w:val="20"/>
          <w:lang w:val="en-US"/>
        </w:rPr>
        <w:t>DS</w:t>
      </w:r>
      <w:r w:rsidR="00DA5837" w:rsidRPr="005B79BA">
        <w:rPr>
          <w:rFonts w:asciiTheme="majorHAnsi" w:hAnsiTheme="majorHAnsi" w:cs="Times New Roman"/>
          <w:sz w:val="20"/>
          <w:szCs w:val="20"/>
          <w:vertAlign w:val="subscript"/>
          <w:lang w:val="en-US"/>
        </w:rPr>
        <w:t>2</w:t>
      </w:r>
      <w:r w:rsidR="00DA5837" w:rsidRPr="005B79BA">
        <w:rPr>
          <w:rFonts w:asciiTheme="majorHAnsi" w:hAnsiTheme="majorHAnsi" w:cs="Times New Roman"/>
          <w:sz w:val="20"/>
          <w:szCs w:val="20"/>
          <w:lang w:val="en-US"/>
        </w:rPr>
        <w:t xml:space="preserve">-VASc score. </w:t>
      </w:r>
      <w:r w:rsidR="005C0395" w:rsidRPr="005B79BA">
        <w:rPr>
          <w:rFonts w:asciiTheme="majorHAnsi" w:hAnsiTheme="majorHAnsi" w:cs="Times New Roman"/>
          <w:sz w:val="20"/>
          <w:szCs w:val="20"/>
          <w:lang w:val="en-US"/>
        </w:rPr>
        <w:t>Interestingly, o</w:t>
      </w:r>
      <w:r w:rsidR="00DA5837" w:rsidRPr="005B79BA">
        <w:rPr>
          <w:rFonts w:asciiTheme="majorHAnsi" w:hAnsiTheme="majorHAnsi" w:cs="Times New Roman"/>
          <w:color w:val="000000"/>
          <w:sz w:val="20"/>
          <w:szCs w:val="20"/>
          <w:lang w:val="en-US"/>
        </w:rPr>
        <w:t>ur results indicate that</w:t>
      </w:r>
      <w:r w:rsidR="005C0395" w:rsidRPr="005B79BA">
        <w:rPr>
          <w:rFonts w:asciiTheme="majorHAnsi" w:hAnsiTheme="majorHAnsi" w:cs="Times New Roman"/>
          <w:color w:val="000000"/>
          <w:sz w:val="20"/>
          <w:szCs w:val="20"/>
          <w:lang w:val="en-US"/>
        </w:rPr>
        <w:t xml:space="preserve"> in the older age groups, 65-75 and 75-90, the risk of stroke was not considerably higher with the presence of the investigated risk factors, except prior stroke, </w:t>
      </w:r>
      <w:r w:rsidR="00892EB1" w:rsidRPr="005B79BA">
        <w:rPr>
          <w:rFonts w:asciiTheme="majorHAnsi" w:hAnsiTheme="majorHAnsi" w:cs="Times New Roman"/>
          <w:color w:val="000000"/>
          <w:sz w:val="20"/>
          <w:szCs w:val="20"/>
          <w:lang w:val="en-US"/>
        </w:rPr>
        <w:t>but the risk</w:t>
      </w:r>
      <w:r w:rsidR="005C0395" w:rsidRPr="005B79BA">
        <w:rPr>
          <w:rFonts w:asciiTheme="majorHAnsi" w:hAnsiTheme="majorHAnsi" w:cs="Times New Roman"/>
          <w:color w:val="000000"/>
          <w:sz w:val="20"/>
          <w:szCs w:val="20"/>
          <w:lang w:val="en-US"/>
        </w:rPr>
        <w:t xml:space="preserve"> increased with age, supporting the focus on age in the </w:t>
      </w:r>
      <w:r w:rsidR="005C0395" w:rsidRPr="005B79BA">
        <w:rPr>
          <w:rFonts w:asciiTheme="majorHAnsi" w:hAnsiTheme="majorHAnsi" w:cs="Times New Roman"/>
          <w:sz w:val="20"/>
          <w:szCs w:val="20"/>
          <w:lang w:val="en-US"/>
        </w:rPr>
        <w:t>CHA</w:t>
      </w:r>
      <w:r w:rsidR="005C0395" w:rsidRPr="005B79BA">
        <w:rPr>
          <w:rFonts w:asciiTheme="majorHAnsi" w:hAnsiTheme="majorHAnsi" w:cs="Times New Roman"/>
          <w:sz w:val="20"/>
          <w:szCs w:val="20"/>
          <w:vertAlign w:val="subscript"/>
          <w:lang w:val="en-US"/>
        </w:rPr>
        <w:t>2</w:t>
      </w:r>
      <w:r w:rsidR="005C0395" w:rsidRPr="005B79BA">
        <w:rPr>
          <w:rFonts w:asciiTheme="majorHAnsi" w:hAnsiTheme="majorHAnsi" w:cs="Times New Roman"/>
          <w:sz w:val="20"/>
          <w:szCs w:val="20"/>
          <w:lang w:val="en-US"/>
        </w:rPr>
        <w:t>DS</w:t>
      </w:r>
      <w:r w:rsidR="005C0395" w:rsidRPr="005B79BA">
        <w:rPr>
          <w:rFonts w:asciiTheme="majorHAnsi" w:hAnsiTheme="majorHAnsi" w:cs="Times New Roman"/>
          <w:sz w:val="20"/>
          <w:szCs w:val="20"/>
          <w:vertAlign w:val="subscript"/>
          <w:lang w:val="en-US"/>
        </w:rPr>
        <w:t>2</w:t>
      </w:r>
      <w:r w:rsidR="005C0395" w:rsidRPr="005B79BA">
        <w:rPr>
          <w:rFonts w:asciiTheme="majorHAnsi" w:hAnsiTheme="majorHAnsi" w:cs="Times New Roman"/>
          <w:sz w:val="20"/>
          <w:szCs w:val="20"/>
          <w:lang w:val="en-US"/>
        </w:rPr>
        <w:t>-VASc score.</w:t>
      </w:r>
    </w:p>
    <w:p w14:paraId="18F6047A" w14:textId="77777777" w:rsidR="00C63C1F" w:rsidRPr="005B79BA" w:rsidRDefault="00C63C1F" w:rsidP="005B79BA">
      <w:pPr>
        <w:autoSpaceDE w:val="0"/>
        <w:autoSpaceDN w:val="0"/>
        <w:adjustRightInd w:val="0"/>
        <w:jc w:val="both"/>
        <w:rPr>
          <w:rFonts w:asciiTheme="majorHAnsi" w:hAnsiTheme="majorHAnsi" w:cs="Times New Roman"/>
          <w:color w:val="000000"/>
          <w:sz w:val="20"/>
          <w:szCs w:val="20"/>
          <w:lang w:val="en-US"/>
        </w:rPr>
      </w:pPr>
    </w:p>
    <w:p w14:paraId="7CF36A28" w14:textId="79969F20" w:rsidR="00E923F9" w:rsidRPr="005B79BA" w:rsidRDefault="00EE580B"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By illustrating the probability of survival according to different </w:t>
      </w:r>
      <w:r w:rsidRPr="005B79BA">
        <w:rPr>
          <w:rFonts w:asciiTheme="majorHAnsi" w:hAnsiTheme="majorHAnsi" w:cs="Times New Roman"/>
          <w:color w:val="000000"/>
          <w:sz w:val="20"/>
          <w:szCs w:val="20"/>
          <w:lang w:val="en-US"/>
        </w:rPr>
        <w:t>CHA</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DS</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 xml:space="preserve">-VASc scores, it is possible to see how much each score influence the survival rate. </w:t>
      </w:r>
      <w:r w:rsidR="00E61DCC" w:rsidRPr="005B79BA">
        <w:rPr>
          <w:rFonts w:asciiTheme="majorHAnsi" w:hAnsiTheme="majorHAnsi" w:cs="Times New Roman"/>
          <w:color w:val="000000"/>
          <w:sz w:val="20"/>
          <w:szCs w:val="20"/>
          <w:lang w:val="en-US"/>
        </w:rPr>
        <w:t xml:space="preserve">According to our results, </w:t>
      </w:r>
      <w:r w:rsidR="00E61DCC" w:rsidRPr="005B79BA">
        <w:rPr>
          <w:rFonts w:asciiTheme="majorHAnsi" w:hAnsiTheme="majorHAnsi" w:cs="Times New Roman"/>
          <w:sz w:val="20"/>
          <w:szCs w:val="20"/>
          <w:lang w:val="en-US"/>
        </w:rPr>
        <w:t xml:space="preserve">the </w:t>
      </w:r>
      <w:r w:rsidR="00073264" w:rsidRPr="005B79BA">
        <w:rPr>
          <w:rFonts w:asciiTheme="majorHAnsi" w:hAnsiTheme="majorHAnsi" w:cs="Times New Roman"/>
          <w:sz w:val="20"/>
          <w:szCs w:val="20"/>
          <w:lang w:val="en-US"/>
        </w:rPr>
        <w:t xml:space="preserve">5-year </w:t>
      </w:r>
      <w:r w:rsidR="00E61DCC" w:rsidRPr="005B79BA">
        <w:rPr>
          <w:rFonts w:asciiTheme="majorHAnsi" w:hAnsiTheme="majorHAnsi" w:cs="Times New Roman"/>
          <w:sz w:val="20"/>
          <w:szCs w:val="20"/>
          <w:lang w:val="en-US"/>
        </w:rPr>
        <w:t xml:space="preserve">survival </w:t>
      </w:r>
      <w:r w:rsidR="00073264" w:rsidRPr="005B79BA">
        <w:rPr>
          <w:rFonts w:asciiTheme="majorHAnsi" w:hAnsiTheme="majorHAnsi" w:cs="Times New Roman"/>
          <w:sz w:val="20"/>
          <w:szCs w:val="20"/>
          <w:lang w:val="en-US"/>
        </w:rPr>
        <w:t>rate</w:t>
      </w:r>
      <w:r w:rsidR="00E61DCC" w:rsidRPr="005B79BA">
        <w:rPr>
          <w:rFonts w:asciiTheme="majorHAnsi" w:hAnsiTheme="majorHAnsi" w:cs="Times New Roman"/>
          <w:sz w:val="20"/>
          <w:szCs w:val="20"/>
          <w:lang w:val="en-US"/>
        </w:rPr>
        <w:t xml:space="preserve"> decreased </w:t>
      </w:r>
      <w:r w:rsidR="005C0395" w:rsidRPr="005B79BA">
        <w:rPr>
          <w:rFonts w:asciiTheme="majorHAnsi" w:hAnsiTheme="majorHAnsi" w:cs="Times New Roman"/>
          <w:sz w:val="20"/>
          <w:szCs w:val="20"/>
          <w:lang w:val="en-US"/>
        </w:rPr>
        <w:t>noticeably</w:t>
      </w:r>
      <w:r w:rsidR="00E61DCC" w:rsidRPr="005B79BA">
        <w:rPr>
          <w:rFonts w:asciiTheme="majorHAnsi" w:hAnsiTheme="majorHAnsi" w:cs="Times New Roman"/>
          <w:sz w:val="20"/>
          <w:szCs w:val="20"/>
          <w:lang w:val="en-US"/>
        </w:rPr>
        <w:t xml:space="preserve"> with a CHA</w:t>
      </w:r>
      <w:r w:rsidR="00E61DCC" w:rsidRPr="005B79BA">
        <w:rPr>
          <w:rFonts w:asciiTheme="majorHAnsi" w:hAnsiTheme="majorHAnsi" w:cs="Times New Roman"/>
          <w:sz w:val="20"/>
          <w:szCs w:val="20"/>
          <w:vertAlign w:val="subscript"/>
          <w:lang w:val="en-US"/>
        </w:rPr>
        <w:t>2</w:t>
      </w:r>
      <w:r w:rsidR="00E61DCC" w:rsidRPr="005B79BA">
        <w:rPr>
          <w:rFonts w:asciiTheme="majorHAnsi" w:hAnsiTheme="majorHAnsi" w:cs="Times New Roman"/>
          <w:sz w:val="20"/>
          <w:szCs w:val="20"/>
          <w:lang w:val="en-US"/>
        </w:rPr>
        <w:t>DS</w:t>
      </w:r>
      <w:r w:rsidR="00E61DCC" w:rsidRPr="005B79BA">
        <w:rPr>
          <w:rFonts w:asciiTheme="majorHAnsi" w:hAnsiTheme="majorHAnsi" w:cs="Times New Roman"/>
          <w:sz w:val="20"/>
          <w:szCs w:val="20"/>
          <w:vertAlign w:val="subscript"/>
          <w:lang w:val="en-US"/>
        </w:rPr>
        <w:t>2</w:t>
      </w:r>
      <w:r w:rsidR="00E61DCC" w:rsidRPr="005B79BA">
        <w:rPr>
          <w:rFonts w:asciiTheme="majorHAnsi" w:hAnsiTheme="majorHAnsi" w:cs="Times New Roman"/>
          <w:sz w:val="20"/>
          <w:szCs w:val="20"/>
          <w:lang w:val="en-US"/>
        </w:rPr>
        <w:t xml:space="preserve">-VASc score of &gt;1 </w:t>
      </w:r>
      <w:r w:rsidR="00F00586" w:rsidRPr="005B79BA">
        <w:rPr>
          <w:rFonts w:asciiTheme="majorHAnsi" w:hAnsiTheme="majorHAnsi" w:cs="Times New Roman"/>
          <w:sz w:val="20"/>
          <w:szCs w:val="20"/>
          <w:lang w:val="en-US"/>
        </w:rPr>
        <w:t xml:space="preserve">and with a score of ≥3 being the most hazardous score associated with a lower survival. This </w:t>
      </w:r>
      <w:r w:rsidR="00E61DCC" w:rsidRPr="005B79BA">
        <w:rPr>
          <w:rFonts w:asciiTheme="majorHAnsi" w:hAnsiTheme="majorHAnsi" w:cs="Times New Roman"/>
          <w:sz w:val="20"/>
          <w:szCs w:val="20"/>
          <w:lang w:val="en-US"/>
        </w:rPr>
        <w:t>indicat</w:t>
      </w:r>
      <w:r w:rsidR="00F00586" w:rsidRPr="005B79BA">
        <w:rPr>
          <w:rFonts w:asciiTheme="majorHAnsi" w:hAnsiTheme="majorHAnsi" w:cs="Times New Roman"/>
          <w:sz w:val="20"/>
          <w:szCs w:val="20"/>
          <w:lang w:val="en-US"/>
        </w:rPr>
        <w:t>es</w:t>
      </w:r>
      <w:r w:rsidR="00E61DCC" w:rsidRPr="005B79BA">
        <w:rPr>
          <w:rFonts w:asciiTheme="majorHAnsi" w:hAnsiTheme="majorHAnsi" w:cs="Times New Roman"/>
          <w:sz w:val="20"/>
          <w:szCs w:val="20"/>
          <w:lang w:val="en-US"/>
        </w:rPr>
        <w:t xml:space="preserve"> that it is reasonable to manage patients with a CHA</w:t>
      </w:r>
      <w:r w:rsidR="00E61DCC" w:rsidRPr="005B79BA">
        <w:rPr>
          <w:rFonts w:asciiTheme="majorHAnsi" w:hAnsiTheme="majorHAnsi" w:cs="Times New Roman"/>
          <w:sz w:val="20"/>
          <w:szCs w:val="20"/>
          <w:vertAlign w:val="subscript"/>
          <w:lang w:val="en-US"/>
        </w:rPr>
        <w:t>2</w:t>
      </w:r>
      <w:r w:rsidR="00E61DCC" w:rsidRPr="005B79BA">
        <w:rPr>
          <w:rFonts w:asciiTheme="majorHAnsi" w:hAnsiTheme="majorHAnsi" w:cs="Times New Roman"/>
          <w:sz w:val="20"/>
          <w:szCs w:val="20"/>
          <w:lang w:val="en-US"/>
        </w:rPr>
        <w:t>DS</w:t>
      </w:r>
      <w:r w:rsidR="00E61DCC" w:rsidRPr="005B79BA">
        <w:rPr>
          <w:rFonts w:asciiTheme="majorHAnsi" w:hAnsiTheme="majorHAnsi" w:cs="Times New Roman"/>
          <w:sz w:val="20"/>
          <w:szCs w:val="20"/>
          <w:vertAlign w:val="subscript"/>
          <w:lang w:val="en-US"/>
        </w:rPr>
        <w:t>2</w:t>
      </w:r>
      <w:r w:rsidR="00E61DCC" w:rsidRPr="005B79BA">
        <w:rPr>
          <w:rFonts w:asciiTheme="majorHAnsi" w:hAnsiTheme="majorHAnsi" w:cs="Times New Roman"/>
          <w:sz w:val="20"/>
          <w:szCs w:val="20"/>
          <w:lang w:val="en-US"/>
        </w:rPr>
        <w:t>-VASc score of ≥1 with antithrombotic therapy</w:t>
      </w:r>
      <w:r w:rsidR="00971D59" w:rsidRPr="005B79BA">
        <w:rPr>
          <w:rFonts w:asciiTheme="majorHAnsi" w:hAnsiTheme="majorHAnsi" w:cs="Times New Roman"/>
          <w:sz w:val="20"/>
          <w:szCs w:val="20"/>
          <w:lang w:val="en-US"/>
        </w:rPr>
        <w:t>, as currently suggested in guidelines</w:t>
      </w:r>
      <w:r w:rsidR="00E61DCC" w:rsidRPr="005B79BA">
        <w:rPr>
          <w:rFonts w:asciiTheme="majorHAnsi" w:hAnsiTheme="majorHAnsi" w:cs="Times New Roman"/>
          <w:sz w:val="20"/>
          <w:szCs w:val="20"/>
          <w:lang w:val="en-US"/>
        </w:rPr>
        <w:t>.</w:t>
      </w:r>
      <w:r w:rsidR="00687507" w:rsidRPr="005B79BA">
        <w:rPr>
          <w:rFonts w:asciiTheme="majorHAnsi" w:hAnsiTheme="majorHAnsi" w:cs="Times New Roman"/>
          <w:sz w:val="20"/>
          <w:szCs w:val="20"/>
          <w:lang w:val="en-US"/>
        </w:rPr>
        <w:t xml:space="preserve"> Today, </w:t>
      </w:r>
      <w:r w:rsidR="00AA3656" w:rsidRPr="005B79BA">
        <w:rPr>
          <w:rFonts w:asciiTheme="majorHAnsi" w:hAnsiTheme="majorHAnsi" w:cs="Times New Roman"/>
          <w:sz w:val="20"/>
          <w:szCs w:val="20"/>
          <w:lang w:val="en-US"/>
        </w:rPr>
        <w:t xml:space="preserve">many </w:t>
      </w:r>
      <w:r w:rsidR="00687507" w:rsidRPr="005B79BA">
        <w:rPr>
          <w:rFonts w:asciiTheme="majorHAnsi" w:hAnsiTheme="majorHAnsi" w:cs="Times New Roman"/>
          <w:sz w:val="20"/>
          <w:szCs w:val="20"/>
          <w:lang w:val="en-US"/>
        </w:rPr>
        <w:t>n</w:t>
      </w:r>
      <w:r w:rsidR="004A081A" w:rsidRPr="005B79BA">
        <w:rPr>
          <w:rFonts w:asciiTheme="majorHAnsi" w:hAnsiTheme="majorHAnsi" w:cs="Times New Roman"/>
          <w:sz w:val="20"/>
          <w:szCs w:val="20"/>
          <w:lang w:val="en-US"/>
        </w:rPr>
        <w:t>on-valvular AF</w:t>
      </w:r>
      <w:r w:rsidR="003514B7" w:rsidRPr="005B79BA">
        <w:rPr>
          <w:rFonts w:asciiTheme="majorHAnsi" w:hAnsiTheme="majorHAnsi" w:cs="Times New Roman"/>
          <w:sz w:val="20"/>
          <w:szCs w:val="20"/>
          <w:lang w:val="en-US"/>
        </w:rPr>
        <w:t xml:space="preserve"> patients aged &lt;65 </w:t>
      </w:r>
      <w:r w:rsidR="00971D59" w:rsidRPr="005B79BA">
        <w:rPr>
          <w:rFonts w:asciiTheme="majorHAnsi" w:hAnsiTheme="majorHAnsi" w:cs="Times New Roman"/>
          <w:sz w:val="20"/>
          <w:szCs w:val="20"/>
          <w:lang w:val="en-US"/>
        </w:rPr>
        <w:t xml:space="preserve">are not necessarily on antithrombotic therapy, but </w:t>
      </w:r>
      <w:r w:rsidR="003514B7" w:rsidRPr="005B79BA">
        <w:rPr>
          <w:rFonts w:asciiTheme="majorHAnsi" w:hAnsiTheme="majorHAnsi" w:cs="Times New Roman"/>
          <w:sz w:val="20"/>
          <w:szCs w:val="20"/>
          <w:lang w:val="en-US"/>
        </w:rPr>
        <w:t>with</w:t>
      </w:r>
      <w:r w:rsidR="0090512D" w:rsidRPr="005B79BA">
        <w:rPr>
          <w:rFonts w:asciiTheme="majorHAnsi" w:hAnsiTheme="majorHAnsi" w:cs="Times New Roman"/>
          <w:sz w:val="20"/>
          <w:szCs w:val="20"/>
          <w:lang w:val="en-US"/>
        </w:rPr>
        <w:t xml:space="preserve"> presence of</w:t>
      </w:r>
      <w:r w:rsidR="003514B7" w:rsidRPr="005B79BA">
        <w:rPr>
          <w:rFonts w:asciiTheme="majorHAnsi" w:hAnsiTheme="majorHAnsi" w:cs="Times New Roman"/>
          <w:sz w:val="20"/>
          <w:szCs w:val="20"/>
          <w:lang w:val="en-US"/>
        </w:rPr>
        <w:t xml:space="preserve"> the risk factor</w:t>
      </w:r>
      <w:r w:rsidR="00AA3656" w:rsidRPr="005B79BA">
        <w:rPr>
          <w:rFonts w:asciiTheme="majorHAnsi" w:hAnsiTheme="majorHAnsi" w:cs="Times New Roman"/>
          <w:sz w:val="20"/>
          <w:szCs w:val="20"/>
          <w:lang w:val="en-US"/>
        </w:rPr>
        <w:t xml:space="preserve">s of </w:t>
      </w:r>
      <w:r w:rsidR="00687507" w:rsidRPr="005B79BA">
        <w:rPr>
          <w:rFonts w:asciiTheme="majorHAnsi" w:hAnsiTheme="majorHAnsi" w:cs="Times New Roman"/>
          <w:sz w:val="20"/>
          <w:szCs w:val="20"/>
          <w:lang w:val="en-US"/>
        </w:rPr>
        <w:t>prior stroke or</w:t>
      </w:r>
      <w:r w:rsidR="00F02DD7" w:rsidRPr="005B79BA">
        <w:rPr>
          <w:rFonts w:asciiTheme="majorHAnsi" w:hAnsiTheme="majorHAnsi" w:cs="Times New Roman"/>
          <w:sz w:val="20"/>
          <w:szCs w:val="20"/>
          <w:lang w:val="en-US"/>
        </w:rPr>
        <w:t xml:space="preserve"> </w:t>
      </w:r>
      <w:r w:rsidR="003514B7" w:rsidRPr="005B79BA">
        <w:rPr>
          <w:rFonts w:asciiTheme="majorHAnsi" w:hAnsiTheme="majorHAnsi" w:cs="Times New Roman"/>
          <w:sz w:val="20"/>
          <w:szCs w:val="20"/>
          <w:lang w:val="en-US"/>
        </w:rPr>
        <w:t>vascular disease</w:t>
      </w:r>
      <w:r w:rsidR="00F02DD7" w:rsidRPr="005B79BA">
        <w:rPr>
          <w:rFonts w:asciiTheme="majorHAnsi" w:hAnsiTheme="majorHAnsi" w:cs="Times New Roman"/>
          <w:sz w:val="20"/>
          <w:szCs w:val="20"/>
          <w:lang w:val="en-US"/>
        </w:rPr>
        <w:t xml:space="preserve">, </w:t>
      </w:r>
      <w:r w:rsidR="00971D59" w:rsidRPr="005B79BA">
        <w:rPr>
          <w:rFonts w:asciiTheme="majorHAnsi" w:hAnsiTheme="majorHAnsi" w:cs="Times New Roman"/>
          <w:sz w:val="20"/>
          <w:szCs w:val="20"/>
          <w:lang w:val="en-US"/>
        </w:rPr>
        <w:t>this patient group</w:t>
      </w:r>
      <w:r w:rsidR="003514B7" w:rsidRPr="005B79BA">
        <w:rPr>
          <w:rFonts w:asciiTheme="majorHAnsi" w:hAnsiTheme="majorHAnsi" w:cs="Times New Roman"/>
          <w:sz w:val="20"/>
          <w:szCs w:val="20"/>
          <w:lang w:val="en-US"/>
        </w:rPr>
        <w:t xml:space="preserve"> ha</w:t>
      </w:r>
      <w:r w:rsidR="00971D59" w:rsidRPr="005B79BA">
        <w:rPr>
          <w:rFonts w:asciiTheme="majorHAnsi" w:hAnsiTheme="majorHAnsi" w:cs="Times New Roman"/>
          <w:sz w:val="20"/>
          <w:szCs w:val="20"/>
          <w:lang w:val="en-US"/>
        </w:rPr>
        <w:t>s</w:t>
      </w:r>
      <w:r w:rsidR="003514B7" w:rsidRPr="005B79BA">
        <w:rPr>
          <w:rFonts w:asciiTheme="majorHAnsi" w:hAnsiTheme="majorHAnsi" w:cs="Times New Roman"/>
          <w:sz w:val="20"/>
          <w:szCs w:val="20"/>
          <w:lang w:val="en-US"/>
        </w:rPr>
        <w:t xml:space="preserve"> an increased risk of stroke</w:t>
      </w:r>
      <w:r w:rsidR="00E923F9" w:rsidRPr="005B79BA">
        <w:rPr>
          <w:rFonts w:asciiTheme="majorHAnsi" w:hAnsiTheme="majorHAnsi" w:cs="Times New Roman"/>
          <w:sz w:val="20"/>
          <w:szCs w:val="20"/>
          <w:lang w:val="en-US"/>
        </w:rPr>
        <w:t xml:space="preserve">, </w:t>
      </w:r>
      <w:r w:rsidR="003514B7" w:rsidRPr="005B79BA">
        <w:rPr>
          <w:rFonts w:asciiTheme="majorHAnsi" w:hAnsiTheme="majorHAnsi" w:cs="Times New Roman"/>
          <w:sz w:val="20"/>
          <w:szCs w:val="20"/>
          <w:lang w:val="en-US"/>
        </w:rPr>
        <w:t xml:space="preserve">and would probably benefit from </w:t>
      </w:r>
      <w:r w:rsidR="00AA3656" w:rsidRPr="005B79BA">
        <w:rPr>
          <w:rFonts w:asciiTheme="majorHAnsi" w:hAnsiTheme="majorHAnsi" w:cs="Times New Roman"/>
          <w:sz w:val="20"/>
          <w:szCs w:val="20"/>
          <w:lang w:val="en-US"/>
        </w:rPr>
        <w:t>thromboprophylaxis</w:t>
      </w:r>
      <w:r w:rsidR="009F7CE0" w:rsidRPr="005B79BA">
        <w:rPr>
          <w:rFonts w:asciiTheme="majorHAnsi" w:hAnsiTheme="majorHAnsi" w:cstheme="minorHAnsi"/>
          <w:sz w:val="20"/>
          <w:szCs w:val="20"/>
          <w:lang w:val="en-US"/>
        </w:rPr>
        <w:fldChar w:fldCharType="begin" w:fldLock="1"/>
      </w:r>
      <w:r w:rsidR="00F27147" w:rsidRPr="005B79BA">
        <w:rPr>
          <w:rFonts w:asciiTheme="majorHAnsi" w:hAnsiTheme="majorHAnsi" w:cstheme="minorHAnsi"/>
          <w:sz w:val="20"/>
          <w:szCs w:val="20"/>
          <w:lang w:val="en-US"/>
        </w:rPr>
        <w:instrText xml:space="preserve">ADDIN Mendeley Citation{fd413c58-b591-4b7d-b9fb-2696b69f10ff};{9a0f49e7-49df-4645-9594-45bac3c2b115} CSL_CITATION  { "citationItems" : [ { "id" : "ITEM-1", "itemData" : { "DOI" : "10.1378/chest.11-0862", "abstract" : "According to the latest European guidelines on the management of nonvalvular atrial fibrillation (NVAF), all patients aged \u2265 65 years should be treated with oral anticoagulation (if not contraindicated). Therefore, stroke risk factors should be investigated exclusively in patients with NVAF aged \u003c 65 years.", "author" : [ { "family" : "Olesen", "given" : "Jonas Bjerring" }, { "family" : "Fauchier", "given" : "Laurent" }, { "family" : "Lane", "given" : "Deirdre A" }, { "family" : "Taillandier", "given" : "Sophie" }, { "family" : "Lip", "given" : "Gregory Y H" } ], "container-title" : "Chest", "id" : "ITEM-1", "issue" : "1", "issued" : { "date-parts" : [ [ "2012", "1" ] ] }, "note" : "\u003cm:note\u003e\u003c/m:note\u003e", "page" : "147-53", "title" : "Risk factors for stroke and thromboembolism in relation to age among patients with atrial fibrillation: the Loire Valley Atrial Fibrillation Project.", "type" : "article-journal", "volume" : "141" }, "uris" : [ "http://www.mendeley.com/documents/?uuid=fd413c58-b591-4b7d-b9fb-2696b69f10ff" ] }, { "id" : "ITEM-2", "itemData" : { "DOI" : "10.1161/CIRCULATIONAHA.106.644484", "abstract" : "The long-term natural history of lone atrial fibrillation is unknown. Our objective was to determine the rate and predictors of progression from paroxysmal to permanent atrial fibrillation over 30 years and the long-term risk of heart failure, thromboembolism, and death compared with a control population.", "author" : [ { "family" : "Jahangir", "given" : "Arshad" }, { "family" : "Lee", "given" : "Victor" }, { "family" : "Friedman", "given" : "Paul a" }, { "family" : "Trusty", "given" : "Jane M" }, { "family" : "Hodge", "given" : "David O" }, { "family" : "Kopecky", "given" : "Stephen L" }, { "family" : "Packer", "given" : "Douglas L" }, { "family" : "Hammill", "given" : "Stephen C" }, { "family" : "Shen", "given" : "Win-Kuang" }, { "family" : "Gersh", "given" : "Bernard J" } ], "container-title" : "Circulation", "id" : "ITEM-2", "issue" : "24", "issued" : { "date-parts" : [ [ "2007", "6", "19" ] ] }, "note" : "\u003cm:note\u003e\u003c/m:note\u003e", "page" : "3050-6", "title" : "Long-term progression and outcomes with aging in patients with lone atrial fibrillation: a 30-year follow-up study.", "type" : "article-journal", "volume" : "115" }, "uris" : [ "http://www.mendeley.com/documents/?uuid=9a0f49e7-49df-4645-9594-45bac3c2b115" ] } ], "mendeley" : { "previouslyFormattedCitation" : "\u003csup\u003e17,19\u003c/sup\u003e" }, "properties" : { "noteIndex" : 0 }, "schema" : "https://github.com/citation-style-language/schema/raw/master/csl-citation.json" } </w:instrText>
      </w:r>
      <w:r w:rsidR="009F7CE0" w:rsidRPr="005B79BA">
        <w:rPr>
          <w:rFonts w:asciiTheme="majorHAnsi" w:hAnsiTheme="majorHAnsi" w:cstheme="minorHAnsi"/>
          <w:sz w:val="20"/>
          <w:szCs w:val="20"/>
          <w:lang w:val="en-US"/>
        </w:rPr>
        <w:fldChar w:fldCharType="separate"/>
      </w:r>
      <w:r w:rsidR="00F27147" w:rsidRPr="005B79BA">
        <w:rPr>
          <w:rFonts w:asciiTheme="majorHAnsi" w:hAnsiTheme="majorHAnsi" w:cstheme="minorHAnsi"/>
          <w:noProof/>
          <w:sz w:val="20"/>
          <w:szCs w:val="20"/>
          <w:vertAlign w:val="superscript"/>
          <w:lang w:val="en-US"/>
        </w:rPr>
        <w:t>17,19</w:t>
      </w:r>
      <w:r w:rsidR="009F7CE0" w:rsidRPr="005B79BA">
        <w:rPr>
          <w:rFonts w:asciiTheme="majorHAnsi" w:hAnsiTheme="majorHAnsi" w:cstheme="minorHAnsi"/>
          <w:sz w:val="20"/>
          <w:szCs w:val="20"/>
          <w:lang w:val="en-US"/>
        </w:rPr>
        <w:fldChar w:fldCharType="end"/>
      </w:r>
      <w:r w:rsidR="00971D59" w:rsidRPr="005B79BA">
        <w:rPr>
          <w:rFonts w:asciiTheme="majorHAnsi" w:hAnsiTheme="majorHAnsi" w:cs="Times New Roman"/>
          <w:sz w:val="20"/>
          <w:szCs w:val="20"/>
          <w:lang w:val="en-US"/>
        </w:rPr>
        <w:t xml:space="preserve">. However, </w:t>
      </w:r>
      <w:r w:rsidR="00AA3656" w:rsidRPr="005B79BA">
        <w:rPr>
          <w:rFonts w:asciiTheme="majorHAnsi" w:hAnsiTheme="majorHAnsi" w:cs="Times New Roman"/>
          <w:sz w:val="20"/>
          <w:szCs w:val="20"/>
          <w:lang w:val="en-US"/>
        </w:rPr>
        <w:t xml:space="preserve">for </w:t>
      </w:r>
      <w:r w:rsidR="003514B7" w:rsidRPr="005B79BA">
        <w:rPr>
          <w:rFonts w:asciiTheme="majorHAnsi" w:hAnsiTheme="majorHAnsi" w:cs="Times New Roman"/>
          <w:sz w:val="20"/>
          <w:szCs w:val="20"/>
          <w:lang w:val="en-US"/>
        </w:rPr>
        <w:t xml:space="preserve">patients aged &lt;65 with only female sex or well-treated hypertension as a risk factor, </w:t>
      </w:r>
      <w:r w:rsidR="00E923F9" w:rsidRPr="005B79BA">
        <w:rPr>
          <w:rFonts w:asciiTheme="majorHAnsi" w:hAnsiTheme="majorHAnsi" w:cs="Times New Roman"/>
          <w:sz w:val="20"/>
          <w:szCs w:val="20"/>
          <w:lang w:val="en-US"/>
        </w:rPr>
        <w:t>anticoagulant treatment</w:t>
      </w:r>
      <w:r w:rsidR="003514B7" w:rsidRPr="005B79BA">
        <w:rPr>
          <w:rFonts w:asciiTheme="majorHAnsi" w:hAnsiTheme="majorHAnsi" w:cs="Times New Roman"/>
          <w:sz w:val="20"/>
          <w:szCs w:val="20"/>
          <w:lang w:val="en-US"/>
        </w:rPr>
        <w:t xml:space="preserve"> will most likely not be a clinical beneficial or socio-economic choice</w:t>
      </w:r>
      <w:r w:rsidR="009F7CE0" w:rsidRPr="005B79BA">
        <w:rPr>
          <w:rFonts w:asciiTheme="majorHAnsi" w:hAnsiTheme="majorHAnsi" w:cs="Times New Roman"/>
          <w:sz w:val="20"/>
          <w:szCs w:val="20"/>
          <w:lang w:val="en-US"/>
        </w:rPr>
        <w:fldChar w:fldCharType="begin" w:fldLock="1"/>
      </w:r>
      <w:r w:rsidR="00F27147" w:rsidRPr="005B79BA">
        <w:rPr>
          <w:rFonts w:asciiTheme="majorHAnsi" w:hAnsiTheme="majorHAnsi" w:cs="Times New Roman"/>
          <w:sz w:val="20"/>
          <w:szCs w:val="20"/>
          <w:lang w:val="en-US"/>
        </w:rPr>
        <w:instrText xml:space="preserve">ADDIN Mendeley Citation{b042543f-0b3e-4bb6-ae6c-5b06d716ee82} CSL_CITATION  { "citationItems" : [ { "id" : "ITEM-1", "itemData" : { "DOI" : "10.1160/TH07-08-0508", "abstract" : "The risk of stroke in atrial fibrillation (AF) needs to be assessed in each patient to determine the clinical and cost-effectiveness of thromboprophylaxis, with the aim of appropriate use of antithrombotic therapy. To achieve this, stroke risk factors in AF populations need to be identified and stroke risk stratification models have been devised on the basis of these risk factors. In this article, we firstly provide a systematic review of studies examining the attributable stroke risk of various clinical, demographic and echocardiographic patient characteristics in AF populations. Secondly, we performed a systematic review of published stroke risk stratification models, in terms of the results of the review of stroke risk factors and their ability to accurately discriminate between different levels of stroke risk. Thirdly, we review the health economic evidence relating to the cost-effectiveness of anticoagulation and antiplatelet therapy as thromboprophylaxis in AF patients. The studies included in the systematic review of stroke risk factors identified history of stroke or TIA, increasing age, hypertension and structural heart disease (left-ventricular dysfunction or hypertrophy) to be good predictors of stroke risk in AF patients. The evidence regarding diabetes mellitus, gender and other patient characteristics was less consistent. Three stroke risk stratification models were identified that were able to discriminate between different categories of stroke risk to at least 95% accuracy. Few models had addressed the cumulative nature of risk factors where a combination of risk factors would confer a greater risk than either factor alone. In patients at high risk of stroke, anticoagulation is cost effective, but not for those with a low risk of stroke. With the evidence available for stroke risk factors and the various alternative stroke risk stratification models, a review of these models in terms of the evidence on which they are devised and their performance in representative AF populations is important. The appropriate administration of thromboprophylaxis in AF patients would need to balance the risks and benefits of antithrombotic therapy with its cost-effectiveness.", "author" : [ { "family" : "Hughes", "given" : "Michael" }, { "family" : "Lip", "given" : "Gregory Y H" } ], "container-title" : "Thrombosis and haemostasis", "id" : "ITEM-1", "issue" : "2", "issued" : { "date-parts" : [ [ "2008", "2" ] ] }, "page" : "295-304", "title" : "Stroke and thromboembolism in atrial fibrillation: a systematic review of stroke risk factors, risk stratification schema and cost effectiveness data.", "type" : "article-journal", "volume" : "99" }, "uris" : [ "http://www.mendeley.com/documents/?uuid=b042543f-0b3e-4bb6-ae6c-5b06d716ee82" ] } ], "mendeley" : { "previouslyFormattedCitation" : "\u003csup\u003e20\u003c/sup\u003e" }, "properties" : { "noteIndex" : 0 }, "schema" : "https://github.com/citation-style-language/schema/raw/master/csl-citation.json" } </w:instrText>
      </w:r>
      <w:r w:rsidR="009F7CE0" w:rsidRPr="005B79BA">
        <w:rPr>
          <w:rFonts w:asciiTheme="majorHAnsi" w:hAnsiTheme="majorHAnsi" w:cs="Times New Roman"/>
          <w:sz w:val="20"/>
          <w:szCs w:val="20"/>
          <w:lang w:val="en-US"/>
        </w:rPr>
        <w:fldChar w:fldCharType="separate"/>
      </w:r>
      <w:r w:rsidR="00F27147" w:rsidRPr="005B79BA">
        <w:rPr>
          <w:rFonts w:asciiTheme="majorHAnsi" w:hAnsiTheme="majorHAnsi" w:cs="Times New Roman"/>
          <w:noProof/>
          <w:sz w:val="20"/>
          <w:szCs w:val="20"/>
          <w:vertAlign w:val="superscript"/>
          <w:lang w:val="en-US"/>
        </w:rPr>
        <w:t>20</w:t>
      </w:r>
      <w:r w:rsidR="009F7CE0" w:rsidRPr="005B79BA">
        <w:rPr>
          <w:rFonts w:asciiTheme="majorHAnsi" w:hAnsiTheme="majorHAnsi" w:cs="Times New Roman"/>
          <w:sz w:val="20"/>
          <w:szCs w:val="20"/>
          <w:lang w:val="en-US"/>
        </w:rPr>
        <w:fldChar w:fldCharType="end"/>
      </w:r>
      <w:r w:rsidR="003514B7" w:rsidRPr="005B79BA">
        <w:rPr>
          <w:rFonts w:asciiTheme="majorHAnsi" w:hAnsiTheme="majorHAnsi" w:cs="Times New Roman"/>
          <w:sz w:val="20"/>
          <w:szCs w:val="20"/>
          <w:lang w:val="en-US"/>
        </w:rPr>
        <w:t xml:space="preserve">. </w:t>
      </w:r>
      <w:r w:rsidR="00F20FAF" w:rsidRPr="005B79BA">
        <w:rPr>
          <w:rFonts w:asciiTheme="majorHAnsi" w:hAnsiTheme="majorHAnsi" w:cs="Times New Roman"/>
          <w:sz w:val="20"/>
          <w:szCs w:val="20"/>
          <w:lang w:val="en-US"/>
        </w:rPr>
        <w:t>Additionally, t</w:t>
      </w:r>
      <w:r w:rsidR="00E449AF" w:rsidRPr="005B79BA">
        <w:rPr>
          <w:rFonts w:asciiTheme="majorHAnsi" w:hAnsiTheme="majorHAnsi" w:cs="Times New Roman"/>
          <w:color w:val="000000"/>
          <w:sz w:val="20"/>
          <w:szCs w:val="20"/>
          <w:lang w:val="en-US"/>
        </w:rPr>
        <w:t>he development over time of risk factors such as hypertension, diabetes</w:t>
      </w:r>
      <w:r w:rsidR="00AA3656" w:rsidRPr="005B79BA">
        <w:rPr>
          <w:rFonts w:asciiTheme="majorHAnsi" w:hAnsiTheme="majorHAnsi" w:cs="Times New Roman"/>
          <w:color w:val="000000"/>
          <w:sz w:val="20"/>
          <w:szCs w:val="20"/>
          <w:lang w:val="en-US"/>
        </w:rPr>
        <w:t xml:space="preserve"> mellitus</w:t>
      </w:r>
      <w:r w:rsidR="00E449AF" w:rsidRPr="005B79BA">
        <w:rPr>
          <w:rFonts w:asciiTheme="majorHAnsi" w:hAnsiTheme="majorHAnsi" w:cs="Times New Roman"/>
          <w:color w:val="000000"/>
          <w:sz w:val="20"/>
          <w:szCs w:val="20"/>
          <w:lang w:val="en-US"/>
        </w:rPr>
        <w:t xml:space="preserve"> and cardiov</w:t>
      </w:r>
      <w:r w:rsidR="00E923F9" w:rsidRPr="005B79BA">
        <w:rPr>
          <w:rFonts w:asciiTheme="majorHAnsi" w:hAnsiTheme="majorHAnsi" w:cs="Times New Roman"/>
          <w:color w:val="000000"/>
          <w:sz w:val="20"/>
          <w:szCs w:val="20"/>
          <w:lang w:val="en-US"/>
        </w:rPr>
        <w:t>ascular disease</w:t>
      </w:r>
      <w:r w:rsidR="00E449AF" w:rsidRPr="005B79BA">
        <w:rPr>
          <w:rFonts w:asciiTheme="majorHAnsi" w:hAnsiTheme="majorHAnsi" w:cs="Times New Roman"/>
          <w:color w:val="000000"/>
          <w:sz w:val="20"/>
          <w:szCs w:val="20"/>
          <w:lang w:val="en-US"/>
        </w:rPr>
        <w:t xml:space="preserve"> have been associated with </w:t>
      </w:r>
      <w:r w:rsidR="00F20FAF" w:rsidRPr="005B79BA">
        <w:rPr>
          <w:rFonts w:asciiTheme="majorHAnsi" w:hAnsiTheme="majorHAnsi" w:cs="Times New Roman"/>
          <w:color w:val="000000"/>
          <w:sz w:val="20"/>
          <w:szCs w:val="20"/>
          <w:lang w:val="en-US"/>
        </w:rPr>
        <w:t xml:space="preserve">an </w:t>
      </w:r>
      <w:r w:rsidR="00E449AF" w:rsidRPr="005B79BA">
        <w:rPr>
          <w:rFonts w:asciiTheme="majorHAnsi" w:hAnsiTheme="majorHAnsi" w:cs="Times New Roman"/>
          <w:color w:val="000000"/>
          <w:sz w:val="20"/>
          <w:szCs w:val="20"/>
          <w:lang w:val="en-US"/>
        </w:rPr>
        <w:t>increased risk of stroke</w:t>
      </w:r>
      <w:r w:rsidR="009F7CE0" w:rsidRPr="005B79BA">
        <w:rPr>
          <w:rFonts w:asciiTheme="majorHAnsi" w:hAnsiTheme="majorHAnsi" w:cs="Times New Roman"/>
          <w:color w:val="000000"/>
          <w:sz w:val="20"/>
          <w:szCs w:val="20"/>
          <w:lang w:val="en-US"/>
        </w:rPr>
        <w:fldChar w:fldCharType="begin" w:fldLock="1"/>
      </w:r>
      <w:r w:rsidR="00F27147" w:rsidRPr="005B79BA">
        <w:rPr>
          <w:rFonts w:asciiTheme="majorHAnsi" w:hAnsiTheme="majorHAnsi" w:cs="Times New Roman"/>
          <w:color w:val="000000"/>
          <w:sz w:val="20"/>
          <w:szCs w:val="20"/>
          <w:lang w:val="en-US"/>
        </w:rPr>
        <w:instrText xml:space="preserve">ADDIN Mendeley Citation{ac3de4ee-64f1-4b1f-b7ce-30e7ebd87ee3};{fd413c58-b591-4b7d-b9fb-2696b69f10ff};{2ec09481-873a-454b-b7b9-1e35ace5a1ed};{0e04113e-ea1c-4338-ba6c-1e483fc9dedc} CSL_CITATION  { "citationItems" : [ { "id" : "ITEM-1", "itemData" : { "DOI" : "10.1378/chest.09-1584", "abstract" : "Contemporary clinical risk stratification schemata for predicting stroke and thromboembolism (TE) in patients with atrial fibrillation (AF) are largely derived from risk factors identified from trial cohorts. Thus, many potential risk factors have not been included.", "author" : [ { "family" : "Lip", "given" : "Gregory Y H" }, { "family" : "Nieuwlaat", "given" : "Robby" }, { "family" : "Pisters", "given" : "Ron" }, { "family" : "Lane", "given" : "Deirdre a" }, { "family" : "Crijns", "given" : "Harry J G M" } ], "container-title" : "Chest", "id" : "ITEM-1", "issue" : "2", "issued" : { "date-parts" : [ [ "2010", "2" ] ] }, "note" : "\u003cm:note\u003e\u003c/m:note\u003e", "page" : "263-72", "title" : "Refining clinical risk stratification for predicting stroke and thromboembolism in atrial fibrillation using a novel risk factor-based approach: the euro heart survey on atrial fibrillation.", "type" : "article-journal", "volume" : "137" }, "uris" : [ "http://www.mendeley.com/documents/?uuid=ac3de4ee-64f1-4b1f-b7ce-30e7ebd87ee3" ] }, { "id" : "ITEM-2", "itemData" : { "DOI" : "10.1378/chest.11-0862", "abstract" : "According to the latest European guidelines on the management of nonvalvular atrial fibrillation (NVAF), all patients aged \u2265 65 years should be treated with oral anticoagulation (if not contraindicated). Therefore, stroke risk factors should be investigated exclusively in patients with NVAF aged \u003c 65 years.", "author" : [ { "family" : "Olesen", "given" : "Jonas Bjerring" }, { "family" : "Fauchier", "given" : "Laurent" }, { "family" : "Lane", "given" : "Deirdre A" }, { "family" : "Taillandier", "given" : "Sophie" }, { "family" : "Lip", "given" : "Gregory Y H" } ], "container-title" : "Chest", "id" : "ITEM-2", "issue" : "1", "issued" : { "date-parts" : [ [ "2012", "1" ] ] }, "note" : "\u003cm:note\u003e\u003c/m:note\u003e", "page" : "147-53", "title" : "Risk factors for stroke and thromboembolism in relation to age among patients with atrial fibrillation: the Loire Valley Atrial Fibrillation Project.", "type" : "article-journal", "volume" : "141" }, "uris" : [ "http://www.mendeley.com/documents/?uuid=fd413c58-b591-4b7d-b9fb-2696b69f10ff" ] }, { "id" : "ITEM-3", "itemData" : { "DOI" : "10.1093/europace/euq350", "author" : [ { "family" : "Camm", "given" : "a John" }, { "family" : "Kirchhof", "given" : "Paulus" }, { "family" : "Lip", "given" : "Gregory Y H" }, { "family" : "Schotten", "given" : "Ulrich" }, { "family" : "Savelieva", "given" : "Irene" }, { "family" : "Ernst", "given" : "Sabine" }, { "family" : "Van Gelder", "given" : "Isabelle C" }, { "family" : "Al-Attar", "given" : "Nawwar" }, { "family" : "Hindricks", "given" : "Gerhard" }, { "family" : "Prendergast", "given" : "Bernard" }, { "family" : "Heidbuchel", "given" : "Hein" }, { "family" : "Alfieri", "given" : "Ottavio" }, { "family" : "Angelini", "given" : "Annalisa" }, { "family" : "Atar", "given" : "Dan" }, { "family" : "Colonna", "given" : "Paolo" }, { "family" : "De Caterina", "given" : "Raffaele" }, { "family" : "De Sutter", "given" : "Johan" }, { "family" : "Goette", "given" : "Andreas" }, { "family" : "Gorenek", "given" : "Bulent" }, { "family" : "Heldal", "given" : "Magnus" }, { "family" : "Hohloser", "given" : "Stefan H" }, { "family" : "Kolh", "given" : "Philippe" }, { "family" : "Le Heuzey", "given" : "Jean-Yves" }, { "family" : "Ponikowski", "given" : "Piotr" }, { "family" : "Rutten", "given" : "Frans H" }, { "family" : "Vahanian", "given" : "Alec" }, { "family" : "Auricchio", "given" : "Angelo" }, { "family" : "Bax", "given" : "Jeroen" }, { "family" : "Ceconi", "given" : "Claudio" }, { "family" : "Dean", "given" : "Veronica" }, { "family" : "Filippatos", "given" : "Gerasimos" }, { "family" : "Funck-Brentano", "given" : "Christian" }, { "family" : "Hobbs", "given" : "Richard" }, { "family" : "Kearney", "given" : "Peter" }, { "family" : "McDonagh", "given" : "Theresa" }, { "family" : "Popescu", "given" : "Bogdan a" }, { "family" : "Reiner", "given" : "Zeljko" }, { "family" : "Sechtem", "given" : "Udo" }, { "family" : "Sirnes", "given" : "Per Anton" }, { "family" : "Tendera", "given" : "Michal" }, { "family" : "Vardas", "given" : "Panos E" }, { "family" : "Widimsky", "given" : "Petr" }, { "family" : "Agladze", "given" : "Vazha" }, { "family" : "Aliot", "given" : "Etienne" }, { "family" : "Balabanski", "given" : "Tosho" }, { "family" : "Blomstrom-Lundqvist", "given" : "Carina" }, { "family" : "Capucci", "given" : "Alessandro" }, { "family" : "Crijns", "given" : "Harry" }, { "family" : "Dahl\u00f6f", "given" : "Bj\u00f6rn" }, { "family" : "Folliguet", "given" : "Thierry" }, { "family" : "Glikson", "given" : "Michael" }, { "family" : "Goethals", "given" : "Marnix" }, { "family" : "Gulba", "given" : "Dietrich C" }, { "family" : "Ho", "given" : "Siew Yen" }, { "family" : "Klautz", "given" : "Robert J M" }, { "family" : "Kose", "given" : "Sedat" }, { "family" : "McMurray", "given" : "John" }, { "family" : "Perrone Filardi", "given" : "Pasquale" }, { "family" : "Raatikainen", "given" : "Pekka" }, { "family" : "Salvador", "given" : "Maria Jesus" }, { "family" : "Schalij", "given" : "Martin J" }, { "family" : "Shpektor", "given" : "Alexander" }, { "family" : "Sousa", "given" : "Jo\u00e3o" }, { "family" : "Stepinska", "given" : "Janina" }, { "family" : "Uuetoa", "given" : "Hasso" }, { "family" : "Zamorano", "given" : "Jose Luis" }, { "family" : "Zupan", "given" : "Igor" } ], "container-title" : "Europace : European pacing, arrhythmias, and cardiac electrophysiology : journal of the working groups on cardiac pacing, arrhythmias, and cardiac cellular electrophysiology of the European Society of Cardiology", "id" : "ITEM-3", "issue" : "10", "issued" : { "date-parts" : [ [ "2010", "10" ] ] }, "note" : "\u003cm:note\u003e\u003c/m:note\u003e", "page" : "1360-420", "title" : "Guidelines for the management of atrial fibrillation: the Task Force for the Management of Atrial Fibrillation of the European Society of Cardiology (ESC).", "type" : "article-journal", "volume" : "12" }, "uris" : [ "http://www.mendeley.com/documents/?uuid=2ec09481-873a-454b-b7b9-1e35ace5a1ed" ] }, { "id" : "ITEM-4", "itemData" : { "DOI" : "10.1161/STROKEAHA.110.590257", "abstract" : "The risk of stroke in patients with atrial fibrillation (AF) is not homogeneous, and various clinical risk factors have informed the development of stroke risk stratification schemes (RSS). Among anticoagulated cohorts, the emphasis should be on the identification of patients who remain at high risk for stroke despite anticoagulation.", "author" : [ { "family" : "Lip", "given" : "Gregory Y H" }, { "family" : "Frison", "given" : "Lars" }, { "family" : "Halperin", "given" : "Jonathan L" }, { "family" : "Lane", "given" : "Deirdre a" } ], "container-title" : "Stroke; a journal of cerebral circulation", "id" : "ITEM-4", "issue" : "12", "issued" : { "date-parts" : [ [ "2010", "12" ] ] }, "page" : "2731-8", "title" : "Identifying patients at high risk for stroke despite anticoagulation: a comparison of contemporary stroke risk stratification schemes in an anticoagulated atrial fibrillation cohort.", "type" : "article-journal", "volume" : "41" }, "uris" : [ "http://www.mendeley.com/documents/?uuid=0e04113e-ea1c-4338-ba6c-1e483fc9dedc" ] } ], "mendeley" : { "previouslyFormattedCitation" : "\u003csup\u003e8,11,16,17\u003c/sup\u003e" }, "properties" : { "noteIndex" : 0 }, "schema" : "https://github.com/citation-style-language/schema/raw/master/csl-citation.json" } </w:instrText>
      </w:r>
      <w:r w:rsidR="009F7CE0" w:rsidRPr="005B79BA">
        <w:rPr>
          <w:rFonts w:asciiTheme="majorHAnsi" w:hAnsiTheme="majorHAnsi" w:cs="Times New Roman"/>
          <w:color w:val="000000"/>
          <w:sz w:val="20"/>
          <w:szCs w:val="20"/>
          <w:lang w:val="en-US"/>
        </w:rPr>
        <w:fldChar w:fldCharType="separate"/>
      </w:r>
      <w:r w:rsidR="00F27147" w:rsidRPr="005B79BA">
        <w:rPr>
          <w:rFonts w:asciiTheme="majorHAnsi" w:hAnsiTheme="majorHAnsi" w:cs="Times New Roman"/>
          <w:noProof/>
          <w:color w:val="000000"/>
          <w:sz w:val="20"/>
          <w:szCs w:val="20"/>
          <w:vertAlign w:val="superscript"/>
          <w:lang w:val="en-US"/>
        </w:rPr>
        <w:t>8,11,16,17</w:t>
      </w:r>
      <w:r w:rsidR="009F7CE0" w:rsidRPr="005B79BA">
        <w:rPr>
          <w:rFonts w:asciiTheme="majorHAnsi" w:hAnsiTheme="majorHAnsi" w:cs="Times New Roman"/>
          <w:color w:val="000000"/>
          <w:sz w:val="20"/>
          <w:szCs w:val="20"/>
          <w:lang w:val="en-US"/>
        </w:rPr>
        <w:fldChar w:fldCharType="end"/>
      </w:r>
      <w:r w:rsidR="00E449AF" w:rsidRPr="005B79BA">
        <w:rPr>
          <w:rFonts w:asciiTheme="majorHAnsi" w:hAnsiTheme="majorHAnsi" w:cs="Times New Roman"/>
          <w:color w:val="000000"/>
          <w:sz w:val="20"/>
          <w:szCs w:val="20"/>
          <w:lang w:val="en-US"/>
        </w:rPr>
        <w:t xml:space="preserve">, </w:t>
      </w:r>
      <w:r w:rsidR="00AA3656" w:rsidRPr="005B79BA">
        <w:rPr>
          <w:rFonts w:asciiTheme="majorHAnsi" w:hAnsiTheme="majorHAnsi" w:cs="Times New Roman"/>
          <w:color w:val="000000"/>
          <w:sz w:val="20"/>
          <w:szCs w:val="20"/>
          <w:lang w:val="en-US"/>
        </w:rPr>
        <w:t>again</w:t>
      </w:r>
      <w:r w:rsidR="00E449AF" w:rsidRPr="005B79BA">
        <w:rPr>
          <w:rFonts w:asciiTheme="majorHAnsi" w:hAnsiTheme="majorHAnsi" w:cs="Times New Roman"/>
          <w:color w:val="000000"/>
          <w:sz w:val="20"/>
          <w:szCs w:val="20"/>
          <w:lang w:val="en-US"/>
        </w:rPr>
        <w:t xml:space="preserve"> </w:t>
      </w:r>
      <w:r w:rsidR="00E449AF" w:rsidRPr="005B79BA">
        <w:rPr>
          <w:rFonts w:asciiTheme="majorHAnsi" w:hAnsiTheme="majorHAnsi"/>
          <w:sz w:val="20"/>
          <w:szCs w:val="20"/>
          <w:lang w:val="en-US"/>
        </w:rPr>
        <w:t xml:space="preserve">emphasizing the importance of reassessment of risk factors for stroke over time. </w:t>
      </w:r>
      <w:r w:rsidR="003514B7" w:rsidRPr="005B79BA">
        <w:rPr>
          <w:rFonts w:asciiTheme="majorHAnsi" w:hAnsiTheme="majorHAnsi"/>
          <w:sz w:val="20"/>
          <w:szCs w:val="20"/>
          <w:lang w:val="en-US"/>
        </w:rPr>
        <w:t>However, t</w:t>
      </w:r>
      <w:r w:rsidR="00E449AF" w:rsidRPr="005B79BA">
        <w:rPr>
          <w:rFonts w:asciiTheme="majorHAnsi" w:hAnsiTheme="majorHAnsi"/>
          <w:sz w:val="20"/>
          <w:szCs w:val="20"/>
          <w:lang w:val="en-US"/>
        </w:rPr>
        <w:t>he influence and importance of hyper</w:t>
      </w:r>
      <w:r w:rsidR="00586060">
        <w:rPr>
          <w:rFonts w:asciiTheme="majorHAnsi" w:hAnsiTheme="majorHAnsi"/>
          <w:sz w:val="20"/>
          <w:szCs w:val="20"/>
          <w:lang w:val="en-US"/>
        </w:rPr>
        <w:t>-</w:t>
      </w:r>
      <w:r w:rsidR="00E449AF" w:rsidRPr="005B79BA">
        <w:rPr>
          <w:rFonts w:asciiTheme="majorHAnsi" w:hAnsiTheme="majorHAnsi"/>
          <w:sz w:val="20"/>
          <w:szCs w:val="20"/>
          <w:lang w:val="en-US"/>
        </w:rPr>
        <w:t xml:space="preserve">tension and female sex as </w:t>
      </w:r>
      <w:r w:rsidR="00697543" w:rsidRPr="005B79BA">
        <w:rPr>
          <w:rFonts w:asciiTheme="majorHAnsi" w:hAnsiTheme="majorHAnsi"/>
          <w:sz w:val="20"/>
          <w:szCs w:val="20"/>
          <w:lang w:val="en-US"/>
        </w:rPr>
        <w:t xml:space="preserve">independent </w:t>
      </w:r>
      <w:r w:rsidR="00E449AF" w:rsidRPr="005B79BA">
        <w:rPr>
          <w:rFonts w:asciiTheme="majorHAnsi" w:hAnsiTheme="majorHAnsi"/>
          <w:sz w:val="20"/>
          <w:szCs w:val="20"/>
          <w:lang w:val="en-US"/>
        </w:rPr>
        <w:t xml:space="preserve">risk factors have been discussed </w:t>
      </w:r>
      <w:r w:rsidR="009F7CE0" w:rsidRPr="005B79BA">
        <w:rPr>
          <w:rFonts w:asciiTheme="majorHAnsi" w:hAnsiTheme="majorHAnsi"/>
          <w:sz w:val="20"/>
          <w:szCs w:val="20"/>
          <w:lang w:val="en-US"/>
        </w:rPr>
        <w:fldChar w:fldCharType="begin" w:fldLock="1"/>
      </w:r>
      <w:r w:rsidR="00F27147" w:rsidRPr="005B79BA">
        <w:rPr>
          <w:rFonts w:asciiTheme="majorHAnsi" w:hAnsiTheme="majorHAnsi"/>
          <w:sz w:val="20"/>
          <w:szCs w:val="20"/>
          <w:lang w:val="en-US"/>
        </w:rPr>
        <w:instrText xml:space="preserve">ADDIN Mendeley Citation{9130ddb1-627d-4ba7-888f-845a06c4dd09};{6dfff4fd-5175-484e-9af5-b2465b56b669} CSL_CITATION  { "citationItems" : [ { "id" : "ITEM-1", "itemData" : { "abstract" : "Atrial fibrillation and hypertension are 2 prevalent, and often coexistent, conditions in the North American population. Their incidence increases with advancing age, and they are responsible for considerable morbidity and mortality. Although the relation between the 2 conditions has long been known, the treatment of hypertension is not currently a focus in the clinical management of atrial fibrillation. Hypertension is associated with left ventricular hypertrophy, impaired ventricular filling, left atrial enlargement, and slowing of atrial conduction velocity. These changes in cardiac structure and physiology favor the development of atrial fibrillation, and they increase the risk of thromboembolic complications. Conventional therapy of atrial fibrillation has focused on interventions to control heart rate and rhythm and the prevention of stroke through the use of anticoagulant medications. In patients with atrial fibrillation, aggressive treatment of hypertension may reverse the structural changes in the heart, reduce thromboembolic complications, and retard or prevent the occurrence of atrial fibrillation. Specific pharmacotherapy could potentially play a major role in the primary and secondary prevention of atrial fibrillation and its complications.", "author" : [ { "family" : "Healey", "given" : "Jeff S" }, { "family" : "Connolly", "given" : "Stuart J" } ], "container-title" : "The American journal of cardiology", "id" : "ITEM-1", "issue" : "10A", "issued" : { "date-parts" : [ [ "2003", "5", "22" ] ] }, "page" : "9G-14G", "title" : "Atrial fibrillation: hypertension as a causative agent, risk factor for complications, and potential therapeutic target.", "type" : "article-journal", "volume" : "91" }, "uris" : [ "http://www.mendeley.com/documents/?uuid=9130ddb1-627d-4ba7-888f-845a06c4dd09" ] }, { "id" : "ITEM-2", "itemData" : { "author" : [ { "family" : "Prescott", "given" : "Eva" }, { "family" : "S\u00f8rensen", "given" : "Rikke" } ], "container-title" : "BMJ (Clinical research ed.)", "id" : "ITEM-2", "issued" : { "date-parts" : [ [ "2012", "1" ] ] }, "page" : "e3789", "title" : "Female sex as a risk factor for stroke in atrial fibrillation.", "type" : "article-journal", "volume" : "344" }, "uris" : [ "http://www.mendeley.com/documents/?uuid=6dfff4fd-5175-484e-9af5-b2465b56b669" ] } ], "mendeley" : { "previouslyFormattedCitation" : "\u003csup\u003e21,22\u003c/sup\u003e" }, "properties" : { "noteIndex" : 0 }, "schema" : "https://github.com/citation-style-language/schema/raw/master/csl-citation.json" } </w:instrText>
      </w:r>
      <w:r w:rsidR="009F7CE0" w:rsidRPr="005B79BA">
        <w:rPr>
          <w:rFonts w:asciiTheme="majorHAnsi" w:hAnsiTheme="majorHAnsi"/>
          <w:sz w:val="20"/>
          <w:szCs w:val="20"/>
          <w:lang w:val="en-US"/>
        </w:rPr>
        <w:fldChar w:fldCharType="separate"/>
      </w:r>
      <w:r w:rsidR="00F27147" w:rsidRPr="005B79BA">
        <w:rPr>
          <w:rFonts w:asciiTheme="majorHAnsi" w:hAnsiTheme="majorHAnsi"/>
          <w:noProof/>
          <w:sz w:val="20"/>
          <w:szCs w:val="20"/>
          <w:vertAlign w:val="superscript"/>
          <w:lang w:val="en-US"/>
        </w:rPr>
        <w:t>21,22</w:t>
      </w:r>
      <w:r w:rsidR="009F7CE0" w:rsidRPr="005B79BA">
        <w:rPr>
          <w:rFonts w:asciiTheme="majorHAnsi" w:hAnsiTheme="majorHAnsi"/>
          <w:sz w:val="20"/>
          <w:szCs w:val="20"/>
          <w:lang w:val="en-US"/>
        </w:rPr>
        <w:fldChar w:fldCharType="end"/>
      </w:r>
      <w:r w:rsidR="00E449AF" w:rsidRPr="005B79BA">
        <w:rPr>
          <w:rFonts w:asciiTheme="majorHAnsi" w:hAnsiTheme="majorHAnsi"/>
          <w:sz w:val="20"/>
          <w:szCs w:val="20"/>
          <w:lang w:val="en-US"/>
        </w:rPr>
        <w:t>.</w:t>
      </w:r>
    </w:p>
    <w:p w14:paraId="213C836F" w14:textId="5837AF48" w:rsidR="00073264" w:rsidRPr="005B79BA" w:rsidRDefault="00073264" w:rsidP="005B79BA">
      <w:pPr>
        <w:autoSpaceDE w:val="0"/>
        <w:autoSpaceDN w:val="0"/>
        <w:adjustRightInd w:val="0"/>
        <w:jc w:val="both"/>
        <w:rPr>
          <w:rFonts w:asciiTheme="majorHAnsi" w:hAnsiTheme="majorHAnsi" w:cs="Times New Roman"/>
          <w:color w:val="000000"/>
          <w:sz w:val="20"/>
          <w:szCs w:val="20"/>
          <w:lang w:val="en-US"/>
        </w:rPr>
      </w:pPr>
      <w:r w:rsidRPr="005B79BA">
        <w:rPr>
          <w:rFonts w:asciiTheme="majorHAnsi" w:hAnsiTheme="majorHAnsi" w:cs="Times New Roman"/>
          <w:sz w:val="20"/>
          <w:szCs w:val="20"/>
          <w:lang w:val="en-US"/>
        </w:rPr>
        <w:lastRenderedPageBreak/>
        <w:t xml:space="preserve">The age group of 20-35 years had a low rate of events and a more diffuse association with the </w:t>
      </w:r>
      <w:r w:rsidRPr="005B79BA">
        <w:rPr>
          <w:rFonts w:asciiTheme="majorHAnsi" w:hAnsiTheme="majorHAnsi" w:cs="Times New Roman"/>
          <w:color w:val="000000"/>
          <w:sz w:val="20"/>
          <w:szCs w:val="20"/>
          <w:lang w:val="en-US"/>
        </w:rPr>
        <w:t>CHA</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DS</w:t>
      </w:r>
      <w:r w:rsidRPr="005B79BA">
        <w:rPr>
          <w:rFonts w:asciiTheme="majorHAnsi" w:hAnsiTheme="majorHAnsi" w:cs="Times New Roman"/>
          <w:color w:val="000000"/>
          <w:sz w:val="20"/>
          <w:szCs w:val="20"/>
          <w:vertAlign w:val="subscript"/>
          <w:lang w:val="en-US"/>
        </w:rPr>
        <w:t>2</w:t>
      </w:r>
      <w:r w:rsidRPr="005B79BA">
        <w:rPr>
          <w:rFonts w:asciiTheme="majorHAnsi" w:hAnsiTheme="majorHAnsi" w:cs="Times New Roman"/>
          <w:color w:val="000000"/>
          <w:sz w:val="20"/>
          <w:szCs w:val="20"/>
          <w:lang w:val="en-US"/>
        </w:rPr>
        <w:t>-VASc score.</w:t>
      </w:r>
      <w:r w:rsidRPr="005B79BA">
        <w:rPr>
          <w:rFonts w:asciiTheme="majorHAnsi" w:hAnsiTheme="majorHAnsi" w:cs="Times New Roman"/>
          <w:sz w:val="20"/>
          <w:szCs w:val="20"/>
          <w:lang w:val="en-US"/>
        </w:rPr>
        <w:t xml:space="preserve"> </w:t>
      </w:r>
      <w:r w:rsidR="008C6D41" w:rsidRPr="005B79BA">
        <w:rPr>
          <w:rFonts w:asciiTheme="majorHAnsi" w:hAnsiTheme="majorHAnsi" w:cs="Times New Roman"/>
          <w:sz w:val="20"/>
          <w:szCs w:val="20"/>
          <w:lang w:val="en-US"/>
        </w:rPr>
        <w:t>As shown in</w:t>
      </w:r>
      <w:r w:rsidR="004B123B" w:rsidRPr="005B79BA">
        <w:rPr>
          <w:rFonts w:asciiTheme="majorHAnsi" w:hAnsiTheme="majorHAnsi" w:cs="Times New Roman"/>
          <w:sz w:val="20"/>
          <w:szCs w:val="20"/>
          <w:lang w:val="en-US"/>
        </w:rPr>
        <w:t xml:space="preserve"> </w:t>
      </w:r>
      <w:r w:rsidR="001117CA" w:rsidRPr="005B79BA">
        <w:rPr>
          <w:rFonts w:asciiTheme="majorHAnsi" w:hAnsiTheme="majorHAnsi" w:cs="Times New Roman"/>
          <w:sz w:val="20"/>
          <w:szCs w:val="20"/>
          <w:lang w:val="en-US"/>
        </w:rPr>
        <w:t>F</w:t>
      </w:r>
      <w:r w:rsidR="009C12E5" w:rsidRPr="005B79BA">
        <w:rPr>
          <w:rFonts w:asciiTheme="majorHAnsi" w:hAnsiTheme="majorHAnsi" w:cs="Times New Roman"/>
          <w:sz w:val="20"/>
          <w:szCs w:val="20"/>
          <w:lang w:val="en-US"/>
        </w:rPr>
        <w:t>igure</w:t>
      </w:r>
      <w:r w:rsidR="008C6D41" w:rsidRPr="005B79BA">
        <w:rPr>
          <w:rFonts w:asciiTheme="majorHAnsi" w:hAnsiTheme="majorHAnsi" w:cs="Times New Roman"/>
          <w:sz w:val="20"/>
          <w:szCs w:val="20"/>
          <w:lang w:val="en-US"/>
        </w:rPr>
        <w:t>s</w:t>
      </w:r>
      <w:r w:rsidR="009C12E5" w:rsidRPr="005B79BA">
        <w:rPr>
          <w:rFonts w:asciiTheme="majorHAnsi" w:hAnsiTheme="majorHAnsi" w:cs="Times New Roman"/>
          <w:sz w:val="20"/>
          <w:szCs w:val="20"/>
          <w:lang w:val="en-US"/>
        </w:rPr>
        <w:t xml:space="preserve"> 2</w:t>
      </w:r>
      <w:r w:rsidR="00AE3787" w:rsidRPr="005B79BA">
        <w:rPr>
          <w:rFonts w:asciiTheme="majorHAnsi" w:hAnsiTheme="majorHAnsi" w:cs="Times New Roman"/>
          <w:sz w:val="20"/>
          <w:szCs w:val="20"/>
          <w:lang w:val="en-US"/>
        </w:rPr>
        <w:t xml:space="preserve"> and </w:t>
      </w:r>
      <w:r w:rsidR="00EE580B" w:rsidRPr="005B79BA">
        <w:rPr>
          <w:rFonts w:asciiTheme="majorHAnsi" w:hAnsiTheme="majorHAnsi" w:cs="Times New Roman"/>
          <w:sz w:val="20"/>
          <w:szCs w:val="20"/>
          <w:lang w:val="en-US"/>
        </w:rPr>
        <w:t>3</w:t>
      </w:r>
      <w:r w:rsidR="00AE3787" w:rsidRPr="005B79BA">
        <w:rPr>
          <w:rFonts w:asciiTheme="majorHAnsi" w:hAnsiTheme="majorHAnsi" w:cs="Times New Roman"/>
          <w:sz w:val="20"/>
          <w:szCs w:val="20"/>
          <w:lang w:val="en-US"/>
        </w:rPr>
        <w:t xml:space="preserve">, this age group </w:t>
      </w:r>
      <w:r w:rsidR="004B123B" w:rsidRPr="005B79BA">
        <w:rPr>
          <w:rFonts w:asciiTheme="majorHAnsi" w:hAnsiTheme="majorHAnsi" w:cs="Times New Roman"/>
          <w:sz w:val="20"/>
          <w:szCs w:val="20"/>
          <w:lang w:val="en-US"/>
        </w:rPr>
        <w:t>had a</w:t>
      </w:r>
      <w:r w:rsidR="00AE3787" w:rsidRPr="005B79BA">
        <w:rPr>
          <w:rFonts w:asciiTheme="majorHAnsi" w:hAnsiTheme="majorHAnsi" w:cs="Times New Roman"/>
          <w:sz w:val="20"/>
          <w:szCs w:val="20"/>
          <w:lang w:val="en-US"/>
        </w:rPr>
        <w:t xml:space="preserve"> low number of patients with the events of interest. Therefore, the results in this age group should be interpreted carefully. </w:t>
      </w:r>
      <w:r w:rsidR="00C87758" w:rsidRPr="005B79BA">
        <w:rPr>
          <w:rFonts w:asciiTheme="majorHAnsi" w:hAnsiTheme="majorHAnsi" w:cs="Times New Roman"/>
          <w:sz w:val="20"/>
          <w:szCs w:val="20"/>
          <w:lang w:val="en-US"/>
        </w:rPr>
        <w:t>Further investigations are necessary in these younger age groups, especially since AF could be related to an electrophysiological abnormality (e.g. pre-excitation) or structural heart disease (e.g. congenital heart disease).</w:t>
      </w:r>
    </w:p>
    <w:p w14:paraId="298AF964" w14:textId="77777777" w:rsidR="00073264" w:rsidRPr="005B79BA" w:rsidRDefault="00073264" w:rsidP="005B79BA">
      <w:pPr>
        <w:autoSpaceDE w:val="0"/>
        <w:autoSpaceDN w:val="0"/>
        <w:adjustRightInd w:val="0"/>
        <w:jc w:val="both"/>
        <w:rPr>
          <w:rFonts w:asciiTheme="majorHAnsi" w:hAnsiTheme="majorHAnsi" w:cs="Times New Roman"/>
          <w:color w:val="000000"/>
          <w:sz w:val="20"/>
          <w:szCs w:val="20"/>
          <w:lang w:val="en-US"/>
        </w:rPr>
      </w:pPr>
    </w:p>
    <w:p w14:paraId="538E306B" w14:textId="37CA3407" w:rsidR="009A1DE7" w:rsidRPr="005B79BA" w:rsidRDefault="009A1DE7" w:rsidP="005B79BA">
      <w:pPr>
        <w:autoSpaceDE w:val="0"/>
        <w:autoSpaceDN w:val="0"/>
        <w:adjustRightInd w:val="0"/>
        <w:jc w:val="both"/>
        <w:rPr>
          <w:rFonts w:asciiTheme="majorHAnsi" w:hAnsiTheme="majorHAnsi" w:cs="Times New Roman"/>
          <w:color w:val="000000"/>
          <w:sz w:val="20"/>
          <w:szCs w:val="20"/>
          <w:lang w:val="en-US"/>
        </w:rPr>
      </w:pPr>
      <w:r w:rsidRPr="005B79BA">
        <w:rPr>
          <w:rFonts w:asciiTheme="majorHAnsi" w:hAnsiTheme="majorHAnsi" w:cs="Times New Roman"/>
          <w:color w:val="000000"/>
          <w:sz w:val="20"/>
          <w:szCs w:val="20"/>
          <w:lang w:val="en-US"/>
        </w:rPr>
        <w:t xml:space="preserve">The threshold for </w:t>
      </w:r>
      <w:r w:rsidR="00E923F9" w:rsidRPr="005B79BA">
        <w:rPr>
          <w:rFonts w:asciiTheme="majorHAnsi" w:hAnsiTheme="majorHAnsi" w:cs="Times New Roman"/>
          <w:color w:val="000000"/>
          <w:sz w:val="20"/>
          <w:szCs w:val="20"/>
          <w:lang w:val="en-US"/>
        </w:rPr>
        <w:t>anticoagulant treatment</w:t>
      </w:r>
      <w:r w:rsidRPr="005B79BA">
        <w:rPr>
          <w:rFonts w:asciiTheme="majorHAnsi" w:hAnsiTheme="majorHAnsi" w:cs="Times New Roman"/>
          <w:color w:val="000000"/>
          <w:sz w:val="20"/>
          <w:szCs w:val="20"/>
          <w:lang w:val="en-US"/>
        </w:rPr>
        <w:t xml:space="preserve"> has been in focus and debated in research. The threshold </w:t>
      </w:r>
      <w:r w:rsidR="006F52E5" w:rsidRPr="005B79BA">
        <w:rPr>
          <w:rFonts w:asciiTheme="majorHAnsi" w:hAnsiTheme="majorHAnsi" w:cs="Times New Roman"/>
          <w:color w:val="000000"/>
          <w:sz w:val="20"/>
          <w:szCs w:val="20"/>
          <w:lang w:val="en-US"/>
        </w:rPr>
        <w:t>has previously been proposed</w:t>
      </w:r>
      <w:r w:rsidRPr="005B79BA">
        <w:rPr>
          <w:rFonts w:asciiTheme="majorHAnsi" w:hAnsiTheme="majorHAnsi" w:cs="Times New Roman"/>
          <w:color w:val="000000"/>
          <w:sz w:val="20"/>
          <w:szCs w:val="20"/>
          <w:lang w:val="en-US"/>
        </w:rPr>
        <w:t xml:space="preserve"> </w:t>
      </w:r>
      <w:r w:rsidR="006F52E5" w:rsidRPr="005B79BA">
        <w:rPr>
          <w:rFonts w:asciiTheme="majorHAnsi" w:hAnsiTheme="majorHAnsi" w:cs="Times New Roman"/>
          <w:color w:val="000000"/>
          <w:sz w:val="20"/>
          <w:szCs w:val="20"/>
          <w:lang w:val="en-US"/>
        </w:rPr>
        <w:t>a</w:t>
      </w:r>
      <w:r w:rsidRPr="005B79BA">
        <w:rPr>
          <w:rFonts w:asciiTheme="majorHAnsi" w:hAnsiTheme="majorHAnsi" w:cs="Times New Roman"/>
          <w:color w:val="000000"/>
          <w:sz w:val="20"/>
          <w:szCs w:val="20"/>
          <w:lang w:val="en-US"/>
        </w:rPr>
        <w:t>t a stroke rate of 1.7% per year</w:t>
      </w:r>
      <w:r w:rsidR="009F7CE0" w:rsidRPr="005B79BA">
        <w:rPr>
          <w:rFonts w:asciiTheme="majorHAnsi" w:hAnsiTheme="majorHAnsi" w:cs="Times New Roman"/>
          <w:color w:val="000000"/>
          <w:sz w:val="20"/>
          <w:szCs w:val="20"/>
          <w:lang w:val="en-US"/>
        </w:rPr>
        <w:fldChar w:fldCharType="begin" w:fldLock="1"/>
      </w:r>
      <w:r w:rsidR="00F27147" w:rsidRPr="005B79BA">
        <w:rPr>
          <w:rFonts w:asciiTheme="majorHAnsi" w:hAnsiTheme="majorHAnsi" w:cs="Times New Roman"/>
          <w:color w:val="000000"/>
          <w:sz w:val="20"/>
          <w:szCs w:val="20"/>
          <w:lang w:val="en-US"/>
        </w:rPr>
        <w:instrText xml:space="preserve">ADDIN Mendeley Citation{4ccd3899-1b27-43d9-98a0-0321cacaaf4c} CSL_CITATION  { "citationItems" : [ { "id" : "ITEM-1", "itemData" : { "DOI" : "10.1161/CIRCOUTCOMES.110.958108", "abstract" : "The rate of ischemic stroke associated with traditional risk factors for patients with atrial fibrillation has declined over the past 2 decades. Furthermore, new and potentially safer anticoagulants are on the horizon. Thus, the balance between risk factors for stroke and benefit of anticoagulation may be shifting.", "author" : [ { "family" : "Eckman", "given" : "Mark H" }, { "family" : "Singer", "given" : "Daniel E" }, { "family" : "Rosand", "given" : "Jonathan" }, { "family" : "Greenberg", "given" : "Steven M" } ], "container-title" : "Circulation. Cardiovascular quality and outcomes", "id" : "ITEM-1", "issue" : "1", "issued" : { "date-parts" : [ [ "2011", "1", "1" ] ] }, "note" : "\u003cm:note\u003e\u003c/m:note\u003e", "page" : "14-21", "title" : "Moving the tipping point: the decision to anticoagulate patients with atrial fibrillation.", "type" : "article-journal", "volume" : "4" }, "uris" : [ "http://www.mendeley.com/documents/?uuid=4ccd3899-1b27-43d9-98a0-0321cacaaf4c" ] } ], "mendeley" : { "previouslyFormattedCitation" : "\u003csup\u003e23\u003c/sup\u003e" }, "properties" : { "noteIndex" : 0 }, "schema" : "https://github.com/citation-style-language/schema/raw/master/csl-citation.json" } </w:instrText>
      </w:r>
      <w:r w:rsidR="009F7CE0" w:rsidRPr="005B79BA">
        <w:rPr>
          <w:rFonts w:asciiTheme="majorHAnsi" w:hAnsiTheme="majorHAnsi" w:cs="Times New Roman"/>
          <w:color w:val="000000"/>
          <w:sz w:val="20"/>
          <w:szCs w:val="20"/>
          <w:lang w:val="en-US"/>
        </w:rPr>
        <w:fldChar w:fldCharType="separate"/>
      </w:r>
      <w:r w:rsidR="00F27147" w:rsidRPr="005B79BA">
        <w:rPr>
          <w:rFonts w:asciiTheme="majorHAnsi" w:hAnsiTheme="majorHAnsi" w:cs="Times New Roman"/>
          <w:noProof/>
          <w:color w:val="000000"/>
          <w:sz w:val="20"/>
          <w:szCs w:val="20"/>
          <w:vertAlign w:val="superscript"/>
          <w:lang w:val="en-US"/>
        </w:rPr>
        <w:t>23</w:t>
      </w:r>
      <w:r w:rsidR="009F7CE0" w:rsidRPr="005B79BA">
        <w:rPr>
          <w:rFonts w:asciiTheme="majorHAnsi" w:hAnsiTheme="majorHAnsi" w:cs="Times New Roman"/>
          <w:color w:val="000000"/>
          <w:sz w:val="20"/>
          <w:szCs w:val="20"/>
          <w:lang w:val="en-US"/>
        </w:rPr>
        <w:fldChar w:fldCharType="end"/>
      </w:r>
      <w:r w:rsidRPr="005B79BA">
        <w:rPr>
          <w:rFonts w:asciiTheme="majorHAnsi" w:hAnsiTheme="majorHAnsi" w:cs="Times New Roman"/>
          <w:color w:val="000000"/>
          <w:sz w:val="20"/>
          <w:szCs w:val="20"/>
          <w:lang w:val="en-US"/>
        </w:rPr>
        <w:t xml:space="preserve">. </w:t>
      </w:r>
      <w:r w:rsidRPr="005B79BA">
        <w:rPr>
          <w:rFonts w:asciiTheme="majorHAnsi" w:eastAsiaTheme="minorHAnsi" w:hAnsiTheme="majorHAnsi" w:cs="Times New Roman"/>
          <w:sz w:val="20"/>
          <w:szCs w:val="20"/>
          <w:lang w:val="en-US" w:eastAsia="en-US" w:bidi="ar-SA"/>
        </w:rPr>
        <w:t>However, studies of anticoagulation with newer and safer agents have suggested a lowering of</w:t>
      </w:r>
      <w:r w:rsidR="00E923F9" w:rsidRPr="005B79BA">
        <w:rPr>
          <w:rFonts w:asciiTheme="majorHAnsi" w:eastAsiaTheme="minorHAnsi" w:hAnsiTheme="majorHAnsi" w:cs="Times New Roman"/>
          <w:sz w:val="20"/>
          <w:szCs w:val="20"/>
          <w:lang w:val="en-US" w:eastAsia="en-US" w:bidi="ar-SA"/>
        </w:rPr>
        <w:t xml:space="preserve"> the threshold for anticoagulant</w:t>
      </w:r>
      <w:r w:rsidRPr="005B79BA">
        <w:rPr>
          <w:rFonts w:asciiTheme="majorHAnsi" w:eastAsiaTheme="minorHAnsi" w:hAnsiTheme="majorHAnsi" w:cs="Times New Roman"/>
          <w:sz w:val="20"/>
          <w:szCs w:val="20"/>
          <w:lang w:val="en-US" w:eastAsia="en-US" w:bidi="ar-SA"/>
        </w:rPr>
        <w:t xml:space="preserve"> therapy to a stroke rate of 0.9% per year</w:t>
      </w:r>
      <w:r w:rsidR="009F7CE0" w:rsidRPr="005B79BA">
        <w:rPr>
          <w:rFonts w:asciiTheme="majorHAnsi" w:eastAsiaTheme="minorHAnsi" w:hAnsiTheme="majorHAnsi" w:cs="Times New Roman"/>
          <w:sz w:val="20"/>
          <w:szCs w:val="20"/>
          <w:lang w:val="en-US" w:eastAsia="en-US" w:bidi="ar-SA"/>
        </w:rPr>
        <w:fldChar w:fldCharType="begin" w:fldLock="1"/>
      </w:r>
      <w:r w:rsidR="00F27147" w:rsidRPr="005B79BA">
        <w:rPr>
          <w:rFonts w:asciiTheme="majorHAnsi" w:eastAsiaTheme="minorHAnsi" w:hAnsiTheme="majorHAnsi" w:cs="Times New Roman"/>
          <w:sz w:val="20"/>
          <w:szCs w:val="20"/>
          <w:lang w:val="en-US" w:eastAsia="en-US" w:bidi="ar-SA"/>
        </w:rPr>
        <w:instrText xml:space="preserve">ADDIN Mendeley Citation{4ccd3899-1b27-43d9-98a0-0321cacaaf4c} CSL_CITATION  { "citationItems" : [ { "id" : "ITEM-1", "itemData" : { "DOI" : "10.1161/CIRCOUTCOMES.110.958108", "abstract" : "The rate of ischemic stroke associated with traditional risk factors for patients with atrial fibrillation has declined over the past 2 decades. Furthermore, new and potentially safer anticoagulants are on the horizon. Thus, the balance between risk factors for stroke and benefit of anticoagulation may be shifting.", "author" : [ { "family" : "Eckman", "given" : "Mark H" }, { "family" : "Singer", "given" : "Daniel E" }, { "family" : "Rosand", "given" : "Jonathan" }, { "family" : "Greenberg", "given" : "Steven M" } ], "container-title" : "Circulation. Cardiovascular quality and outcomes", "id" : "ITEM-1", "issue" : "1", "issued" : { "date-parts" : [ [ "2011", "1", "1" ] ] }, "note" : "\u003cm:note\u003e\u003c/m:note\u003e", "page" : "14-21", "title" : "Moving the tipping point: the decision to anticoagulate patients with atrial fibrillation.", "type" : "article-journal", "volume" : "4" }, "uris" : [ "http://www.mendeley.com/documents/?uuid=4ccd3899-1b27-43d9-98a0-0321cacaaf4c" ] } ], "mendeley" : { "previouslyFormattedCitation" : "\u003csup\u003e23\u003c/sup\u003e" }, "properties" : { "noteIndex" : 0 }, "schema" : "https://github.com/citation-style-language/schema/raw/master/csl-citation.json" } </w:instrText>
      </w:r>
      <w:r w:rsidR="009F7CE0" w:rsidRPr="005B79BA">
        <w:rPr>
          <w:rFonts w:asciiTheme="majorHAnsi" w:eastAsiaTheme="minorHAnsi" w:hAnsiTheme="majorHAnsi" w:cs="Times New Roman"/>
          <w:sz w:val="20"/>
          <w:szCs w:val="20"/>
          <w:lang w:val="en-US" w:eastAsia="en-US" w:bidi="ar-SA"/>
        </w:rPr>
        <w:fldChar w:fldCharType="separate"/>
      </w:r>
      <w:r w:rsidR="00F27147" w:rsidRPr="005B79BA">
        <w:rPr>
          <w:rFonts w:asciiTheme="majorHAnsi" w:eastAsiaTheme="minorHAnsi" w:hAnsiTheme="majorHAnsi" w:cs="Times New Roman"/>
          <w:noProof/>
          <w:sz w:val="20"/>
          <w:szCs w:val="20"/>
          <w:vertAlign w:val="superscript"/>
          <w:lang w:val="en-US" w:eastAsia="en-US" w:bidi="ar-SA"/>
        </w:rPr>
        <w:t>23</w:t>
      </w:r>
      <w:r w:rsidR="009F7CE0" w:rsidRPr="005B79BA">
        <w:rPr>
          <w:rFonts w:asciiTheme="majorHAnsi" w:eastAsiaTheme="minorHAnsi" w:hAnsiTheme="majorHAnsi" w:cs="Times New Roman"/>
          <w:sz w:val="20"/>
          <w:szCs w:val="20"/>
          <w:lang w:val="en-US" w:eastAsia="en-US" w:bidi="ar-SA"/>
        </w:rPr>
        <w:fldChar w:fldCharType="end"/>
      </w:r>
      <w:r w:rsidRPr="005B79BA">
        <w:rPr>
          <w:rFonts w:asciiTheme="majorHAnsi" w:eastAsiaTheme="minorHAnsi" w:hAnsiTheme="majorHAnsi" w:cs="Times New Roman"/>
          <w:sz w:val="20"/>
          <w:szCs w:val="20"/>
          <w:lang w:val="en-US" w:eastAsia="en-US" w:bidi="ar-SA"/>
        </w:rPr>
        <w:t xml:space="preserve">. </w:t>
      </w:r>
      <w:r w:rsidR="00697543" w:rsidRPr="005B79BA">
        <w:rPr>
          <w:rFonts w:asciiTheme="majorHAnsi" w:eastAsiaTheme="minorHAnsi" w:hAnsiTheme="majorHAnsi" w:cs="Times New Roman"/>
          <w:sz w:val="20"/>
          <w:szCs w:val="20"/>
          <w:lang w:val="en-US" w:eastAsia="en-US" w:bidi="ar-SA"/>
        </w:rPr>
        <w:t xml:space="preserve">With the development of new </w:t>
      </w:r>
      <w:r w:rsidR="0088534E" w:rsidRPr="005B79BA">
        <w:rPr>
          <w:rFonts w:asciiTheme="majorHAnsi" w:eastAsiaTheme="minorHAnsi" w:hAnsiTheme="majorHAnsi" w:cs="Times New Roman"/>
          <w:sz w:val="20"/>
          <w:szCs w:val="20"/>
          <w:lang w:val="en-US" w:eastAsia="en-US" w:bidi="ar-SA"/>
        </w:rPr>
        <w:t xml:space="preserve">and safer </w:t>
      </w:r>
      <w:r w:rsidR="00697543" w:rsidRPr="005B79BA">
        <w:rPr>
          <w:rFonts w:asciiTheme="majorHAnsi" w:eastAsiaTheme="minorHAnsi" w:hAnsiTheme="majorHAnsi" w:cs="Times New Roman"/>
          <w:sz w:val="20"/>
          <w:szCs w:val="20"/>
          <w:lang w:val="en-US" w:eastAsia="en-US" w:bidi="ar-SA"/>
        </w:rPr>
        <w:t xml:space="preserve">agents, the discussion of whether to give antithrombotic therapy may be simpler in the future as the risk of bleeding </w:t>
      </w:r>
      <w:r w:rsidR="0088534E" w:rsidRPr="005B79BA">
        <w:rPr>
          <w:rFonts w:asciiTheme="majorHAnsi" w:eastAsiaTheme="minorHAnsi" w:hAnsiTheme="majorHAnsi" w:cs="Times New Roman"/>
          <w:sz w:val="20"/>
          <w:szCs w:val="20"/>
          <w:lang w:val="en-US" w:eastAsia="en-US" w:bidi="ar-SA"/>
        </w:rPr>
        <w:t xml:space="preserve">and other adverse reactions </w:t>
      </w:r>
      <w:r w:rsidR="00697543" w:rsidRPr="005B79BA">
        <w:rPr>
          <w:rFonts w:asciiTheme="majorHAnsi" w:eastAsiaTheme="minorHAnsi" w:hAnsiTheme="majorHAnsi" w:cs="Times New Roman"/>
          <w:sz w:val="20"/>
          <w:szCs w:val="20"/>
          <w:lang w:val="en-US" w:eastAsia="en-US" w:bidi="ar-SA"/>
        </w:rPr>
        <w:t xml:space="preserve">decrease. </w:t>
      </w:r>
      <w:r w:rsidR="00C63C1F" w:rsidRPr="005B79BA">
        <w:rPr>
          <w:rFonts w:asciiTheme="majorHAnsi" w:eastAsiaTheme="minorHAnsi" w:hAnsiTheme="majorHAnsi" w:cs="Times New Roman"/>
          <w:sz w:val="20"/>
          <w:szCs w:val="20"/>
          <w:lang w:val="en-US" w:eastAsia="en-US" w:bidi="ar-SA"/>
        </w:rPr>
        <w:t xml:space="preserve"> </w:t>
      </w:r>
    </w:p>
    <w:p w14:paraId="10E45077" w14:textId="77777777" w:rsidR="0085249F" w:rsidRPr="005B79BA" w:rsidRDefault="0085249F" w:rsidP="005B79BA">
      <w:pPr>
        <w:autoSpaceDE w:val="0"/>
        <w:autoSpaceDN w:val="0"/>
        <w:adjustRightInd w:val="0"/>
        <w:jc w:val="both"/>
        <w:rPr>
          <w:rFonts w:asciiTheme="majorHAnsi" w:hAnsiTheme="majorHAnsi" w:cs="Times New Roman"/>
          <w:i/>
          <w:sz w:val="20"/>
          <w:szCs w:val="20"/>
          <w:lang w:val="en-US"/>
        </w:rPr>
      </w:pPr>
    </w:p>
    <w:p w14:paraId="21EFA5AC" w14:textId="0941EAEF" w:rsidR="00EC0C6E" w:rsidRPr="005B79BA" w:rsidRDefault="00EC0C6E" w:rsidP="005B79BA">
      <w:pPr>
        <w:autoSpaceDE w:val="0"/>
        <w:autoSpaceDN w:val="0"/>
        <w:adjustRightInd w:val="0"/>
        <w:jc w:val="both"/>
        <w:rPr>
          <w:rFonts w:asciiTheme="majorHAnsi" w:hAnsiTheme="majorHAnsi" w:cs="Times New Roman"/>
          <w:i/>
          <w:sz w:val="20"/>
          <w:szCs w:val="20"/>
          <w:lang w:val="en-US"/>
        </w:rPr>
      </w:pPr>
      <w:r w:rsidRPr="005B79BA">
        <w:rPr>
          <w:rFonts w:asciiTheme="majorHAnsi" w:hAnsiTheme="majorHAnsi" w:cs="Times New Roman"/>
          <w:i/>
          <w:sz w:val="20"/>
          <w:szCs w:val="20"/>
          <w:lang w:val="en-US"/>
        </w:rPr>
        <w:t xml:space="preserve">Limitations </w:t>
      </w:r>
      <w:r w:rsidR="006F52E5" w:rsidRPr="005B79BA">
        <w:rPr>
          <w:rFonts w:asciiTheme="majorHAnsi" w:hAnsiTheme="majorHAnsi" w:cs="Times New Roman"/>
          <w:i/>
          <w:sz w:val="20"/>
          <w:szCs w:val="20"/>
          <w:lang w:val="en-US"/>
        </w:rPr>
        <w:t xml:space="preserve"> </w:t>
      </w:r>
    </w:p>
    <w:p w14:paraId="01B3730E" w14:textId="2BAEFAC0" w:rsidR="00EC0C6E" w:rsidRPr="005B79BA" w:rsidRDefault="00EC0C6E" w:rsidP="005B79BA">
      <w:pPr>
        <w:autoSpaceDE w:val="0"/>
        <w:autoSpaceDN w:val="0"/>
        <w:adjustRightInd w:val="0"/>
        <w:jc w:val="both"/>
        <w:rPr>
          <w:rFonts w:asciiTheme="majorHAnsi" w:hAnsiTheme="majorHAnsi" w:cs="Times-Roman"/>
          <w:color w:val="000000"/>
          <w:sz w:val="20"/>
          <w:szCs w:val="20"/>
          <w:lang w:val="en-US"/>
        </w:rPr>
      </w:pPr>
      <w:r w:rsidRPr="005B79BA">
        <w:rPr>
          <w:rFonts w:asciiTheme="majorHAnsi" w:hAnsiTheme="majorHAnsi" w:cs="Times New Roman"/>
          <w:sz w:val="20"/>
          <w:szCs w:val="20"/>
          <w:lang w:val="en-US"/>
        </w:rPr>
        <w:t xml:space="preserve">Due to </w:t>
      </w:r>
      <w:r w:rsidR="009A4D34" w:rsidRPr="005B79BA">
        <w:rPr>
          <w:rFonts w:asciiTheme="majorHAnsi" w:hAnsiTheme="majorHAnsi" w:cs="Times New Roman"/>
          <w:sz w:val="20"/>
          <w:szCs w:val="20"/>
          <w:lang w:val="en-US"/>
        </w:rPr>
        <w:t xml:space="preserve">the </w:t>
      </w:r>
      <w:r w:rsidRPr="005B79BA">
        <w:rPr>
          <w:rFonts w:asciiTheme="majorHAnsi" w:hAnsiTheme="majorHAnsi" w:cs="Times New Roman"/>
          <w:sz w:val="20"/>
          <w:szCs w:val="20"/>
          <w:lang w:val="en-US"/>
        </w:rPr>
        <w:t xml:space="preserve">nature of </w:t>
      </w:r>
      <w:r w:rsidR="003F55F7" w:rsidRPr="005B79BA">
        <w:rPr>
          <w:rFonts w:asciiTheme="majorHAnsi" w:hAnsiTheme="majorHAnsi" w:cs="Times New Roman"/>
          <w:sz w:val="20"/>
          <w:szCs w:val="20"/>
          <w:lang w:val="en-US"/>
        </w:rPr>
        <w:t>our nationwide registry</w:t>
      </w:r>
      <w:r w:rsidRPr="005B79BA">
        <w:rPr>
          <w:rFonts w:asciiTheme="majorHAnsi" w:hAnsiTheme="majorHAnsi" w:cs="Times New Roman"/>
          <w:sz w:val="20"/>
          <w:szCs w:val="20"/>
          <w:lang w:val="en-US"/>
        </w:rPr>
        <w:t xml:space="preserve"> study, s</w:t>
      </w:r>
      <w:r w:rsidR="00E0106D" w:rsidRPr="005B79BA">
        <w:rPr>
          <w:rFonts w:asciiTheme="majorHAnsi" w:hAnsiTheme="majorHAnsi" w:cs="Times New Roman"/>
          <w:sz w:val="20"/>
          <w:szCs w:val="20"/>
          <w:lang w:val="en-US"/>
        </w:rPr>
        <w:t>everal limitations are present.</w:t>
      </w:r>
      <w:r w:rsidR="00DD3CA1" w:rsidRPr="005B79BA">
        <w:rPr>
          <w:rFonts w:asciiTheme="majorHAnsi" w:hAnsiTheme="majorHAnsi" w:cs="Times New Roman"/>
          <w:sz w:val="20"/>
          <w:szCs w:val="20"/>
          <w:lang w:val="en-US"/>
        </w:rPr>
        <w:t xml:space="preserve"> Some</w:t>
      </w:r>
      <w:r w:rsidRPr="005B79BA">
        <w:rPr>
          <w:rFonts w:asciiTheme="majorHAnsi" w:hAnsiTheme="majorHAnsi" w:cs="Times New Roman"/>
          <w:sz w:val="20"/>
          <w:szCs w:val="20"/>
          <w:lang w:val="en-US"/>
        </w:rPr>
        <w:t xml:space="preserve"> results</w:t>
      </w:r>
      <w:r w:rsidR="00DD3CA1" w:rsidRPr="005B79BA">
        <w:rPr>
          <w:rFonts w:asciiTheme="majorHAnsi" w:hAnsiTheme="majorHAnsi" w:cs="Times New Roman"/>
          <w:sz w:val="20"/>
          <w:szCs w:val="20"/>
          <w:lang w:val="en-US"/>
        </w:rPr>
        <w:t xml:space="preserve"> should be interpreted with</w:t>
      </w:r>
      <w:r w:rsidRPr="005B79BA">
        <w:rPr>
          <w:rFonts w:asciiTheme="majorHAnsi" w:hAnsiTheme="majorHAnsi" w:cs="Times New Roman"/>
          <w:sz w:val="20"/>
          <w:szCs w:val="20"/>
          <w:lang w:val="en-US"/>
        </w:rPr>
        <w:t xml:space="preserve"> caution </w:t>
      </w:r>
      <w:r w:rsidR="003F55F7" w:rsidRPr="005B79BA">
        <w:rPr>
          <w:rFonts w:asciiTheme="majorHAnsi" w:hAnsiTheme="majorHAnsi" w:cs="Times New Roman"/>
          <w:sz w:val="20"/>
          <w:szCs w:val="20"/>
          <w:lang w:val="en-US"/>
        </w:rPr>
        <w:t>du</w:t>
      </w:r>
      <w:r w:rsidRPr="005B79BA">
        <w:rPr>
          <w:rFonts w:asciiTheme="majorHAnsi" w:hAnsiTheme="majorHAnsi" w:cs="Times New Roman"/>
          <w:sz w:val="20"/>
          <w:szCs w:val="20"/>
          <w:lang w:val="en-US"/>
        </w:rPr>
        <w:t xml:space="preserve">e </w:t>
      </w:r>
      <w:r w:rsidR="003F55F7" w:rsidRPr="005B79BA">
        <w:rPr>
          <w:rFonts w:asciiTheme="majorHAnsi" w:hAnsiTheme="majorHAnsi" w:cs="Times New Roman"/>
          <w:sz w:val="20"/>
          <w:szCs w:val="20"/>
          <w:lang w:val="en-US"/>
        </w:rPr>
        <w:t>to</w:t>
      </w:r>
      <w:r w:rsidRPr="005B79BA">
        <w:rPr>
          <w:rFonts w:asciiTheme="majorHAnsi" w:hAnsiTheme="majorHAnsi" w:cs="Times New Roman"/>
          <w:sz w:val="20"/>
          <w:szCs w:val="20"/>
          <w:lang w:val="en-US"/>
        </w:rPr>
        <w:t xml:space="preserve"> the small number of strokes</w:t>
      </w:r>
      <w:r w:rsidR="003F55F7" w:rsidRPr="005B79BA">
        <w:rPr>
          <w:rFonts w:asciiTheme="majorHAnsi" w:hAnsiTheme="majorHAnsi" w:cs="Times New Roman"/>
          <w:sz w:val="20"/>
          <w:szCs w:val="20"/>
          <w:lang w:val="en-US"/>
        </w:rPr>
        <w:t>,</w:t>
      </w:r>
      <w:r w:rsidR="004C2263" w:rsidRPr="005B79BA">
        <w:rPr>
          <w:rFonts w:asciiTheme="majorHAnsi" w:hAnsiTheme="majorHAnsi" w:cs="Times New Roman"/>
          <w:sz w:val="20"/>
          <w:szCs w:val="20"/>
          <w:lang w:val="en-US"/>
        </w:rPr>
        <w:t xml:space="preserve"> especially in the younger age groups, </w:t>
      </w:r>
      <w:r w:rsidRPr="005B79BA">
        <w:rPr>
          <w:rFonts w:asciiTheme="majorHAnsi" w:hAnsiTheme="majorHAnsi" w:cs="Times New Roman"/>
          <w:sz w:val="20"/>
          <w:szCs w:val="20"/>
          <w:lang w:val="en-US"/>
        </w:rPr>
        <w:t xml:space="preserve">given the generally low </w:t>
      </w:r>
      <w:r w:rsidR="006B2DD3" w:rsidRPr="005B79BA">
        <w:rPr>
          <w:rFonts w:asciiTheme="majorHAnsi" w:hAnsiTheme="majorHAnsi" w:cs="Times New Roman"/>
          <w:sz w:val="20"/>
          <w:szCs w:val="20"/>
          <w:lang w:val="en-US"/>
        </w:rPr>
        <w:t xml:space="preserve">incidence rate of stroke </w:t>
      </w:r>
      <w:r w:rsidRPr="005B79BA">
        <w:rPr>
          <w:rFonts w:asciiTheme="majorHAnsi" w:hAnsiTheme="majorHAnsi" w:cs="Times New Roman"/>
          <w:sz w:val="20"/>
          <w:szCs w:val="20"/>
          <w:lang w:val="en-US"/>
        </w:rPr>
        <w:t>in young</w:t>
      </w:r>
      <w:r w:rsidR="004A081A" w:rsidRPr="005B79BA">
        <w:rPr>
          <w:rFonts w:asciiTheme="majorHAnsi" w:hAnsiTheme="majorHAnsi" w:cs="Times New Roman"/>
          <w:sz w:val="20"/>
          <w:szCs w:val="20"/>
          <w:lang w:val="en-US"/>
        </w:rPr>
        <w:t xml:space="preserve"> non-valvular AF</w:t>
      </w:r>
      <w:r w:rsidRPr="005B79BA">
        <w:rPr>
          <w:rFonts w:asciiTheme="majorHAnsi" w:hAnsiTheme="majorHAnsi" w:cs="Times New Roman"/>
          <w:sz w:val="20"/>
          <w:szCs w:val="20"/>
          <w:lang w:val="en-US"/>
        </w:rPr>
        <w:t xml:space="preserve"> patients. We used a</w:t>
      </w:r>
      <w:r w:rsidR="003F55F7" w:rsidRPr="005B79BA">
        <w:rPr>
          <w:rFonts w:asciiTheme="majorHAnsi" w:hAnsiTheme="majorHAnsi" w:cs="Times New Roman"/>
          <w:sz w:val="20"/>
          <w:szCs w:val="20"/>
          <w:lang w:val="en-US"/>
        </w:rPr>
        <w:t xml:space="preserve">n </w:t>
      </w:r>
      <w:r w:rsidR="00E0106D" w:rsidRPr="005B79BA">
        <w:rPr>
          <w:rFonts w:asciiTheme="majorHAnsi" w:hAnsiTheme="majorHAnsi" w:cs="Times New Roman"/>
          <w:sz w:val="20"/>
          <w:szCs w:val="20"/>
          <w:lang w:val="en-US"/>
        </w:rPr>
        <w:t>endpoint of stroke and death</w:t>
      </w:r>
      <w:r w:rsidR="00AB3EC7" w:rsidRPr="005B79BA">
        <w:rPr>
          <w:rFonts w:asciiTheme="majorHAnsi" w:hAnsiTheme="majorHAnsi" w:cs="Times New Roman"/>
          <w:sz w:val="20"/>
          <w:szCs w:val="20"/>
          <w:lang w:val="en-US"/>
        </w:rPr>
        <w:t>,</w:t>
      </w:r>
      <w:r w:rsidR="00E0106D" w:rsidRPr="005B79BA">
        <w:rPr>
          <w:rFonts w:asciiTheme="majorHAnsi" w:hAnsiTheme="majorHAnsi" w:cs="Times New Roman"/>
          <w:sz w:val="20"/>
          <w:szCs w:val="20"/>
          <w:lang w:val="en-US"/>
        </w:rPr>
        <w:t xml:space="preserve"> and</w:t>
      </w:r>
      <w:r w:rsidRPr="005B79BA">
        <w:rPr>
          <w:rFonts w:asciiTheme="majorHAnsi" w:hAnsiTheme="majorHAnsi" w:cs="Times New Roman"/>
          <w:sz w:val="20"/>
          <w:szCs w:val="20"/>
          <w:lang w:val="en-US"/>
        </w:rPr>
        <w:t xml:space="preserve"> our follow-up w</w:t>
      </w:r>
      <w:r w:rsidR="00143717" w:rsidRPr="005B79BA">
        <w:rPr>
          <w:rFonts w:asciiTheme="majorHAnsi" w:hAnsiTheme="majorHAnsi" w:cs="Times New Roman"/>
          <w:sz w:val="20"/>
          <w:szCs w:val="20"/>
          <w:lang w:val="en-US"/>
        </w:rPr>
        <w:t>as</w:t>
      </w:r>
      <w:r w:rsidRPr="005B79BA">
        <w:rPr>
          <w:rFonts w:asciiTheme="majorHAnsi" w:hAnsiTheme="majorHAnsi" w:cs="Times New Roman"/>
          <w:sz w:val="20"/>
          <w:szCs w:val="20"/>
          <w:lang w:val="en-US"/>
        </w:rPr>
        <w:t xml:space="preserve"> dependent upon the Nationa</w:t>
      </w:r>
      <w:r w:rsidR="00E0106D" w:rsidRPr="005B79BA">
        <w:rPr>
          <w:rFonts w:asciiTheme="majorHAnsi" w:hAnsiTheme="majorHAnsi" w:cs="Times New Roman"/>
          <w:sz w:val="20"/>
          <w:szCs w:val="20"/>
          <w:lang w:val="en-US"/>
        </w:rPr>
        <w:t>l Civil Registration System, where</w:t>
      </w:r>
      <w:r w:rsidRPr="005B79BA">
        <w:rPr>
          <w:rFonts w:asciiTheme="majorHAnsi" w:hAnsiTheme="majorHAnsi" w:cs="Times New Roman"/>
          <w:sz w:val="20"/>
          <w:szCs w:val="20"/>
          <w:lang w:val="en-US"/>
        </w:rPr>
        <w:t xml:space="preserve"> some deaths could be due to undiagnosed stroke. </w:t>
      </w:r>
      <w:r w:rsidR="00E0106D" w:rsidRPr="005B79BA">
        <w:rPr>
          <w:rFonts w:asciiTheme="majorHAnsi" w:hAnsiTheme="majorHAnsi" w:cs="Times New Roman"/>
          <w:sz w:val="20"/>
          <w:szCs w:val="20"/>
          <w:lang w:val="en-US"/>
        </w:rPr>
        <w:t>T</w:t>
      </w:r>
      <w:r w:rsidRPr="005B79BA">
        <w:rPr>
          <w:rFonts w:asciiTheme="majorHAnsi" w:hAnsiTheme="majorHAnsi" w:cs="Times New Roman"/>
          <w:sz w:val="20"/>
          <w:szCs w:val="20"/>
          <w:lang w:val="en-US"/>
        </w:rPr>
        <w:t>he incidence of stroke was defined by the Danish Hospital Discharge Register, and not all stroke endpoints have been defined by cerebral imaging.</w:t>
      </w:r>
      <w:r w:rsidR="00562D9E" w:rsidRPr="005B79BA">
        <w:rPr>
          <w:rFonts w:asciiTheme="majorHAnsi" w:hAnsiTheme="majorHAnsi" w:cs="Times New Roman"/>
          <w:sz w:val="20"/>
          <w:szCs w:val="20"/>
          <w:lang w:val="en-US"/>
        </w:rPr>
        <w:t xml:space="preserve"> Furthermore, we</w:t>
      </w:r>
      <w:r w:rsidRPr="005B79BA">
        <w:rPr>
          <w:rFonts w:asciiTheme="majorHAnsi" w:hAnsiTheme="majorHAnsi" w:cs="Times New Roman"/>
          <w:sz w:val="20"/>
          <w:szCs w:val="20"/>
          <w:lang w:val="en-US"/>
        </w:rPr>
        <w:t xml:space="preserve"> </w:t>
      </w:r>
      <w:r w:rsidR="00562D9E" w:rsidRPr="005B79BA">
        <w:rPr>
          <w:rFonts w:asciiTheme="majorHAnsi" w:hAnsiTheme="majorHAnsi" w:cs="Times New Roman"/>
          <w:sz w:val="20"/>
          <w:szCs w:val="20"/>
          <w:lang w:val="en-US"/>
        </w:rPr>
        <w:t xml:space="preserve">only included ischemic stroke and systemic embolism </w:t>
      </w:r>
      <w:r w:rsidR="00C573FC" w:rsidRPr="005B79BA">
        <w:rPr>
          <w:rFonts w:asciiTheme="majorHAnsi" w:hAnsiTheme="majorHAnsi" w:cs="Times New Roman"/>
          <w:sz w:val="20"/>
          <w:szCs w:val="20"/>
          <w:lang w:val="en-US"/>
        </w:rPr>
        <w:t>and not</w:t>
      </w:r>
      <w:r w:rsidRPr="005B79BA">
        <w:rPr>
          <w:rFonts w:asciiTheme="majorHAnsi" w:hAnsiTheme="majorHAnsi" w:cs="Times New Roman"/>
          <w:sz w:val="20"/>
          <w:szCs w:val="20"/>
          <w:lang w:val="en-US"/>
        </w:rPr>
        <w:t xml:space="preserve"> hemorrhagic stroke. </w:t>
      </w:r>
    </w:p>
    <w:p w14:paraId="5C51A312" w14:textId="77777777" w:rsidR="00C413A3" w:rsidRPr="005B79BA" w:rsidRDefault="00C413A3" w:rsidP="005B79BA">
      <w:pPr>
        <w:jc w:val="both"/>
        <w:rPr>
          <w:rFonts w:asciiTheme="majorHAnsi" w:hAnsiTheme="majorHAnsi"/>
          <w:sz w:val="20"/>
          <w:szCs w:val="20"/>
          <w:lang w:val="en-US"/>
        </w:rPr>
      </w:pPr>
    </w:p>
    <w:p w14:paraId="42E9D237" w14:textId="1A1FB774" w:rsidR="00A601FC" w:rsidRPr="005B79BA" w:rsidRDefault="00E0106D" w:rsidP="005B79BA">
      <w:pPr>
        <w:jc w:val="both"/>
        <w:rPr>
          <w:rFonts w:asciiTheme="majorHAnsi" w:hAnsiTheme="majorHAnsi"/>
          <w:sz w:val="20"/>
          <w:szCs w:val="20"/>
          <w:lang w:val="en-US"/>
        </w:rPr>
      </w:pPr>
      <w:r w:rsidRPr="005B79BA">
        <w:rPr>
          <w:rFonts w:asciiTheme="majorHAnsi" w:hAnsiTheme="majorHAnsi"/>
          <w:sz w:val="20"/>
          <w:szCs w:val="20"/>
          <w:lang w:val="en-US"/>
        </w:rPr>
        <w:t xml:space="preserve">We </w:t>
      </w:r>
      <w:r w:rsidR="00EC0C6E" w:rsidRPr="005B79BA">
        <w:rPr>
          <w:rFonts w:asciiTheme="majorHAnsi" w:hAnsiTheme="majorHAnsi"/>
          <w:sz w:val="20"/>
          <w:szCs w:val="20"/>
          <w:lang w:val="en-US"/>
        </w:rPr>
        <w:t xml:space="preserve">only included risk factors commonly used when assessing risk of stroke in </w:t>
      </w:r>
      <w:r w:rsidR="004A081A" w:rsidRPr="005B79BA">
        <w:rPr>
          <w:rFonts w:asciiTheme="majorHAnsi" w:hAnsiTheme="majorHAnsi"/>
          <w:sz w:val="20"/>
          <w:szCs w:val="20"/>
          <w:lang w:val="en-US"/>
        </w:rPr>
        <w:t>non-valvular</w:t>
      </w:r>
      <w:r w:rsidR="00C63C1F" w:rsidRPr="005B79BA">
        <w:rPr>
          <w:rFonts w:asciiTheme="majorHAnsi" w:hAnsiTheme="majorHAnsi"/>
          <w:sz w:val="20"/>
          <w:szCs w:val="20"/>
          <w:lang w:val="en-US"/>
        </w:rPr>
        <w:t xml:space="preserve"> </w:t>
      </w:r>
      <w:r w:rsidR="00EC0C6E" w:rsidRPr="005B79BA">
        <w:rPr>
          <w:rFonts w:asciiTheme="majorHAnsi" w:hAnsiTheme="majorHAnsi"/>
          <w:sz w:val="20"/>
          <w:szCs w:val="20"/>
          <w:lang w:val="en-US"/>
        </w:rPr>
        <w:t xml:space="preserve">AF patients. Due </w:t>
      </w:r>
      <w:r w:rsidR="00A601FC" w:rsidRPr="005B79BA">
        <w:rPr>
          <w:rFonts w:asciiTheme="majorHAnsi" w:hAnsiTheme="majorHAnsi"/>
          <w:sz w:val="20"/>
          <w:szCs w:val="20"/>
          <w:lang w:val="en-US"/>
        </w:rPr>
        <w:t>to the biological nature of the</w:t>
      </w:r>
      <w:r w:rsidR="00EC0C6E" w:rsidRPr="005B79BA">
        <w:rPr>
          <w:rFonts w:asciiTheme="majorHAnsi" w:hAnsiTheme="majorHAnsi"/>
          <w:sz w:val="20"/>
          <w:szCs w:val="20"/>
          <w:lang w:val="en-US"/>
        </w:rPr>
        <w:t xml:space="preserve"> young</w:t>
      </w:r>
      <w:r w:rsidR="00A601FC" w:rsidRPr="005B79BA">
        <w:rPr>
          <w:rFonts w:asciiTheme="majorHAnsi" w:hAnsiTheme="majorHAnsi"/>
          <w:sz w:val="20"/>
          <w:szCs w:val="20"/>
          <w:lang w:val="en-US"/>
        </w:rPr>
        <w:t>er</w:t>
      </w:r>
      <w:r w:rsidR="00EC0C6E" w:rsidRPr="005B79BA">
        <w:rPr>
          <w:rFonts w:asciiTheme="majorHAnsi" w:hAnsiTheme="majorHAnsi"/>
          <w:sz w:val="20"/>
          <w:szCs w:val="20"/>
          <w:lang w:val="en-US"/>
        </w:rPr>
        <w:t xml:space="preserve"> group of patients, it c</w:t>
      </w:r>
      <w:r w:rsidR="00AA4B7E" w:rsidRPr="005B79BA">
        <w:rPr>
          <w:rFonts w:asciiTheme="majorHAnsi" w:hAnsiTheme="majorHAnsi"/>
          <w:sz w:val="20"/>
          <w:szCs w:val="20"/>
          <w:lang w:val="en-US"/>
        </w:rPr>
        <w:t>ould be relevant</w:t>
      </w:r>
      <w:r w:rsidR="00EC0C6E" w:rsidRPr="005B79BA">
        <w:rPr>
          <w:rFonts w:asciiTheme="majorHAnsi" w:hAnsiTheme="majorHAnsi"/>
          <w:sz w:val="20"/>
          <w:szCs w:val="20"/>
          <w:lang w:val="en-US"/>
        </w:rPr>
        <w:t xml:space="preserve"> to look at several other risk factors such as smoking, dy</w:t>
      </w:r>
      <w:r w:rsidR="00151FF6" w:rsidRPr="005B79BA">
        <w:rPr>
          <w:rFonts w:asciiTheme="majorHAnsi" w:hAnsiTheme="majorHAnsi"/>
          <w:sz w:val="20"/>
          <w:szCs w:val="20"/>
          <w:lang w:val="en-US"/>
        </w:rPr>
        <w:t xml:space="preserve">slipidemia, body mass index, </w:t>
      </w:r>
      <w:proofErr w:type="gramStart"/>
      <w:r w:rsidR="00EC0C6E" w:rsidRPr="005B79BA">
        <w:rPr>
          <w:rFonts w:asciiTheme="majorHAnsi" w:hAnsiTheme="majorHAnsi"/>
          <w:sz w:val="20"/>
          <w:szCs w:val="20"/>
          <w:lang w:val="en-US"/>
        </w:rPr>
        <w:t>family</w:t>
      </w:r>
      <w:proofErr w:type="gramEnd"/>
      <w:r w:rsidR="00EC0C6E" w:rsidRPr="005B79BA">
        <w:rPr>
          <w:rFonts w:asciiTheme="majorHAnsi" w:hAnsiTheme="majorHAnsi"/>
          <w:sz w:val="20"/>
          <w:szCs w:val="20"/>
          <w:lang w:val="en-US"/>
        </w:rPr>
        <w:t xml:space="preserve"> history of stroke</w:t>
      </w:r>
      <w:r w:rsidR="00151FF6" w:rsidRPr="005B79BA">
        <w:rPr>
          <w:rFonts w:asciiTheme="majorHAnsi" w:hAnsiTheme="majorHAnsi"/>
          <w:sz w:val="20"/>
          <w:szCs w:val="20"/>
          <w:lang w:val="en-US"/>
        </w:rPr>
        <w:t>, echo</w:t>
      </w:r>
      <w:r w:rsidR="00586060">
        <w:rPr>
          <w:rFonts w:asciiTheme="majorHAnsi" w:hAnsiTheme="majorHAnsi"/>
          <w:sz w:val="20"/>
          <w:szCs w:val="20"/>
          <w:lang w:val="en-US"/>
        </w:rPr>
        <w:t>-</w:t>
      </w:r>
      <w:proofErr w:type="spellStart"/>
      <w:r w:rsidR="00151FF6" w:rsidRPr="005B79BA">
        <w:rPr>
          <w:rFonts w:asciiTheme="majorHAnsi" w:hAnsiTheme="majorHAnsi"/>
          <w:sz w:val="20"/>
          <w:szCs w:val="20"/>
          <w:lang w:val="en-US"/>
        </w:rPr>
        <w:t>cardiographic</w:t>
      </w:r>
      <w:proofErr w:type="spellEnd"/>
      <w:r w:rsidR="00151FF6" w:rsidRPr="005B79BA">
        <w:rPr>
          <w:rFonts w:asciiTheme="majorHAnsi" w:hAnsiTheme="majorHAnsi"/>
          <w:sz w:val="20"/>
          <w:szCs w:val="20"/>
          <w:lang w:val="en-US"/>
        </w:rPr>
        <w:t xml:space="preserve"> or electrocardiographic findings</w:t>
      </w:r>
      <w:r w:rsidR="00EC0C6E" w:rsidRPr="005B79BA">
        <w:rPr>
          <w:rFonts w:asciiTheme="majorHAnsi" w:hAnsiTheme="majorHAnsi"/>
          <w:sz w:val="20"/>
          <w:szCs w:val="20"/>
          <w:lang w:val="en-US"/>
        </w:rPr>
        <w:t xml:space="preserve">. </w:t>
      </w:r>
      <w:r w:rsidR="00E75B11" w:rsidRPr="005B79BA">
        <w:rPr>
          <w:rFonts w:asciiTheme="majorHAnsi" w:hAnsiTheme="majorHAnsi"/>
          <w:sz w:val="20"/>
          <w:szCs w:val="20"/>
          <w:lang w:val="en-US"/>
        </w:rPr>
        <w:t>T</w:t>
      </w:r>
      <w:r w:rsidR="00AA4B7E" w:rsidRPr="005B79BA">
        <w:rPr>
          <w:rFonts w:asciiTheme="majorHAnsi" w:hAnsiTheme="majorHAnsi"/>
          <w:sz w:val="20"/>
          <w:szCs w:val="20"/>
          <w:lang w:val="en-US"/>
        </w:rPr>
        <w:t xml:space="preserve">his aspect was beyond the scope of this study and has </w:t>
      </w:r>
      <w:r w:rsidR="00A601FC" w:rsidRPr="005B79BA">
        <w:rPr>
          <w:rFonts w:asciiTheme="majorHAnsi" w:hAnsiTheme="majorHAnsi"/>
          <w:sz w:val="20"/>
          <w:szCs w:val="20"/>
          <w:lang w:val="en-US"/>
        </w:rPr>
        <w:t xml:space="preserve">somewhat </w:t>
      </w:r>
      <w:r w:rsidR="00AA4B7E" w:rsidRPr="005B79BA">
        <w:rPr>
          <w:rFonts w:asciiTheme="majorHAnsi" w:hAnsiTheme="majorHAnsi"/>
          <w:sz w:val="20"/>
          <w:szCs w:val="20"/>
          <w:lang w:val="en-US"/>
        </w:rPr>
        <w:t xml:space="preserve">been evaluated in a previous study by </w:t>
      </w:r>
      <w:proofErr w:type="spellStart"/>
      <w:r w:rsidR="00AA4B7E" w:rsidRPr="005B79BA">
        <w:rPr>
          <w:rFonts w:asciiTheme="majorHAnsi" w:hAnsiTheme="majorHAnsi"/>
          <w:sz w:val="20"/>
          <w:szCs w:val="20"/>
          <w:lang w:val="en-US"/>
        </w:rPr>
        <w:t>Ruigomez</w:t>
      </w:r>
      <w:proofErr w:type="spellEnd"/>
      <w:r w:rsidR="00AA4B7E" w:rsidRPr="005B79BA">
        <w:rPr>
          <w:rFonts w:asciiTheme="majorHAnsi" w:hAnsiTheme="majorHAnsi"/>
          <w:sz w:val="20"/>
          <w:szCs w:val="20"/>
          <w:lang w:val="en-US"/>
        </w:rPr>
        <w:t xml:space="preserve"> et al.</w:t>
      </w:r>
      <w:r w:rsidR="00376BA4" w:rsidRPr="005B79BA">
        <w:rPr>
          <w:rFonts w:asciiTheme="majorHAnsi" w:hAnsiTheme="majorHAnsi"/>
          <w:sz w:val="20"/>
          <w:szCs w:val="20"/>
          <w:lang w:val="en-US"/>
        </w:rPr>
        <w:t>, although in an older study population</w:t>
      </w:r>
      <w:r w:rsidR="009F7CE0" w:rsidRPr="005B79BA">
        <w:rPr>
          <w:rFonts w:asciiTheme="majorHAnsi" w:hAnsiTheme="majorHAnsi"/>
          <w:sz w:val="20"/>
          <w:szCs w:val="20"/>
          <w:lang w:val="en-US"/>
        </w:rPr>
        <w:fldChar w:fldCharType="begin" w:fldLock="1"/>
      </w:r>
      <w:r w:rsidR="00F27147" w:rsidRPr="005B79BA">
        <w:rPr>
          <w:rFonts w:asciiTheme="majorHAnsi" w:hAnsiTheme="majorHAnsi"/>
          <w:sz w:val="20"/>
          <w:szCs w:val="20"/>
          <w:lang w:val="en-US"/>
        </w:rPr>
        <w:instrText xml:space="preserve">ADDIN Mendeley Citation{9f223366-330b-4cb5-a90a-4a778167d4b6} CSL_CITATION  { "citationItems" : [ { "id" : "ITEM-1", "itemData" : { "DOI" : "10.1016/j.ijcard.2008.04.050", "abstract" : "Atrial fibrillation (AF) is associated with subsequent cardiovascular events including ischemic stroke, transient ischemic events, and coronary events. This study aimed to evaluate the risk of ischemic cerebrovascular events (ICVE), coronary events (CE) or heart failure (HF) following a diagnosis of AF.", "author" : [ { "family" : "Ruig\u00f3mez", "given" : "Ana" }, { "family" : "Johansson", "given" : "Saga" }, { "family" : "Wallander", "given" : "Mari-Ann" }, { "family" : "Edvardsson", "given" : "Nils" }, { "family" : "Garc\u00eda Rodr\u00edguez", "given" : "Luis Alberto" } ], "container-title" : "International journal of cardiology", "id" : "ITEM-1", "issue" : "2", "issued" : { "date-parts" : [ [ "2009", "8", "14" ] ] }, "page" : "186-92", "publisher" : "Elsevier Ireland Ltd", "title" : "Risk of cardiovascular and cerebrovascular events after atrial fibrillation diagnosis.", "type" : "article-journal", "volume" : "136" }, "uris" : [ "http://www.mendeley.com/documents/?uuid=9f223366-330b-4cb5-a90a-4a778167d4b6" ] } ], "mendeley" : { "previouslyFormattedCitation" : "\u003csup\u003e24\u003c/sup\u003e" }, "properties" : { "noteIndex" : 0 }, "schema" : "https://github.com/citation-style-language/schema/raw/master/csl-citation.json" } </w:instrText>
      </w:r>
      <w:r w:rsidR="009F7CE0" w:rsidRPr="005B79BA">
        <w:rPr>
          <w:rFonts w:asciiTheme="majorHAnsi" w:hAnsiTheme="majorHAnsi"/>
          <w:sz w:val="20"/>
          <w:szCs w:val="20"/>
          <w:lang w:val="en-US"/>
        </w:rPr>
        <w:fldChar w:fldCharType="separate"/>
      </w:r>
      <w:r w:rsidR="00F27147" w:rsidRPr="005B79BA">
        <w:rPr>
          <w:rFonts w:asciiTheme="majorHAnsi" w:hAnsiTheme="majorHAnsi"/>
          <w:noProof/>
          <w:sz w:val="20"/>
          <w:szCs w:val="20"/>
          <w:vertAlign w:val="superscript"/>
          <w:lang w:val="en-US"/>
        </w:rPr>
        <w:t>24</w:t>
      </w:r>
      <w:r w:rsidR="009F7CE0" w:rsidRPr="005B79BA">
        <w:rPr>
          <w:rFonts w:asciiTheme="majorHAnsi" w:hAnsiTheme="majorHAnsi"/>
          <w:sz w:val="20"/>
          <w:szCs w:val="20"/>
          <w:lang w:val="en-US"/>
        </w:rPr>
        <w:fldChar w:fldCharType="end"/>
      </w:r>
      <w:r w:rsidR="00A601FC" w:rsidRPr="005B79BA">
        <w:rPr>
          <w:rFonts w:asciiTheme="majorHAnsi" w:hAnsiTheme="majorHAnsi"/>
          <w:sz w:val="20"/>
          <w:szCs w:val="20"/>
          <w:lang w:val="en-US"/>
        </w:rPr>
        <w:t xml:space="preserve">. </w:t>
      </w:r>
      <w:r w:rsidR="00E75B11" w:rsidRPr="005B79BA">
        <w:rPr>
          <w:rFonts w:asciiTheme="majorHAnsi" w:hAnsiTheme="majorHAnsi"/>
          <w:sz w:val="20"/>
          <w:szCs w:val="20"/>
          <w:lang w:val="en-US"/>
        </w:rPr>
        <w:t>Thus</w:t>
      </w:r>
      <w:r w:rsidR="00EC0C6E" w:rsidRPr="005B79BA">
        <w:rPr>
          <w:rFonts w:asciiTheme="majorHAnsi" w:hAnsiTheme="majorHAnsi"/>
          <w:sz w:val="20"/>
          <w:szCs w:val="20"/>
          <w:lang w:val="en-US"/>
        </w:rPr>
        <w:t>, residual con</w:t>
      </w:r>
      <w:r w:rsidR="00376BA4" w:rsidRPr="005B79BA">
        <w:rPr>
          <w:rFonts w:asciiTheme="majorHAnsi" w:hAnsiTheme="majorHAnsi"/>
          <w:sz w:val="20"/>
          <w:szCs w:val="20"/>
          <w:lang w:val="en-US"/>
        </w:rPr>
        <w:t xml:space="preserve">founding may still be evident, even </w:t>
      </w:r>
      <w:r w:rsidR="00EC0C6E" w:rsidRPr="005B79BA">
        <w:rPr>
          <w:rFonts w:asciiTheme="majorHAnsi" w:hAnsiTheme="majorHAnsi"/>
          <w:sz w:val="20"/>
          <w:szCs w:val="20"/>
          <w:lang w:val="en-US"/>
        </w:rPr>
        <w:t>though we attempted to adjust for baseline clinical characteristics</w:t>
      </w:r>
      <w:r w:rsidRPr="005B79BA">
        <w:rPr>
          <w:rFonts w:asciiTheme="majorHAnsi" w:hAnsiTheme="majorHAnsi"/>
          <w:sz w:val="20"/>
          <w:szCs w:val="20"/>
          <w:lang w:val="en-US"/>
        </w:rPr>
        <w:t xml:space="preserve"> in the statistical analysis.</w:t>
      </w:r>
      <w:r w:rsidR="00EC0C6E" w:rsidRPr="005B79BA">
        <w:rPr>
          <w:rFonts w:asciiTheme="majorHAnsi" w:hAnsiTheme="majorHAnsi"/>
          <w:sz w:val="20"/>
          <w:szCs w:val="20"/>
          <w:lang w:val="en-US"/>
        </w:rPr>
        <w:t xml:space="preserve"> </w:t>
      </w:r>
      <w:r w:rsidR="00E75B11" w:rsidRPr="005B79BA">
        <w:rPr>
          <w:rFonts w:asciiTheme="majorHAnsi" w:hAnsiTheme="majorHAnsi"/>
          <w:sz w:val="20"/>
          <w:szCs w:val="20"/>
          <w:lang w:val="en-US"/>
        </w:rPr>
        <w:t>As this</w:t>
      </w:r>
      <w:r w:rsidR="00151FF6" w:rsidRPr="005B79BA">
        <w:rPr>
          <w:rFonts w:asciiTheme="majorHAnsi" w:hAnsiTheme="majorHAnsi"/>
          <w:sz w:val="20"/>
          <w:szCs w:val="20"/>
          <w:lang w:val="en-US"/>
        </w:rPr>
        <w:t xml:space="preserve"> was an observational study, it is not possible to draw direct conclusions on causal relationships of the findings. </w:t>
      </w:r>
      <w:r w:rsidR="00EC0C6E" w:rsidRPr="005B79BA">
        <w:rPr>
          <w:rFonts w:asciiTheme="majorHAnsi" w:hAnsiTheme="majorHAnsi" w:cs="Times-Roman"/>
          <w:color w:val="000000"/>
          <w:sz w:val="20"/>
          <w:szCs w:val="20"/>
          <w:lang w:val="en-US"/>
        </w:rPr>
        <w:t xml:space="preserve">The frequencies of risk </w:t>
      </w:r>
      <w:r w:rsidR="00EC0C6E" w:rsidRPr="005B79BA">
        <w:rPr>
          <w:rFonts w:asciiTheme="majorHAnsi" w:hAnsiTheme="majorHAnsi" w:cs="Times-Roman"/>
          <w:color w:val="000000"/>
          <w:sz w:val="20"/>
          <w:szCs w:val="20"/>
          <w:lang w:val="en-US"/>
        </w:rPr>
        <w:lastRenderedPageBreak/>
        <w:t>factors in the study population may</w:t>
      </w:r>
      <w:r w:rsidR="00E75B11" w:rsidRPr="005B79BA">
        <w:rPr>
          <w:rFonts w:asciiTheme="majorHAnsi" w:hAnsiTheme="majorHAnsi" w:cs="Times-Roman"/>
          <w:color w:val="000000"/>
          <w:sz w:val="20"/>
          <w:szCs w:val="20"/>
          <w:lang w:val="en-US"/>
        </w:rPr>
        <w:t xml:space="preserve"> also</w:t>
      </w:r>
      <w:r w:rsidR="00EC0C6E" w:rsidRPr="005B79BA">
        <w:rPr>
          <w:rFonts w:asciiTheme="majorHAnsi" w:hAnsiTheme="majorHAnsi" w:cs="Times-Roman"/>
          <w:color w:val="000000"/>
          <w:sz w:val="20"/>
          <w:szCs w:val="20"/>
          <w:lang w:val="en-US"/>
        </w:rPr>
        <w:t xml:space="preserve"> be underestimated because patients with heart failure, hypertension</w:t>
      </w:r>
      <w:r w:rsidR="00E75B11" w:rsidRPr="005B79BA">
        <w:rPr>
          <w:rFonts w:asciiTheme="majorHAnsi" w:hAnsiTheme="majorHAnsi" w:cs="Times-Roman"/>
          <w:color w:val="000000"/>
          <w:sz w:val="20"/>
          <w:szCs w:val="20"/>
          <w:lang w:val="en-US"/>
        </w:rPr>
        <w:t xml:space="preserve"> </w:t>
      </w:r>
      <w:r w:rsidR="00EC0C6E" w:rsidRPr="005B79BA">
        <w:rPr>
          <w:rFonts w:asciiTheme="majorHAnsi" w:hAnsiTheme="majorHAnsi" w:cs="Times-Roman"/>
          <w:color w:val="000000"/>
          <w:sz w:val="20"/>
          <w:szCs w:val="20"/>
          <w:lang w:val="en-US"/>
        </w:rPr>
        <w:t>and diabetes were identified from prescription claims</w:t>
      </w:r>
      <w:r w:rsidR="00AE2066" w:rsidRPr="005B79BA">
        <w:rPr>
          <w:rFonts w:asciiTheme="majorHAnsi" w:hAnsiTheme="majorHAnsi" w:cs="Times-Roman"/>
          <w:color w:val="000000"/>
          <w:sz w:val="20"/>
          <w:szCs w:val="20"/>
          <w:lang w:val="en-US"/>
        </w:rPr>
        <w:t>,</w:t>
      </w:r>
      <w:r w:rsidR="00EC0C6E" w:rsidRPr="005B79BA">
        <w:rPr>
          <w:rFonts w:asciiTheme="majorHAnsi" w:hAnsiTheme="majorHAnsi" w:cs="Times-Roman"/>
          <w:color w:val="000000"/>
          <w:sz w:val="20"/>
          <w:szCs w:val="20"/>
          <w:lang w:val="en-US"/>
        </w:rPr>
        <w:t xml:space="preserve"> and thus</w:t>
      </w:r>
      <w:r w:rsidR="00AE2066" w:rsidRPr="005B79BA">
        <w:rPr>
          <w:rFonts w:asciiTheme="majorHAnsi" w:hAnsiTheme="majorHAnsi" w:cs="Times-Roman"/>
          <w:color w:val="000000"/>
          <w:sz w:val="20"/>
          <w:szCs w:val="20"/>
          <w:lang w:val="en-US"/>
        </w:rPr>
        <w:t>,</w:t>
      </w:r>
      <w:r w:rsidR="00EC0C6E" w:rsidRPr="005B79BA">
        <w:rPr>
          <w:rFonts w:asciiTheme="majorHAnsi" w:hAnsiTheme="majorHAnsi" w:cs="Times-Roman"/>
          <w:color w:val="000000"/>
          <w:sz w:val="20"/>
          <w:szCs w:val="20"/>
          <w:lang w:val="en-US"/>
        </w:rPr>
        <w:t xml:space="preserve"> we were not able to detect patients treated non-pharmaceutical with diet control and </w:t>
      </w:r>
      <w:r w:rsidR="00A601FC" w:rsidRPr="005B79BA">
        <w:rPr>
          <w:rFonts w:asciiTheme="majorHAnsi" w:hAnsiTheme="majorHAnsi" w:cs="Times-Roman"/>
          <w:color w:val="000000"/>
          <w:sz w:val="20"/>
          <w:szCs w:val="20"/>
          <w:lang w:val="en-US"/>
        </w:rPr>
        <w:t xml:space="preserve">lifestyle interventions alone. </w:t>
      </w:r>
      <w:r w:rsidR="00EC0C6E" w:rsidRPr="005B79BA">
        <w:rPr>
          <w:rFonts w:asciiTheme="majorHAnsi" w:hAnsiTheme="majorHAnsi" w:cs="Times New Roman"/>
          <w:sz w:val="20"/>
          <w:szCs w:val="20"/>
          <w:lang w:val="en-US"/>
        </w:rPr>
        <w:t>In addition, oral anticoagulation could influence the rate of stroke during follow-up</w:t>
      </w:r>
      <w:r w:rsidR="00E75B11" w:rsidRPr="005B79BA">
        <w:rPr>
          <w:rFonts w:asciiTheme="majorHAnsi" w:hAnsiTheme="majorHAnsi" w:cs="Times New Roman"/>
          <w:sz w:val="20"/>
          <w:szCs w:val="20"/>
          <w:lang w:val="en-US"/>
        </w:rPr>
        <w:t xml:space="preserve"> but </w:t>
      </w:r>
      <w:r w:rsidR="00EC0C6E" w:rsidRPr="005B79BA">
        <w:rPr>
          <w:rFonts w:asciiTheme="majorHAnsi" w:hAnsiTheme="majorHAnsi" w:cs="Times New Roman"/>
          <w:sz w:val="20"/>
          <w:szCs w:val="20"/>
          <w:lang w:val="en-US"/>
        </w:rPr>
        <w:t xml:space="preserve">all analyses were adjusted for the use of oral anticoagulation in the statistical analysis. </w:t>
      </w:r>
    </w:p>
    <w:p w14:paraId="1F326F4F" w14:textId="77777777" w:rsidR="00C413A3" w:rsidRPr="005B79BA" w:rsidRDefault="00C413A3" w:rsidP="005B79BA">
      <w:pPr>
        <w:jc w:val="both"/>
        <w:rPr>
          <w:rFonts w:asciiTheme="majorHAnsi" w:hAnsiTheme="majorHAnsi" w:cs="Times New Roman"/>
          <w:sz w:val="20"/>
          <w:szCs w:val="20"/>
          <w:lang w:val="en-US"/>
        </w:rPr>
      </w:pPr>
    </w:p>
    <w:p w14:paraId="6CE4EFAE" w14:textId="245A404B" w:rsidR="00075459" w:rsidRPr="005B79BA" w:rsidRDefault="00EC0C6E" w:rsidP="005B79BA">
      <w:pPr>
        <w:autoSpaceDE w:val="0"/>
        <w:autoSpaceDN w:val="0"/>
        <w:adjustRightInd w:val="0"/>
        <w:jc w:val="both"/>
        <w:rPr>
          <w:rFonts w:asciiTheme="majorHAnsi" w:hAnsiTheme="majorHAnsi" w:cs="Times New Roman"/>
          <w:sz w:val="20"/>
          <w:szCs w:val="20"/>
          <w:lang w:val="en-US"/>
        </w:rPr>
      </w:pPr>
      <w:r w:rsidRPr="005B79BA">
        <w:rPr>
          <w:rFonts w:asciiTheme="majorHAnsi" w:hAnsiTheme="majorHAnsi" w:cs="Times New Roman"/>
          <w:sz w:val="20"/>
          <w:szCs w:val="20"/>
          <w:lang w:val="en-US"/>
        </w:rPr>
        <w:t xml:space="preserve">Due to the low number </w:t>
      </w:r>
      <w:r w:rsidR="00A13FBB" w:rsidRPr="005B79BA">
        <w:rPr>
          <w:rFonts w:asciiTheme="majorHAnsi" w:hAnsiTheme="majorHAnsi" w:cs="Times New Roman"/>
          <w:sz w:val="20"/>
          <w:szCs w:val="20"/>
          <w:lang w:val="en-US"/>
        </w:rPr>
        <w:t>of patients in some age intervals</w:t>
      </w:r>
      <w:r w:rsidRPr="005B79BA">
        <w:rPr>
          <w:rFonts w:asciiTheme="majorHAnsi" w:hAnsiTheme="majorHAnsi" w:cs="Times New Roman"/>
          <w:sz w:val="20"/>
          <w:szCs w:val="20"/>
          <w:lang w:val="en-US"/>
        </w:rPr>
        <w:t xml:space="preserve">, analyses in some of these </w:t>
      </w:r>
      <w:r w:rsidR="00AC234D" w:rsidRPr="005B79BA">
        <w:rPr>
          <w:rFonts w:asciiTheme="majorHAnsi" w:hAnsiTheme="majorHAnsi" w:cs="Times New Roman"/>
          <w:sz w:val="20"/>
          <w:szCs w:val="20"/>
          <w:lang w:val="en-US"/>
        </w:rPr>
        <w:t xml:space="preserve">age </w:t>
      </w:r>
      <w:r w:rsidRPr="005B79BA">
        <w:rPr>
          <w:rFonts w:asciiTheme="majorHAnsi" w:hAnsiTheme="majorHAnsi" w:cs="Times New Roman"/>
          <w:sz w:val="20"/>
          <w:szCs w:val="20"/>
          <w:lang w:val="en-US"/>
        </w:rPr>
        <w:t xml:space="preserve">groups were conducted with reduced power resulting in wide confidence intervals. </w:t>
      </w:r>
      <w:r w:rsidR="00E0106D" w:rsidRPr="005B79BA">
        <w:rPr>
          <w:rFonts w:asciiTheme="majorHAnsi" w:hAnsiTheme="majorHAnsi" w:cs="Times New Roman"/>
          <w:sz w:val="20"/>
          <w:szCs w:val="20"/>
          <w:lang w:val="en-US"/>
        </w:rPr>
        <w:t>However, t</w:t>
      </w:r>
      <w:r w:rsidRPr="005B79BA">
        <w:rPr>
          <w:rFonts w:asciiTheme="majorHAnsi" w:hAnsiTheme="majorHAnsi" w:cs="Times New Roman"/>
          <w:sz w:val="20"/>
          <w:szCs w:val="20"/>
          <w:lang w:val="en-US"/>
        </w:rPr>
        <w:t>h</w:t>
      </w:r>
      <w:r w:rsidR="00E75B11" w:rsidRPr="005B79BA">
        <w:rPr>
          <w:rFonts w:asciiTheme="majorHAnsi" w:hAnsiTheme="majorHAnsi" w:cs="Times New Roman"/>
          <w:sz w:val="20"/>
          <w:szCs w:val="20"/>
          <w:lang w:val="en-US"/>
        </w:rPr>
        <w:t>is</w:t>
      </w:r>
      <w:r w:rsidRPr="005B79BA">
        <w:rPr>
          <w:rFonts w:asciiTheme="majorHAnsi" w:hAnsiTheme="majorHAnsi" w:cs="Times New Roman"/>
          <w:sz w:val="20"/>
          <w:szCs w:val="20"/>
          <w:lang w:val="en-US"/>
        </w:rPr>
        <w:t xml:space="preserve"> study investigated a “real world” and c</w:t>
      </w:r>
      <w:r w:rsidR="00A601FC" w:rsidRPr="005B79BA">
        <w:rPr>
          <w:rFonts w:asciiTheme="majorHAnsi" w:hAnsiTheme="majorHAnsi" w:cs="Times New Roman"/>
          <w:sz w:val="20"/>
          <w:szCs w:val="20"/>
          <w:lang w:val="en-US"/>
        </w:rPr>
        <w:t xml:space="preserve">ontemporary population of </w:t>
      </w:r>
      <w:r w:rsidR="004A081A" w:rsidRPr="005B79BA">
        <w:rPr>
          <w:rFonts w:asciiTheme="majorHAnsi" w:hAnsiTheme="majorHAnsi" w:cs="Times New Roman"/>
          <w:sz w:val="20"/>
          <w:szCs w:val="20"/>
          <w:lang w:val="en-US"/>
        </w:rPr>
        <w:t>non-valvular AF</w:t>
      </w:r>
      <w:r w:rsidRPr="005B79BA">
        <w:rPr>
          <w:rFonts w:asciiTheme="majorHAnsi" w:hAnsiTheme="majorHAnsi" w:cs="Times New Roman"/>
          <w:sz w:val="20"/>
          <w:szCs w:val="20"/>
          <w:lang w:val="en-US"/>
        </w:rPr>
        <w:t xml:space="preserve"> patients</w:t>
      </w:r>
      <w:r w:rsidR="00E0106D" w:rsidRPr="005B79BA">
        <w:rPr>
          <w:rFonts w:asciiTheme="majorHAnsi" w:hAnsiTheme="majorHAnsi" w:cs="Times New Roman"/>
          <w:sz w:val="20"/>
          <w:szCs w:val="20"/>
          <w:lang w:val="en-US"/>
        </w:rPr>
        <w:t xml:space="preserve"> </w:t>
      </w:r>
      <w:r w:rsidR="00AC234D" w:rsidRPr="005B79BA">
        <w:rPr>
          <w:rFonts w:asciiTheme="majorHAnsi" w:hAnsiTheme="majorHAnsi" w:cs="Times New Roman"/>
          <w:sz w:val="20"/>
          <w:szCs w:val="20"/>
          <w:lang w:val="en-US"/>
        </w:rPr>
        <w:t>followed in nationwide</w:t>
      </w:r>
      <w:r w:rsidRPr="005B79BA">
        <w:rPr>
          <w:rFonts w:asciiTheme="majorHAnsi" w:hAnsiTheme="majorHAnsi" w:cs="Times New Roman"/>
          <w:sz w:val="20"/>
          <w:szCs w:val="20"/>
          <w:lang w:val="en-US"/>
        </w:rPr>
        <w:t xml:space="preserve"> regist</w:t>
      </w:r>
      <w:r w:rsidR="00AC234D" w:rsidRPr="005B79BA">
        <w:rPr>
          <w:rFonts w:asciiTheme="majorHAnsi" w:hAnsiTheme="majorHAnsi" w:cs="Times New Roman"/>
          <w:sz w:val="20"/>
          <w:szCs w:val="20"/>
          <w:lang w:val="en-US"/>
        </w:rPr>
        <w:t>ers</w:t>
      </w:r>
      <w:r w:rsidRPr="005B79BA">
        <w:rPr>
          <w:rFonts w:asciiTheme="majorHAnsi" w:hAnsiTheme="majorHAnsi" w:cs="Times New Roman"/>
          <w:sz w:val="20"/>
          <w:szCs w:val="20"/>
          <w:lang w:val="en-US"/>
        </w:rPr>
        <w:t xml:space="preserve"> </w:t>
      </w:r>
      <w:r w:rsidR="00E0106D" w:rsidRPr="005B79BA">
        <w:rPr>
          <w:rFonts w:asciiTheme="majorHAnsi" w:hAnsiTheme="majorHAnsi" w:cs="Times New Roman"/>
          <w:sz w:val="20"/>
          <w:szCs w:val="20"/>
          <w:lang w:val="en-US"/>
        </w:rPr>
        <w:t>which has</w:t>
      </w:r>
      <w:r w:rsidRPr="005B79BA">
        <w:rPr>
          <w:rFonts w:asciiTheme="majorHAnsi" w:hAnsiTheme="majorHAnsi" w:cs="Times New Roman"/>
          <w:sz w:val="20"/>
          <w:szCs w:val="20"/>
          <w:lang w:val="en-US"/>
        </w:rPr>
        <w:t xml:space="preserve"> very limited loss to follow-up, and therefore, the study is </w:t>
      </w:r>
      <w:r w:rsidR="00E75B11" w:rsidRPr="005B79BA">
        <w:rPr>
          <w:rFonts w:asciiTheme="majorHAnsi" w:hAnsiTheme="majorHAnsi" w:cs="Times New Roman"/>
          <w:sz w:val="20"/>
          <w:szCs w:val="20"/>
          <w:lang w:val="en-US"/>
        </w:rPr>
        <w:t>un</w:t>
      </w:r>
      <w:r w:rsidRPr="005B79BA">
        <w:rPr>
          <w:rFonts w:asciiTheme="majorHAnsi" w:hAnsiTheme="majorHAnsi" w:cs="Times New Roman"/>
          <w:sz w:val="20"/>
          <w:szCs w:val="20"/>
          <w:lang w:val="en-US"/>
        </w:rPr>
        <w:t xml:space="preserve">likely </w:t>
      </w:r>
      <w:r w:rsidR="00E75B11" w:rsidRPr="005B79BA">
        <w:rPr>
          <w:rFonts w:asciiTheme="majorHAnsi" w:hAnsiTheme="majorHAnsi" w:cs="Times New Roman"/>
          <w:sz w:val="20"/>
          <w:szCs w:val="20"/>
          <w:lang w:val="en-US"/>
        </w:rPr>
        <w:t xml:space="preserve">to be </w:t>
      </w:r>
      <w:r w:rsidRPr="005B79BA">
        <w:rPr>
          <w:rFonts w:asciiTheme="majorHAnsi" w:hAnsiTheme="majorHAnsi" w:cs="Times New Roman"/>
          <w:sz w:val="20"/>
          <w:szCs w:val="20"/>
          <w:lang w:val="en-US"/>
        </w:rPr>
        <w:t>subject to selection bias. T</w:t>
      </w:r>
      <w:r w:rsidRPr="005B79BA">
        <w:rPr>
          <w:rFonts w:asciiTheme="majorHAnsi" w:hAnsiTheme="majorHAnsi" w:cs="Times New Roman"/>
          <w:color w:val="000000"/>
          <w:sz w:val="20"/>
          <w:szCs w:val="20"/>
          <w:lang w:val="en-US"/>
        </w:rPr>
        <w:t xml:space="preserve">he major strengths of this study </w:t>
      </w:r>
      <w:r w:rsidR="00E75B11" w:rsidRPr="005B79BA">
        <w:rPr>
          <w:rFonts w:asciiTheme="majorHAnsi" w:hAnsiTheme="majorHAnsi" w:cs="Times New Roman"/>
          <w:color w:val="000000"/>
          <w:sz w:val="20"/>
          <w:szCs w:val="20"/>
          <w:lang w:val="en-US"/>
        </w:rPr>
        <w:t xml:space="preserve">remain </w:t>
      </w:r>
      <w:r w:rsidRPr="005B79BA">
        <w:rPr>
          <w:rFonts w:asciiTheme="majorHAnsi" w:hAnsiTheme="majorHAnsi" w:cs="Times New Roman"/>
          <w:color w:val="000000"/>
          <w:sz w:val="20"/>
          <w:szCs w:val="20"/>
          <w:lang w:val="en-US"/>
        </w:rPr>
        <w:t>the</w:t>
      </w:r>
      <w:r w:rsidR="00E0106D" w:rsidRPr="005B79BA">
        <w:rPr>
          <w:rFonts w:asciiTheme="majorHAnsi" w:hAnsiTheme="majorHAnsi" w:cs="Times New Roman"/>
          <w:color w:val="000000"/>
          <w:sz w:val="20"/>
          <w:szCs w:val="20"/>
          <w:lang w:val="en-US"/>
        </w:rPr>
        <w:t xml:space="preserve"> well-validated outcomes and</w:t>
      </w:r>
      <w:r w:rsidRPr="005B79BA">
        <w:rPr>
          <w:rFonts w:asciiTheme="majorHAnsi" w:hAnsiTheme="majorHAnsi" w:cs="Times New Roman"/>
          <w:color w:val="000000"/>
          <w:sz w:val="20"/>
          <w:szCs w:val="20"/>
          <w:lang w:val="en-US"/>
        </w:rPr>
        <w:t xml:space="preserve"> large sample size uniquely possible with this type of cohort study</w:t>
      </w:r>
      <w:r w:rsidR="009A4D34" w:rsidRPr="005B79BA">
        <w:rPr>
          <w:rFonts w:asciiTheme="majorHAnsi" w:hAnsiTheme="majorHAnsi" w:cs="Times New Roman"/>
          <w:color w:val="000000"/>
          <w:sz w:val="20"/>
          <w:szCs w:val="20"/>
          <w:lang w:val="en-US"/>
        </w:rPr>
        <w:t>, and almost no patients were lost for follow up</w:t>
      </w:r>
      <w:r w:rsidRPr="005B79BA">
        <w:rPr>
          <w:rFonts w:asciiTheme="majorHAnsi" w:hAnsiTheme="majorHAnsi" w:cs="Times New Roman"/>
          <w:color w:val="000000"/>
          <w:sz w:val="20"/>
          <w:szCs w:val="20"/>
          <w:lang w:val="en-US"/>
        </w:rPr>
        <w:t>.</w:t>
      </w:r>
    </w:p>
    <w:p w14:paraId="25CBD914" w14:textId="77777777" w:rsidR="00D76DB0" w:rsidRPr="005B79BA" w:rsidRDefault="00D76DB0" w:rsidP="005B79BA">
      <w:pPr>
        <w:autoSpaceDE w:val="0"/>
        <w:autoSpaceDN w:val="0"/>
        <w:adjustRightInd w:val="0"/>
        <w:jc w:val="both"/>
        <w:rPr>
          <w:rFonts w:asciiTheme="majorHAnsi" w:hAnsiTheme="majorHAnsi" w:cs="Times New Roman"/>
          <w:sz w:val="20"/>
          <w:szCs w:val="20"/>
          <w:lang w:val="en-US"/>
        </w:rPr>
      </w:pPr>
    </w:p>
    <w:p w14:paraId="5A2BF76F" w14:textId="698F984D" w:rsidR="005A19C6" w:rsidRPr="005B79BA" w:rsidRDefault="00DD48F5" w:rsidP="005B79BA">
      <w:pPr>
        <w:jc w:val="both"/>
        <w:rPr>
          <w:rFonts w:asciiTheme="majorHAnsi" w:hAnsiTheme="majorHAnsi" w:cs="Times New Roman"/>
          <w:sz w:val="20"/>
          <w:szCs w:val="20"/>
          <w:lang w:val="en-US"/>
        </w:rPr>
      </w:pPr>
      <w:r w:rsidRPr="005B79BA">
        <w:rPr>
          <w:rFonts w:asciiTheme="majorHAnsi" w:eastAsia="AdvTimes" w:hAnsiTheme="majorHAnsi" w:cs="Times New Roman"/>
          <w:sz w:val="20"/>
          <w:szCs w:val="20"/>
          <w:lang w:val="en-US" w:eastAsia="en-US" w:bidi="ar-SA"/>
        </w:rPr>
        <w:t xml:space="preserve">In conclusion, the </w:t>
      </w:r>
      <w:r w:rsidRPr="005B79BA">
        <w:rPr>
          <w:rFonts w:asciiTheme="majorHAnsi" w:hAnsiTheme="majorHAnsi" w:cs="Times New Roman"/>
          <w:sz w:val="20"/>
          <w:szCs w:val="20"/>
          <w:lang w:val="en-US"/>
        </w:rPr>
        <w:t>CHA</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DS</w:t>
      </w:r>
      <w:r w:rsidRPr="005B79BA">
        <w:rPr>
          <w:rFonts w:asciiTheme="majorHAnsi" w:hAnsiTheme="majorHAnsi" w:cs="Times New Roman"/>
          <w:sz w:val="20"/>
          <w:szCs w:val="20"/>
          <w:vertAlign w:val="subscript"/>
          <w:lang w:val="en-US"/>
        </w:rPr>
        <w:t>2</w:t>
      </w:r>
      <w:r w:rsidRPr="005B79BA">
        <w:rPr>
          <w:rFonts w:asciiTheme="majorHAnsi" w:hAnsiTheme="majorHAnsi" w:cs="Times New Roman"/>
          <w:sz w:val="20"/>
          <w:szCs w:val="20"/>
          <w:lang w:val="en-US"/>
        </w:rPr>
        <w:t>-VASc score is an applicable tool for all age groups and in non-valvular AF patients aged &lt;65 years, the same risk factors apply to these patients.  The weight of some risk factors was higher with regard to the risk of stroke and death, especially prior stroke, vascular disease and diabetes mellitus. Younger non-valvular AF patients with these risk factors should be offered oral anticoagulant therapy.</w:t>
      </w:r>
    </w:p>
    <w:p w14:paraId="2BA192C8" w14:textId="77777777" w:rsidR="00DD48F5" w:rsidRPr="005B79BA" w:rsidRDefault="00DD48F5" w:rsidP="005B79BA">
      <w:pPr>
        <w:jc w:val="both"/>
        <w:rPr>
          <w:rFonts w:asciiTheme="majorHAnsi" w:hAnsiTheme="majorHAnsi" w:cs="Times New Roman"/>
          <w:b/>
          <w:sz w:val="20"/>
          <w:szCs w:val="20"/>
          <w:lang w:val="en-US"/>
        </w:rPr>
      </w:pPr>
    </w:p>
    <w:p w14:paraId="7088C4E4" w14:textId="77777777" w:rsidR="00DD48F5" w:rsidRPr="005B79BA" w:rsidRDefault="00DD48F5" w:rsidP="005B79BA">
      <w:pPr>
        <w:jc w:val="both"/>
        <w:rPr>
          <w:rFonts w:asciiTheme="majorHAnsi" w:hAnsiTheme="majorHAnsi" w:cs="Times New Roman"/>
          <w:b/>
          <w:sz w:val="20"/>
          <w:szCs w:val="20"/>
          <w:lang w:val="en-US"/>
        </w:rPr>
      </w:pPr>
    </w:p>
    <w:p w14:paraId="5F36A1C2" w14:textId="77777777" w:rsidR="00F5504F" w:rsidRPr="005B79BA" w:rsidRDefault="00F5504F" w:rsidP="005B79BA">
      <w:pPr>
        <w:autoSpaceDE w:val="0"/>
        <w:autoSpaceDN w:val="0"/>
        <w:adjustRightInd w:val="0"/>
        <w:jc w:val="both"/>
        <w:rPr>
          <w:rFonts w:asciiTheme="majorHAnsi" w:hAnsiTheme="majorHAnsi" w:cs="Times New Roman"/>
          <w:b/>
          <w:sz w:val="20"/>
          <w:szCs w:val="20"/>
          <w:lang w:val="en-US"/>
        </w:rPr>
      </w:pPr>
      <w:r w:rsidRPr="005B79BA">
        <w:rPr>
          <w:rFonts w:asciiTheme="majorHAnsi" w:hAnsiTheme="majorHAnsi" w:cs="Times New Roman"/>
          <w:b/>
          <w:sz w:val="20"/>
          <w:szCs w:val="20"/>
          <w:lang w:val="en-US"/>
        </w:rPr>
        <w:t>Disclosure of Conflict of Interests</w:t>
      </w:r>
    </w:p>
    <w:p w14:paraId="4DE86F29" w14:textId="77777777" w:rsidR="00F5504F" w:rsidRPr="005B79BA" w:rsidRDefault="00F5504F" w:rsidP="005B79BA">
      <w:pPr>
        <w:autoSpaceDE w:val="0"/>
        <w:autoSpaceDN w:val="0"/>
        <w:adjustRightInd w:val="0"/>
        <w:jc w:val="both"/>
        <w:rPr>
          <w:rFonts w:asciiTheme="majorHAnsi" w:eastAsia="AdvTimes" w:hAnsiTheme="majorHAnsi" w:cs="Times New Roman"/>
          <w:sz w:val="20"/>
          <w:szCs w:val="20"/>
          <w:lang w:val="en-US"/>
        </w:rPr>
      </w:pPr>
      <w:r w:rsidRPr="005B79BA">
        <w:rPr>
          <w:rFonts w:asciiTheme="majorHAnsi" w:eastAsia="AdvTimes" w:hAnsiTheme="majorHAnsi" w:cs="Times New Roman"/>
          <w:sz w:val="20"/>
          <w:szCs w:val="20"/>
          <w:lang w:val="en-US"/>
        </w:rPr>
        <w:t>The authors state that they have no conflict of interest.</w:t>
      </w:r>
    </w:p>
    <w:p w14:paraId="68FD5002" w14:textId="77777777" w:rsidR="00F5504F" w:rsidRPr="005B79BA" w:rsidRDefault="00F5504F" w:rsidP="005B79BA">
      <w:pPr>
        <w:jc w:val="both"/>
        <w:rPr>
          <w:rFonts w:asciiTheme="majorHAnsi" w:hAnsiTheme="majorHAnsi" w:cs="Times New Roman"/>
          <w:sz w:val="20"/>
          <w:szCs w:val="20"/>
          <w:lang w:val="en-US"/>
        </w:rPr>
      </w:pPr>
    </w:p>
    <w:p w14:paraId="14EB31AF" w14:textId="77777777" w:rsidR="005B79BA" w:rsidRDefault="005B79BA" w:rsidP="005B79BA">
      <w:pPr>
        <w:spacing w:after="200"/>
        <w:rPr>
          <w:rFonts w:asciiTheme="majorHAnsi" w:hAnsiTheme="majorHAnsi" w:cs="Times New Roman"/>
          <w:b/>
          <w:sz w:val="20"/>
          <w:szCs w:val="20"/>
          <w:lang w:val="en-US"/>
        </w:rPr>
      </w:pPr>
    </w:p>
    <w:p w14:paraId="58F34DF1" w14:textId="5D655E9A" w:rsidR="00E715E7" w:rsidRPr="005B79BA" w:rsidRDefault="00E715E7" w:rsidP="005B79BA">
      <w:pPr>
        <w:spacing w:after="200"/>
        <w:rPr>
          <w:rFonts w:asciiTheme="majorHAnsi" w:hAnsiTheme="majorHAnsi" w:cs="Times New Roman"/>
          <w:b/>
          <w:sz w:val="20"/>
          <w:szCs w:val="20"/>
          <w:lang w:val="en-US"/>
        </w:rPr>
      </w:pPr>
      <w:r w:rsidRPr="005B79BA">
        <w:rPr>
          <w:rFonts w:asciiTheme="majorHAnsi" w:hAnsiTheme="majorHAnsi" w:cs="Times New Roman"/>
          <w:b/>
          <w:sz w:val="20"/>
          <w:szCs w:val="20"/>
          <w:lang w:val="en-US"/>
        </w:rPr>
        <w:t>References</w:t>
      </w:r>
    </w:p>
    <w:p w14:paraId="44CF322F" w14:textId="3F8BAFFE" w:rsidR="00F27147" w:rsidRPr="005B79BA" w:rsidRDefault="009F7CE0" w:rsidP="005B79BA">
      <w:pPr>
        <w:pStyle w:val="NormalWeb"/>
        <w:divId w:val="1847670463"/>
        <w:rPr>
          <w:rFonts w:asciiTheme="majorHAnsi" w:hAnsiTheme="majorHAnsi"/>
          <w:sz w:val="20"/>
          <w:szCs w:val="20"/>
        </w:rPr>
      </w:pPr>
      <w:r w:rsidRPr="005B79BA">
        <w:rPr>
          <w:rFonts w:asciiTheme="majorHAnsi" w:hAnsiTheme="majorHAnsi"/>
          <w:sz w:val="20"/>
          <w:szCs w:val="20"/>
          <w:lang w:val="en-US"/>
        </w:rPr>
        <w:fldChar w:fldCharType="begin" w:fldLock="1"/>
      </w:r>
      <w:r w:rsidR="00E715E7" w:rsidRPr="005B79BA">
        <w:rPr>
          <w:rFonts w:asciiTheme="majorHAnsi" w:hAnsiTheme="majorHAnsi"/>
          <w:sz w:val="20"/>
          <w:szCs w:val="20"/>
          <w:lang w:val="en-US"/>
        </w:rPr>
        <w:instrText xml:space="preserve">ADDIN Mendeley Bibliography CSL_BIBLIOGRAPHY </w:instrText>
      </w:r>
      <w:r w:rsidRPr="005B79BA">
        <w:rPr>
          <w:rFonts w:asciiTheme="majorHAnsi" w:hAnsiTheme="majorHAnsi"/>
          <w:sz w:val="20"/>
          <w:szCs w:val="20"/>
          <w:lang w:val="en-US"/>
        </w:rPr>
        <w:fldChar w:fldCharType="separate"/>
      </w:r>
      <w:r w:rsidR="00F27147" w:rsidRPr="005B79BA">
        <w:rPr>
          <w:rFonts w:asciiTheme="majorHAnsi" w:hAnsiTheme="majorHAnsi"/>
          <w:sz w:val="20"/>
          <w:szCs w:val="20"/>
        </w:rPr>
        <w:t xml:space="preserve">1. Kannel WB, Wolf PA, Benjamin EJ, Levy D. Prevalence, incidence, prognosis, and predisposing conditions for atrial fibrillation: population-based estimates. </w:t>
      </w:r>
      <w:r w:rsidR="00F27147" w:rsidRPr="005B79BA">
        <w:rPr>
          <w:rFonts w:asciiTheme="majorHAnsi" w:hAnsiTheme="majorHAnsi"/>
          <w:i/>
          <w:iCs/>
          <w:sz w:val="20"/>
          <w:szCs w:val="20"/>
        </w:rPr>
        <w:t>Am J Cardiol.</w:t>
      </w:r>
      <w:r w:rsidR="00F27147" w:rsidRPr="005B79BA">
        <w:rPr>
          <w:rFonts w:asciiTheme="majorHAnsi" w:hAnsiTheme="majorHAnsi"/>
          <w:sz w:val="20"/>
          <w:szCs w:val="20"/>
        </w:rPr>
        <w:t xml:space="preserve"> 1998;Oct 16(82):2-9.</w:t>
      </w:r>
    </w:p>
    <w:p w14:paraId="5BC51222" w14:textId="7C5DC6C1"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2. van Walraven C, Hart RG, Connolly S, et al. Effect of age on stroke prevention therapy in patients with atrial fibrillation: the atrial fibrillation investigators. </w:t>
      </w:r>
      <w:r w:rsidRPr="005B79BA">
        <w:rPr>
          <w:rFonts w:asciiTheme="majorHAnsi" w:hAnsiTheme="majorHAnsi"/>
          <w:i/>
          <w:iCs/>
          <w:sz w:val="20"/>
          <w:szCs w:val="20"/>
        </w:rPr>
        <w:t>Stroke; a journal of cerebral circulation</w:t>
      </w:r>
      <w:r w:rsidRPr="005B79BA">
        <w:rPr>
          <w:rFonts w:asciiTheme="majorHAnsi" w:hAnsiTheme="majorHAnsi"/>
          <w:sz w:val="20"/>
          <w:szCs w:val="20"/>
        </w:rPr>
        <w:t>. 2009;40(4):1410-</w:t>
      </w:r>
      <w:r w:rsidR="000859E4" w:rsidRPr="005B79BA">
        <w:rPr>
          <w:rFonts w:asciiTheme="majorHAnsi" w:hAnsiTheme="majorHAnsi"/>
          <w:sz w:val="20"/>
          <w:szCs w:val="20"/>
        </w:rPr>
        <w:t>141</w:t>
      </w:r>
      <w:r w:rsidRPr="005B79BA">
        <w:rPr>
          <w:rFonts w:asciiTheme="majorHAnsi" w:hAnsiTheme="majorHAnsi"/>
          <w:sz w:val="20"/>
          <w:szCs w:val="20"/>
        </w:rPr>
        <w:t xml:space="preserve">6. </w:t>
      </w:r>
    </w:p>
    <w:p w14:paraId="3255931F" w14:textId="6BEF9FF9"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lastRenderedPageBreak/>
        <w:t xml:space="preserve">3. Wolf P a., Abbott RD, Kannel WB. Atrial fibrillation as an independent risk factor for stroke: the Framingham Study. </w:t>
      </w:r>
      <w:r w:rsidRPr="005B79BA">
        <w:rPr>
          <w:rFonts w:asciiTheme="majorHAnsi" w:hAnsiTheme="majorHAnsi"/>
          <w:i/>
          <w:iCs/>
          <w:sz w:val="20"/>
          <w:szCs w:val="20"/>
        </w:rPr>
        <w:t>Stroke</w:t>
      </w:r>
      <w:r w:rsidRPr="005B79BA">
        <w:rPr>
          <w:rFonts w:asciiTheme="majorHAnsi" w:hAnsiTheme="majorHAnsi"/>
          <w:sz w:val="20"/>
          <w:szCs w:val="20"/>
        </w:rPr>
        <w:t>. 1991;22(8):983-988.</w:t>
      </w:r>
    </w:p>
    <w:p w14:paraId="17F9CDE7" w14:textId="33D48E24"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4. Avenue G. Comparison of 12 risk stratification schemes to predict stroke in patients with nonvalvular atrial fibrillation. </w:t>
      </w:r>
      <w:r w:rsidRPr="005B79BA">
        <w:rPr>
          <w:rFonts w:asciiTheme="majorHAnsi" w:hAnsiTheme="majorHAnsi"/>
          <w:i/>
          <w:iCs/>
          <w:sz w:val="20"/>
          <w:szCs w:val="20"/>
        </w:rPr>
        <w:t>Stroke; a journal of cerebral circulation</w:t>
      </w:r>
      <w:r w:rsidRPr="005B79BA">
        <w:rPr>
          <w:rFonts w:asciiTheme="majorHAnsi" w:hAnsiTheme="majorHAnsi"/>
          <w:sz w:val="20"/>
          <w:szCs w:val="20"/>
        </w:rPr>
        <w:t>. 2008;39(6):1901-</w:t>
      </w:r>
      <w:r w:rsidR="000859E4" w:rsidRPr="005B79BA">
        <w:rPr>
          <w:rFonts w:asciiTheme="majorHAnsi" w:hAnsiTheme="majorHAnsi"/>
          <w:sz w:val="20"/>
          <w:szCs w:val="20"/>
        </w:rPr>
        <w:t>19</w:t>
      </w:r>
      <w:r w:rsidRPr="005B79BA">
        <w:rPr>
          <w:rFonts w:asciiTheme="majorHAnsi" w:hAnsiTheme="majorHAnsi"/>
          <w:sz w:val="20"/>
          <w:szCs w:val="20"/>
        </w:rPr>
        <w:t xml:space="preserve">10. </w:t>
      </w:r>
    </w:p>
    <w:p w14:paraId="655CCEE3" w14:textId="294A9FA0"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5. Gage BF, Waterman AD, Shannon W, Boechler M, Rich MW, Radford MJ. Validation of clinical classification schemes for predicting stroke: results from the National Registry of Atrial Fibrillation. </w:t>
      </w:r>
      <w:r w:rsidRPr="005B79BA">
        <w:rPr>
          <w:rFonts w:asciiTheme="majorHAnsi" w:hAnsiTheme="majorHAnsi"/>
          <w:i/>
          <w:iCs/>
          <w:sz w:val="20"/>
          <w:szCs w:val="20"/>
        </w:rPr>
        <w:t>JAMA : the journal of the American Medical Association</w:t>
      </w:r>
      <w:r w:rsidRPr="005B79BA">
        <w:rPr>
          <w:rFonts w:asciiTheme="majorHAnsi" w:hAnsiTheme="majorHAnsi"/>
          <w:sz w:val="20"/>
          <w:szCs w:val="20"/>
        </w:rPr>
        <w:t>. 2001;285(22):2864-</w:t>
      </w:r>
      <w:r w:rsidR="000859E4" w:rsidRPr="005B79BA">
        <w:rPr>
          <w:rFonts w:asciiTheme="majorHAnsi" w:hAnsiTheme="majorHAnsi"/>
          <w:sz w:val="20"/>
          <w:szCs w:val="20"/>
        </w:rPr>
        <w:t>28</w:t>
      </w:r>
      <w:r w:rsidRPr="005B79BA">
        <w:rPr>
          <w:rFonts w:asciiTheme="majorHAnsi" w:hAnsiTheme="majorHAnsi"/>
          <w:sz w:val="20"/>
          <w:szCs w:val="20"/>
        </w:rPr>
        <w:t xml:space="preserve">70. </w:t>
      </w:r>
    </w:p>
    <w:p w14:paraId="3479CE9B" w14:textId="4CEFDEFE"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6. Karthikeyan G, Eikelboom JW. The CHADS2 score for stroke risk stratification in atrial fibrillation - friend or foe? </w:t>
      </w:r>
      <w:r w:rsidRPr="005B79BA">
        <w:rPr>
          <w:rFonts w:asciiTheme="majorHAnsi" w:hAnsiTheme="majorHAnsi"/>
          <w:i/>
          <w:iCs/>
          <w:sz w:val="20"/>
          <w:szCs w:val="20"/>
        </w:rPr>
        <w:t>Thrombosis and haemostasis</w:t>
      </w:r>
      <w:r w:rsidRPr="005B79BA">
        <w:rPr>
          <w:rFonts w:asciiTheme="majorHAnsi" w:hAnsiTheme="majorHAnsi"/>
          <w:sz w:val="20"/>
          <w:szCs w:val="20"/>
        </w:rPr>
        <w:t>. 2010;104(1):45-</w:t>
      </w:r>
      <w:r w:rsidR="000859E4" w:rsidRPr="005B79BA">
        <w:rPr>
          <w:rFonts w:asciiTheme="majorHAnsi" w:hAnsiTheme="majorHAnsi"/>
          <w:sz w:val="20"/>
          <w:szCs w:val="20"/>
        </w:rPr>
        <w:t>4</w:t>
      </w:r>
      <w:r w:rsidRPr="005B79BA">
        <w:rPr>
          <w:rFonts w:asciiTheme="majorHAnsi" w:hAnsiTheme="majorHAnsi"/>
          <w:sz w:val="20"/>
          <w:szCs w:val="20"/>
        </w:rPr>
        <w:t xml:space="preserve">8. </w:t>
      </w:r>
    </w:p>
    <w:p w14:paraId="3FF7D89D" w14:textId="0F57BC04"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7. Keogh C, Wallace E, Dillon C, Dimitrov BD, Fahey T. Validation of the CHADS2 clinical prediction rule to predict ischaemic stroke. A systematic review and meta-analysis. </w:t>
      </w:r>
      <w:r w:rsidRPr="005B79BA">
        <w:rPr>
          <w:rFonts w:asciiTheme="majorHAnsi" w:hAnsiTheme="majorHAnsi"/>
          <w:i/>
          <w:iCs/>
          <w:sz w:val="20"/>
          <w:szCs w:val="20"/>
        </w:rPr>
        <w:t>Thrombosis and haemostasis</w:t>
      </w:r>
      <w:r w:rsidRPr="005B79BA">
        <w:rPr>
          <w:rFonts w:asciiTheme="majorHAnsi" w:hAnsiTheme="majorHAnsi"/>
          <w:sz w:val="20"/>
          <w:szCs w:val="20"/>
        </w:rPr>
        <w:t>. 2011;106(3):528-</w:t>
      </w:r>
      <w:r w:rsidR="000859E4" w:rsidRPr="005B79BA">
        <w:rPr>
          <w:rFonts w:asciiTheme="majorHAnsi" w:hAnsiTheme="majorHAnsi"/>
          <w:sz w:val="20"/>
          <w:szCs w:val="20"/>
        </w:rPr>
        <w:t>5</w:t>
      </w:r>
      <w:r w:rsidRPr="005B79BA">
        <w:rPr>
          <w:rFonts w:asciiTheme="majorHAnsi" w:hAnsiTheme="majorHAnsi"/>
          <w:sz w:val="20"/>
          <w:szCs w:val="20"/>
        </w:rPr>
        <w:t xml:space="preserve">38. </w:t>
      </w:r>
    </w:p>
    <w:p w14:paraId="223DE3BE" w14:textId="2EDA7F70"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8. Lip GYH, Nieuwlaat R, Pisters R, Lane D a, Crijns HJGM. Refining clinical risk stratification for predicting stroke and thromboembolism in atrial fibrillation using a novel risk factor-based approach: the euro heart survey on atrial fibrillation. </w:t>
      </w:r>
      <w:r w:rsidRPr="005B79BA">
        <w:rPr>
          <w:rFonts w:asciiTheme="majorHAnsi" w:hAnsiTheme="majorHAnsi"/>
          <w:i/>
          <w:iCs/>
          <w:sz w:val="20"/>
          <w:szCs w:val="20"/>
        </w:rPr>
        <w:t>Chest</w:t>
      </w:r>
      <w:r w:rsidRPr="005B79BA">
        <w:rPr>
          <w:rFonts w:asciiTheme="majorHAnsi" w:hAnsiTheme="majorHAnsi"/>
          <w:sz w:val="20"/>
          <w:szCs w:val="20"/>
        </w:rPr>
        <w:t>. 2010;137(2):263-</w:t>
      </w:r>
      <w:r w:rsidR="000859E4" w:rsidRPr="005B79BA">
        <w:rPr>
          <w:rFonts w:asciiTheme="majorHAnsi" w:hAnsiTheme="majorHAnsi"/>
          <w:sz w:val="20"/>
          <w:szCs w:val="20"/>
        </w:rPr>
        <w:t>2</w:t>
      </w:r>
      <w:r w:rsidRPr="005B79BA">
        <w:rPr>
          <w:rFonts w:asciiTheme="majorHAnsi" w:hAnsiTheme="majorHAnsi"/>
          <w:sz w:val="20"/>
          <w:szCs w:val="20"/>
        </w:rPr>
        <w:t xml:space="preserve">72. </w:t>
      </w:r>
    </w:p>
    <w:p w14:paraId="3B56A84C" w14:textId="4DC30050"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9. Olesen JB, Lip GYH, Hansen ML, et al. Validation of risk stratification schemes for predicting stroke and thromboembolism in patients with atrial fibrillation: nationwide cohort study. </w:t>
      </w:r>
      <w:r w:rsidRPr="005B79BA">
        <w:rPr>
          <w:rFonts w:asciiTheme="majorHAnsi" w:hAnsiTheme="majorHAnsi"/>
          <w:i/>
          <w:iCs/>
          <w:sz w:val="20"/>
          <w:szCs w:val="20"/>
        </w:rPr>
        <w:t>BMJ</w:t>
      </w:r>
      <w:r w:rsidR="000859E4" w:rsidRPr="005B79BA">
        <w:rPr>
          <w:rFonts w:asciiTheme="majorHAnsi" w:hAnsiTheme="majorHAnsi"/>
          <w:sz w:val="20"/>
          <w:szCs w:val="20"/>
        </w:rPr>
        <w:t>. 2011;342(jan31):124-</w:t>
      </w:r>
      <w:r w:rsidRPr="005B79BA">
        <w:rPr>
          <w:rFonts w:asciiTheme="majorHAnsi" w:hAnsiTheme="majorHAnsi"/>
          <w:sz w:val="20"/>
          <w:szCs w:val="20"/>
        </w:rPr>
        <w:t xml:space="preserve">124. </w:t>
      </w:r>
    </w:p>
    <w:p w14:paraId="06832EE6" w14:textId="49FBF332"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10. Van Staa TP, Setakis E, Di Tanna GL, Lane D a, Lip GYH. A comparison of risk stratification schemes for stroke in 79,884 atrial fibrillation patients in general practice. </w:t>
      </w:r>
      <w:r w:rsidRPr="005B79BA">
        <w:rPr>
          <w:rFonts w:asciiTheme="majorHAnsi" w:hAnsiTheme="majorHAnsi"/>
          <w:i/>
          <w:iCs/>
          <w:sz w:val="20"/>
          <w:szCs w:val="20"/>
        </w:rPr>
        <w:t>Journal of thrombosis and haemostasis : JTH</w:t>
      </w:r>
      <w:r w:rsidRPr="005B79BA">
        <w:rPr>
          <w:rFonts w:asciiTheme="majorHAnsi" w:hAnsiTheme="majorHAnsi"/>
          <w:sz w:val="20"/>
          <w:szCs w:val="20"/>
        </w:rPr>
        <w:t xml:space="preserve">. 2011;9(1):39-48. </w:t>
      </w:r>
    </w:p>
    <w:p w14:paraId="71AAE560" w14:textId="349EC57D"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11. Lip GYH, Frison L, Halperin JL, Lane D a. Identifying patients at high risk for stroke despite anticoagulation: a comparison of contemporary stroke risk stratification schemes in an anticoagulated atrial fibrillation cohort. </w:t>
      </w:r>
      <w:r w:rsidRPr="005B79BA">
        <w:rPr>
          <w:rFonts w:asciiTheme="majorHAnsi" w:hAnsiTheme="majorHAnsi"/>
          <w:i/>
          <w:iCs/>
          <w:sz w:val="20"/>
          <w:szCs w:val="20"/>
        </w:rPr>
        <w:t>Stroke; a journal of cerebral circulation</w:t>
      </w:r>
      <w:r w:rsidRPr="005B79BA">
        <w:rPr>
          <w:rFonts w:asciiTheme="majorHAnsi" w:hAnsiTheme="majorHAnsi"/>
          <w:sz w:val="20"/>
          <w:szCs w:val="20"/>
        </w:rPr>
        <w:t>. 2010;41(12):2731-</w:t>
      </w:r>
      <w:r w:rsidR="000859E4" w:rsidRPr="005B79BA">
        <w:rPr>
          <w:rFonts w:asciiTheme="majorHAnsi" w:hAnsiTheme="majorHAnsi"/>
          <w:sz w:val="20"/>
          <w:szCs w:val="20"/>
        </w:rPr>
        <w:t>273</w:t>
      </w:r>
      <w:r w:rsidRPr="005B79BA">
        <w:rPr>
          <w:rFonts w:asciiTheme="majorHAnsi" w:hAnsiTheme="majorHAnsi"/>
          <w:sz w:val="20"/>
          <w:szCs w:val="20"/>
        </w:rPr>
        <w:t xml:space="preserve">8. </w:t>
      </w:r>
    </w:p>
    <w:p w14:paraId="442E7A14" w14:textId="5B3E4C1B"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lastRenderedPageBreak/>
        <w:t xml:space="preserve">12. Mikkelsen a, Lindhardsen J, Lip G, Gislason GH, Torp-Pedersen C, Olesen JB. Female sex asa risk factor for stroke in atrial fibrillation: A nationwide cohort study. </w:t>
      </w:r>
      <w:r w:rsidRPr="005B79BA">
        <w:rPr>
          <w:rFonts w:asciiTheme="majorHAnsi" w:hAnsiTheme="majorHAnsi"/>
          <w:i/>
          <w:iCs/>
          <w:sz w:val="20"/>
          <w:szCs w:val="20"/>
        </w:rPr>
        <w:t>Journal of thrombosis and haemostasis : JTH</w:t>
      </w:r>
      <w:r w:rsidRPr="005B79BA">
        <w:rPr>
          <w:rFonts w:asciiTheme="majorHAnsi" w:hAnsiTheme="majorHAnsi"/>
          <w:sz w:val="20"/>
          <w:szCs w:val="20"/>
        </w:rPr>
        <w:t xml:space="preserve">. 2012;(July):1745-1751. </w:t>
      </w:r>
    </w:p>
    <w:p w14:paraId="460E21D0" w14:textId="7FFA8816"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13. Kildemoes HW, Sørensen HT, Hallas J. The Danish National Prescription Registry. </w:t>
      </w:r>
      <w:r w:rsidRPr="005B79BA">
        <w:rPr>
          <w:rFonts w:asciiTheme="majorHAnsi" w:hAnsiTheme="majorHAnsi"/>
          <w:i/>
          <w:iCs/>
          <w:sz w:val="20"/>
          <w:szCs w:val="20"/>
        </w:rPr>
        <w:t>Scandinavian journal of public health</w:t>
      </w:r>
      <w:r w:rsidRPr="005B79BA">
        <w:rPr>
          <w:rFonts w:asciiTheme="majorHAnsi" w:hAnsiTheme="majorHAnsi"/>
          <w:sz w:val="20"/>
          <w:szCs w:val="20"/>
        </w:rPr>
        <w:t xml:space="preserve">. 2011;39(7 Suppl):38-41. </w:t>
      </w:r>
    </w:p>
    <w:p w14:paraId="27340C85" w14:textId="4A0B0B20"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14. Krarup L-H, Boysen G, Janjua H, Prescott E, Truelsen T. Validity of stroke diagnoses in a National Register of Patients. </w:t>
      </w:r>
      <w:r w:rsidRPr="005B79BA">
        <w:rPr>
          <w:rFonts w:asciiTheme="majorHAnsi" w:hAnsiTheme="majorHAnsi"/>
          <w:i/>
          <w:iCs/>
          <w:sz w:val="20"/>
          <w:szCs w:val="20"/>
        </w:rPr>
        <w:t>Neuroepidemiology</w:t>
      </w:r>
      <w:r w:rsidRPr="005B79BA">
        <w:rPr>
          <w:rFonts w:asciiTheme="majorHAnsi" w:hAnsiTheme="majorHAnsi"/>
          <w:sz w:val="20"/>
          <w:szCs w:val="20"/>
        </w:rPr>
        <w:t>. 2007;28(3):150-</w:t>
      </w:r>
      <w:r w:rsidR="000859E4" w:rsidRPr="005B79BA">
        <w:rPr>
          <w:rFonts w:asciiTheme="majorHAnsi" w:hAnsiTheme="majorHAnsi"/>
          <w:sz w:val="20"/>
          <w:szCs w:val="20"/>
        </w:rPr>
        <w:t>15</w:t>
      </w:r>
      <w:r w:rsidRPr="005B79BA">
        <w:rPr>
          <w:rFonts w:asciiTheme="majorHAnsi" w:hAnsiTheme="majorHAnsi"/>
          <w:sz w:val="20"/>
          <w:szCs w:val="20"/>
        </w:rPr>
        <w:t xml:space="preserve">4. </w:t>
      </w:r>
    </w:p>
    <w:p w14:paraId="12D109A2" w14:textId="47BD78CF"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15. Frost L, Andersen LV, Vestergaard P, Husted S, Mortensen LS. Trend in mortality after stroke with atrial fibrillation. </w:t>
      </w:r>
      <w:r w:rsidRPr="005B79BA">
        <w:rPr>
          <w:rFonts w:asciiTheme="majorHAnsi" w:hAnsiTheme="majorHAnsi"/>
          <w:i/>
          <w:iCs/>
          <w:sz w:val="20"/>
          <w:szCs w:val="20"/>
        </w:rPr>
        <w:t>The American journal of medicine</w:t>
      </w:r>
      <w:r w:rsidRPr="005B79BA">
        <w:rPr>
          <w:rFonts w:asciiTheme="majorHAnsi" w:hAnsiTheme="majorHAnsi"/>
          <w:sz w:val="20"/>
          <w:szCs w:val="20"/>
        </w:rPr>
        <w:t>. 2007;120(1):47-53.</w:t>
      </w:r>
    </w:p>
    <w:p w14:paraId="786B51FB" w14:textId="24B6A5BD"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16. Camm a J, Kirchhof P, Lip GYH, et al. Guidelines for the management of atrial fibrillation: the Task Force for the Management of Atrial Fibrillation of the European Society of Cardiology (ESC). </w:t>
      </w:r>
      <w:r w:rsidRPr="005B79BA">
        <w:rPr>
          <w:rFonts w:asciiTheme="majorHAnsi" w:hAnsiTheme="majorHAnsi"/>
          <w:i/>
          <w:iCs/>
          <w:sz w:val="20"/>
          <w:szCs w:val="20"/>
        </w:rPr>
        <w:t>Europace : European pacing, arrhythmias, and cardiac electrophysiology : journal of the working groups on cardiac pacing, arrhythmias, and cardiac cellular electrophysiology of the European Society of Cardiology</w:t>
      </w:r>
      <w:r w:rsidRPr="005B79BA">
        <w:rPr>
          <w:rFonts w:asciiTheme="majorHAnsi" w:hAnsiTheme="majorHAnsi"/>
          <w:sz w:val="20"/>
          <w:szCs w:val="20"/>
        </w:rPr>
        <w:t>. 2010;12(10):1360-</w:t>
      </w:r>
      <w:r w:rsidR="000859E4" w:rsidRPr="005B79BA">
        <w:rPr>
          <w:rFonts w:asciiTheme="majorHAnsi" w:hAnsiTheme="majorHAnsi"/>
          <w:sz w:val="20"/>
          <w:szCs w:val="20"/>
        </w:rPr>
        <w:t>1</w:t>
      </w:r>
      <w:r w:rsidRPr="005B79BA">
        <w:rPr>
          <w:rFonts w:asciiTheme="majorHAnsi" w:hAnsiTheme="majorHAnsi"/>
          <w:sz w:val="20"/>
          <w:szCs w:val="20"/>
        </w:rPr>
        <w:t xml:space="preserve">420. </w:t>
      </w:r>
    </w:p>
    <w:p w14:paraId="48350AFC" w14:textId="0E0118B5"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17. Olesen JB, Fauchier L, Lane DA, Taillandier S, Lip GYH. Risk factors for stroke and thromboembolism in relation to age among patients with atrial fibrillation: the Loire Valley Atrial Fibrillation Project. </w:t>
      </w:r>
      <w:r w:rsidRPr="005B79BA">
        <w:rPr>
          <w:rFonts w:asciiTheme="majorHAnsi" w:hAnsiTheme="majorHAnsi"/>
          <w:i/>
          <w:iCs/>
          <w:sz w:val="20"/>
          <w:szCs w:val="20"/>
        </w:rPr>
        <w:t>Chest</w:t>
      </w:r>
      <w:r w:rsidRPr="005B79BA">
        <w:rPr>
          <w:rFonts w:asciiTheme="majorHAnsi" w:hAnsiTheme="majorHAnsi"/>
          <w:sz w:val="20"/>
          <w:szCs w:val="20"/>
        </w:rPr>
        <w:t>. 2012;141(1):147-</w:t>
      </w:r>
      <w:r w:rsidR="000859E4" w:rsidRPr="005B79BA">
        <w:rPr>
          <w:rFonts w:asciiTheme="majorHAnsi" w:hAnsiTheme="majorHAnsi"/>
          <w:sz w:val="20"/>
          <w:szCs w:val="20"/>
        </w:rPr>
        <w:t>1</w:t>
      </w:r>
      <w:r w:rsidRPr="005B79BA">
        <w:rPr>
          <w:rFonts w:asciiTheme="majorHAnsi" w:hAnsiTheme="majorHAnsi"/>
          <w:sz w:val="20"/>
          <w:szCs w:val="20"/>
        </w:rPr>
        <w:t xml:space="preserve">53. </w:t>
      </w:r>
    </w:p>
    <w:p w14:paraId="35F348AE" w14:textId="66AA5DA3"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18. Lahaye SA, Gibbens SL, Ball DGA, Day AG, Olesen JB, Skanes AC. A clinical decision aid for the </w:t>
      </w:r>
      <w:r w:rsidRPr="005B79BA">
        <w:rPr>
          <w:rFonts w:asciiTheme="majorHAnsi" w:hAnsiTheme="majorHAnsi"/>
          <w:sz w:val="20"/>
          <w:szCs w:val="20"/>
        </w:rPr>
        <w:lastRenderedPageBreak/>
        <w:t xml:space="preserve">selection of antithrombotic therapy for the prevention of stroke due to atrial fibrillation. </w:t>
      </w:r>
      <w:r w:rsidRPr="005B79BA">
        <w:rPr>
          <w:rFonts w:asciiTheme="majorHAnsi" w:hAnsiTheme="majorHAnsi"/>
          <w:i/>
          <w:iCs/>
          <w:sz w:val="20"/>
          <w:szCs w:val="20"/>
        </w:rPr>
        <w:t>European heart journal</w:t>
      </w:r>
      <w:r w:rsidRPr="005B79BA">
        <w:rPr>
          <w:rFonts w:asciiTheme="majorHAnsi" w:hAnsiTheme="majorHAnsi"/>
          <w:sz w:val="20"/>
          <w:szCs w:val="20"/>
        </w:rPr>
        <w:t xml:space="preserve">. 2012:2163-2171. </w:t>
      </w:r>
    </w:p>
    <w:p w14:paraId="5137FA99" w14:textId="5B1D9173"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19. Jahangir A, Lee V, Friedman P a, et al. Long-term progression and outcomes with aging in patients with lone atrial fibrillation: a 30-year follow-up study. </w:t>
      </w:r>
      <w:r w:rsidRPr="005B79BA">
        <w:rPr>
          <w:rFonts w:asciiTheme="majorHAnsi" w:hAnsiTheme="majorHAnsi"/>
          <w:i/>
          <w:iCs/>
          <w:sz w:val="20"/>
          <w:szCs w:val="20"/>
        </w:rPr>
        <w:t>Circulation</w:t>
      </w:r>
      <w:r w:rsidRPr="005B79BA">
        <w:rPr>
          <w:rFonts w:asciiTheme="majorHAnsi" w:hAnsiTheme="majorHAnsi"/>
          <w:sz w:val="20"/>
          <w:szCs w:val="20"/>
        </w:rPr>
        <w:t>. 2007;115(24):3050-</w:t>
      </w:r>
      <w:r w:rsidR="000859E4" w:rsidRPr="005B79BA">
        <w:rPr>
          <w:rFonts w:asciiTheme="majorHAnsi" w:hAnsiTheme="majorHAnsi"/>
          <w:sz w:val="20"/>
          <w:szCs w:val="20"/>
        </w:rPr>
        <w:t>305</w:t>
      </w:r>
      <w:r w:rsidRPr="005B79BA">
        <w:rPr>
          <w:rFonts w:asciiTheme="majorHAnsi" w:hAnsiTheme="majorHAnsi"/>
          <w:sz w:val="20"/>
          <w:szCs w:val="20"/>
        </w:rPr>
        <w:t>6.</w:t>
      </w:r>
    </w:p>
    <w:p w14:paraId="6B95B30B" w14:textId="23E59070"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20. Hughes M, Lip GYH. Stroke and thromboembolism in atrial fibrillation: a systematic review of stroke risk factors, risk stratification schema and cost effectiveness data. </w:t>
      </w:r>
      <w:r w:rsidRPr="005B79BA">
        <w:rPr>
          <w:rFonts w:asciiTheme="majorHAnsi" w:hAnsiTheme="majorHAnsi"/>
          <w:i/>
          <w:iCs/>
          <w:sz w:val="20"/>
          <w:szCs w:val="20"/>
        </w:rPr>
        <w:t>Thrombosis and haemostasis</w:t>
      </w:r>
      <w:r w:rsidRPr="005B79BA">
        <w:rPr>
          <w:rFonts w:asciiTheme="majorHAnsi" w:hAnsiTheme="majorHAnsi"/>
          <w:sz w:val="20"/>
          <w:szCs w:val="20"/>
        </w:rPr>
        <w:t xml:space="preserve">. 2008;99(2):295-304. </w:t>
      </w:r>
    </w:p>
    <w:p w14:paraId="6902A9AD" w14:textId="38E2E39E"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21. Healey JS, Connolly SJ. Atrial fibrillation: hypertension as a causative agent, risk factor for complications, and potential therapeutic target. </w:t>
      </w:r>
      <w:r w:rsidRPr="005B79BA">
        <w:rPr>
          <w:rFonts w:asciiTheme="majorHAnsi" w:hAnsiTheme="majorHAnsi"/>
          <w:i/>
          <w:iCs/>
          <w:sz w:val="20"/>
          <w:szCs w:val="20"/>
        </w:rPr>
        <w:t>The American journal of cardiology</w:t>
      </w:r>
      <w:r w:rsidRPr="005B79BA">
        <w:rPr>
          <w:rFonts w:asciiTheme="majorHAnsi" w:hAnsiTheme="majorHAnsi"/>
          <w:sz w:val="20"/>
          <w:szCs w:val="20"/>
        </w:rPr>
        <w:t xml:space="preserve">. 2003;91(10A):9G-14G. </w:t>
      </w:r>
    </w:p>
    <w:p w14:paraId="26343548" w14:textId="7342F073"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22. Prescott E, Sørensen R. Female sex as a risk factor for stroke in atrial fibrillation. </w:t>
      </w:r>
      <w:r w:rsidRPr="005B79BA">
        <w:rPr>
          <w:rFonts w:asciiTheme="majorHAnsi" w:hAnsiTheme="majorHAnsi"/>
          <w:i/>
          <w:iCs/>
          <w:sz w:val="20"/>
          <w:szCs w:val="20"/>
        </w:rPr>
        <w:t>BMJ (Clinical research ed.)</w:t>
      </w:r>
      <w:r w:rsidRPr="005B79BA">
        <w:rPr>
          <w:rFonts w:asciiTheme="majorHAnsi" w:hAnsiTheme="majorHAnsi"/>
          <w:sz w:val="20"/>
          <w:szCs w:val="20"/>
        </w:rPr>
        <w:t xml:space="preserve">. 2012;344:e3789. </w:t>
      </w:r>
    </w:p>
    <w:p w14:paraId="3BECC00E" w14:textId="6A0F53A0"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23. Eckman MH, Singer DE, Rosand J, Greenberg SM. Moving the tipping point: the decision to anticoagulate patients with atrial fibrillation. </w:t>
      </w:r>
      <w:r w:rsidRPr="005B79BA">
        <w:rPr>
          <w:rFonts w:asciiTheme="majorHAnsi" w:hAnsiTheme="majorHAnsi"/>
          <w:i/>
          <w:iCs/>
          <w:sz w:val="20"/>
          <w:szCs w:val="20"/>
        </w:rPr>
        <w:t>Circulation. Cardiovascular quality and outcomes</w:t>
      </w:r>
      <w:r w:rsidRPr="005B79BA">
        <w:rPr>
          <w:rFonts w:asciiTheme="majorHAnsi" w:hAnsiTheme="majorHAnsi"/>
          <w:sz w:val="20"/>
          <w:szCs w:val="20"/>
        </w:rPr>
        <w:t xml:space="preserve">. 2011;4(1):14-21. </w:t>
      </w:r>
    </w:p>
    <w:p w14:paraId="0490BC12" w14:textId="1861BD60" w:rsidR="00F27147" w:rsidRPr="005B79BA" w:rsidRDefault="00F27147" w:rsidP="005B79BA">
      <w:pPr>
        <w:pStyle w:val="NormalWeb"/>
        <w:divId w:val="1847670463"/>
        <w:rPr>
          <w:rFonts w:asciiTheme="majorHAnsi" w:hAnsiTheme="majorHAnsi"/>
          <w:sz w:val="20"/>
          <w:szCs w:val="20"/>
        </w:rPr>
      </w:pPr>
      <w:r w:rsidRPr="005B79BA">
        <w:rPr>
          <w:rFonts w:asciiTheme="majorHAnsi" w:hAnsiTheme="majorHAnsi"/>
          <w:sz w:val="20"/>
          <w:szCs w:val="20"/>
        </w:rPr>
        <w:t xml:space="preserve">24. Ruigómez A, Johansson S, Wallander M-A, Edvardsson N, García Rodríguez LA. Risk of cardiovascular and cerebrovascular events after atrial fibrillation diagnosis. </w:t>
      </w:r>
      <w:r w:rsidRPr="005B79BA">
        <w:rPr>
          <w:rFonts w:asciiTheme="majorHAnsi" w:hAnsiTheme="majorHAnsi"/>
          <w:i/>
          <w:iCs/>
          <w:sz w:val="20"/>
          <w:szCs w:val="20"/>
        </w:rPr>
        <w:t>International journal of cardiology</w:t>
      </w:r>
      <w:r w:rsidRPr="005B79BA">
        <w:rPr>
          <w:rFonts w:asciiTheme="majorHAnsi" w:hAnsiTheme="majorHAnsi"/>
          <w:sz w:val="20"/>
          <w:szCs w:val="20"/>
        </w:rPr>
        <w:t>. 2009;136(2):186-</w:t>
      </w:r>
      <w:r w:rsidR="000859E4" w:rsidRPr="005B79BA">
        <w:rPr>
          <w:rFonts w:asciiTheme="majorHAnsi" w:hAnsiTheme="majorHAnsi"/>
          <w:sz w:val="20"/>
          <w:szCs w:val="20"/>
        </w:rPr>
        <w:t>1</w:t>
      </w:r>
      <w:r w:rsidRPr="005B79BA">
        <w:rPr>
          <w:rFonts w:asciiTheme="majorHAnsi" w:hAnsiTheme="majorHAnsi"/>
          <w:sz w:val="20"/>
          <w:szCs w:val="20"/>
        </w:rPr>
        <w:t xml:space="preserve">92. </w:t>
      </w:r>
    </w:p>
    <w:p w14:paraId="2490E8FD" w14:textId="77777777" w:rsidR="005B79BA" w:rsidRDefault="009F7CE0" w:rsidP="005B79BA">
      <w:pPr>
        <w:pStyle w:val="NormalWeb"/>
        <w:divId w:val="1679886252"/>
        <w:rPr>
          <w:sz w:val="20"/>
          <w:szCs w:val="20"/>
          <w:lang w:val="en-US"/>
        </w:rPr>
        <w:sectPr w:rsidR="005B79BA" w:rsidSect="005B79BA">
          <w:type w:val="continuous"/>
          <w:pgSz w:w="11906" w:h="16838"/>
          <w:pgMar w:top="1701" w:right="1134" w:bottom="1701" w:left="1134" w:header="708" w:footer="708" w:gutter="0"/>
          <w:cols w:num="2" w:space="708"/>
          <w:docGrid w:linePitch="360"/>
        </w:sectPr>
      </w:pPr>
      <w:r w:rsidRPr="005B79BA">
        <w:rPr>
          <w:rFonts w:asciiTheme="majorHAnsi" w:hAnsiTheme="majorHAnsi"/>
          <w:sz w:val="20"/>
          <w:szCs w:val="20"/>
          <w:lang w:val="en-US"/>
        </w:rPr>
        <w:fldChar w:fldCharType="end"/>
      </w:r>
    </w:p>
    <w:p w14:paraId="052FFEA9" w14:textId="1D82234C" w:rsidR="00F5504F" w:rsidRPr="000B6CFC" w:rsidRDefault="00F5504F" w:rsidP="000B6CFC">
      <w:pPr>
        <w:pStyle w:val="NormalWeb"/>
        <w:spacing w:line="480" w:lineRule="auto"/>
        <w:divId w:val="1679886252"/>
        <w:rPr>
          <w:sz w:val="20"/>
          <w:szCs w:val="20"/>
          <w:lang w:val="en-US"/>
        </w:rPr>
      </w:pPr>
    </w:p>
    <w:p w14:paraId="5D032197" w14:textId="788E44F5" w:rsidR="001117CA" w:rsidRPr="006143D9" w:rsidRDefault="001117CA" w:rsidP="006143D9">
      <w:pPr>
        <w:spacing w:after="200" w:line="276" w:lineRule="auto"/>
        <w:rPr>
          <w:rFonts w:asciiTheme="majorHAnsi" w:eastAsiaTheme="majorEastAsia" w:hAnsiTheme="majorHAnsi" w:cstheme="majorBidi"/>
          <w:b/>
          <w:bCs/>
          <w:sz w:val="20"/>
          <w:szCs w:val="20"/>
          <w:lang w:val="en-US"/>
        </w:rPr>
      </w:pPr>
    </w:p>
    <w:sectPr w:rsidR="001117CA" w:rsidRPr="006143D9" w:rsidSect="005B79BA">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D1DC" w14:textId="77777777" w:rsidR="002C6D09" w:rsidRDefault="002C6D09">
      <w:r>
        <w:separator/>
      </w:r>
    </w:p>
  </w:endnote>
  <w:endnote w:type="continuationSeparator" w:id="0">
    <w:p w14:paraId="026C32A8" w14:textId="77777777" w:rsidR="002C6D09" w:rsidRDefault="002C6D09">
      <w:r>
        <w:continuationSeparator/>
      </w:r>
    </w:p>
  </w:endnote>
  <w:endnote w:type="continuationNotice" w:id="1">
    <w:p w14:paraId="2EFF97E2" w14:textId="77777777" w:rsidR="002C6D09" w:rsidRDefault="002C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469"/>
      <w:docPartObj>
        <w:docPartGallery w:val="Page Numbers (Bottom of Page)"/>
        <w:docPartUnique/>
      </w:docPartObj>
    </w:sdtPr>
    <w:sdtContent>
      <w:p w14:paraId="179B8CB1" w14:textId="77777777" w:rsidR="00AD312A" w:rsidRDefault="00AD312A">
        <w:pPr>
          <w:pStyle w:val="Sidefod"/>
          <w:jc w:val="center"/>
        </w:pPr>
        <w:r>
          <w:fldChar w:fldCharType="begin"/>
        </w:r>
        <w:r>
          <w:instrText xml:space="preserve"> PAGE   \* MERGEFORMAT </w:instrText>
        </w:r>
        <w:r>
          <w:fldChar w:fldCharType="separate"/>
        </w:r>
        <w:r w:rsidR="006824FA">
          <w:rPr>
            <w:noProof/>
          </w:rPr>
          <w:t>10</w:t>
        </w:r>
        <w:r>
          <w:rPr>
            <w:noProof/>
          </w:rPr>
          <w:fldChar w:fldCharType="end"/>
        </w:r>
      </w:p>
    </w:sdtContent>
  </w:sdt>
  <w:p w14:paraId="45712044" w14:textId="77777777" w:rsidR="00AD312A" w:rsidRDefault="00AD31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BF4F" w14:textId="77777777" w:rsidR="002C6D09" w:rsidRDefault="002C6D09">
      <w:r>
        <w:separator/>
      </w:r>
    </w:p>
  </w:footnote>
  <w:footnote w:type="continuationSeparator" w:id="0">
    <w:p w14:paraId="3C7D10D2" w14:textId="77777777" w:rsidR="002C6D09" w:rsidRDefault="002C6D09">
      <w:r>
        <w:continuationSeparator/>
      </w:r>
    </w:p>
  </w:footnote>
  <w:footnote w:type="continuationNotice" w:id="1">
    <w:p w14:paraId="4FC6AFC4" w14:textId="77777777" w:rsidR="002C6D09" w:rsidRDefault="002C6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5FD6" w14:textId="77777777" w:rsidR="00AD312A" w:rsidRDefault="00AD312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AB8"/>
    <w:multiLevelType w:val="hybridMultilevel"/>
    <w:tmpl w:val="84B0D51A"/>
    <w:lvl w:ilvl="0" w:tplc="4F24B092">
      <w:start w:val="2"/>
      <w:numFmt w:val="bullet"/>
      <w:lvlText w:val="-"/>
      <w:lvlJc w:val="left"/>
      <w:pPr>
        <w:ind w:left="435" w:hanging="360"/>
      </w:pPr>
      <w:rPr>
        <w:rFonts w:ascii="Times New Roman" w:eastAsia="Times New Roman" w:hAnsi="Times New Roman"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1">
    <w:nsid w:val="0FB308EA"/>
    <w:multiLevelType w:val="hybridMultilevel"/>
    <w:tmpl w:val="49047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0F2626"/>
    <w:multiLevelType w:val="hybridMultilevel"/>
    <w:tmpl w:val="6C6CF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D683B21"/>
    <w:multiLevelType w:val="hybridMultilevel"/>
    <w:tmpl w:val="255A5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D7360E7"/>
    <w:multiLevelType w:val="hybridMultilevel"/>
    <w:tmpl w:val="F802E6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45836CA"/>
    <w:multiLevelType w:val="hybridMultilevel"/>
    <w:tmpl w:val="327AE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8D858BE"/>
    <w:multiLevelType w:val="hybridMultilevel"/>
    <w:tmpl w:val="5F50FB22"/>
    <w:lvl w:ilvl="0" w:tplc="F3A230D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530E44"/>
    <w:multiLevelType w:val="hybridMultilevel"/>
    <w:tmpl w:val="CE8C72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F624350"/>
    <w:multiLevelType w:val="hybridMultilevel"/>
    <w:tmpl w:val="197AD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8981FAA"/>
    <w:multiLevelType w:val="hybridMultilevel"/>
    <w:tmpl w:val="D1BC9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4F"/>
    <w:rsid w:val="000007AA"/>
    <w:rsid w:val="0000165C"/>
    <w:rsid w:val="00003E30"/>
    <w:rsid w:val="000055B1"/>
    <w:rsid w:val="0000591D"/>
    <w:rsid w:val="00010286"/>
    <w:rsid w:val="000206F7"/>
    <w:rsid w:val="00021A1A"/>
    <w:rsid w:val="0002289D"/>
    <w:rsid w:val="00023980"/>
    <w:rsid w:val="000252D9"/>
    <w:rsid w:val="00030C32"/>
    <w:rsid w:val="00031413"/>
    <w:rsid w:val="00032975"/>
    <w:rsid w:val="000355A5"/>
    <w:rsid w:val="000429D0"/>
    <w:rsid w:val="000456C7"/>
    <w:rsid w:val="00045F72"/>
    <w:rsid w:val="0005021D"/>
    <w:rsid w:val="00051818"/>
    <w:rsid w:val="000525F1"/>
    <w:rsid w:val="000578B1"/>
    <w:rsid w:val="00062557"/>
    <w:rsid w:val="00062912"/>
    <w:rsid w:val="00062A85"/>
    <w:rsid w:val="00071D91"/>
    <w:rsid w:val="00073264"/>
    <w:rsid w:val="00075459"/>
    <w:rsid w:val="00076EE7"/>
    <w:rsid w:val="00080F0F"/>
    <w:rsid w:val="0008423C"/>
    <w:rsid w:val="00085853"/>
    <w:rsid w:val="000859E4"/>
    <w:rsid w:val="00085E7C"/>
    <w:rsid w:val="000A4BE6"/>
    <w:rsid w:val="000A6895"/>
    <w:rsid w:val="000B4B9F"/>
    <w:rsid w:val="000B4CBA"/>
    <w:rsid w:val="000B58C5"/>
    <w:rsid w:val="000B6CFC"/>
    <w:rsid w:val="000B76EC"/>
    <w:rsid w:val="000C1B2E"/>
    <w:rsid w:val="000C49EE"/>
    <w:rsid w:val="000C4C97"/>
    <w:rsid w:val="000C6264"/>
    <w:rsid w:val="000D04DA"/>
    <w:rsid w:val="000D1B3B"/>
    <w:rsid w:val="000D4141"/>
    <w:rsid w:val="000D5CBE"/>
    <w:rsid w:val="000D6243"/>
    <w:rsid w:val="000E19C2"/>
    <w:rsid w:val="000E3077"/>
    <w:rsid w:val="000E7741"/>
    <w:rsid w:val="000F1C48"/>
    <w:rsid w:val="000F5455"/>
    <w:rsid w:val="000F7BC6"/>
    <w:rsid w:val="00100A03"/>
    <w:rsid w:val="001018C2"/>
    <w:rsid w:val="001024E4"/>
    <w:rsid w:val="001046DB"/>
    <w:rsid w:val="00107988"/>
    <w:rsid w:val="00107B47"/>
    <w:rsid w:val="001117CA"/>
    <w:rsid w:val="001125EF"/>
    <w:rsid w:val="00112E5F"/>
    <w:rsid w:val="00113F5D"/>
    <w:rsid w:val="00114914"/>
    <w:rsid w:val="00116D63"/>
    <w:rsid w:val="00117004"/>
    <w:rsid w:val="00121A65"/>
    <w:rsid w:val="00122F98"/>
    <w:rsid w:val="0012492C"/>
    <w:rsid w:val="0012670D"/>
    <w:rsid w:val="00126B3C"/>
    <w:rsid w:val="00127410"/>
    <w:rsid w:val="00127EE9"/>
    <w:rsid w:val="001303DD"/>
    <w:rsid w:val="00134BEB"/>
    <w:rsid w:val="00136B68"/>
    <w:rsid w:val="00137AF6"/>
    <w:rsid w:val="001425B6"/>
    <w:rsid w:val="00143717"/>
    <w:rsid w:val="0014554B"/>
    <w:rsid w:val="00151FF6"/>
    <w:rsid w:val="00156BCA"/>
    <w:rsid w:val="00156FAB"/>
    <w:rsid w:val="00162E38"/>
    <w:rsid w:val="00166AEE"/>
    <w:rsid w:val="0017116B"/>
    <w:rsid w:val="00172C70"/>
    <w:rsid w:val="00174CA2"/>
    <w:rsid w:val="00175FD7"/>
    <w:rsid w:val="00177CB3"/>
    <w:rsid w:val="00180091"/>
    <w:rsid w:val="00181DAB"/>
    <w:rsid w:val="00182879"/>
    <w:rsid w:val="00184A01"/>
    <w:rsid w:val="001861AD"/>
    <w:rsid w:val="00190C2E"/>
    <w:rsid w:val="00193DB4"/>
    <w:rsid w:val="00193FC5"/>
    <w:rsid w:val="001A04C7"/>
    <w:rsid w:val="001A35A0"/>
    <w:rsid w:val="001A393E"/>
    <w:rsid w:val="001A5988"/>
    <w:rsid w:val="001B2E51"/>
    <w:rsid w:val="001B54A9"/>
    <w:rsid w:val="001B6E5C"/>
    <w:rsid w:val="001C28E4"/>
    <w:rsid w:val="001C6979"/>
    <w:rsid w:val="001E046F"/>
    <w:rsid w:val="001E4679"/>
    <w:rsid w:val="001F227D"/>
    <w:rsid w:val="00201A5F"/>
    <w:rsid w:val="00201B2A"/>
    <w:rsid w:val="0020229C"/>
    <w:rsid w:val="00203325"/>
    <w:rsid w:val="00206018"/>
    <w:rsid w:val="002201A1"/>
    <w:rsid w:val="00222105"/>
    <w:rsid w:val="00222FB4"/>
    <w:rsid w:val="002233C3"/>
    <w:rsid w:val="00223B48"/>
    <w:rsid w:val="002241F8"/>
    <w:rsid w:val="002250A3"/>
    <w:rsid w:val="00232DF9"/>
    <w:rsid w:val="002342F6"/>
    <w:rsid w:val="00237E0F"/>
    <w:rsid w:val="00240620"/>
    <w:rsid w:val="00240B48"/>
    <w:rsid w:val="002444D6"/>
    <w:rsid w:val="00245B76"/>
    <w:rsid w:val="00250961"/>
    <w:rsid w:val="002531CC"/>
    <w:rsid w:val="0025370A"/>
    <w:rsid w:val="002557BE"/>
    <w:rsid w:val="00257E98"/>
    <w:rsid w:val="00264987"/>
    <w:rsid w:val="00266F7D"/>
    <w:rsid w:val="0026701D"/>
    <w:rsid w:val="002676D1"/>
    <w:rsid w:val="0026784E"/>
    <w:rsid w:val="002679AD"/>
    <w:rsid w:val="00267B64"/>
    <w:rsid w:val="00271FF1"/>
    <w:rsid w:val="00273313"/>
    <w:rsid w:val="00274595"/>
    <w:rsid w:val="00276D53"/>
    <w:rsid w:val="00276F4A"/>
    <w:rsid w:val="00277809"/>
    <w:rsid w:val="00277ED3"/>
    <w:rsid w:val="00280281"/>
    <w:rsid w:val="00280484"/>
    <w:rsid w:val="002804AB"/>
    <w:rsid w:val="00284B85"/>
    <w:rsid w:val="00284D91"/>
    <w:rsid w:val="0028732E"/>
    <w:rsid w:val="00290B2E"/>
    <w:rsid w:val="00294219"/>
    <w:rsid w:val="00296D5E"/>
    <w:rsid w:val="002A1CAE"/>
    <w:rsid w:val="002A1E5D"/>
    <w:rsid w:val="002A4229"/>
    <w:rsid w:val="002A454E"/>
    <w:rsid w:val="002A64B2"/>
    <w:rsid w:val="002B0493"/>
    <w:rsid w:val="002B14AC"/>
    <w:rsid w:val="002B42E6"/>
    <w:rsid w:val="002B6469"/>
    <w:rsid w:val="002C0010"/>
    <w:rsid w:val="002C1BC5"/>
    <w:rsid w:val="002C6D09"/>
    <w:rsid w:val="002D0248"/>
    <w:rsid w:val="002D052F"/>
    <w:rsid w:val="002D0791"/>
    <w:rsid w:val="002D2D3B"/>
    <w:rsid w:val="002E046F"/>
    <w:rsid w:val="002E0C7E"/>
    <w:rsid w:val="002E3FA7"/>
    <w:rsid w:val="002E4E23"/>
    <w:rsid w:val="002E77BA"/>
    <w:rsid w:val="002E7962"/>
    <w:rsid w:val="002F101D"/>
    <w:rsid w:val="002F1F5D"/>
    <w:rsid w:val="002F3F40"/>
    <w:rsid w:val="002F7A03"/>
    <w:rsid w:val="00300014"/>
    <w:rsid w:val="003031EC"/>
    <w:rsid w:val="00303F0B"/>
    <w:rsid w:val="00307637"/>
    <w:rsid w:val="00315A8B"/>
    <w:rsid w:val="00315F24"/>
    <w:rsid w:val="00316966"/>
    <w:rsid w:val="00316BB4"/>
    <w:rsid w:val="0032012C"/>
    <w:rsid w:val="00320643"/>
    <w:rsid w:val="0032142F"/>
    <w:rsid w:val="00321532"/>
    <w:rsid w:val="003219D2"/>
    <w:rsid w:val="00324D79"/>
    <w:rsid w:val="003256AE"/>
    <w:rsid w:val="003279DD"/>
    <w:rsid w:val="003309F7"/>
    <w:rsid w:val="00332352"/>
    <w:rsid w:val="00341D57"/>
    <w:rsid w:val="00342441"/>
    <w:rsid w:val="0034254D"/>
    <w:rsid w:val="00343B84"/>
    <w:rsid w:val="003467DD"/>
    <w:rsid w:val="00346A97"/>
    <w:rsid w:val="00346F40"/>
    <w:rsid w:val="0034759A"/>
    <w:rsid w:val="003501B8"/>
    <w:rsid w:val="003514B7"/>
    <w:rsid w:val="00355298"/>
    <w:rsid w:val="003571A5"/>
    <w:rsid w:val="00366864"/>
    <w:rsid w:val="003672EC"/>
    <w:rsid w:val="00367755"/>
    <w:rsid w:val="00367E88"/>
    <w:rsid w:val="00376BA4"/>
    <w:rsid w:val="003866B7"/>
    <w:rsid w:val="0039064A"/>
    <w:rsid w:val="00391D9F"/>
    <w:rsid w:val="00391F84"/>
    <w:rsid w:val="00393C01"/>
    <w:rsid w:val="00394115"/>
    <w:rsid w:val="00394ACC"/>
    <w:rsid w:val="003969E8"/>
    <w:rsid w:val="003A4CD4"/>
    <w:rsid w:val="003A52C9"/>
    <w:rsid w:val="003B0EF4"/>
    <w:rsid w:val="003B5971"/>
    <w:rsid w:val="003B5FFF"/>
    <w:rsid w:val="003B6912"/>
    <w:rsid w:val="003B754E"/>
    <w:rsid w:val="003C0581"/>
    <w:rsid w:val="003C1ADD"/>
    <w:rsid w:val="003C1E8C"/>
    <w:rsid w:val="003C266F"/>
    <w:rsid w:val="003C58AF"/>
    <w:rsid w:val="003D18F0"/>
    <w:rsid w:val="003D1C89"/>
    <w:rsid w:val="003D4869"/>
    <w:rsid w:val="003D550D"/>
    <w:rsid w:val="003E041C"/>
    <w:rsid w:val="003E3604"/>
    <w:rsid w:val="003F25BF"/>
    <w:rsid w:val="003F389F"/>
    <w:rsid w:val="003F402D"/>
    <w:rsid w:val="003F4B6F"/>
    <w:rsid w:val="003F4F9A"/>
    <w:rsid w:val="003F55F7"/>
    <w:rsid w:val="003F62B0"/>
    <w:rsid w:val="003F64FB"/>
    <w:rsid w:val="003F7807"/>
    <w:rsid w:val="00400CD0"/>
    <w:rsid w:val="00403E81"/>
    <w:rsid w:val="004101D1"/>
    <w:rsid w:val="00414AFA"/>
    <w:rsid w:val="00415622"/>
    <w:rsid w:val="00415E4F"/>
    <w:rsid w:val="00416A43"/>
    <w:rsid w:val="00416B1E"/>
    <w:rsid w:val="004232EF"/>
    <w:rsid w:val="00424B50"/>
    <w:rsid w:val="004323D1"/>
    <w:rsid w:val="0043438D"/>
    <w:rsid w:val="004458EC"/>
    <w:rsid w:val="004473F1"/>
    <w:rsid w:val="00452C42"/>
    <w:rsid w:val="004549A4"/>
    <w:rsid w:val="0045507C"/>
    <w:rsid w:val="00457A62"/>
    <w:rsid w:val="0046161F"/>
    <w:rsid w:val="00462A75"/>
    <w:rsid w:val="00470E3B"/>
    <w:rsid w:val="00471820"/>
    <w:rsid w:val="00482918"/>
    <w:rsid w:val="004840A0"/>
    <w:rsid w:val="00484AC6"/>
    <w:rsid w:val="0048523A"/>
    <w:rsid w:val="00487528"/>
    <w:rsid w:val="004917AA"/>
    <w:rsid w:val="00493384"/>
    <w:rsid w:val="004944C0"/>
    <w:rsid w:val="004966C4"/>
    <w:rsid w:val="004A081A"/>
    <w:rsid w:val="004A1F65"/>
    <w:rsid w:val="004A2AD1"/>
    <w:rsid w:val="004A5710"/>
    <w:rsid w:val="004A7ECE"/>
    <w:rsid w:val="004B123B"/>
    <w:rsid w:val="004B4594"/>
    <w:rsid w:val="004B6399"/>
    <w:rsid w:val="004B751E"/>
    <w:rsid w:val="004B7911"/>
    <w:rsid w:val="004B7E1B"/>
    <w:rsid w:val="004C0497"/>
    <w:rsid w:val="004C187A"/>
    <w:rsid w:val="004C2263"/>
    <w:rsid w:val="004C612B"/>
    <w:rsid w:val="004D0667"/>
    <w:rsid w:val="004D1193"/>
    <w:rsid w:val="004D1488"/>
    <w:rsid w:val="004D3713"/>
    <w:rsid w:val="004D6F1D"/>
    <w:rsid w:val="004E131F"/>
    <w:rsid w:val="004E3A09"/>
    <w:rsid w:val="004E3CD3"/>
    <w:rsid w:val="004E6AD1"/>
    <w:rsid w:val="004E728A"/>
    <w:rsid w:val="004F5554"/>
    <w:rsid w:val="004F63CF"/>
    <w:rsid w:val="005029D0"/>
    <w:rsid w:val="00510D98"/>
    <w:rsid w:val="005116CE"/>
    <w:rsid w:val="0051414D"/>
    <w:rsid w:val="005217EA"/>
    <w:rsid w:val="00521942"/>
    <w:rsid w:val="00523913"/>
    <w:rsid w:val="0052685A"/>
    <w:rsid w:val="005407C3"/>
    <w:rsid w:val="005439AD"/>
    <w:rsid w:val="00544C48"/>
    <w:rsid w:val="0054526C"/>
    <w:rsid w:val="005471E1"/>
    <w:rsid w:val="005514A7"/>
    <w:rsid w:val="00553131"/>
    <w:rsid w:val="00553946"/>
    <w:rsid w:val="005539CC"/>
    <w:rsid w:val="00556C11"/>
    <w:rsid w:val="00562D9E"/>
    <w:rsid w:val="00563B8F"/>
    <w:rsid w:val="00566E56"/>
    <w:rsid w:val="00566F82"/>
    <w:rsid w:val="00567DE9"/>
    <w:rsid w:val="005705B8"/>
    <w:rsid w:val="00574504"/>
    <w:rsid w:val="005751A2"/>
    <w:rsid w:val="00575467"/>
    <w:rsid w:val="00577918"/>
    <w:rsid w:val="005819AA"/>
    <w:rsid w:val="0058258A"/>
    <w:rsid w:val="005826C4"/>
    <w:rsid w:val="00582883"/>
    <w:rsid w:val="00583F08"/>
    <w:rsid w:val="00586060"/>
    <w:rsid w:val="00586EBD"/>
    <w:rsid w:val="00587299"/>
    <w:rsid w:val="00591525"/>
    <w:rsid w:val="00593392"/>
    <w:rsid w:val="00594B2F"/>
    <w:rsid w:val="00594E7D"/>
    <w:rsid w:val="00596C89"/>
    <w:rsid w:val="005A19C6"/>
    <w:rsid w:val="005A3EA0"/>
    <w:rsid w:val="005A5253"/>
    <w:rsid w:val="005B24E0"/>
    <w:rsid w:val="005B2B53"/>
    <w:rsid w:val="005B2DEE"/>
    <w:rsid w:val="005B39B0"/>
    <w:rsid w:val="005B3E4E"/>
    <w:rsid w:val="005B430F"/>
    <w:rsid w:val="005B49F6"/>
    <w:rsid w:val="005B5C07"/>
    <w:rsid w:val="005B79BA"/>
    <w:rsid w:val="005C0395"/>
    <w:rsid w:val="005C06A5"/>
    <w:rsid w:val="005C114F"/>
    <w:rsid w:val="005C1C51"/>
    <w:rsid w:val="005C2EB8"/>
    <w:rsid w:val="005D2E98"/>
    <w:rsid w:val="005D5C95"/>
    <w:rsid w:val="005D5DF2"/>
    <w:rsid w:val="005D6488"/>
    <w:rsid w:val="005E1431"/>
    <w:rsid w:val="005E25BC"/>
    <w:rsid w:val="005E3FD9"/>
    <w:rsid w:val="005E7566"/>
    <w:rsid w:val="005F1739"/>
    <w:rsid w:val="005F1E11"/>
    <w:rsid w:val="005F34D9"/>
    <w:rsid w:val="005F532D"/>
    <w:rsid w:val="006023ED"/>
    <w:rsid w:val="00602F05"/>
    <w:rsid w:val="00603886"/>
    <w:rsid w:val="00605C5B"/>
    <w:rsid w:val="00606AA4"/>
    <w:rsid w:val="006108D3"/>
    <w:rsid w:val="006143D9"/>
    <w:rsid w:val="0061664E"/>
    <w:rsid w:val="006174C2"/>
    <w:rsid w:val="0062186B"/>
    <w:rsid w:val="0062214B"/>
    <w:rsid w:val="00624C42"/>
    <w:rsid w:val="00625341"/>
    <w:rsid w:val="00625589"/>
    <w:rsid w:val="0062599B"/>
    <w:rsid w:val="00626C8A"/>
    <w:rsid w:val="00631E76"/>
    <w:rsid w:val="00641F11"/>
    <w:rsid w:val="00642A95"/>
    <w:rsid w:val="006455C5"/>
    <w:rsid w:val="00652CA3"/>
    <w:rsid w:val="00653C07"/>
    <w:rsid w:val="006549FF"/>
    <w:rsid w:val="006568AB"/>
    <w:rsid w:val="006608F6"/>
    <w:rsid w:val="006613F4"/>
    <w:rsid w:val="006674FF"/>
    <w:rsid w:val="0067651D"/>
    <w:rsid w:val="00676951"/>
    <w:rsid w:val="006810F9"/>
    <w:rsid w:val="006824FA"/>
    <w:rsid w:val="00683059"/>
    <w:rsid w:val="006849AE"/>
    <w:rsid w:val="00684C31"/>
    <w:rsid w:val="00687507"/>
    <w:rsid w:val="00693278"/>
    <w:rsid w:val="00697543"/>
    <w:rsid w:val="006A276A"/>
    <w:rsid w:val="006A375D"/>
    <w:rsid w:val="006A4738"/>
    <w:rsid w:val="006B0FEB"/>
    <w:rsid w:val="006B28CA"/>
    <w:rsid w:val="006B2DD3"/>
    <w:rsid w:val="006B3DA6"/>
    <w:rsid w:val="006B4BC0"/>
    <w:rsid w:val="006B5766"/>
    <w:rsid w:val="006C1F15"/>
    <w:rsid w:val="006C2713"/>
    <w:rsid w:val="006C3AB2"/>
    <w:rsid w:val="006C4089"/>
    <w:rsid w:val="006C59F3"/>
    <w:rsid w:val="006C5AF1"/>
    <w:rsid w:val="006D0069"/>
    <w:rsid w:val="006D3110"/>
    <w:rsid w:val="006D4503"/>
    <w:rsid w:val="006D4BDE"/>
    <w:rsid w:val="006E199D"/>
    <w:rsid w:val="006E3AA5"/>
    <w:rsid w:val="006E4CCA"/>
    <w:rsid w:val="006F166B"/>
    <w:rsid w:val="006F4587"/>
    <w:rsid w:val="006F52E5"/>
    <w:rsid w:val="006F628F"/>
    <w:rsid w:val="006F700A"/>
    <w:rsid w:val="006F7B68"/>
    <w:rsid w:val="0070002A"/>
    <w:rsid w:val="007013AA"/>
    <w:rsid w:val="00701B3F"/>
    <w:rsid w:val="0070460D"/>
    <w:rsid w:val="00706D15"/>
    <w:rsid w:val="007131D4"/>
    <w:rsid w:val="007203E1"/>
    <w:rsid w:val="007208D2"/>
    <w:rsid w:val="007218C5"/>
    <w:rsid w:val="00730934"/>
    <w:rsid w:val="007311E7"/>
    <w:rsid w:val="007315BC"/>
    <w:rsid w:val="00737269"/>
    <w:rsid w:val="007402F5"/>
    <w:rsid w:val="00741D39"/>
    <w:rsid w:val="00742994"/>
    <w:rsid w:val="00744EB8"/>
    <w:rsid w:val="0074577A"/>
    <w:rsid w:val="00745C08"/>
    <w:rsid w:val="007476C9"/>
    <w:rsid w:val="00751356"/>
    <w:rsid w:val="00751F23"/>
    <w:rsid w:val="00751FF6"/>
    <w:rsid w:val="00752ABE"/>
    <w:rsid w:val="007545C7"/>
    <w:rsid w:val="00765CE1"/>
    <w:rsid w:val="007677C6"/>
    <w:rsid w:val="00770411"/>
    <w:rsid w:val="00771DE0"/>
    <w:rsid w:val="0078088C"/>
    <w:rsid w:val="00781702"/>
    <w:rsid w:val="00783DD6"/>
    <w:rsid w:val="0078532C"/>
    <w:rsid w:val="00786C0E"/>
    <w:rsid w:val="00791853"/>
    <w:rsid w:val="0079492F"/>
    <w:rsid w:val="00794E7F"/>
    <w:rsid w:val="007975EF"/>
    <w:rsid w:val="007A0042"/>
    <w:rsid w:val="007A3EED"/>
    <w:rsid w:val="007A556B"/>
    <w:rsid w:val="007A6CEE"/>
    <w:rsid w:val="007C0E50"/>
    <w:rsid w:val="007C3B73"/>
    <w:rsid w:val="007C5823"/>
    <w:rsid w:val="007C5EB0"/>
    <w:rsid w:val="007C6E60"/>
    <w:rsid w:val="007D0880"/>
    <w:rsid w:val="007D0BBF"/>
    <w:rsid w:val="007D6849"/>
    <w:rsid w:val="007E1139"/>
    <w:rsid w:val="007E15E1"/>
    <w:rsid w:val="007E2B6B"/>
    <w:rsid w:val="007E2F96"/>
    <w:rsid w:val="007E3489"/>
    <w:rsid w:val="007E42F7"/>
    <w:rsid w:val="007E5675"/>
    <w:rsid w:val="007F1E0A"/>
    <w:rsid w:val="007F2F3E"/>
    <w:rsid w:val="008011B7"/>
    <w:rsid w:val="00802FC3"/>
    <w:rsid w:val="00803045"/>
    <w:rsid w:val="00803381"/>
    <w:rsid w:val="00805210"/>
    <w:rsid w:val="00806FE1"/>
    <w:rsid w:val="008128D4"/>
    <w:rsid w:val="00817F4D"/>
    <w:rsid w:val="00822B96"/>
    <w:rsid w:val="008235DC"/>
    <w:rsid w:val="00823F30"/>
    <w:rsid w:val="00826CF0"/>
    <w:rsid w:val="00827313"/>
    <w:rsid w:val="00833794"/>
    <w:rsid w:val="00833B7A"/>
    <w:rsid w:val="00834484"/>
    <w:rsid w:val="00841336"/>
    <w:rsid w:val="00841C4B"/>
    <w:rsid w:val="00841D9F"/>
    <w:rsid w:val="008423AE"/>
    <w:rsid w:val="00843E6E"/>
    <w:rsid w:val="00845B3F"/>
    <w:rsid w:val="008468C6"/>
    <w:rsid w:val="00850296"/>
    <w:rsid w:val="00850645"/>
    <w:rsid w:val="00850F75"/>
    <w:rsid w:val="0085168A"/>
    <w:rsid w:val="0085249F"/>
    <w:rsid w:val="0085362D"/>
    <w:rsid w:val="00860953"/>
    <w:rsid w:val="00860D22"/>
    <w:rsid w:val="00866F8E"/>
    <w:rsid w:val="00867899"/>
    <w:rsid w:val="00870407"/>
    <w:rsid w:val="00870C73"/>
    <w:rsid w:val="00870F8A"/>
    <w:rsid w:val="00873557"/>
    <w:rsid w:val="00875D28"/>
    <w:rsid w:val="00876884"/>
    <w:rsid w:val="00882239"/>
    <w:rsid w:val="00882BDE"/>
    <w:rsid w:val="008836E3"/>
    <w:rsid w:val="00884F2E"/>
    <w:rsid w:val="0088534E"/>
    <w:rsid w:val="00886701"/>
    <w:rsid w:val="008867D0"/>
    <w:rsid w:val="00887635"/>
    <w:rsid w:val="008908AC"/>
    <w:rsid w:val="00891E08"/>
    <w:rsid w:val="0089294E"/>
    <w:rsid w:val="00892D27"/>
    <w:rsid w:val="00892EB1"/>
    <w:rsid w:val="00894579"/>
    <w:rsid w:val="00895FEE"/>
    <w:rsid w:val="008A4C6F"/>
    <w:rsid w:val="008B1E46"/>
    <w:rsid w:val="008B33B3"/>
    <w:rsid w:val="008B3897"/>
    <w:rsid w:val="008B4E43"/>
    <w:rsid w:val="008B5307"/>
    <w:rsid w:val="008B7273"/>
    <w:rsid w:val="008B7614"/>
    <w:rsid w:val="008B7E08"/>
    <w:rsid w:val="008C03BA"/>
    <w:rsid w:val="008C30A6"/>
    <w:rsid w:val="008C31B7"/>
    <w:rsid w:val="008C6D41"/>
    <w:rsid w:val="008D115F"/>
    <w:rsid w:val="008D116B"/>
    <w:rsid w:val="008D146A"/>
    <w:rsid w:val="008D147E"/>
    <w:rsid w:val="008D177F"/>
    <w:rsid w:val="008D22AA"/>
    <w:rsid w:val="008D3C09"/>
    <w:rsid w:val="008D68D8"/>
    <w:rsid w:val="008D6D12"/>
    <w:rsid w:val="008D7580"/>
    <w:rsid w:val="008D7D51"/>
    <w:rsid w:val="008E4D63"/>
    <w:rsid w:val="008E5147"/>
    <w:rsid w:val="008E64C8"/>
    <w:rsid w:val="008E6928"/>
    <w:rsid w:val="008E7F3F"/>
    <w:rsid w:val="008F46B9"/>
    <w:rsid w:val="008F63E0"/>
    <w:rsid w:val="008F7872"/>
    <w:rsid w:val="00901054"/>
    <w:rsid w:val="00904A97"/>
    <w:rsid w:val="0090512D"/>
    <w:rsid w:val="009063AB"/>
    <w:rsid w:val="00906F9B"/>
    <w:rsid w:val="00907D30"/>
    <w:rsid w:val="00910CED"/>
    <w:rsid w:val="00912939"/>
    <w:rsid w:val="00914452"/>
    <w:rsid w:val="009168F1"/>
    <w:rsid w:val="00916AC1"/>
    <w:rsid w:val="00922BDB"/>
    <w:rsid w:val="00924BC4"/>
    <w:rsid w:val="00925794"/>
    <w:rsid w:val="009270CE"/>
    <w:rsid w:val="00931826"/>
    <w:rsid w:val="00934A68"/>
    <w:rsid w:val="00937326"/>
    <w:rsid w:val="009409E1"/>
    <w:rsid w:val="00940CEC"/>
    <w:rsid w:val="0094313E"/>
    <w:rsid w:val="009475B7"/>
    <w:rsid w:val="00950D0F"/>
    <w:rsid w:val="00955E4D"/>
    <w:rsid w:val="00956815"/>
    <w:rsid w:val="00957B19"/>
    <w:rsid w:val="00962E38"/>
    <w:rsid w:val="009661F2"/>
    <w:rsid w:val="00971D59"/>
    <w:rsid w:val="00971EFE"/>
    <w:rsid w:val="00974DA9"/>
    <w:rsid w:val="00974E1C"/>
    <w:rsid w:val="00976442"/>
    <w:rsid w:val="009766EF"/>
    <w:rsid w:val="00976BF5"/>
    <w:rsid w:val="009860D1"/>
    <w:rsid w:val="0098641E"/>
    <w:rsid w:val="00987803"/>
    <w:rsid w:val="0099446A"/>
    <w:rsid w:val="00994B19"/>
    <w:rsid w:val="009963ED"/>
    <w:rsid w:val="00997105"/>
    <w:rsid w:val="009A1DE7"/>
    <w:rsid w:val="009A4D34"/>
    <w:rsid w:val="009A54D5"/>
    <w:rsid w:val="009A5F4C"/>
    <w:rsid w:val="009B1E32"/>
    <w:rsid w:val="009B1E3D"/>
    <w:rsid w:val="009B20CB"/>
    <w:rsid w:val="009B7629"/>
    <w:rsid w:val="009C12E5"/>
    <w:rsid w:val="009C1E65"/>
    <w:rsid w:val="009C20AF"/>
    <w:rsid w:val="009D5075"/>
    <w:rsid w:val="009D559E"/>
    <w:rsid w:val="009F64C1"/>
    <w:rsid w:val="009F7CE0"/>
    <w:rsid w:val="00A04E44"/>
    <w:rsid w:val="00A05C30"/>
    <w:rsid w:val="00A077F9"/>
    <w:rsid w:val="00A101DE"/>
    <w:rsid w:val="00A12ECC"/>
    <w:rsid w:val="00A133BD"/>
    <w:rsid w:val="00A13FBB"/>
    <w:rsid w:val="00A14D59"/>
    <w:rsid w:val="00A15811"/>
    <w:rsid w:val="00A23825"/>
    <w:rsid w:val="00A243F8"/>
    <w:rsid w:val="00A266AB"/>
    <w:rsid w:val="00A27172"/>
    <w:rsid w:val="00A271E6"/>
    <w:rsid w:val="00A3168D"/>
    <w:rsid w:val="00A31F52"/>
    <w:rsid w:val="00A40AE6"/>
    <w:rsid w:val="00A4125D"/>
    <w:rsid w:val="00A420E5"/>
    <w:rsid w:val="00A44EE2"/>
    <w:rsid w:val="00A4563D"/>
    <w:rsid w:val="00A45A4E"/>
    <w:rsid w:val="00A46C30"/>
    <w:rsid w:val="00A50024"/>
    <w:rsid w:val="00A50D34"/>
    <w:rsid w:val="00A517E4"/>
    <w:rsid w:val="00A525D0"/>
    <w:rsid w:val="00A53943"/>
    <w:rsid w:val="00A601FC"/>
    <w:rsid w:val="00A61E7F"/>
    <w:rsid w:val="00A61EFA"/>
    <w:rsid w:val="00A62267"/>
    <w:rsid w:val="00A65CFF"/>
    <w:rsid w:val="00A71256"/>
    <w:rsid w:val="00A72011"/>
    <w:rsid w:val="00A72373"/>
    <w:rsid w:val="00A7275F"/>
    <w:rsid w:val="00A76498"/>
    <w:rsid w:val="00A80BCF"/>
    <w:rsid w:val="00A83547"/>
    <w:rsid w:val="00A847B4"/>
    <w:rsid w:val="00A9000C"/>
    <w:rsid w:val="00A94062"/>
    <w:rsid w:val="00A94766"/>
    <w:rsid w:val="00A957C7"/>
    <w:rsid w:val="00A9739D"/>
    <w:rsid w:val="00AA00A7"/>
    <w:rsid w:val="00AA256F"/>
    <w:rsid w:val="00AA3656"/>
    <w:rsid w:val="00AA4272"/>
    <w:rsid w:val="00AA4B7E"/>
    <w:rsid w:val="00AA696D"/>
    <w:rsid w:val="00AB2E49"/>
    <w:rsid w:val="00AB37E3"/>
    <w:rsid w:val="00AB3EC7"/>
    <w:rsid w:val="00AB6BE9"/>
    <w:rsid w:val="00AB6F49"/>
    <w:rsid w:val="00AB7A52"/>
    <w:rsid w:val="00AC234D"/>
    <w:rsid w:val="00AD312A"/>
    <w:rsid w:val="00AD411C"/>
    <w:rsid w:val="00AD4B9D"/>
    <w:rsid w:val="00AD6474"/>
    <w:rsid w:val="00AD650E"/>
    <w:rsid w:val="00AD790F"/>
    <w:rsid w:val="00AE065D"/>
    <w:rsid w:val="00AE2066"/>
    <w:rsid w:val="00AE2AB9"/>
    <w:rsid w:val="00AE3787"/>
    <w:rsid w:val="00AE5771"/>
    <w:rsid w:val="00AE60B6"/>
    <w:rsid w:val="00AE7CBD"/>
    <w:rsid w:val="00AF0229"/>
    <w:rsid w:val="00AF2402"/>
    <w:rsid w:val="00B106CB"/>
    <w:rsid w:val="00B11555"/>
    <w:rsid w:val="00B13AB1"/>
    <w:rsid w:val="00B145C0"/>
    <w:rsid w:val="00B22AC2"/>
    <w:rsid w:val="00B2322C"/>
    <w:rsid w:val="00B272F9"/>
    <w:rsid w:val="00B27CE4"/>
    <w:rsid w:val="00B3075E"/>
    <w:rsid w:val="00B32211"/>
    <w:rsid w:val="00B3348B"/>
    <w:rsid w:val="00B359DC"/>
    <w:rsid w:val="00B36A95"/>
    <w:rsid w:val="00B37D6F"/>
    <w:rsid w:val="00B44068"/>
    <w:rsid w:val="00B464B4"/>
    <w:rsid w:val="00B47A69"/>
    <w:rsid w:val="00B50F3F"/>
    <w:rsid w:val="00B657F7"/>
    <w:rsid w:val="00B65AD5"/>
    <w:rsid w:val="00B66689"/>
    <w:rsid w:val="00B72697"/>
    <w:rsid w:val="00B74C11"/>
    <w:rsid w:val="00B769E7"/>
    <w:rsid w:val="00B778B7"/>
    <w:rsid w:val="00B77B3D"/>
    <w:rsid w:val="00B80129"/>
    <w:rsid w:val="00B81391"/>
    <w:rsid w:val="00B87B9A"/>
    <w:rsid w:val="00B90511"/>
    <w:rsid w:val="00B9431A"/>
    <w:rsid w:val="00BA5E6C"/>
    <w:rsid w:val="00BA7F13"/>
    <w:rsid w:val="00BB06CF"/>
    <w:rsid w:val="00BB79BE"/>
    <w:rsid w:val="00BB7E44"/>
    <w:rsid w:val="00BC3298"/>
    <w:rsid w:val="00BC44A9"/>
    <w:rsid w:val="00BC5A96"/>
    <w:rsid w:val="00BD0861"/>
    <w:rsid w:val="00BD1E72"/>
    <w:rsid w:val="00BF2D45"/>
    <w:rsid w:val="00BF2ED6"/>
    <w:rsid w:val="00BF4CA9"/>
    <w:rsid w:val="00C00721"/>
    <w:rsid w:val="00C00DC5"/>
    <w:rsid w:val="00C02B18"/>
    <w:rsid w:val="00C05649"/>
    <w:rsid w:val="00C070D8"/>
    <w:rsid w:val="00C116AD"/>
    <w:rsid w:val="00C11F4F"/>
    <w:rsid w:val="00C1420F"/>
    <w:rsid w:val="00C1676C"/>
    <w:rsid w:val="00C2360C"/>
    <w:rsid w:val="00C246C0"/>
    <w:rsid w:val="00C3391D"/>
    <w:rsid w:val="00C37AC4"/>
    <w:rsid w:val="00C37EE4"/>
    <w:rsid w:val="00C413A3"/>
    <w:rsid w:val="00C424EB"/>
    <w:rsid w:val="00C42F4F"/>
    <w:rsid w:val="00C43270"/>
    <w:rsid w:val="00C45B5B"/>
    <w:rsid w:val="00C5101B"/>
    <w:rsid w:val="00C522A8"/>
    <w:rsid w:val="00C52F40"/>
    <w:rsid w:val="00C52FC3"/>
    <w:rsid w:val="00C553F0"/>
    <w:rsid w:val="00C55A2F"/>
    <w:rsid w:val="00C5627A"/>
    <w:rsid w:val="00C573FC"/>
    <w:rsid w:val="00C57F52"/>
    <w:rsid w:val="00C63A5A"/>
    <w:rsid w:val="00C63C1F"/>
    <w:rsid w:val="00C6628A"/>
    <w:rsid w:val="00C6733E"/>
    <w:rsid w:val="00C677BD"/>
    <w:rsid w:val="00C7283E"/>
    <w:rsid w:val="00C72A84"/>
    <w:rsid w:val="00C72B20"/>
    <w:rsid w:val="00C72D5A"/>
    <w:rsid w:val="00C73ECF"/>
    <w:rsid w:val="00C75E8A"/>
    <w:rsid w:val="00C763EA"/>
    <w:rsid w:val="00C76C8F"/>
    <w:rsid w:val="00C77627"/>
    <w:rsid w:val="00C8353B"/>
    <w:rsid w:val="00C86DBA"/>
    <w:rsid w:val="00C87758"/>
    <w:rsid w:val="00C87BFF"/>
    <w:rsid w:val="00C911BA"/>
    <w:rsid w:val="00C91513"/>
    <w:rsid w:val="00C9175A"/>
    <w:rsid w:val="00C95E62"/>
    <w:rsid w:val="00CA3292"/>
    <w:rsid w:val="00CA32AC"/>
    <w:rsid w:val="00CA62BA"/>
    <w:rsid w:val="00CA75B8"/>
    <w:rsid w:val="00CA77F3"/>
    <w:rsid w:val="00CB5120"/>
    <w:rsid w:val="00CB5E19"/>
    <w:rsid w:val="00CB79E5"/>
    <w:rsid w:val="00CC1162"/>
    <w:rsid w:val="00CC2BFC"/>
    <w:rsid w:val="00CC5DB8"/>
    <w:rsid w:val="00CC7FE6"/>
    <w:rsid w:val="00CE2EB2"/>
    <w:rsid w:val="00CE3832"/>
    <w:rsid w:val="00CE38F8"/>
    <w:rsid w:val="00CE4D79"/>
    <w:rsid w:val="00CF16A7"/>
    <w:rsid w:val="00CF46A6"/>
    <w:rsid w:val="00CF5EB4"/>
    <w:rsid w:val="00CF6FC9"/>
    <w:rsid w:val="00CF7FB0"/>
    <w:rsid w:val="00D001A6"/>
    <w:rsid w:val="00D01D6D"/>
    <w:rsid w:val="00D028C5"/>
    <w:rsid w:val="00D02C0E"/>
    <w:rsid w:val="00D03691"/>
    <w:rsid w:val="00D04F6D"/>
    <w:rsid w:val="00D05484"/>
    <w:rsid w:val="00D0574E"/>
    <w:rsid w:val="00D114C7"/>
    <w:rsid w:val="00D1539D"/>
    <w:rsid w:val="00D1756C"/>
    <w:rsid w:val="00D20C70"/>
    <w:rsid w:val="00D21B3E"/>
    <w:rsid w:val="00D240A4"/>
    <w:rsid w:val="00D3597A"/>
    <w:rsid w:val="00D36055"/>
    <w:rsid w:val="00D36D5A"/>
    <w:rsid w:val="00D37851"/>
    <w:rsid w:val="00D37923"/>
    <w:rsid w:val="00D37A58"/>
    <w:rsid w:val="00D42BEB"/>
    <w:rsid w:val="00D44339"/>
    <w:rsid w:val="00D4687A"/>
    <w:rsid w:val="00D50869"/>
    <w:rsid w:val="00D519D2"/>
    <w:rsid w:val="00D56A2C"/>
    <w:rsid w:val="00D574BC"/>
    <w:rsid w:val="00D60E52"/>
    <w:rsid w:val="00D61311"/>
    <w:rsid w:val="00D62239"/>
    <w:rsid w:val="00D62915"/>
    <w:rsid w:val="00D717B9"/>
    <w:rsid w:val="00D72BA7"/>
    <w:rsid w:val="00D748F8"/>
    <w:rsid w:val="00D762D3"/>
    <w:rsid w:val="00D76DB0"/>
    <w:rsid w:val="00D77831"/>
    <w:rsid w:val="00D806AF"/>
    <w:rsid w:val="00D8457D"/>
    <w:rsid w:val="00D87451"/>
    <w:rsid w:val="00D87E84"/>
    <w:rsid w:val="00D90223"/>
    <w:rsid w:val="00D908FF"/>
    <w:rsid w:val="00D91A3D"/>
    <w:rsid w:val="00D9331B"/>
    <w:rsid w:val="00D9361D"/>
    <w:rsid w:val="00D97427"/>
    <w:rsid w:val="00DA4077"/>
    <w:rsid w:val="00DA5837"/>
    <w:rsid w:val="00DA5BE8"/>
    <w:rsid w:val="00DA5EDD"/>
    <w:rsid w:val="00DB23DC"/>
    <w:rsid w:val="00DB4CC5"/>
    <w:rsid w:val="00DB7BB5"/>
    <w:rsid w:val="00DC074F"/>
    <w:rsid w:val="00DC08F0"/>
    <w:rsid w:val="00DC1692"/>
    <w:rsid w:val="00DC390B"/>
    <w:rsid w:val="00DC461E"/>
    <w:rsid w:val="00DC567F"/>
    <w:rsid w:val="00DC65E3"/>
    <w:rsid w:val="00DD2809"/>
    <w:rsid w:val="00DD2FC1"/>
    <w:rsid w:val="00DD3CA1"/>
    <w:rsid w:val="00DD48F5"/>
    <w:rsid w:val="00DD65B0"/>
    <w:rsid w:val="00DE20A5"/>
    <w:rsid w:val="00DE24E6"/>
    <w:rsid w:val="00DE3279"/>
    <w:rsid w:val="00DE5E16"/>
    <w:rsid w:val="00DE63C9"/>
    <w:rsid w:val="00DE68ED"/>
    <w:rsid w:val="00DF1111"/>
    <w:rsid w:val="00DF188E"/>
    <w:rsid w:val="00DF20DC"/>
    <w:rsid w:val="00DF2AF2"/>
    <w:rsid w:val="00DF2D9D"/>
    <w:rsid w:val="00DF5145"/>
    <w:rsid w:val="00DF7AAA"/>
    <w:rsid w:val="00DF7DEA"/>
    <w:rsid w:val="00E0106D"/>
    <w:rsid w:val="00E01961"/>
    <w:rsid w:val="00E03D2E"/>
    <w:rsid w:val="00E04003"/>
    <w:rsid w:val="00E04909"/>
    <w:rsid w:val="00E052A6"/>
    <w:rsid w:val="00E073ED"/>
    <w:rsid w:val="00E0767F"/>
    <w:rsid w:val="00E07CB4"/>
    <w:rsid w:val="00E118CD"/>
    <w:rsid w:val="00E120A9"/>
    <w:rsid w:val="00E1238F"/>
    <w:rsid w:val="00E128D5"/>
    <w:rsid w:val="00E147BA"/>
    <w:rsid w:val="00E14E61"/>
    <w:rsid w:val="00E201CE"/>
    <w:rsid w:val="00E2423C"/>
    <w:rsid w:val="00E26DDB"/>
    <w:rsid w:val="00E31F59"/>
    <w:rsid w:val="00E34565"/>
    <w:rsid w:val="00E35164"/>
    <w:rsid w:val="00E35873"/>
    <w:rsid w:val="00E449AF"/>
    <w:rsid w:val="00E45BD3"/>
    <w:rsid w:val="00E4668B"/>
    <w:rsid w:val="00E4739A"/>
    <w:rsid w:val="00E510EC"/>
    <w:rsid w:val="00E52FB1"/>
    <w:rsid w:val="00E55835"/>
    <w:rsid w:val="00E568DF"/>
    <w:rsid w:val="00E57418"/>
    <w:rsid w:val="00E6028F"/>
    <w:rsid w:val="00E61DCC"/>
    <w:rsid w:val="00E64F1A"/>
    <w:rsid w:val="00E6542B"/>
    <w:rsid w:val="00E67CFB"/>
    <w:rsid w:val="00E705FC"/>
    <w:rsid w:val="00E70D7A"/>
    <w:rsid w:val="00E715E7"/>
    <w:rsid w:val="00E75B11"/>
    <w:rsid w:val="00E76B81"/>
    <w:rsid w:val="00E805CC"/>
    <w:rsid w:val="00E80B8E"/>
    <w:rsid w:val="00E835C7"/>
    <w:rsid w:val="00E86AFB"/>
    <w:rsid w:val="00E902E2"/>
    <w:rsid w:val="00E905D8"/>
    <w:rsid w:val="00E915FB"/>
    <w:rsid w:val="00E916BB"/>
    <w:rsid w:val="00E923F9"/>
    <w:rsid w:val="00E93007"/>
    <w:rsid w:val="00E94735"/>
    <w:rsid w:val="00E97253"/>
    <w:rsid w:val="00EA2171"/>
    <w:rsid w:val="00EA4064"/>
    <w:rsid w:val="00EA5E9A"/>
    <w:rsid w:val="00EA766E"/>
    <w:rsid w:val="00EB214B"/>
    <w:rsid w:val="00EB28C7"/>
    <w:rsid w:val="00EB3766"/>
    <w:rsid w:val="00EB6678"/>
    <w:rsid w:val="00EC084F"/>
    <w:rsid w:val="00EC0C6E"/>
    <w:rsid w:val="00EC2438"/>
    <w:rsid w:val="00EC3EF8"/>
    <w:rsid w:val="00EC4EEE"/>
    <w:rsid w:val="00ED09F5"/>
    <w:rsid w:val="00ED1BFB"/>
    <w:rsid w:val="00ED2078"/>
    <w:rsid w:val="00EE1F94"/>
    <w:rsid w:val="00EE2C96"/>
    <w:rsid w:val="00EE34EB"/>
    <w:rsid w:val="00EE3750"/>
    <w:rsid w:val="00EE4637"/>
    <w:rsid w:val="00EE580B"/>
    <w:rsid w:val="00EE6DD1"/>
    <w:rsid w:val="00EF569B"/>
    <w:rsid w:val="00F00586"/>
    <w:rsid w:val="00F00EC7"/>
    <w:rsid w:val="00F02DD7"/>
    <w:rsid w:val="00F07B6A"/>
    <w:rsid w:val="00F15726"/>
    <w:rsid w:val="00F17053"/>
    <w:rsid w:val="00F20FAF"/>
    <w:rsid w:val="00F21958"/>
    <w:rsid w:val="00F24B3C"/>
    <w:rsid w:val="00F24C76"/>
    <w:rsid w:val="00F2626D"/>
    <w:rsid w:val="00F27147"/>
    <w:rsid w:val="00F27AE9"/>
    <w:rsid w:val="00F27CBD"/>
    <w:rsid w:val="00F3028A"/>
    <w:rsid w:val="00F30F1C"/>
    <w:rsid w:val="00F31BF3"/>
    <w:rsid w:val="00F320FF"/>
    <w:rsid w:val="00F347FF"/>
    <w:rsid w:val="00F36BF2"/>
    <w:rsid w:val="00F40838"/>
    <w:rsid w:val="00F44DFF"/>
    <w:rsid w:val="00F46AE7"/>
    <w:rsid w:val="00F478AC"/>
    <w:rsid w:val="00F47928"/>
    <w:rsid w:val="00F5012C"/>
    <w:rsid w:val="00F50449"/>
    <w:rsid w:val="00F513F8"/>
    <w:rsid w:val="00F54BE8"/>
    <w:rsid w:val="00F5504F"/>
    <w:rsid w:val="00F551E0"/>
    <w:rsid w:val="00F61E14"/>
    <w:rsid w:val="00F62077"/>
    <w:rsid w:val="00F65AB0"/>
    <w:rsid w:val="00F707AB"/>
    <w:rsid w:val="00F70ACF"/>
    <w:rsid w:val="00F7210C"/>
    <w:rsid w:val="00F733E8"/>
    <w:rsid w:val="00F7408D"/>
    <w:rsid w:val="00F74FA8"/>
    <w:rsid w:val="00F84CAA"/>
    <w:rsid w:val="00F90663"/>
    <w:rsid w:val="00F9141A"/>
    <w:rsid w:val="00F91B8F"/>
    <w:rsid w:val="00F976B0"/>
    <w:rsid w:val="00F979E3"/>
    <w:rsid w:val="00FA1777"/>
    <w:rsid w:val="00FA1B29"/>
    <w:rsid w:val="00FA5F66"/>
    <w:rsid w:val="00FA6EFD"/>
    <w:rsid w:val="00FB168B"/>
    <w:rsid w:val="00FB1A84"/>
    <w:rsid w:val="00FB4F7B"/>
    <w:rsid w:val="00FB6B25"/>
    <w:rsid w:val="00FB703A"/>
    <w:rsid w:val="00FB7257"/>
    <w:rsid w:val="00FC37A4"/>
    <w:rsid w:val="00FC45C5"/>
    <w:rsid w:val="00FC7E47"/>
    <w:rsid w:val="00FD377A"/>
    <w:rsid w:val="00FE7BC8"/>
    <w:rsid w:val="00FF2742"/>
    <w:rsid w:val="00FF5B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F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F"/>
    <w:pPr>
      <w:spacing w:after="0" w:line="240" w:lineRule="auto"/>
    </w:pPr>
    <w:rPr>
      <w:rFonts w:ascii="Times New Roman" w:eastAsia="Times New Roman" w:hAnsi="Times New Roman" w:cs="Vrinda"/>
      <w:sz w:val="24"/>
      <w:szCs w:val="24"/>
      <w:lang w:eastAsia="da-DK" w:bidi="bn-IN"/>
    </w:rPr>
  </w:style>
  <w:style w:type="paragraph" w:styleId="Overskrift1">
    <w:name w:val="heading 1"/>
    <w:basedOn w:val="Normal"/>
    <w:next w:val="Normal"/>
    <w:link w:val="Overskrift1Tegn"/>
    <w:uiPriority w:val="9"/>
    <w:qFormat/>
    <w:rsid w:val="00C11F4F"/>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F5504F"/>
    <w:pPr>
      <w:tabs>
        <w:tab w:val="center" w:pos="4819"/>
        <w:tab w:val="right" w:pos="9638"/>
      </w:tabs>
    </w:pPr>
    <w:rPr>
      <w:szCs w:val="30"/>
    </w:rPr>
  </w:style>
  <w:style w:type="character" w:customStyle="1" w:styleId="SidefodTegn">
    <w:name w:val="Sidefod Tegn"/>
    <w:basedOn w:val="Standardskrifttypeiafsnit"/>
    <w:link w:val="Sidefod"/>
    <w:uiPriority w:val="99"/>
    <w:rsid w:val="00F5504F"/>
    <w:rPr>
      <w:rFonts w:ascii="Times New Roman" w:eastAsia="Times New Roman" w:hAnsi="Times New Roman" w:cs="Vrinda"/>
      <w:sz w:val="24"/>
      <w:szCs w:val="30"/>
      <w:lang w:eastAsia="da-DK" w:bidi="bn-IN"/>
    </w:rPr>
  </w:style>
  <w:style w:type="character" w:styleId="Hyperlink">
    <w:name w:val="Hyperlink"/>
    <w:basedOn w:val="Standardskrifttypeiafsnit"/>
    <w:rsid w:val="00F5504F"/>
    <w:rPr>
      <w:color w:val="0000FF" w:themeColor="hyperlink"/>
      <w:u w:val="single"/>
    </w:rPr>
  </w:style>
  <w:style w:type="paragraph" w:styleId="Listeafsnit">
    <w:name w:val="List Paragraph"/>
    <w:basedOn w:val="Normal"/>
    <w:uiPriority w:val="34"/>
    <w:qFormat/>
    <w:rsid w:val="00F5504F"/>
    <w:pPr>
      <w:ind w:left="720"/>
      <w:contextualSpacing/>
    </w:pPr>
    <w:rPr>
      <w:szCs w:val="30"/>
    </w:rPr>
  </w:style>
  <w:style w:type="paragraph" w:styleId="NormalWeb">
    <w:name w:val="Normal (Web)"/>
    <w:basedOn w:val="Normal"/>
    <w:uiPriority w:val="99"/>
    <w:unhideWhenUsed/>
    <w:rsid w:val="00F5504F"/>
    <w:pPr>
      <w:spacing w:before="100" w:beforeAutospacing="1" w:after="100" w:afterAutospacing="1"/>
    </w:pPr>
    <w:rPr>
      <w:rFonts w:eastAsiaTheme="minorEastAsia" w:cs="Times New Roman"/>
      <w:lang w:bidi="ar-SA"/>
    </w:rPr>
  </w:style>
  <w:style w:type="table" w:styleId="Tabel-Gitter">
    <w:name w:val="Table Grid"/>
    <w:basedOn w:val="Tabel-Normal"/>
    <w:uiPriority w:val="59"/>
    <w:rsid w:val="00F55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F5504F"/>
    <w:rPr>
      <w:rFonts w:ascii="Tahoma" w:hAnsi="Tahoma" w:cs="Tahoma"/>
      <w:sz w:val="16"/>
      <w:szCs w:val="20"/>
    </w:rPr>
  </w:style>
  <w:style w:type="character" w:customStyle="1" w:styleId="MarkeringsbobletekstTegn">
    <w:name w:val="Markeringsbobletekst Tegn"/>
    <w:basedOn w:val="Standardskrifttypeiafsnit"/>
    <w:link w:val="Markeringsbobletekst"/>
    <w:uiPriority w:val="99"/>
    <w:semiHidden/>
    <w:rsid w:val="00F5504F"/>
    <w:rPr>
      <w:rFonts w:ascii="Tahoma" w:eastAsia="Times New Roman" w:hAnsi="Tahoma" w:cs="Tahoma"/>
      <w:sz w:val="16"/>
      <w:szCs w:val="20"/>
      <w:lang w:eastAsia="da-DK" w:bidi="bn-IN"/>
    </w:rPr>
  </w:style>
  <w:style w:type="character" w:styleId="Kommentarhenvisning">
    <w:name w:val="annotation reference"/>
    <w:basedOn w:val="Standardskrifttypeiafsnit"/>
    <w:uiPriority w:val="99"/>
    <w:semiHidden/>
    <w:unhideWhenUsed/>
    <w:rsid w:val="00D519D2"/>
    <w:rPr>
      <w:sz w:val="16"/>
      <w:szCs w:val="16"/>
    </w:rPr>
  </w:style>
  <w:style w:type="paragraph" w:styleId="Kommentartekst">
    <w:name w:val="annotation text"/>
    <w:basedOn w:val="Normal"/>
    <w:link w:val="KommentartekstTegn"/>
    <w:uiPriority w:val="99"/>
    <w:unhideWhenUsed/>
    <w:rsid w:val="00D519D2"/>
    <w:rPr>
      <w:sz w:val="20"/>
      <w:szCs w:val="25"/>
    </w:rPr>
  </w:style>
  <w:style w:type="character" w:customStyle="1" w:styleId="KommentartekstTegn">
    <w:name w:val="Kommentartekst Tegn"/>
    <w:basedOn w:val="Standardskrifttypeiafsnit"/>
    <w:link w:val="Kommentartekst"/>
    <w:uiPriority w:val="99"/>
    <w:rsid w:val="00D519D2"/>
    <w:rPr>
      <w:rFonts w:ascii="Times New Roman" w:eastAsia="Times New Roman" w:hAnsi="Times New Roman" w:cs="Vrinda"/>
      <w:sz w:val="20"/>
      <w:szCs w:val="25"/>
      <w:lang w:eastAsia="da-DK" w:bidi="bn-IN"/>
    </w:rPr>
  </w:style>
  <w:style w:type="paragraph" w:styleId="Kommentaremne">
    <w:name w:val="annotation subject"/>
    <w:basedOn w:val="Kommentartekst"/>
    <w:next w:val="Kommentartekst"/>
    <w:link w:val="KommentaremneTegn"/>
    <w:uiPriority w:val="99"/>
    <w:semiHidden/>
    <w:unhideWhenUsed/>
    <w:rsid w:val="00D519D2"/>
    <w:rPr>
      <w:b/>
      <w:bCs/>
    </w:rPr>
  </w:style>
  <w:style w:type="character" w:customStyle="1" w:styleId="KommentaremneTegn">
    <w:name w:val="Kommentaremne Tegn"/>
    <w:basedOn w:val="KommentartekstTegn"/>
    <w:link w:val="Kommentaremne"/>
    <w:uiPriority w:val="99"/>
    <w:semiHidden/>
    <w:rsid w:val="00D519D2"/>
    <w:rPr>
      <w:rFonts w:ascii="Times New Roman" w:eastAsia="Times New Roman" w:hAnsi="Times New Roman" w:cs="Vrinda"/>
      <w:b/>
      <w:bCs/>
      <w:sz w:val="20"/>
      <w:szCs w:val="25"/>
      <w:lang w:eastAsia="da-DK" w:bidi="bn-IN"/>
    </w:rPr>
  </w:style>
  <w:style w:type="paragraph" w:styleId="Fodnotetekst">
    <w:name w:val="footnote text"/>
    <w:basedOn w:val="Normal"/>
    <w:link w:val="FodnotetekstTegn"/>
    <w:uiPriority w:val="99"/>
    <w:semiHidden/>
    <w:unhideWhenUsed/>
    <w:rsid w:val="0014554B"/>
    <w:rPr>
      <w:sz w:val="20"/>
      <w:szCs w:val="25"/>
    </w:rPr>
  </w:style>
  <w:style w:type="character" w:customStyle="1" w:styleId="FodnotetekstTegn">
    <w:name w:val="Fodnotetekst Tegn"/>
    <w:basedOn w:val="Standardskrifttypeiafsnit"/>
    <w:link w:val="Fodnotetekst"/>
    <w:uiPriority w:val="99"/>
    <w:semiHidden/>
    <w:rsid w:val="0014554B"/>
    <w:rPr>
      <w:rFonts w:ascii="Times New Roman" w:eastAsia="Times New Roman" w:hAnsi="Times New Roman" w:cs="Vrinda"/>
      <w:sz w:val="20"/>
      <w:szCs w:val="25"/>
      <w:lang w:eastAsia="da-DK" w:bidi="bn-IN"/>
    </w:rPr>
  </w:style>
  <w:style w:type="character" w:styleId="Fodnotehenvisning">
    <w:name w:val="footnote reference"/>
    <w:basedOn w:val="Standardskrifttypeiafsnit"/>
    <w:uiPriority w:val="99"/>
    <w:semiHidden/>
    <w:unhideWhenUsed/>
    <w:rsid w:val="0014554B"/>
    <w:rPr>
      <w:vertAlign w:val="superscript"/>
    </w:rPr>
  </w:style>
  <w:style w:type="paragraph" w:styleId="Korrektur">
    <w:name w:val="Revision"/>
    <w:hidden/>
    <w:uiPriority w:val="99"/>
    <w:semiHidden/>
    <w:rsid w:val="00EA5E9A"/>
    <w:pPr>
      <w:spacing w:after="0" w:line="240" w:lineRule="auto"/>
    </w:pPr>
    <w:rPr>
      <w:rFonts w:ascii="Times New Roman" w:eastAsia="Times New Roman" w:hAnsi="Times New Roman" w:cs="Vrinda"/>
      <w:sz w:val="24"/>
      <w:szCs w:val="30"/>
      <w:lang w:eastAsia="da-DK" w:bidi="bn-IN"/>
    </w:rPr>
  </w:style>
  <w:style w:type="character" w:customStyle="1" w:styleId="Overskrift1Tegn">
    <w:name w:val="Overskrift 1 Tegn"/>
    <w:basedOn w:val="Standardskrifttypeiafsnit"/>
    <w:link w:val="Overskrift1"/>
    <w:uiPriority w:val="9"/>
    <w:rsid w:val="00C11F4F"/>
    <w:rPr>
      <w:rFonts w:asciiTheme="majorHAnsi" w:eastAsiaTheme="majorEastAsia" w:hAnsiTheme="majorHAnsi" w:cstheme="majorBidi"/>
      <w:b/>
      <w:bCs/>
      <w:color w:val="365F91" w:themeColor="accent1" w:themeShade="BF"/>
      <w:sz w:val="28"/>
      <w:szCs w:val="35"/>
      <w:lang w:eastAsia="da-DK" w:bidi="bn-IN"/>
    </w:rPr>
  </w:style>
  <w:style w:type="paragraph" w:styleId="Sidehoved">
    <w:name w:val="header"/>
    <w:basedOn w:val="Normal"/>
    <w:link w:val="SidehovedTegn"/>
    <w:uiPriority w:val="99"/>
    <w:unhideWhenUsed/>
    <w:rsid w:val="00276D53"/>
    <w:pPr>
      <w:tabs>
        <w:tab w:val="center" w:pos="4819"/>
        <w:tab w:val="right" w:pos="9638"/>
      </w:tabs>
    </w:pPr>
    <w:rPr>
      <w:szCs w:val="30"/>
    </w:rPr>
  </w:style>
  <w:style w:type="character" w:customStyle="1" w:styleId="SidehovedTegn">
    <w:name w:val="Sidehoved Tegn"/>
    <w:basedOn w:val="Standardskrifttypeiafsnit"/>
    <w:link w:val="Sidehoved"/>
    <w:uiPriority w:val="99"/>
    <w:rsid w:val="00276D53"/>
    <w:rPr>
      <w:rFonts w:ascii="Times New Roman" w:eastAsia="Times New Roman" w:hAnsi="Times New Roman" w:cs="Vrinda"/>
      <w:sz w:val="24"/>
      <w:szCs w:val="30"/>
      <w:lang w:eastAsia="da-DK"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F"/>
    <w:pPr>
      <w:spacing w:after="0" w:line="240" w:lineRule="auto"/>
    </w:pPr>
    <w:rPr>
      <w:rFonts w:ascii="Times New Roman" w:eastAsia="Times New Roman" w:hAnsi="Times New Roman" w:cs="Vrinda"/>
      <w:sz w:val="24"/>
      <w:szCs w:val="24"/>
      <w:lang w:eastAsia="da-DK" w:bidi="bn-IN"/>
    </w:rPr>
  </w:style>
  <w:style w:type="paragraph" w:styleId="Overskrift1">
    <w:name w:val="heading 1"/>
    <w:basedOn w:val="Normal"/>
    <w:next w:val="Normal"/>
    <w:link w:val="Overskrift1Tegn"/>
    <w:uiPriority w:val="9"/>
    <w:qFormat/>
    <w:rsid w:val="00C11F4F"/>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F5504F"/>
    <w:pPr>
      <w:tabs>
        <w:tab w:val="center" w:pos="4819"/>
        <w:tab w:val="right" w:pos="9638"/>
      </w:tabs>
    </w:pPr>
    <w:rPr>
      <w:szCs w:val="30"/>
    </w:rPr>
  </w:style>
  <w:style w:type="character" w:customStyle="1" w:styleId="SidefodTegn">
    <w:name w:val="Sidefod Tegn"/>
    <w:basedOn w:val="Standardskrifttypeiafsnit"/>
    <w:link w:val="Sidefod"/>
    <w:uiPriority w:val="99"/>
    <w:rsid w:val="00F5504F"/>
    <w:rPr>
      <w:rFonts w:ascii="Times New Roman" w:eastAsia="Times New Roman" w:hAnsi="Times New Roman" w:cs="Vrinda"/>
      <w:sz w:val="24"/>
      <w:szCs w:val="30"/>
      <w:lang w:eastAsia="da-DK" w:bidi="bn-IN"/>
    </w:rPr>
  </w:style>
  <w:style w:type="character" w:styleId="Hyperlink">
    <w:name w:val="Hyperlink"/>
    <w:basedOn w:val="Standardskrifttypeiafsnit"/>
    <w:rsid w:val="00F5504F"/>
    <w:rPr>
      <w:color w:val="0000FF" w:themeColor="hyperlink"/>
      <w:u w:val="single"/>
    </w:rPr>
  </w:style>
  <w:style w:type="paragraph" w:styleId="Listeafsnit">
    <w:name w:val="List Paragraph"/>
    <w:basedOn w:val="Normal"/>
    <w:uiPriority w:val="34"/>
    <w:qFormat/>
    <w:rsid w:val="00F5504F"/>
    <w:pPr>
      <w:ind w:left="720"/>
      <w:contextualSpacing/>
    </w:pPr>
    <w:rPr>
      <w:szCs w:val="30"/>
    </w:rPr>
  </w:style>
  <w:style w:type="paragraph" w:styleId="NormalWeb">
    <w:name w:val="Normal (Web)"/>
    <w:basedOn w:val="Normal"/>
    <w:uiPriority w:val="99"/>
    <w:unhideWhenUsed/>
    <w:rsid w:val="00F5504F"/>
    <w:pPr>
      <w:spacing w:before="100" w:beforeAutospacing="1" w:after="100" w:afterAutospacing="1"/>
    </w:pPr>
    <w:rPr>
      <w:rFonts w:eastAsiaTheme="minorEastAsia" w:cs="Times New Roman"/>
      <w:lang w:bidi="ar-SA"/>
    </w:rPr>
  </w:style>
  <w:style w:type="table" w:styleId="Tabel-Gitter">
    <w:name w:val="Table Grid"/>
    <w:basedOn w:val="Tabel-Normal"/>
    <w:uiPriority w:val="59"/>
    <w:rsid w:val="00F55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F5504F"/>
    <w:rPr>
      <w:rFonts w:ascii="Tahoma" w:hAnsi="Tahoma" w:cs="Tahoma"/>
      <w:sz w:val="16"/>
      <w:szCs w:val="20"/>
    </w:rPr>
  </w:style>
  <w:style w:type="character" w:customStyle="1" w:styleId="MarkeringsbobletekstTegn">
    <w:name w:val="Markeringsbobletekst Tegn"/>
    <w:basedOn w:val="Standardskrifttypeiafsnit"/>
    <w:link w:val="Markeringsbobletekst"/>
    <w:uiPriority w:val="99"/>
    <w:semiHidden/>
    <w:rsid w:val="00F5504F"/>
    <w:rPr>
      <w:rFonts w:ascii="Tahoma" w:eastAsia="Times New Roman" w:hAnsi="Tahoma" w:cs="Tahoma"/>
      <w:sz w:val="16"/>
      <w:szCs w:val="20"/>
      <w:lang w:eastAsia="da-DK" w:bidi="bn-IN"/>
    </w:rPr>
  </w:style>
  <w:style w:type="character" w:styleId="Kommentarhenvisning">
    <w:name w:val="annotation reference"/>
    <w:basedOn w:val="Standardskrifttypeiafsnit"/>
    <w:uiPriority w:val="99"/>
    <w:semiHidden/>
    <w:unhideWhenUsed/>
    <w:rsid w:val="00D519D2"/>
    <w:rPr>
      <w:sz w:val="16"/>
      <w:szCs w:val="16"/>
    </w:rPr>
  </w:style>
  <w:style w:type="paragraph" w:styleId="Kommentartekst">
    <w:name w:val="annotation text"/>
    <w:basedOn w:val="Normal"/>
    <w:link w:val="KommentartekstTegn"/>
    <w:uiPriority w:val="99"/>
    <w:unhideWhenUsed/>
    <w:rsid w:val="00D519D2"/>
    <w:rPr>
      <w:sz w:val="20"/>
      <w:szCs w:val="25"/>
    </w:rPr>
  </w:style>
  <w:style w:type="character" w:customStyle="1" w:styleId="KommentartekstTegn">
    <w:name w:val="Kommentartekst Tegn"/>
    <w:basedOn w:val="Standardskrifttypeiafsnit"/>
    <w:link w:val="Kommentartekst"/>
    <w:uiPriority w:val="99"/>
    <w:rsid w:val="00D519D2"/>
    <w:rPr>
      <w:rFonts w:ascii="Times New Roman" w:eastAsia="Times New Roman" w:hAnsi="Times New Roman" w:cs="Vrinda"/>
      <w:sz w:val="20"/>
      <w:szCs w:val="25"/>
      <w:lang w:eastAsia="da-DK" w:bidi="bn-IN"/>
    </w:rPr>
  </w:style>
  <w:style w:type="paragraph" w:styleId="Kommentaremne">
    <w:name w:val="annotation subject"/>
    <w:basedOn w:val="Kommentartekst"/>
    <w:next w:val="Kommentartekst"/>
    <w:link w:val="KommentaremneTegn"/>
    <w:uiPriority w:val="99"/>
    <w:semiHidden/>
    <w:unhideWhenUsed/>
    <w:rsid w:val="00D519D2"/>
    <w:rPr>
      <w:b/>
      <w:bCs/>
    </w:rPr>
  </w:style>
  <w:style w:type="character" w:customStyle="1" w:styleId="KommentaremneTegn">
    <w:name w:val="Kommentaremne Tegn"/>
    <w:basedOn w:val="KommentartekstTegn"/>
    <w:link w:val="Kommentaremne"/>
    <w:uiPriority w:val="99"/>
    <w:semiHidden/>
    <w:rsid w:val="00D519D2"/>
    <w:rPr>
      <w:rFonts w:ascii="Times New Roman" w:eastAsia="Times New Roman" w:hAnsi="Times New Roman" w:cs="Vrinda"/>
      <w:b/>
      <w:bCs/>
      <w:sz w:val="20"/>
      <w:szCs w:val="25"/>
      <w:lang w:eastAsia="da-DK" w:bidi="bn-IN"/>
    </w:rPr>
  </w:style>
  <w:style w:type="paragraph" w:styleId="Fodnotetekst">
    <w:name w:val="footnote text"/>
    <w:basedOn w:val="Normal"/>
    <w:link w:val="FodnotetekstTegn"/>
    <w:uiPriority w:val="99"/>
    <w:semiHidden/>
    <w:unhideWhenUsed/>
    <w:rsid w:val="0014554B"/>
    <w:rPr>
      <w:sz w:val="20"/>
      <w:szCs w:val="25"/>
    </w:rPr>
  </w:style>
  <w:style w:type="character" w:customStyle="1" w:styleId="FodnotetekstTegn">
    <w:name w:val="Fodnotetekst Tegn"/>
    <w:basedOn w:val="Standardskrifttypeiafsnit"/>
    <w:link w:val="Fodnotetekst"/>
    <w:uiPriority w:val="99"/>
    <w:semiHidden/>
    <w:rsid w:val="0014554B"/>
    <w:rPr>
      <w:rFonts w:ascii="Times New Roman" w:eastAsia="Times New Roman" w:hAnsi="Times New Roman" w:cs="Vrinda"/>
      <w:sz w:val="20"/>
      <w:szCs w:val="25"/>
      <w:lang w:eastAsia="da-DK" w:bidi="bn-IN"/>
    </w:rPr>
  </w:style>
  <w:style w:type="character" w:styleId="Fodnotehenvisning">
    <w:name w:val="footnote reference"/>
    <w:basedOn w:val="Standardskrifttypeiafsnit"/>
    <w:uiPriority w:val="99"/>
    <w:semiHidden/>
    <w:unhideWhenUsed/>
    <w:rsid w:val="0014554B"/>
    <w:rPr>
      <w:vertAlign w:val="superscript"/>
    </w:rPr>
  </w:style>
  <w:style w:type="paragraph" w:styleId="Korrektur">
    <w:name w:val="Revision"/>
    <w:hidden/>
    <w:uiPriority w:val="99"/>
    <w:semiHidden/>
    <w:rsid w:val="00EA5E9A"/>
    <w:pPr>
      <w:spacing w:after="0" w:line="240" w:lineRule="auto"/>
    </w:pPr>
    <w:rPr>
      <w:rFonts w:ascii="Times New Roman" w:eastAsia="Times New Roman" w:hAnsi="Times New Roman" w:cs="Vrinda"/>
      <w:sz w:val="24"/>
      <w:szCs w:val="30"/>
      <w:lang w:eastAsia="da-DK" w:bidi="bn-IN"/>
    </w:rPr>
  </w:style>
  <w:style w:type="character" w:customStyle="1" w:styleId="Overskrift1Tegn">
    <w:name w:val="Overskrift 1 Tegn"/>
    <w:basedOn w:val="Standardskrifttypeiafsnit"/>
    <w:link w:val="Overskrift1"/>
    <w:uiPriority w:val="9"/>
    <w:rsid w:val="00C11F4F"/>
    <w:rPr>
      <w:rFonts w:asciiTheme="majorHAnsi" w:eastAsiaTheme="majorEastAsia" w:hAnsiTheme="majorHAnsi" w:cstheme="majorBidi"/>
      <w:b/>
      <w:bCs/>
      <w:color w:val="365F91" w:themeColor="accent1" w:themeShade="BF"/>
      <w:sz w:val="28"/>
      <w:szCs w:val="35"/>
      <w:lang w:eastAsia="da-DK" w:bidi="bn-IN"/>
    </w:rPr>
  </w:style>
  <w:style w:type="paragraph" w:styleId="Sidehoved">
    <w:name w:val="header"/>
    <w:basedOn w:val="Normal"/>
    <w:link w:val="SidehovedTegn"/>
    <w:uiPriority w:val="99"/>
    <w:unhideWhenUsed/>
    <w:rsid w:val="00276D53"/>
    <w:pPr>
      <w:tabs>
        <w:tab w:val="center" w:pos="4819"/>
        <w:tab w:val="right" w:pos="9638"/>
      </w:tabs>
    </w:pPr>
    <w:rPr>
      <w:szCs w:val="30"/>
    </w:rPr>
  </w:style>
  <w:style w:type="character" w:customStyle="1" w:styleId="SidehovedTegn">
    <w:name w:val="Sidehoved Tegn"/>
    <w:basedOn w:val="Standardskrifttypeiafsnit"/>
    <w:link w:val="Sidehoved"/>
    <w:uiPriority w:val="99"/>
    <w:rsid w:val="00276D53"/>
    <w:rPr>
      <w:rFonts w:ascii="Times New Roman" w:eastAsia="Times New Roman" w:hAnsi="Times New Roman" w:cs="Vrinda"/>
      <w:sz w:val="24"/>
      <w:szCs w:val="30"/>
      <w:lang w:eastAsia="da-DK"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266">
      <w:bodyDiv w:val="1"/>
      <w:marLeft w:val="0"/>
      <w:marRight w:val="0"/>
      <w:marTop w:val="0"/>
      <w:marBottom w:val="0"/>
      <w:divBdr>
        <w:top w:val="none" w:sz="0" w:space="0" w:color="auto"/>
        <w:left w:val="none" w:sz="0" w:space="0" w:color="auto"/>
        <w:bottom w:val="none" w:sz="0" w:space="0" w:color="auto"/>
        <w:right w:val="none" w:sz="0" w:space="0" w:color="auto"/>
      </w:divBdr>
      <w:divsChild>
        <w:div w:id="1154030010">
          <w:marLeft w:val="0"/>
          <w:marRight w:val="0"/>
          <w:marTop w:val="0"/>
          <w:marBottom w:val="0"/>
          <w:divBdr>
            <w:top w:val="none" w:sz="0" w:space="0" w:color="auto"/>
            <w:left w:val="none" w:sz="0" w:space="0" w:color="auto"/>
            <w:bottom w:val="none" w:sz="0" w:space="0" w:color="auto"/>
            <w:right w:val="none" w:sz="0" w:space="0" w:color="auto"/>
          </w:divBdr>
          <w:divsChild>
            <w:div w:id="820464453">
              <w:marLeft w:val="0"/>
              <w:marRight w:val="0"/>
              <w:marTop w:val="0"/>
              <w:marBottom w:val="0"/>
              <w:divBdr>
                <w:top w:val="none" w:sz="0" w:space="0" w:color="auto"/>
                <w:left w:val="none" w:sz="0" w:space="0" w:color="auto"/>
                <w:bottom w:val="none" w:sz="0" w:space="0" w:color="auto"/>
                <w:right w:val="none" w:sz="0" w:space="0" w:color="auto"/>
              </w:divBdr>
              <w:divsChild>
                <w:div w:id="2084908417">
                  <w:marLeft w:val="0"/>
                  <w:marRight w:val="0"/>
                  <w:marTop w:val="0"/>
                  <w:marBottom w:val="0"/>
                  <w:divBdr>
                    <w:top w:val="none" w:sz="0" w:space="0" w:color="auto"/>
                    <w:left w:val="none" w:sz="0" w:space="0" w:color="auto"/>
                    <w:bottom w:val="none" w:sz="0" w:space="0" w:color="auto"/>
                    <w:right w:val="none" w:sz="0" w:space="0" w:color="auto"/>
                  </w:divBdr>
                  <w:divsChild>
                    <w:div w:id="1346903656">
                      <w:marLeft w:val="0"/>
                      <w:marRight w:val="0"/>
                      <w:marTop w:val="0"/>
                      <w:marBottom w:val="0"/>
                      <w:divBdr>
                        <w:top w:val="none" w:sz="0" w:space="0" w:color="auto"/>
                        <w:left w:val="none" w:sz="0" w:space="0" w:color="auto"/>
                        <w:bottom w:val="none" w:sz="0" w:space="0" w:color="auto"/>
                        <w:right w:val="none" w:sz="0" w:space="0" w:color="auto"/>
                      </w:divBdr>
                      <w:divsChild>
                        <w:div w:id="241333308">
                          <w:marLeft w:val="0"/>
                          <w:marRight w:val="0"/>
                          <w:marTop w:val="0"/>
                          <w:marBottom w:val="0"/>
                          <w:divBdr>
                            <w:top w:val="none" w:sz="0" w:space="0" w:color="auto"/>
                            <w:left w:val="none" w:sz="0" w:space="0" w:color="auto"/>
                            <w:bottom w:val="none" w:sz="0" w:space="0" w:color="auto"/>
                            <w:right w:val="none" w:sz="0" w:space="0" w:color="auto"/>
                          </w:divBdr>
                          <w:divsChild>
                            <w:div w:id="1030691532">
                              <w:marLeft w:val="0"/>
                              <w:marRight w:val="0"/>
                              <w:marTop w:val="0"/>
                              <w:marBottom w:val="0"/>
                              <w:divBdr>
                                <w:top w:val="none" w:sz="0" w:space="0" w:color="auto"/>
                                <w:left w:val="none" w:sz="0" w:space="0" w:color="auto"/>
                                <w:bottom w:val="none" w:sz="0" w:space="0" w:color="auto"/>
                                <w:right w:val="none" w:sz="0" w:space="0" w:color="auto"/>
                              </w:divBdr>
                              <w:divsChild>
                                <w:div w:id="1717386129">
                                  <w:marLeft w:val="0"/>
                                  <w:marRight w:val="0"/>
                                  <w:marTop w:val="0"/>
                                  <w:marBottom w:val="0"/>
                                  <w:divBdr>
                                    <w:top w:val="none" w:sz="0" w:space="0" w:color="auto"/>
                                    <w:left w:val="none" w:sz="0" w:space="0" w:color="auto"/>
                                    <w:bottom w:val="none" w:sz="0" w:space="0" w:color="auto"/>
                                    <w:right w:val="none" w:sz="0" w:space="0" w:color="auto"/>
                                  </w:divBdr>
                                  <w:divsChild>
                                    <w:div w:id="79061919">
                                      <w:marLeft w:val="0"/>
                                      <w:marRight w:val="0"/>
                                      <w:marTop w:val="0"/>
                                      <w:marBottom w:val="0"/>
                                      <w:divBdr>
                                        <w:top w:val="none" w:sz="0" w:space="0" w:color="auto"/>
                                        <w:left w:val="none" w:sz="0" w:space="0" w:color="auto"/>
                                        <w:bottom w:val="none" w:sz="0" w:space="0" w:color="auto"/>
                                        <w:right w:val="none" w:sz="0" w:space="0" w:color="auto"/>
                                      </w:divBdr>
                                      <w:divsChild>
                                        <w:div w:id="1192765239">
                                          <w:marLeft w:val="0"/>
                                          <w:marRight w:val="0"/>
                                          <w:marTop w:val="0"/>
                                          <w:marBottom w:val="0"/>
                                          <w:divBdr>
                                            <w:top w:val="none" w:sz="0" w:space="0" w:color="auto"/>
                                            <w:left w:val="none" w:sz="0" w:space="0" w:color="auto"/>
                                            <w:bottom w:val="none" w:sz="0" w:space="0" w:color="auto"/>
                                            <w:right w:val="none" w:sz="0" w:space="0" w:color="auto"/>
                                          </w:divBdr>
                                          <w:divsChild>
                                            <w:div w:id="847015352">
                                              <w:marLeft w:val="0"/>
                                              <w:marRight w:val="0"/>
                                              <w:marTop w:val="0"/>
                                              <w:marBottom w:val="0"/>
                                              <w:divBdr>
                                                <w:top w:val="single" w:sz="4" w:space="0" w:color="F5F5F5"/>
                                                <w:left w:val="single" w:sz="4" w:space="0" w:color="F5F5F5"/>
                                                <w:bottom w:val="single" w:sz="4" w:space="0" w:color="F5F5F5"/>
                                                <w:right w:val="single" w:sz="4" w:space="0" w:color="F5F5F5"/>
                                              </w:divBdr>
                                              <w:divsChild>
                                                <w:div w:id="167136649">
                                                  <w:marLeft w:val="0"/>
                                                  <w:marRight w:val="0"/>
                                                  <w:marTop w:val="0"/>
                                                  <w:marBottom w:val="0"/>
                                                  <w:divBdr>
                                                    <w:top w:val="none" w:sz="0" w:space="0" w:color="auto"/>
                                                    <w:left w:val="none" w:sz="0" w:space="0" w:color="auto"/>
                                                    <w:bottom w:val="none" w:sz="0" w:space="0" w:color="auto"/>
                                                    <w:right w:val="none" w:sz="0" w:space="0" w:color="auto"/>
                                                  </w:divBdr>
                                                  <w:divsChild>
                                                    <w:div w:id="12087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375">
      <w:bodyDiv w:val="1"/>
      <w:marLeft w:val="0"/>
      <w:marRight w:val="0"/>
      <w:marTop w:val="0"/>
      <w:marBottom w:val="0"/>
      <w:divBdr>
        <w:top w:val="none" w:sz="0" w:space="0" w:color="auto"/>
        <w:left w:val="none" w:sz="0" w:space="0" w:color="auto"/>
        <w:bottom w:val="none" w:sz="0" w:space="0" w:color="auto"/>
        <w:right w:val="none" w:sz="0" w:space="0" w:color="auto"/>
      </w:divBdr>
    </w:div>
    <w:div w:id="164248847">
      <w:bodyDiv w:val="1"/>
      <w:marLeft w:val="0"/>
      <w:marRight w:val="0"/>
      <w:marTop w:val="0"/>
      <w:marBottom w:val="0"/>
      <w:divBdr>
        <w:top w:val="none" w:sz="0" w:space="0" w:color="auto"/>
        <w:left w:val="none" w:sz="0" w:space="0" w:color="auto"/>
        <w:bottom w:val="none" w:sz="0" w:space="0" w:color="auto"/>
        <w:right w:val="none" w:sz="0" w:space="0" w:color="auto"/>
      </w:divBdr>
    </w:div>
    <w:div w:id="399719157">
      <w:bodyDiv w:val="1"/>
      <w:marLeft w:val="0"/>
      <w:marRight w:val="0"/>
      <w:marTop w:val="0"/>
      <w:marBottom w:val="0"/>
      <w:divBdr>
        <w:top w:val="none" w:sz="0" w:space="0" w:color="auto"/>
        <w:left w:val="none" w:sz="0" w:space="0" w:color="auto"/>
        <w:bottom w:val="none" w:sz="0" w:space="0" w:color="auto"/>
        <w:right w:val="none" w:sz="0" w:space="0" w:color="auto"/>
      </w:divBdr>
    </w:div>
    <w:div w:id="422527884">
      <w:bodyDiv w:val="1"/>
      <w:marLeft w:val="0"/>
      <w:marRight w:val="0"/>
      <w:marTop w:val="0"/>
      <w:marBottom w:val="0"/>
      <w:divBdr>
        <w:top w:val="none" w:sz="0" w:space="0" w:color="auto"/>
        <w:left w:val="none" w:sz="0" w:space="0" w:color="auto"/>
        <w:bottom w:val="none" w:sz="0" w:space="0" w:color="auto"/>
        <w:right w:val="none" w:sz="0" w:space="0" w:color="auto"/>
      </w:divBdr>
    </w:div>
    <w:div w:id="842621606">
      <w:bodyDiv w:val="1"/>
      <w:marLeft w:val="0"/>
      <w:marRight w:val="0"/>
      <w:marTop w:val="0"/>
      <w:marBottom w:val="0"/>
      <w:divBdr>
        <w:top w:val="none" w:sz="0" w:space="0" w:color="auto"/>
        <w:left w:val="none" w:sz="0" w:space="0" w:color="auto"/>
        <w:bottom w:val="none" w:sz="0" w:space="0" w:color="auto"/>
        <w:right w:val="none" w:sz="0" w:space="0" w:color="auto"/>
      </w:divBdr>
    </w:div>
    <w:div w:id="998733144">
      <w:bodyDiv w:val="1"/>
      <w:marLeft w:val="0"/>
      <w:marRight w:val="0"/>
      <w:marTop w:val="0"/>
      <w:marBottom w:val="0"/>
      <w:divBdr>
        <w:top w:val="none" w:sz="0" w:space="0" w:color="auto"/>
        <w:left w:val="none" w:sz="0" w:space="0" w:color="auto"/>
        <w:bottom w:val="none" w:sz="0" w:space="0" w:color="auto"/>
        <w:right w:val="none" w:sz="0" w:space="0" w:color="auto"/>
      </w:divBdr>
    </w:div>
    <w:div w:id="1112171718">
      <w:bodyDiv w:val="1"/>
      <w:marLeft w:val="0"/>
      <w:marRight w:val="0"/>
      <w:marTop w:val="0"/>
      <w:marBottom w:val="0"/>
      <w:divBdr>
        <w:top w:val="none" w:sz="0" w:space="0" w:color="auto"/>
        <w:left w:val="none" w:sz="0" w:space="0" w:color="auto"/>
        <w:bottom w:val="none" w:sz="0" w:space="0" w:color="auto"/>
        <w:right w:val="none" w:sz="0" w:space="0" w:color="auto"/>
      </w:divBdr>
    </w:div>
    <w:div w:id="1250037752">
      <w:bodyDiv w:val="1"/>
      <w:marLeft w:val="0"/>
      <w:marRight w:val="0"/>
      <w:marTop w:val="0"/>
      <w:marBottom w:val="0"/>
      <w:divBdr>
        <w:top w:val="none" w:sz="0" w:space="0" w:color="auto"/>
        <w:left w:val="none" w:sz="0" w:space="0" w:color="auto"/>
        <w:bottom w:val="none" w:sz="0" w:space="0" w:color="auto"/>
        <w:right w:val="none" w:sz="0" w:space="0" w:color="auto"/>
      </w:divBdr>
    </w:div>
    <w:div w:id="1629313731">
      <w:bodyDiv w:val="1"/>
      <w:marLeft w:val="0"/>
      <w:marRight w:val="0"/>
      <w:marTop w:val="0"/>
      <w:marBottom w:val="0"/>
      <w:divBdr>
        <w:top w:val="none" w:sz="0" w:space="0" w:color="auto"/>
        <w:left w:val="none" w:sz="0" w:space="0" w:color="auto"/>
        <w:bottom w:val="none" w:sz="0" w:space="0" w:color="auto"/>
        <w:right w:val="none" w:sz="0" w:space="0" w:color="auto"/>
      </w:divBdr>
      <w:divsChild>
        <w:div w:id="8257903">
          <w:marLeft w:val="0"/>
          <w:marRight w:val="0"/>
          <w:marTop w:val="0"/>
          <w:marBottom w:val="0"/>
          <w:divBdr>
            <w:top w:val="none" w:sz="0" w:space="0" w:color="auto"/>
            <w:left w:val="none" w:sz="0" w:space="0" w:color="auto"/>
            <w:bottom w:val="none" w:sz="0" w:space="0" w:color="auto"/>
            <w:right w:val="none" w:sz="0" w:space="0" w:color="auto"/>
          </w:divBdr>
          <w:divsChild>
            <w:div w:id="880215152">
              <w:marLeft w:val="0"/>
              <w:marRight w:val="0"/>
              <w:marTop w:val="0"/>
              <w:marBottom w:val="0"/>
              <w:divBdr>
                <w:top w:val="none" w:sz="0" w:space="0" w:color="auto"/>
                <w:left w:val="none" w:sz="0" w:space="0" w:color="auto"/>
                <w:bottom w:val="none" w:sz="0" w:space="0" w:color="auto"/>
                <w:right w:val="none" w:sz="0" w:space="0" w:color="auto"/>
              </w:divBdr>
              <w:divsChild>
                <w:div w:id="1322543593">
                  <w:marLeft w:val="0"/>
                  <w:marRight w:val="0"/>
                  <w:marTop w:val="0"/>
                  <w:marBottom w:val="0"/>
                  <w:divBdr>
                    <w:top w:val="none" w:sz="0" w:space="0" w:color="auto"/>
                    <w:left w:val="none" w:sz="0" w:space="0" w:color="auto"/>
                    <w:bottom w:val="none" w:sz="0" w:space="0" w:color="auto"/>
                    <w:right w:val="none" w:sz="0" w:space="0" w:color="auto"/>
                  </w:divBdr>
                  <w:divsChild>
                    <w:div w:id="947395790">
                      <w:marLeft w:val="0"/>
                      <w:marRight w:val="0"/>
                      <w:marTop w:val="0"/>
                      <w:marBottom w:val="0"/>
                      <w:divBdr>
                        <w:top w:val="none" w:sz="0" w:space="0" w:color="auto"/>
                        <w:left w:val="none" w:sz="0" w:space="0" w:color="auto"/>
                        <w:bottom w:val="none" w:sz="0" w:space="0" w:color="auto"/>
                        <w:right w:val="none" w:sz="0" w:space="0" w:color="auto"/>
                      </w:divBdr>
                      <w:divsChild>
                        <w:div w:id="1716195105">
                          <w:marLeft w:val="0"/>
                          <w:marRight w:val="0"/>
                          <w:marTop w:val="0"/>
                          <w:marBottom w:val="0"/>
                          <w:divBdr>
                            <w:top w:val="none" w:sz="0" w:space="0" w:color="auto"/>
                            <w:left w:val="none" w:sz="0" w:space="0" w:color="auto"/>
                            <w:bottom w:val="none" w:sz="0" w:space="0" w:color="auto"/>
                            <w:right w:val="none" w:sz="0" w:space="0" w:color="auto"/>
                          </w:divBdr>
                          <w:divsChild>
                            <w:div w:id="1877543067">
                              <w:marLeft w:val="0"/>
                              <w:marRight w:val="0"/>
                              <w:marTop w:val="0"/>
                              <w:marBottom w:val="0"/>
                              <w:divBdr>
                                <w:top w:val="none" w:sz="0" w:space="0" w:color="auto"/>
                                <w:left w:val="none" w:sz="0" w:space="0" w:color="auto"/>
                                <w:bottom w:val="none" w:sz="0" w:space="0" w:color="auto"/>
                                <w:right w:val="none" w:sz="0" w:space="0" w:color="auto"/>
                              </w:divBdr>
                              <w:divsChild>
                                <w:div w:id="1337343325">
                                  <w:marLeft w:val="0"/>
                                  <w:marRight w:val="0"/>
                                  <w:marTop w:val="0"/>
                                  <w:marBottom w:val="0"/>
                                  <w:divBdr>
                                    <w:top w:val="none" w:sz="0" w:space="0" w:color="auto"/>
                                    <w:left w:val="none" w:sz="0" w:space="0" w:color="auto"/>
                                    <w:bottom w:val="none" w:sz="0" w:space="0" w:color="auto"/>
                                    <w:right w:val="none" w:sz="0" w:space="0" w:color="auto"/>
                                  </w:divBdr>
                                </w:div>
                                <w:div w:id="2046514095">
                                  <w:marLeft w:val="0"/>
                                  <w:marRight w:val="0"/>
                                  <w:marTop w:val="0"/>
                                  <w:marBottom w:val="0"/>
                                  <w:divBdr>
                                    <w:top w:val="none" w:sz="0" w:space="0" w:color="auto"/>
                                    <w:left w:val="none" w:sz="0" w:space="0" w:color="auto"/>
                                    <w:bottom w:val="none" w:sz="0" w:space="0" w:color="auto"/>
                                    <w:right w:val="none" w:sz="0" w:space="0" w:color="auto"/>
                                  </w:divBdr>
                                  <w:divsChild>
                                    <w:div w:id="1712875938">
                                      <w:marLeft w:val="0"/>
                                      <w:marRight w:val="0"/>
                                      <w:marTop w:val="0"/>
                                      <w:marBottom w:val="0"/>
                                      <w:divBdr>
                                        <w:top w:val="none" w:sz="0" w:space="0" w:color="auto"/>
                                        <w:left w:val="none" w:sz="0" w:space="0" w:color="auto"/>
                                        <w:bottom w:val="none" w:sz="0" w:space="0" w:color="auto"/>
                                        <w:right w:val="none" w:sz="0" w:space="0" w:color="auto"/>
                                      </w:divBdr>
                                      <w:divsChild>
                                        <w:div w:id="1494104405">
                                          <w:marLeft w:val="0"/>
                                          <w:marRight w:val="0"/>
                                          <w:marTop w:val="0"/>
                                          <w:marBottom w:val="0"/>
                                          <w:divBdr>
                                            <w:top w:val="none" w:sz="0" w:space="0" w:color="auto"/>
                                            <w:left w:val="none" w:sz="0" w:space="0" w:color="auto"/>
                                            <w:bottom w:val="none" w:sz="0" w:space="0" w:color="auto"/>
                                            <w:right w:val="none" w:sz="0" w:space="0" w:color="auto"/>
                                          </w:divBdr>
                                          <w:divsChild>
                                            <w:div w:id="2138864881">
                                              <w:marLeft w:val="0"/>
                                              <w:marRight w:val="0"/>
                                              <w:marTop w:val="0"/>
                                              <w:marBottom w:val="0"/>
                                              <w:divBdr>
                                                <w:top w:val="none" w:sz="0" w:space="0" w:color="auto"/>
                                                <w:left w:val="none" w:sz="0" w:space="0" w:color="auto"/>
                                                <w:bottom w:val="none" w:sz="0" w:space="0" w:color="auto"/>
                                                <w:right w:val="none" w:sz="0" w:space="0" w:color="auto"/>
                                              </w:divBdr>
                                              <w:divsChild>
                                                <w:div w:id="2032490106">
                                                  <w:marLeft w:val="0"/>
                                                  <w:marRight w:val="0"/>
                                                  <w:marTop w:val="0"/>
                                                  <w:marBottom w:val="0"/>
                                                  <w:divBdr>
                                                    <w:top w:val="none" w:sz="0" w:space="0" w:color="auto"/>
                                                    <w:left w:val="none" w:sz="0" w:space="0" w:color="auto"/>
                                                    <w:bottom w:val="none" w:sz="0" w:space="0" w:color="auto"/>
                                                    <w:right w:val="none" w:sz="0" w:space="0" w:color="auto"/>
                                                  </w:divBdr>
                                                  <w:divsChild>
                                                    <w:div w:id="1265839880">
                                                      <w:marLeft w:val="0"/>
                                                      <w:marRight w:val="0"/>
                                                      <w:marTop w:val="0"/>
                                                      <w:marBottom w:val="0"/>
                                                      <w:divBdr>
                                                        <w:top w:val="none" w:sz="0" w:space="0" w:color="auto"/>
                                                        <w:left w:val="none" w:sz="0" w:space="0" w:color="auto"/>
                                                        <w:bottom w:val="none" w:sz="0" w:space="0" w:color="auto"/>
                                                        <w:right w:val="none" w:sz="0" w:space="0" w:color="auto"/>
                                                      </w:divBdr>
                                                      <w:divsChild>
                                                        <w:div w:id="1101295236">
                                                          <w:marLeft w:val="0"/>
                                                          <w:marRight w:val="0"/>
                                                          <w:marTop w:val="0"/>
                                                          <w:marBottom w:val="0"/>
                                                          <w:divBdr>
                                                            <w:top w:val="none" w:sz="0" w:space="0" w:color="auto"/>
                                                            <w:left w:val="none" w:sz="0" w:space="0" w:color="auto"/>
                                                            <w:bottom w:val="none" w:sz="0" w:space="0" w:color="auto"/>
                                                            <w:right w:val="none" w:sz="0" w:space="0" w:color="auto"/>
                                                          </w:divBdr>
                                                          <w:divsChild>
                                                            <w:div w:id="341929921">
                                                              <w:marLeft w:val="0"/>
                                                              <w:marRight w:val="0"/>
                                                              <w:marTop w:val="0"/>
                                                              <w:marBottom w:val="0"/>
                                                              <w:divBdr>
                                                                <w:top w:val="none" w:sz="0" w:space="0" w:color="auto"/>
                                                                <w:left w:val="none" w:sz="0" w:space="0" w:color="auto"/>
                                                                <w:bottom w:val="none" w:sz="0" w:space="0" w:color="auto"/>
                                                                <w:right w:val="none" w:sz="0" w:space="0" w:color="auto"/>
                                                              </w:divBdr>
                                                              <w:divsChild>
                                                                <w:div w:id="1077364193">
                                                                  <w:marLeft w:val="0"/>
                                                                  <w:marRight w:val="0"/>
                                                                  <w:marTop w:val="0"/>
                                                                  <w:marBottom w:val="0"/>
                                                                  <w:divBdr>
                                                                    <w:top w:val="none" w:sz="0" w:space="0" w:color="auto"/>
                                                                    <w:left w:val="none" w:sz="0" w:space="0" w:color="auto"/>
                                                                    <w:bottom w:val="none" w:sz="0" w:space="0" w:color="auto"/>
                                                                    <w:right w:val="none" w:sz="0" w:space="0" w:color="auto"/>
                                                                  </w:divBdr>
                                                                  <w:divsChild>
                                                                    <w:div w:id="750465443">
                                                                      <w:marLeft w:val="0"/>
                                                                      <w:marRight w:val="0"/>
                                                                      <w:marTop w:val="0"/>
                                                                      <w:marBottom w:val="0"/>
                                                                      <w:divBdr>
                                                                        <w:top w:val="none" w:sz="0" w:space="0" w:color="auto"/>
                                                                        <w:left w:val="none" w:sz="0" w:space="0" w:color="auto"/>
                                                                        <w:bottom w:val="none" w:sz="0" w:space="0" w:color="auto"/>
                                                                        <w:right w:val="none" w:sz="0" w:space="0" w:color="auto"/>
                                                                      </w:divBdr>
                                                                      <w:divsChild>
                                                                        <w:div w:id="1227062461">
                                                                          <w:marLeft w:val="0"/>
                                                                          <w:marRight w:val="0"/>
                                                                          <w:marTop w:val="0"/>
                                                                          <w:marBottom w:val="0"/>
                                                                          <w:divBdr>
                                                                            <w:top w:val="none" w:sz="0" w:space="0" w:color="auto"/>
                                                                            <w:left w:val="none" w:sz="0" w:space="0" w:color="auto"/>
                                                                            <w:bottom w:val="none" w:sz="0" w:space="0" w:color="auto"/>
                                                                            <w:right w:val="none" w:sz="0" w:space="0" w:color="auto"/>
                                                                          </w:divBdr>
                                                                          <w:divsChild>
                                                                            <w:div w:id="1408768728">
                                                                              <w:marLeft w:val="0"/>
                                                                              <w:marRight w:val="0"/>
                                                                              <w:marTop w:val="0"/>
                                                                              <w:marBottom w:val="0"/>
                                                                              <w:divBdr>
                                                                                <w:top w:val="none" w:sz="0" w:space="0" w:color="auto"/>
                                                                                <w:left w:val="none" w:sz="0" w:space="0" w:color="auto"/>
                                                                                <w:bottom w:val="none" w:sz="0" w:space="0" w:color="auto"/>
                                                                                <w:right w:val="none" w:sz="0" w:space="0" w:color="auto"/>
                                                                              </w:divBdr>
                                                                              <w:divsChild>
                                                                                <w:div w:id="364065590">
                                                                                  <w:marLeft w:val="0"/>
                                                                                  <w:marRight w:val="0"/>
                                                                                  <w:marTop w:val="0"/>
                                                                                  <w:marBottom w:val="0"/>
                                                                                  <w:divBdr>
                                                                                    <w:top w:val="none" w:sz="0" w:space="0" w:color="auto"/>
                                                                                    <w:left w:val="none" w:sz="0" w:space="0" w:color="auto"/>
                                                                                    <w:bottom w:val="none" w:sz="0" w:space="0" w:color="auto"/>
                                                                                    <w:right w:val="none" w:sz="0" w:space="0" w:color="auto"/>
                                                                                  </w:divBdr>
                                                                                  <w:divsChild>
                                                                                    <w:div w:id="246311058">
                                                                                      <w:marLeft w:val="0"/>
                                                                                      <w:marRight w:val="0"/>
                                                                                      <w:marTop w:val="0"/>
                                                                                      <w:marBottom w:val="0"/>
                                                                                      <w:divBdr>
                                                                                        <w:top w:val="none" w:sz="0" w:space="0" w:color="auto"/>
                                                                                        <w:left w:val="none" w:sz="0" w:space="0" w:color="auto"/>
                                                                                        <w:bottom w:val="none" w:sz="0" w:space="0" w:color="auto"/>
                                                                                        <w:right w:val="none" w:sz="0" w:space="0" w:color="auto"/>
                                                                                      </w:divBdr>
                                                                                      <w:divsChild>
                                                                                        <w:div w:id="344747988">
                                                                                          <w:marLeft w:val="0"/>
                                                                                          <w:marRight w:val="0"/>
                                                                                          <w:marTop w:val="0"/>
                                                                                          <w:marBottom w:val="0"/>
                                                                                          <w:divBdr>
                                                                                            <w:top w:val="none" w:sz="0" w:space="0" w:color="auto"/>
                                                                                            <w:left w:val="none" w:sz="0" w:space="0" w:color="auto"/>
                                                                                            <w:bottom w:val="none" w:sz="0" w:space="0" w:color="auto"/>
                                                                                            <w:right w:val="none" w:sz="0" w:space="0" w:color="auto"/>
                                                                                          </w:divBdr>
                                                                                          <w:divsChild>
                                                                                            <w:div w:id="1195651412">
                                                                                              <w:marLeft w:val="0"/>
                                                                                              <w:marRight w:val="0"/>
                                                                                              <w:marTop w:val="0"/>
                                                                                              <w:marBottom w:val="0"/>
                                                                                              <w:divBdr>
                                                                                                <w:top w:val="none" w:sz="0" w:space="0" w:color="auto"/>
                                                                                                <w:left w:val="none" w:sz="0" w:space="0" w:color="auto"/>
                                                                                                <w:bottom w:val="none" w:sz="0" w:space="0" w:color="auto"/>
                                                                                                <w:right w:val="none" w:sz="0" w:space="0" w:color="auto"/>
                                                                                              </w:divBdr>
                                                                                              <w:divsChild>
                                                                                                <w:div w:id="186255790">
                                                                                                  <w:marLeft w:val="0"/>
                                                                                                  <w:marRight w:val="0"/>
                                                                                                  <w:marTop w:val="0"/>
                                                                                                  <w:marBottom w:val="0"/>
                                                                                                  <w:divBdr>
                                                                                                    <w:top w:val="none" w:sz="0" w:space="0" w:color="auto"/>
                                                                                                    <w:left w:val="none" w:sz="0" w:space="0" w:color="auto"/>
                                                                                                    <w:bottom w:val="none" w:sz="0" w:space="0" w:color="auto"/>
                                                                                                    <w:right w:val="none" w:sz="0" w:space="0" w:color="auto"/>
                                                                                                  </w:divBdr>
                                                                                                  <w:divsChild>
                                                                                                    <w:div w:id="249314161">
                                                                                                      <w:marLeft w:val="0"/>
                                                                                                      <w:marRight w:val="0"/>
                                                                                                      <w:marTop w:val="0"/>
                                                                                                      <w:marBottom w:val="0"/>
                                                                                                      <w:divBdr>
                                                                                                        <w:top w:val="none" w:sz="0" w:space="0" w:color="auto"/>
                                                                                                        <w:left w:val="none" w:sz="0" w:space="0" w:color="auto"/>
                                                                                                        <w:bottom w:val="none" w:sz="0" w:space="0" w:color="auto"/>
                                                                                                        <w:right w:val="none" w:sz="0" w:space="0" w:color="auto"/>
                                                                                                      </w:divBdr>
                                                                                                      <w:divsChild>
                                                                                                        <w:div w:id="317266169">
                                                                                                          <w:marLeft w:val="0"/>
                                                                                                          <w:marRight w:val="0"/>
                                                                                                          <w:marTop w:val="0"/>
                                                                                                          <w:marBottom w:val="0"/>
                                                                                                          <w:divBdr>
                                                                                                            <w:top w:val="none" w:sz="0" w:space="0" w:color="auto"/>
                                                                                                            <w:left w:val="none" w:sz="0" w:space="0" w:color="auto"/>
                                                                                                            <w:bottom w:val="none" w:sz="0" w:space="0" w:color="auto"/>
                                                                                                            <w:right w:val="none" w:sz="0" w:space="0" w:color="auto"/>
                                                                                                          </w:divBdr>
                                                                                                          <w:divsChild>
                                                                                                            <w:div w:id="331108044">
                                                                                                              <w:marLeft w:val="0"/>
                                                                                                              <w:marRight w:val="0"/>
                                                                                                              <w:marTop w:val="0"/>
                                                                                                              <w:marBottom w:val="0"/>
                                                                                                              <w:divBdr>
                                                                                                                <w:top w:val="none" w:sz="0" w:space="0" w:color="auto"/>
                                                                                                                <w:left w:val="none" w:sz="0" w:space="0" w:color="auto"/>
                                                                                                                <w:bottom w:val="none" w:sz="0" w:space="0" w:color="auto"/>
                                                                                                                <w:right w:val="none" w:sz="0" w:space="0" w:color="auto"/>
                                                                                                              </w:divBdr>
                                                                                                              <w:divsChild>
                                                                                                                <w:div w:id="1287200798">
                                                                                                                  <w:marLeft w:val="0"/>
                                                                                                                  <w:marRight w:val="0"/>
                                                                                                                  <w:marTop w:val="0"/>
                                                                                                                  <w:marBottom w:val="0"/>
                                                                                                                  <w:divBdr>
                                                                                                                    <w:top w:val="none" w:sz="0" w:space="0" w:color="auto"/>
                                                                                                                    <w:left w:val="none" w:sz="0" w:space="0" w:color="auto"/>
                                                                                                                    <w:bottom w:val="none" w:sz="0" w:space="0" w:color="auto"/>
                                                                                                                    <w:right w:val="none" w:sz="0" w:space="0" w:color="auto"/>
                                                                                                                  </w:divBdr>
                                                                                                                  <w:divsChild>
                                                                                                                    <w:div w:id="441188529">
                                                                                                                      <w:marLeft w:val="0"/>
                                                                                                                      <w:marRight w:val="0"/>
                                                                                                                      <w:marTop w:val="0"/>
                                                                                                                      <w:marBottom w:val="0"/>
                                                                                                                      <w:divBdr>
                                                                                                                        <w:top w:val="none" w:sz="0" w:space="0" w:color="auto"/>
                                                                                                                        <w:left w:val="none" w:sz="0" w:space="0" w:color="auto"/>
                                                                                                                        <w:bottom w:val="none" w:sz="0" w:space="0" w:color="auto"/>
                                                                                                                        <w:right w:val="none" w:sz="0" w:space="0" w:color="auto"/>
                                                                                                                      </w:divBdr>
                                                                                                                      <w:divsChild>
                                                                                                                        <w:div w:id="1164123465">
                                                                                                                          <w:marLeft w:val="0"/>
                                                                                                                          <w:marRight w:val="0"/>
                                                                                                                          <w:marTop w:val="0"/>
                                                                                                                          <w:marBottom w:val="0"/>
                                                                                                                          <w:divBdr>
                                                                                                                            <w:top w:val="none" w:sz="0" w:space="0" w:color="auto"/>
                                                                                                                            <w:left w:val="none" w:sz="0" w:space="0" w:color="auto"/>
                                                                                                                            <w:bottom w:val="none" w:sz="0" w:space="0" w:color="auto"/>
                                                                                                                            <w:right w:val="none" w:sz="0" w:space="0" w:color="auto"/>
                                                                                                                          </w:divBdr>
                                                                                                                          <w:divsChild>
                                                                                                                            <w:div w:id="1381323416">
                                                                                                                              <w:marLeft w:val="0"/>
                                                                                                                              <w:marRight w:val="0"/>
                                                                                                                              <w:marTop w:val="0"/>
                                                                                                                              <w:marBottom w:val="0"/>
                                                                                                                              <w:divBdr>
                                                                                                                                <w:top w:val="none" w:sz="0" w:space="0" w:color="auto"/>
                                                                                                                                <w:left w:val="none" w:sz="0" w:space="0" w:color="auto"/>
                                                                                                                                <w:bottom w:val="none" w:sz="0" w:space="0" w:color="auto"/>
                                                                                                                                <w:right w:val="none" w:sz="0" w:space="0" w:color="auto"/>
                                                                                                                              </w:divBdr>
                                                                                                                              <w:divsChild>
                                                                                                                                <w:div w:id="1903757199">
                                                                                                                                  <w:marLeft w:val="0"/>
                                                                                                                                  <w:marRight w:val="0"/>
                                                                                                                                  <w:marTop w:val="0"/>
                                                                                                                                  <w:marBottom w:val="0"/>
                                                                                                                                  <w:divBdr>
                                                                                                                                    <w:top w:val="none" w:sz="0" w:space="0" w:color="auto"/>
                                                                                                                                    <w:left w:val="none" w:sz="0" w:space="0" w:color="auto"/>
                                                                                                                                    <w:bottom w:val="none" w:sz="0" w:space="0" w:color="auto"/>
                                                                                                                                    <w:right w:val="none" w:sz="0" w:space="0" w:color="auto"/>
                                                                                                                                  </w:divBdr>
                                                                                                                                  <w:divsChild>
                                                                                                                                    <w:div w:id="1386023573">
                                                                                                                                      <w:marLeft w:val="0"/>
                                                                                                                                      <w:marRight w:val="0"/>
                                                                                                                                      <w:marTop w:val="0"/>
                                                                                                                                      <w:marBottom w:val="0"/>
                                                                                                                                      <w:divBdr>
                                                                                                                                        <w:top w:val="none" w:sz="0" w:space="0" w:color="auto"/>
                                                                                                                                        <w:left w:val="none" w:sz="0" w:space="0" w:color="auto"/>
                                                                                                                                        <w:bottom w:val="none" w:sz="0" w:space="0" w:color="auto"/>
                                                                                                                                        <w:right w:val="none" w:sz="0" w:space="0" w:color="auto"/>
                                                                                                                                      </w:divBdr>
                                                                                                                                      <w:divsChild>
                                                                                                                                        <w:div w:id="2087528839">
                                                                                                                                          <w:marLeft w:val="0"/>
                                                                                                                                          <w:marRight w:val="0"/>
                                                                                                                                          <w:marTop w:val="0"/>
                                                                                                                                          <w:marBottom w:val="0"/>
                                                                                                                                          <w:divBdr>
                                                                                                                                            <w:top w:val="none" w:sz="0" w:space="0" w:color="auto"/>
                                                                                                                                            <w:left w:val="none" w:sz="0" w:space="0" w:color="auto"/>
                                                                                                                                            <w:bottom w:val="none" w:sz="0" w:space="0" w:color="auto"/>
                                                                                                                                            <w:right w:val="none" w:sz="0" w:space="0" w:color="auto"/>
                                                                                                                                          </w:divBdr>
                                                                                                                                          <w:divsChild>
                                                                                                                                            <w:div w:id="962887120">
                                                                                                                                              <w:marLeft w:val="0"/>
                                                                                                                                              <w:marRight w:val="0"/>
                                                                                                                                              <w:marTop w:val="0"/>
                                                                                                                                              <w:marBottom w:val="0"/>
                                                                                                                                              <w:divBdr>
                                                                                                                                                <w:top w:val="none" w:sz="0" w:space="0" w:color="auto"/>
                                                                                                                                                <w:left w:val="none" w:sz="0" w:space="0" w:color="auto"/>
                                                                                                                                                <w:bottom w:val="none" w:sz="0" w:space="0" w:color="auto"/>
                                                                                                                                                <w:right w:val="none" w:sz="0" w:space="0" w:color="auto"/>
                                                                                                                                              </w:divBdr>
                                                                                                                                              <w:divsChild>
                                                                                                                                                <w:div w:id="641426418">
                                                                                                                                                  <w:marLeft w:val="0"/>
                                                                                                                                                  <w:marRight w:val="0"/>
                                                                                                                                                  <w:marTop w:val="0"/>
                                                                                                                                                  <w:marBottom w:val="0"/>
                                                                                                                                                  <w:divBdr>
                                                                                                                                                    <w:top w:val="none" w:sz="0" w:space="0" w:color="auto"/>
                                                                                                                                                    <w:left w:val="none" w:sz="0" w:space="0" w:color="auto"/>
                                                                                                                                                    <w:bottom w:val="none" w:sz="0" w:space="0" w:color="auto"/>
                                                                                                                                                    <w:right w:val="none" w:sz="0" w:space="0" w:color="auto"/>
                                                                                                                                                  </w:divBdr>
                                                                                                                                                  <w:divsChild>
                                                                                                                                                    <w:div w:id="1652636292">
                                                                                                                                                      <w:marLeft w:val="0"/>
                                                                                                                                                      <w:marRight w:val="0"/>
                                                                                                                                                      <w:marTop w:val="0"/>
                                                                                                                                                      <w:marBottom w:val="0"/>
                                                                                                                                                      <w:divBdr>
                                                                                                                                                        <w:top w:val="none" w:sz="0" w:space="0" w:color="auto"/>
                                                                                                                                                        <w:left w:val="none" w:sz="0" w:space="0" w:color="auto"/>
                                                                                                                                                        <w:bottom w:val="none" w:sz="0" w:space="0" w:color="auto"/>
                                                                                                                                                        <w:right w:val="none" w:sz="0" w:space="0" w:color="auto"/>
                                                                                                                                                      </w:divBdr>
                                                                                                                                                      <w:divsChild>
                                                                                                                                                        <w:div w:id="1708404753">
                                                                                                                                                          <w:marLeft w:val="0"/>
                                                                                                                                                          <w:marRight w:val="0"/>
                                                                                                                                                          <w:marTop w:val="0"/>
                                                                                                                                                          <w:marBottom w:val="0"/>
                                                                                                                                                          <w:divBdr>
                                                                                                                                                            <w:top w:val="none" w:sz="0" w:space="0" w:color="auto"/>
                                                                                                                                                            <w:left w:val="none" w:sz="0" w:space="0" w:color="auto"/>
                                                                                                                                                            <w:bottom w:val="none" w:sz="0" w:space="0" w:color="auto"/>
                                                                                                                                                            <w:right w:val="none" w:sz="0" w:space="0" w:color="auto"/>
                                                                                                                                                          </w:divBdr>
                                                                                                                                                          <w:divsChild>
                                                                                                                                                            <w:div w:id="2078089358">
                                                                                                                                                              <w:marLeft w:val="0"/>
                                                                                                                                                              <w:marRight w:val="0"/>
                                                                                                                                                              <w:marTop w:val="0"/>
                                                                                                                                                              <w:marBottom w:val="0"/>
                                                                                                                                                              <w:divBdr>
                                                                                                                                                                <w:top w:val="none" w:sz="0" w:space="0" w:color="auto"/>
                                                                                                                                                                <w:left w:val="none" w:sz="0" w:space="0" w:color="auto"/>
                                                                                                                                                                <w:bottom w:val="none" w:sz="0" w:space="0" w:color="auto"/>
                                                                                                                                                                <w:right w:val="none" w:sz="0" w:space="0" w:color="auto"/>
                                                                                                                                                              </w:divBdr>
                                                                                                                                                              <w:divsChild>
                                                                                                                                                                <w:div w:id="2123110623">
                                                                                                                                                                  <w:marLeft w:val="0"/>
                                                                                                                                                                  <w:marRight w:val="0"/>
                                                                                                                                                                  <w:marTop w:val="0"/>
                                                                                                                                                                  <w:marBottom w:val="0"/>
                                                                                                                                                                  <w:divBdr>
                                                                                                                                                                    <w:top w:val="none" w:sz="0" w:space="0" w:color="auto"/>
                                                                                                                                                                    <w:left w:val="none" w:sz="0" w:space="0" w:color="auto"/>
                                                                                                                                                                    <w:bottom w:val="none" w:sz="0" w:space="0" w:color="auto"/>
                                                                                                                                                                    <w:right w:val="none" w:sz="0" w:space="0" w:color="auto"/>
                                                                                                                                                                  </w:divBdr>
                                                                                                                                                                  <w:divsChild>
                                                                                                                                                                    <w:div w:id="1656835763">
                                                                                                                                                                      <w:marLeft w:val="0"/>
                                                                                                                                                                      <w:marRight w:val="0"/>
                                                                                                                                                                      <w:marTop w:val="0"/>
                                                                                                                                                                      <w:marBottom w:val="0"/>
                                                                                                                                                                      <w:divBdr>
                                                                                                                                                                        <w:top w:val="none" w:sz="0" w:space="0" w:color="auto"/>
                                                                                                                                                                        <w:left w:val="none" w:sz="0" w:space="0" w:color="auto"/>
                                                                                                                                                                        <w:bottom w:val="none" w:sz="0" w:space="0" w:color="auto"/>
                                                                                                                                                                        <w:right w:val="none" w:sz="0" w:space="0" w:color="auto"/>
                                                                                                                                                                      </w:divBdr>
                                                                                                                                                                      <w:divsChild>
                                                                                                                                                                        <w:div w:id="703793331">
                                                                                                                                                                          <w:marLeft w:val="0"/>
                                                                                                                                                                          <w:marRight w:val="0"/>
                                                                                                                                                                          <w:marTop w:val="0"/>
                                                                                                                                                                          <w:marBottom w:val="0"/>
                                                                                                                                                                          <w:divBdr>
                                                                                                                                                                            <w:top w:val="none" w:sz="0" w:space="0" w:color="auto"/>
                                                                                                                                                                            <w:left w:val="none" w:sz="0" w:space="0" w:color="auto"/>
                                                                                                                                                                            <w:bottom w:val="none" w:sz="0" w:space="0" w:color="auto"/>
                                                                                                                                                                            <w:right w:val="none" w:sz="0" w:space="0" w:color="auto"/>
                                                                                                                                                                          </w:divBdr>
                                                                                                                                                                          <w:divsChild>
                                                                                                                                                                            <w:div w:id="1081028069">
                                                                                                                                                                              <w:marLeft w:val="0"/>
                                                                                                                                                                              <w:marRight w:val="0"/>
                                                                                                                                                                              <w:marTop w:val="0"/>
                                                                                                                                                                              <w:marBottom w:val="0"/>
                                                                                                                                                                              <w:divBdr>
                                                                                                                                                                                <w:top w:val="none" w:sz="0" w:space="0" w:color="auto"/>
                                                                                                                                                                                <w:left w:val="none" w:sz="0" w:space="0" w:color="auto"/>
                                                                                                                                                                                <w:bottom w:val="none" w:sz="0" w:space="0" w:color="auto"/>
                                                                                                                                                                                <w:right w:val="none" w:sz="0" w:space="0" w:color="auto"/>
                                                                                                                                                                              </w:divBdr>
                                                                                                                                                                              <w:divsChild>
                                                                                                                                                                                <w:div w:id="532115564">
                                                                                                                                                                                  <w:marLeft w:val="0"/>
                                                                                                                                                                                  <w:marRight w:val="0"/>
                                                                                                                                                                                  <w:marTop w:val="0"/>
                                                                                                                                                                                  <w:marBottom w:val="0"/>
                                                                                                                                                                                  <w:divBdr>
                                                                                                                                                                                    <w:top w:val="none" w:sz="0" w:space="0" w:color="auto"/>
                                                                                                                                                                                    <w:left w:val="none" w:sz="0" w:space="0" w:color="auto"/>
                                                                                                                                                                                    <w:bottom w:val="none" w:sz="0" w:space="0" w:color="auto"/>
                                                                                                                                                                                    <w:right w:val="none" w:sz="0" w:space="0" w:color="auto"/>
                                                                                                                                                                                  </w:divBdr>
                                                                                                                                                                                  <w:divsChild>
                                                                                                                                                                                    <w:div w:id="1251810013">
                                                                                                                                                                                      <w:marLeft w:val="0"/>
                                                                                                                                                                                      <w:marRight w:val="0"/>
                                                                                                                                                                                      <w:marTop w:val="0"/>
                                                                                                                                                                                      <w:marBottom w:val="0"/>
                                                                                                                                                                                      <w:divBdr>
                                                                                                                                                                                        <w:top w:val="none" w:sz="0" w:space="0" w:color="auto"/>
                                                                                                                                                                                        <w:left w:val="none" w:sz="0" w:space="0" w:color="auto"/>
                                                                                                                                                                                        <w:bottom w:val="none" w:sz="0" w:space="0" w:color="auto"/>
                                                                                                                                                                                        <w:right w:val="none" w:sz="0" w:space="0" w:color="auto"/>
                                                                                                                                                                                      </w:divBdr>
                                                                                                                                                                                      <w:divsChild>
                                                                                                                                                                                        <w:div w:id="2058888707">
                                                                                                                                                                                          <w:marLeft w:val="0"/>
                                                                                                                                                                                          <w:marRight w:val="0"/>
                                                                                                                                                                                          <w:marTop w:val="0"/>
                                                                                                                                                                                          <w:marBottom w:val="0"/>
                                                                                                                                                                                          <w:divBdr>
                                                                                                                                                                                            <w:top w:val="none" w:sz="0" w:space="0" w:color="auto"/>
                                                                                                                                                                                            <w:left w:val="none" w:sz="0" w:space="0" w:color="auto"/>
                                                                                                                                                                                            <w:bottom w:val="none" w:sz="0" w:space="0" w:color="auto"/>
                                                                                                                                                                                            <w:right w:val="none" w:sz="0" w:space="0" w:color="auto"/>
                                                                                                                                                                                          </w:divBdr>
                                                                                                                                                                                          <w:divsChild>
                                                                                                                                                                                            <w:div w:id="1317412788">
                                                                                                                                                                                              <w:marLeft w:val="0"/>
                                                                                                                                                                                              <w:marRight w:val="0"/>
                                                                                                                                                                                              <w:marTop w:val="0"/>
                                                                                                                                                                                              <w:marBottom w:val="0"/>
                                                                                                                                                                                              <w:divBdr>
                                                                                                                                                                                                <w:top w:val="none" w:sz="0" w:space="0" w:color="auto"/>
                                                                                                                                                                                                <w:left w:val="none" w:sz="0" w:space="0" w:color="auto"/>
                                                                                                                                                                                                <w:bottom w:val="none" w:sz="0" w:space="0" w:color="auto"/>
                                                                                                                                                                                                <w:right w:val="none" w:sz="0" w:space="0" w:color="auto"/>
                                                                                                                                                                                              </w:divBdr>
                                                                                                                                                                                              <w:divsChild>
                                                                                                                                                                                                <w:div w:id="1781995845">
                                                                                                                                                                                                  <w:marLeft w:val="0"/>
                                                                                                                                                                                                  <w:marRight w:val="0"/>
                                                                                                                                                                                                  <w:marTop w:val="0"/>
                                                                                                                                                                                                  <w:marBottom w:val="0"/>
                                                                                                                                                                                                  <w:divBdr>
                                                                                                                                                                                                    <w:top w:val="none" w:sz="0" w:space="0" w:color="auto"/>
                                                                                                                                                                                                    <w:left w:val="none" w:sz="0" w:space="0" w:color="auto"/>
                                                                                                                                                                                                    <w:bottom w:val="none" w:sz="0" w:space="0" w:color="auto"/>
                                                                                                                                                                                                    <w:right w:val="none" w:sz="0" w:space="0" w:color="auto"/>
                                                                                                                                                                                                  </w:divBdr>
                                                                                                                                                                                                  <w:divsChild>
                                                                                                                                                                                                    <w:div w:id="1222473839">
                                                                                                                                                                                                      <w:marLeft w:val="0"/>
                                                                                                                                                                                                      <w:marRight w:val="0"/>
                                                                                                                                                                                                      <w:marTop w:val="0"/>
                                                                                                                                                                                                      <w:marBottom w:val="0"/>
                                                                                                                                                                                                      <w:divBdr>
                                                                                                                                                                                                        <w:top w:val="none" w:sz="0" w:space="0" w:color="auto"/>
                                                                                                                                                                                                        <w:left w:val="none" w:sz="0" w:space="0" w:color="auto"/>
                                                                                                                                                                                                        <w:bottom w:val="none" w:sz="0" w:space="0" w:color="auto"/>
                                                                                                                                                                                                        <w:right w:val="none" w:sz="0" w:space="0" w:color="auto"/>
                                                                                                                                                                                                      </w:divBdr>
                                                                                                                                                                                                      <w:divsChild>
                                                                                                                                                                                                        <w:div w:id="2069500252">
                                                                                                                                                                                                          <w:marLeft w:val="0"/>
                                                                                                                                                                                                          <w:marRight w:val="0"/>
                                                                                                                                                                                                          <w:marTop w:val="0"/>
                                                                                                                                                                                                          <w:marBottom w:val="0"/>
                                                                                                                                                                                                          <w:divBdr>
                                                                                                                                                                                                            <w:top w:val="none" w:sz="0" w:space="0" w:color="auto"/>
                                                                                                                                                                                                            <w:left w:val="none" w:sz="0" w:space="0" w:color="auto"/>
                                                                                                                                                                                                            <w:bottom w:val="none" w:sz="0" w:space="0" w:color="auto"/>
                                                                                                                                                                                                            <w:right w:val="none" w:sz="0" w:space="0" w:color="auto"/>
                                                                                                                                                                                                          </w:divBdr>
                                                                                                                                                                                                          <w:divsChild>
                                                                                                                                                                                                            <w:div w:id="2107925258">
                                                                                                                                                                                                              <w:marLeft w:val="0"/>
                                                                                                                                                                                                              <w:marRight w:val="0"/>
                                                                                                                                                                                                              <w:marTop w:val="0"/>
                                                                                                                                                                                                              <w:marBottom w:val="0"/>
                                                                                                                                                                                                              <w:divBdr>
                                                                                                                                                                                                                <w:top w:val="none" w:sz="0" w:space="0" w:color="auto"/>
                                                                                                                                                                                                                <w:left w:val="none" w:sz="0" w:space="0" w:color="auto"/>
                                                                                                                                                                                                                <w:bottom w:val="none" w:sz="0" w:space="0" w:color="auto"/>
                                                                                                                                                                                                                <w:right w:val="none" w:sz="0" w:space="0" w:color="auto"/>
                                                                                                                                                                                                              </w:divBdr>
                                                                                                                                                                                                              <w:divsChild>
                                                                                                                                                                                                                <w:div w:id="1105421423">
                                                                                                                                                                                                                  <w:marLeft w:val="0"/>
                                                                                                                                                                                                                  <w:marRight w:val="0"/>
                                                                                                                                                                                                                  <w:marTop w:val="0"/>
                                                                                                                                                                                                                  <w:marBottom w:val="0"/>
                                                                                                                                                                                                                  <w:divBdr>
                                                                                                                                                                                                                    <w:top w:val="none" w:sz="0" w:space="0" w:color="auto"/>
                                                                                                                                                                                                                    <w:left w:val="none" w:sz="0" w:space="0" w:color="auto"/>
                                                                                                                                                                                                                    <w:bottom w:val="none" w:sz="0" w:space="0" w:color="auto"/>
                                                                                                                                                                                                                    <w:right w:val="none" w:sz="0" w:space="0" w:color="auto"/>
                                                                                                                                                                                                                  </w:divBdr>
                                                                                                                                                                                                                  <w:divsChild>
                                                                                                                                                                                                                    <w:div w:id="1152134955">
                                                                                                                                                                                                                      <w:marLeft w:val="0"/>
                                                                                                                                                                                                                      <w:marRight w:val="0"/>
                                                                                                                                                                                                                      <w:marTop w:val="0"/>
                                                                                                                                                                                                                      <w:marBottom w:val="0"/>
                                                                                                                                                                                                                      <w:divBdr>
                                                                                                                                                                                                                        <w:top w:val="none" w:sz="0" w:space="0" w:color="auto"/>
                                                                                                                                                                                                                        <w:left w:val="none" w:sz="0" w:space="0" w:color="auto"/>
                                                                                                                                                                                                                        <w:bottom w:val="none" w:sz="0" w:space="0" w:color="auto"/>
                                                                                                                                                                                                                        <w:right w:val="none" w:sz="0" w:space="0" w:color="auto"/>
                                                                                                                                                                                                                      </w:divBdr>
                                                                                                                                                                                                                      <w:divsChild>
                                                                                                                                                                                                                        <w:div w:id="1239293672">
                                                                                                                                                                                                                          <w:marLeft w:val="0"/>
                                                                                                                                                                                                                          <w:marRight w:val="0"/>
                                                                                                                                                                                                                          <w:marTop w:val="0"/>
                                                                                                                                                                                                                          <w:marBottom w:val="0"/>
                                                                                                                                                                                                                          <w:divBdr>
                                                                                                                                                                                                                            <w:top w:val="none" w:sz="0" w:space="0" w:color="auto"/>
                                                                                                                                                                                                                            <w:left w:val="none" w:sz="0" w:space="0" w:color="auto"/>
                                                                                                                                                                                                                            <w:bottom w:val="none" w:sz="0" w:space="0" w:color="auto"/>
                                                                                                                                                                                                                            <w:right w:val="none" w:sz="0" w:space="0" w:color="auto"/>
                                                                                                                                                                                                                          </w:divBdr>
                                                                                                                                                                                                                          <w:divsChild>
                                                                                                                                                                                                                            <w:div w:id="1889797601">
                                                                                                                                                                                                                              <w:marLeft w:val="0"/>
                                                                                                                                                                                                                              <w:marRight w:val="0"/>
                                                                                                                                                                                                                              <w:marTop w:val="0"/>
                                                                                                                                                                                                                              <w:marBottom w:val="0"/>
                                                                                                                                                                                                                              <w:divBdr>
                                                                                                                                                                                                                                <w:top w:val="none" w:sz="0" w:space="0" w:color="auto"/>
                                                                                                                                                                                                                                <w:left w:val="none" w:sz="0" w:space="0" w:color="auto"/>
                                                                                                                                                                                                                                <w:bottom w:val="none" w:sz="0" w:space="0" w:color="auto"/>
                                                                                                                                                                                                                                <w:right w:val="none" w:sz="0" w:space="0" w:color="auto"/>
                                                                                                                                                                                                                              </w:divBdr>
                                                                                                                                                                                                                              <w:divsChild>
                                                                                                                                                                                                                                <w:div w:id="1468738963">
                                                                                                                                                                                                                                  <w:marLeft w:val="0"/>
                                                                                                                                                                                                                                  <w:marRight w:val="0"/>
                                                                                                                                                                                                                                  <w:marTop w:val="0"/>
                                                                                                                                                                                                                                  <w:marBottom w:val="0"/>
                                                                                                                                                                                                                                  <w:divBdr>
                                                                                                                                                                                                                                    <w:top w:val="none" w:sz="0" w:space="0" w:color="auto"/>
                                                                                                                                                                                                                                    <w:left w:val="none" w:sz="0" w:space="0" w:color="auto"/>
                                                                                                                                                                                                                                    <w:bottom w:val="none" w:sz="0" w:space="0" w:color="auto"/>
                                                                                                                                                                                                                                    <w:right w:val="none" w:sz="0" w:space="0" w:color="auto"/>
                                                                                                                                                                                                                                  </w:divBdr>
                                                                                                                                                                                                                                  <w:divsChild>
                                                                                                                                                                                                                                    <w:div w:id="1677999411">
                                                                                                                                                                                                                                      <w:marLeft w:val="0"/>
                                                                                                                                                                                                                                      <w:marRight w:val="0"/>
                                                                                                                                                                                                                                      <w:marTop w:val="0"/>
                                                                                                                                                                                                                                      <w:marBottom w:val="0"/>
                                                                                                                                                                                                                                      <w:divBdr>
                                                                                                                                                                                                                                        <w:top w:val="none" w:sz="0" w:space="0" w:color="auto"/>
                                                                                                                                                                                                                                        <w:left w:val="none" w:sz="0" w:space="0" w:color="auto"/>
                                                                                                                                                                                                                                        <w:bottom w:val="none" w:sz="0" w:space="0" w:color="auto"/>
                                                                                                                                                                                                                                        <w:right w:val="none" w:sz="0" w:space="0" w:color="auto"/>
                                                                                                                                                                                                                                      </w:divBdr>
                                                                                                                                                                                                                                      <w:divsChild>
                                                                                                                                                                                                                                        <w:div w:id="1080760186">
                                                                                                                                                                                                                                          <w:marLeft w:val="0"/>
                                                                                                                                                                                                                                          <w:marRight w:val="0"/>
                                                                                                                                                                                                                                          <w:marTop w:val="0"/>
                                                                                                                                                                                                                                          <w:marBottom w:val="0"/>
                                                                                                                                                                                                                                          <w:divBdr>
                                                                                                                                                                                                                                            <w:top w:val="none" w:sz="0" w:space="0" w:color="auto"/>
                                                                                                                                                                                                                                            <w:left w:val="none" w:sz="0" w:space="0" w:color="auto"/>
                                                                                                                                                                                                                                            <w:bottom w:val="none" w:sz="0" w:space="0" w:color="auto"/>
                                                                                                                                                                                                                                            <w:right w:val="none" w:sz="0" w:space="0" w:color="auto"/>
                                                                                                                                                                                                                                          </w:divBdr>
                                                                                                                                                                                                                                          <w:divsChild>
                                                                                                                                                                                                                                            <w:div w:id="935867593">
                                                                                                                                                                                                                                              <w:marLeft w:val="0"/>
                                                                                                                                                                                                                                              <w:marRight w:val="0"/>
                                                                                                                                                                                                                                              <w:marTop w:val="0"/>
                                                                                                                                                                                                                                              <w:marBottom w:val="0"/>
                                                                                                                                                                                                                                              <w:divBdr>
                                                                                                                                                                                                                                                <w:top w:val="none" w:sz="0" w:space="0" w:color="auto"/>
                                                                                                                                                                                                                                                <w:left w:val="none" w:sz="0" w:space="0" w:color="auto"/>
                                                                                                                                                                                                                                                <w:bottom w:val="none" w:sz="0" w:space="0" w:color="auto"/>
                                                                                                                                                                                                                                                <w:right w:val="none" w:sz="0" w:space="0" w:color="auto"/>
                                                                                                                                                                                                                                              </w:divBdr>
                                                                                                                                                                                                                                            </w:div>
                                                                                                                                                                                                                                            <w:div w:id="778717526">
                                                                                                                                                                                                                                              <w:marLeft w:val="0"/>
                                                                                                                                                                                                                                              <w:marRight w:val="0"/>
                                                                                                                                                                                                                                              <w:marTop w:val="0"/>
                                                                                                                                                                                                                                              <w:marBottom w:val="0"/>
                                                                                                                                                                                                                                              <w:divBdr>
                                                                                                                                                                                                                                                <w:top w:val="none" w:sz="0" w:space="0" w:color="auto"/>
                                                                                                                                                                                                                                                <w:left w:val="none" w:sz="0" w:space="0" w:color="auto"/>
                                                                                                                                                                                                                                                <w:bottom w:val="none" w:sz="0" w:space="0" w:color="auto"/>
                                                                                                                                                                                                                                                <w:right w:val="none" w:sz="0" w:space="0" w:color="auto"/>
                                                                                                                                                                                                                                              </w:divBdr>
                                                                                                                                                                                                                                              <w:divsChild>
                                                                                                                                                                                                                                                <w:div w:id="698631708">
                                                                                                                                                                                                                                                  <w:marLeft w:val="0"/>
                                                                                                                                                                                                                                                  <w:marRight w:val="0"/>
                                                                                                                                                                                                                                                  <w:marTop w:val="0"/>
                                                                                                                                                                                                                                                  <w:marBottom w:val="0"/>
                                                                                                                                                                                                                                                  <w:divBdr>
                                                                                                                                                                                                                                                    <w:top w:val="none" w:sz="0" w:space="0" w:color="auto"/>
                                                                                                                                                                                                                                                    <w:left w:val="none" w:sz="0" w:space="0" w:color="auto"/>
                                                                                                                                                                                                                                                    <w:bottom w:val="none" w:sz="0" w:space="0" w:color="auto"/>
                                                                                                                                                                                                                                                    <w:right w:val="none" w:sz="0" w:space="0" w:color="auto"/>
                                                                                                                                                                                                                                                  </w:divBdr>
                                                                                                                                                                                                                                                  <w:divsChild>
                                                                                                                                                                                                                                                    <w:div w:id="1431463422">
                                                                                                                                                                                                                                                      <w:marLeft w:val="0"/>
                                                                                                                                                                                                                                                      <w:marRight w:val="0"/>
                                                                                                                                                                                                                                                      <w:marTop w:val="0"/>
                                                                                                                                                                                                                                                      <w:marBottom w:val="0"/>
                                                                                                                                                                                                                                                      <w:divBdr>
                                                                                                                                                                                                                                                        <w:top w:val="none" w:sz="0" w:space="0" w:color="auto"/>
                                                                                                                                                                                                                                                        <w:left w:val="none" w:sz="0" w:space="0" w:color="auto"/>
                                                                                                                                                                                                                                                        <w:bottom w:val="none" w:sz="0" w:space="0" w:color="auto"/>
                                                                                                                                                                                                                                                        <w:right w:val="none" w:sz="0" w:space="0" w:color="auto"/>
                                                                                                                                                                                                                                                      </w:divBdr>
                                                                                                                                                                                                                                                      <w:divsChild>
                                                                                                                                                                                                                                                        <w:div w:id="397944379">
                                                                                                                                                                                                                                                          <w:marLeft w:val="0"/>
                                                                                                                                                                                                                                                          <w:marRight w:val="0"/>
                                                                                                                                                                                                                                                          <w:marTop w:val="0"/>
                                                                                                                                                                                                                                                          <w:marBottom w:val="0"/>
                                                                                                                                                                                                                                                          <w:divBdr>
                                                                                                                                                                                                                                                            <w:top w:val="none" w:sz="0" w:space="0" w:color="auto"/>
                                                                                                                                                                                                                                                            <w:left w:val="none" w:sz="0" w:space="0" w:color="auto"/>
                                                                                                                                                                                                                                                            <w:bottom w:val="none" w:sz="0" w:space="0" w:color="auto"/>
                                                                                                                                                                                                                                                            <w:right w:val="none" w:sz="0" w:space="0" w:color="auto"/>
                                                                                                                                                                                                                                                          </w:divBdr>
                                                                                                                                                                                                                                                          <w:divsChild>
                                                                                                                                                                                                                                                            <w:div w:id="1986740491">
                                                                                                                                                                                                                                                              <w:marLeft w:val="0"/>
                                                                                                                                                                                                                                                              <w:marRight w:val="0"/>
                                                                                                                                                                                                                                                              <w:marTop w:val="0"/>
                                                                                                                                                                                                                                                              <w:marBottom w:val="0"/>
                                                                                                                                                                                                                                                              <w:divBdr>
                                                                                                                                                                                                                                                                <w:top w:val="none" w:sz="0" w:space="0" w:color="auto"/>
                                                                                                                                                                                                                                                                <w:left w:val="none" w:sz="0" w:space="0" w:color="auto"/>
                                                                                                                                                                                                                                                                <w:bottom w:val="none" w:sz="0" w:space="0" w:color="auto"/>
                                                                                                                                                                                                                                                                <w:right w:val="none" w:sz="0" w:space="0" w:color="auto"/>
                                                                                                                                                                                                                                                              </w:divBdr>
                                                                                                                                                                                                                                                              <w:divsChild>
                                                                                                                                                                                                                                                                <w:div w:id="1031027402">
                                                                                                                                                                                                                                                                  <w:marLeft w:val="0"/>
                                                                                                                                                                                                                                                                  <w:marRight w:val="0"/>
                                                                                                                                                                                                                                                                  <w:marTop w:val="0"/>
                                                                                                                                                                                                                                                                  <w:marBottom w:val="0"/>
                                                                                                                                                                                                                                                                  <w:divBdr>
                                                                                                                                                                                                                                                                    <w:top w:val="none" w:sz="0" w:space="0" w:color="auto"/>
                                                                                                                                                                                                                                                                    <w:left w:val="none" w:sz="0" w:space="0" w:color="auto"/>
                                                                                                                                                                                                                                                                    <w:bottom w:val="none" w:sz="0" w:space="0" w:color="auto"/>
                                                                                                                                                                                                                                                                    <w:right w:val="none" w:sz="0" w:space="0" w:color="auto"/>
                                                                                                                                                                                                                                                                  </w:divBdr>
                                                                                                                                                                                                                                                                  <w:divsChild>
                                                                                                                                                                                                                                                                    <w:div w:id="83263014">
                                                                                                                                                                                                                                                                      <w:marLeft w:val="0"/>
                                                                                                                                                                                                                                                                      <w:marRight w:val="0"/>
                                                                                                                                                                                                                                                                      <w:marTop w:val="0"/>
                                                                                                                                                                                                                                                                      <w:marBottom w:val="0"/>
                                                                                                                                                                                                                                                                      <w:divBdr>
                                                                                                                                                                                                                                                                        <w:top w:val="none" w:sz="0" w:space="0" w:color="auto"/>
                                                                                                                                                                                                                                                                        <w:left w:val="none" w:sz="0" w:space="0" w:color="auto"/>
                                                                                                                                                                                                                                                                        <w:bottom w:val="none" w:sz="0" w:space="0" w:color="auto"/>
                                                                                                                                                                                                                                                                        <w:right w:val="none" w:sz="0" w:space="0" w:color="auto"/>
                                                                                                                                                                                                                                                                      </w:divBdr>
                                                                                                                                                                                                                                                                      <w:divsChild>
                                                                                                                                                                                                                                                                        <w:div w:id="1482313037">
                                                                                                                                                                                                                                                                          <w:marLeft w:val="0"/>
                                                                                                                                                                                                                                                                          <w:marRight w:val="0"/>
                                                                                                                                                                                                                                                                          <w:marTop w:val="0"/>
                                                                                                                                                                                                                                                                          <w:marBottom w:val="0"/>
                                                                                                                                                                                                                                                                          <w:divBdr>
                                                                                                                                                                                                                                                                            <w:top w:val="none" w:sz="0" w:space="0" w:color="auto"/>
                                                                                                                                                                                                                                                                            <w:left w:val="none" w:sz="0" w:space="0" w:color="auto"/>
                                                                                                                                                                                                                                                                            <w:bottom w:val="none" w:sz="0" w:space="0" w:color="auto"/>
                                                                                                                                                                                                                                                                            <w:right w:val="none" w:sz="0" w:space="0" w:color="auto"/>
                                                                                                                                                                                                                                                                          </w:divBdr>
                                                                                                                                                                                                                                                                          <w:divsChild>
                                                                                                                                                                                                                                                                            <w:div w:id="39014680">
                                                                                                                                                                                                                                                                              <w:marLeft w:val="0"/>
                                                                                                                                                                                                                                                                              <w:marRight w:val="0"/>
                                                                                                                                                                                                                                                                              <w:marTop w:val="0"/>
                                                                                                                                                                                                                                                                              <w:marBottom w:val="0"/>
                                                                                                                                                                                                                                                                              <w:divBdr>
                                                                                                                                                                                                                                                                                <w:top w:val="none" w:sz="0" w:space="0" w:color="auto"/>
                                                                                                                                                                                                                                                                                <w:left w:val="none" w:sz="0" w:space="0" w:color="auto"/>
                                                                                                                                                                                                                                                                                <w:bottom w:val="none" w:sz="0" w:space="0" w:color="auto"/>
                                                                                                                                                                                                                                                                                <w:right w:val="none" w:sz="0" w:space="0" w:color="auto"/>
                                                                                                                                                                                                                                                                              </w:divBdr>
                                                                                                                                                                                                                                                                              <w:divsChild>
                                                                                                                                                                                                                                                                                <w:div w:id="1645890928">
                                                                                                                                                                                                                                                                                  <w:marLeft w:val="0"/>
                                                                                                                                                                                                                                                                                  <w:marRight w:val="0"/>
                                                                                                                                                                                                                                                                                  <w:marTop w:val="0"/>
                                                                                                                                                                                                                                                                                  <w:marBottom w:val="0"/>
                                                                                                                                                                                                                                                                                  <w:divBdr>
                                                                                                                                                                                                                                                                                    <w:top w:val="none" w:sz="0" w:space="0" w:color="auto"/>
                                                                                                                                                                                                                                                                                    <w:left w:val="none" w:sz="0" w:space="0" w:color="auto"/>
                                                                                                                                                                                                                                                                                    <w:bottom w:val="none" w:sz="0" w:space="0" w:color="auto"/>
                                                                                                                                                                                                                                                                                    <w:right w:val="none" w:sz="0" w:space="0" w:color="auto"/>
                                                                                                                                                                                                                                                                                  </w:divBdr>
                                                                                                                                                                                                                                                                                  <w:divsChild>
                                                                                                                                                                                                                                                                                    <w:div w:id="982465980">
                                                                                                                                                                                                                                                                                      <w:marLeft w:val="0"/>
                                                                                                                                                                                                                                                                                      <w:marRight w:val="0"/>
                                                                                                                                                                                                                                                                                      <w:marTop w:val="0"/>
                                                                                                                                                                                                                                                                                      <w:marBottom w:val="0"/>
                                                                                                                                                                                                                                                                                      <w:divBdr>
                                                                                                                                                                                                                                                                                        <w:top w:val="none" w:sz="0" w:space="0" w:color="auto"/>
                                                                                                                                                                                                                                                                                        <w:left w:val="none" w:sz="0" w:space="0" w:color="auto"/>
                                                                                                                                                                                                                                                                                        <w:bottom w:val="none" w:sz="0" w:space="0" w:color="auto"/>
                                                                                                                                                                                                                                                                                        <w:right w:val="none" w:sz="0" w:space="0" w:color="auto"/>
                                                                                                                                                                                                                                                                                      </w:divBdr>
                                                                                                                                                                                                                                                                                      <w:divsChild>
                                                                                                                                                                                                                                                                                        <w:div w:id="294797504">
                                                                                                                                                                                                                                                                                          <w:marLeft w:val="0"/>
                                                                                                                                                                                                                                                                                          <w:marRight w:val="0"/>
                                                                                                                                                                                                                                                                                          <w:marTop w:val="0"/>
                                                                                                                                                                                                                                                                                          <w:marBottom w:val="0"/>
                                                                                                                                                                                                                                                                                          <w:divBdr>
                                                                                                                                                                                                                                                                                            <w:top w:val="none" w:sz="0" w:space="0" w:color="auto"/>
                                                                                                                                                                                                                                                                                            <w:left w:val="none" w:sz="0" w:space="0" w:color="auto"/>
                                                                                                                                                                                                                                                                                            <w:bottom w:val="none" w:sz="0" w:space="0" w:color="auto"/>
                                                                                                                                                                                                                                                                                            <w:right w:val="none" w:sz="0" w:space="0" w:color="auto"/>
                                                                                                                                                                                                                                                                                          </w:divBdr>
                                                                                                                                                                                                                                                                                          <w:divsChild>
                                                                                                                                                                                                                                                                                            <w:div w:id="862521718">
                                                                                                                                                                                                                                                                                              <w:marLeft w:val="0"/>
                                                                                                                                                                                                                                                                                              <w:marRight w:val="0"/>
                                                                                                                                                                                                                                                                                              <w:marTop w:val="0"/>
                                                                                                                                                                                                                                                                                              <w:marBottom w:val="0"/>
                                                                                                                                                                                                                                                                                              <w:divBdr>
                                                                                                                                                                                                                                                                                                <w:top w:val="none" w:sz="0" w:space="0" w:color="auto"/>
                                                                                                                                                                                                                                                                                                <w:left w:val="none" w:sz="0" w:space="0" w:color="auto"/>
                                                                                                                                                                                                                                                                                                <w:bottom w:val="none" w:sz="0" w:space="0" w:color="auto"/>
                                                                                                                                                                                                                                                                                                <w:right w:val="none" w:sz="0" w:space="0" w:color="auto"/>
                                                                                                                                                                                                                                                                                              </w:divBdr>
                                                                                                                                                                                                                                                                                              <w:divsChild>
                                                                                                                                                                                                                                                                                                <w:div w:id="858470773">
                                                                                                                                                                                                                                                                                                  <w:marLeft w:val="0"/>
                                                                                                                                                                                                                                                                                                  <w:marRight w:val="0"/>
                                                                                                                                                                                                                                                                                                  <w:marTop w:val="0"/>
                                                                                                                                                                                                                                                                                                  <w:marBottom w:val="0"/>
                                                                                                                                                                                                                                                                                                  <w:divBdr>
                                                                                                                                                                                                                                                                                                    <w:top w:val="none" w:sz="0" w:space="0" w:color="auto"/>
                                                                                                                                                                                                                                                                                                    <w:left w:val="none" w:sz="0" w:space="0" w:color="auto"/>
                                                                                                                                                                                                                                                                                                    <w:bottom w:val="none" w:sz="0" w:space="0" w:color="auto"/>
                                                                                                                                                                                                                                                                                                    <w:right w:val="none" w:sz="0" w:space="0" w:color="auto"/>
                                                                                                                                                                                                                                                                                                  </w:divBdr>
                                                                                                                                                                                                                                                                                                  <w:divsChild>
                                                                                                                                                                                                                                                                                                    <w:div w:id="1989824853">
                                                                                                                                                                                                                                                                                                      <w:marLeft w:val="0"/>
                                                                                                                                                                                                                                                                                                      <w:marRight w:val="0"/>
                                                                                                                                                                                                                                                                                                      <w:marTop w:val="0"/>
                                                                                                                                                                                                                                                                                                      <w:marBottom w:val="0"/>
                                                                                                                                                                                                                                                                                                      <w:divBdr>
                                                                                                                                                                                                                                                                                                        <w:top w:val="none" w:sz="0" w:space="0" w:color="auto"/>
                                                                                                                                                                                                                                                                                                        <w:left w:val="none" w:sz="0" w:space="0" w:color="auto"/>
                                                                                                                                                                                                                                                                                                        <w:bottom w:val="none" w:sz="0" w:space="0" w:color="auto"/>
                                                                                                                                                                                                                                                                                                        <w:right w:val="none" w:sz="0" w:space="0" w:color="auto"/>
                                                                                                                                                                                                                                                                                                      </w:divBdr>
                                                                                                                                                                                                                                                                                                      <w:divsChild>
                                                                                                                                                                                                                                                                                                        <w:div w:id="147480695">
                                                                                                                                                                                                                                                                                                          <w:marLeft w:val="0"/>
                                                                                                                                                                                                                                                                                                          <w:marRight w:val="0"/>
                                                                                                                                                                                                                                                                                                          <w:marTop w:val="0"/>
                                                                                                                                                                                                                                                                                                          <w:marBottom w:val="0"/>
                                                                                                                                                                                                                                                                                                          <w:divBdr>
                                                                                                                                                                                                                                                                                                            <w:top w:val="none" w:sz="0" w:space="0" w:color="auto"/>
                                                                                                                                                                                                                                                                                                            <w:left w:val="none" w:sz="0" w:space="0" w:color="auto"/>
                                                                                                                                                                                                                                                                                                            <w:bottom w:val="none" w:sz="0" w:space="0" w:color="auto"/>
                                                                                                                                                                                                                                                                                                            <w:right w:val="none" w:sz="0" w:space="0" w:color="auto"/>
                                                                                                                                                                                                                                                                                                          </w:divBdr>
                                                                                                                                                                                                                                                                                                          <w:divsChild>
                                                                                                                                                                                                                                                                                                            <w:div w:id="1995185722">
                                                                                                                                                                                                                                                                                                              <w:marLeft w:val="0"/>
                                                                                                                                                                                                                                                                                                              <w:marRight w:val="0"/>
                                                                                                                                                                                                                                                                                                              <w:marTop w:val="0"/>
                                                                                                                                                                                                                                                                                                              <w:marBottom w:val="0"/>
                                                                                                                                                                                                                                                                                                              <w:divBdr>
                                                                                                                                                                                                                                                                                                                <w:top w:val="none" w:sz="0" w:space="0" w:color="auto"/>
                                                                                                                                                                                                                                                                                                                <w:left w:val="none" w:sz="0" w:space="0" w:color="auto"/>
                                                                                                                                                                                                                                                                                                                <w:bottom w:val="none" w:sz="0" w:space="0" w:color="auto"/>
                                                                                                                                                                                                                                                                                                                <w:right w:val="none" w:sz="0" w:space="0" w:color="auto"/>
                                                                                                                                                                                                                                                                                                              </w:divBdr>
                                                                                                                                                                                                                                                                                                              <w:divsChild>
                                                                                                                                                                                                                                                                                                                <w:div w:id="1650089518">
                                                                                                                                                                                                                                                                                                                  <w:marLeft w:val="0"/>
                                                                                                                                                                                                                                                                                                                  <w:marRight w:val="0"/>
                                                                                                                                                                                                                                                                                                                  <w:marTop w:val="0"/>
                                                                                                                                                                                                                                                                                                                  <w:marBottom w:val="0"/>
                                                                                                                                                                                                                                                                                                                  <w:divBdr>
                                                                                                                                                                                                                                                                                                                    <w:top w:val="none" w:sz="0" w:space="0" w:color="auto"/>
                                                                                                                                                                                                                                                                                                                    <w:left w:val="none" w:sz="0" w:space="0" w:color="auto"/>
                                                                                                                                                                                                                                                                                                                    <w:bottom w:val="none" w:sz="0" w:space="0" w:color="auto"/>
                                                                                                                                                                                                                                                                                                                    <w:right w:val="none" w:sz="0" w:space="0" w:color="auto"/>
                                                                                                                                                                                                                                                                                                                  </w:divBdr>
                                                                                                                                                                                                                                                                                                                  <w:divsChild>
                                                                                                                                                                                                                                                                                                                    <w:div w:id="223954279">
                                                                                                                                                                                                                                                                                                                      <w:marLeft w:val="0"/>
                                                                                                                                                                                                                                                                                                                      <w:marRight w:val="0"/>
                                                                                                                                                                                                                                                                                                                      <w:marTop w:val="0"/>
                                                                                                                                                                                                                                                                                                                      <w:marBottom w:val="0"/>
                                                                                                                                                                                                                                                                                                                      <w:divBdr>
                                                                                                                                                                                                                                                                                                                        <w:top w:val="none" w:sz="0" w:space="0" w:color="auto"/>
                                                                                                                                                                                                                                                                                                                        <w:left w:val="none" w:sz="0" w:space="0" w:color="auto"/>
                                                                                                                                                                                                                                                                                                                        <w:bottom w:val="none" w:sz="0" w:space="0" w:color="auto"/>
                                                                                                                                                                                                                                                                                                                        <w:right w:val="none" w:sz="0" w:space="0" w:color="auto"/>
                                                                                                                                                                                                                                                                                                                      </w:divBdr>
                                                                                                                                                                                                                                                                                                                      <w:divsChild>
                                                                                                                                                                                                                                                                                                                        <w:div w:id="1153982183">
                                                                                                                                                                                                                                                                                                                          <w:marLeft w:val="0"/>
                                                                                                                                                                                                                                                                                                                          <w:marRight w:val="0"/>
                                                                                                                                                                                                                                                                                                                          <w:marTop w:val="0"/>
                                                                                                                                                                                                                                                                                                                          <w:marBottom w:val="0"/>
                                                                                                                                                                                                                                                                                                                          <w:divBdr>
                                                                                                                                                                                                                                                                                                                            <w:top w:val="none" w:sz="0" w:space="0" w:color="auto"/>
                                                                                                                                                                                                                                                                                                                            <w:left w:val="none" w:sz="0" w:space="0" w:color="auto"/>
                                                                                                                                                                                                                                                                                                                            <w:bottom w:val="none" w:sz="0" w:space="0" w:color="auto"/>
                                                                                                                                                                                                                                                                                                                            <w:right w:val="none" w:sz="0" w:space="0" w:color="auto"/>
                                                                                                                                                                                                                                                                                                                          </w:divBdr>
                                                                                                                                                                                                                                                                                                                          <w:divsChild>
                                                                                                                                                                                                                                                                                                                            <w:div w:id="1656714621">
                                                                                                                                                                                                                                                                                                                              <w:marLeft w:val="0"/>
                                                                                                                                                                                                                                                                                                                              <w:marRight w:val="0"/>
                                                                                                                                                                                                                                                                                                                              <w:marTop w:val="0"/>
                                                                                                                                                                                                                                                                                                                              <w:marBottom w:val="0"/>
                                                                                                                                                                                                                                                                                                                              <w:divBdr>
                                                                                                                                                                                                                                                                                                                                <w:top w:val="none" w:sz="0" w:space="0" w:color="auto"/>
                                                                                                                                                                                                                                                                                                                                <w:left w:val="none" w:sz="0" w:space="0" w:color="auto"/>
                                                                                                                                                                                                                                                                                                                                <w:bottom w:val="none" w:sz="0" w:space="0" w:color="auto"/>
                                                                                                                                                                                                                                                                                                                                <w:right w:val="none" w:sz="0" w:space="0" w:color="auto"/>
                                                                                                                                                                                                                                                                                                                              </w:divBdr>
                                                                                                                                                                                                                                                                                                                              <w:divsChild>
                                                                                                                                                                                                                                                                                                                                <w:div w:id="1205220043">
                                                                                                                                                                                                                                                                                                                                  <w:marLeft w:val="0"/>
                                                                                                                                                                                                                                                                                                                                  <w:marRight w:val="0"/>
                                                                                                                                                                                                                                                                                                                                  <w:marTop w:val="0"/>
                                                                                                                                                                                                                                                                                                                                  <w:marBottom w:val="0"/>
                                                                                                                                                                                                                                                                                                                                  <w:divBdr>
                                                                                                                                                                                                                                                                                                                                    <w:top w:val="none" w:sz="0" w:space="0" w:color="auto"/>
                                                                                                                                                                                                                                                                                                                                    <w:left w:val="none" w:sz="0" w:space="0" w:color="auto"/>
                                                                                                                                                                                                                                                                                                                                    <w:bottom w:val="none" w:sz="0" w:space="0" w:color="auto"/>
                                                                                                                                                                                                                                                                                                                                    <w:right w:val="none" w:sz="0" w:space="0" w:color="auto"/>
                                                                                                                                                                                                                                                                                                                                  </w:divBdr>
                                                                                                                                                                                                                                                                                                                                  <w:divsChild>
                                                                                                                                                                                                                                                                                                                                    <w:div w:id="813718081">
                                                                                                                                                                                                                                                                                                                                      <w:marLeft w:val="0"/>
                                                                                                                                                                                                                                                                                                                                      <w:marRight w:val="0"/>
                                                                                                                                                                                                                                                                                                                                      <w:marTop w:val="0"/>
                                                                                                                                                                                                                                                                                                                                      <w:marBottom w:val="0"/>
                                                                                                                                                                                                                                                                                                                                      <w:divBdr>
                                                                                                                                                                                                                                                                                                                                        <w:top w:val="none" w:sz="0" w:space="0" w:color="auto"/>
                                                                                                                                                                                                                                                                                                                                        <w:left w:val="none" w:sz="0" w:space="0" w:color="auto"/>
                                                                                                                                                                                                                                                                                                                                        <w:bottom w:val="none" w:sz="0" w:space="0" w:color="auto"/>
                                                                                                                                                                                                                                                                                                                                        <w:right w:val="none" w:sz="0" w:space="0" w:color="auto"/>
                                                                                                                                                                                                                                                                                                                                      </w:divBdr>
                                                                                                                                                                                                                                                                                                                                      <w:divsChild>
                                                                                                                                                                                                                                                                                                                                        <w:div w:id="771776687">
                                                                                                                                                                                                                                                                                                                                          <w:marLeft w:val="0"/>
                                                                                                                                                                                                                                                                                                                                          <w:marRight w:val="0"/>
                                                                                                                                                                                                                                                                                                                                          <w:marTop w:val="0"/>
                                                                                                                                                                                                                                                                                                                                          <w:marBottom w:val="0"/>
                                                                                                                                                                                                                                                                                                                                          <w:divBdr>
                                                                                                                                                                                                                                                                                                                                            <w:top w:val="none" w:sz="0" w:space="0" w:color="auto"/>
                                                                                                                                                                                                                                                                                                                                            <w:left w:val="none" w:sz="0" w:space="0" w:color="auto"/>
                                                                                                                                                                                                                                                                                                                                            <w:bottom w:val="none" w:sz="0" w:space="0" w:color="auto"/>
                                                                                                                                                                                                                                                                                                                                            <w:right w:val="none" w:sz="0" w:space="0" w:color="auto"/>
                                                                                                                                                                                                                                                                                                                                          </w:divBdr>
                                                                                                                                                                                                                                                                                                                                          <w:divsChild>
                                                                                                                                                                                                                                                                                                                                            <w:div w:id="1679886252">
                                                                                                                                                                                                                                                                                                                                              <w:marLeft w:val="0"/>
                                                                                                                                                                                                                                                                                                                                              <w:marRight w:val="0"/>
                                                                                                                                                                                                                                                                                                                                              <w:marTop w:val="0"/>
                                                                                                                                                                                                                                                                                                                                              <w:marBottom w:val="0"/>
                                                                                                                                                                                                                                                                                                                                              <w:divBdr>
                                                                                                                                                                                                                                                                                                                                                <w:top w:val="none" w:sz="0" w:space="0" w:color="auto"/>
                                                                                                                                                                                                                                                                                                                                                <w:left w:val="none" w:sz="0" w:space="0" w:color="auto"/>
                                                                                                                                                                                                                                                                                                                                                <w:bottom w:val="none" w:sz="0" w:space="0" w:color="auto"/>
                                                                                                                                                                                                                                                                                                                                                <w:right w:val="none" w:sz="0" w:space="0" w:color="auto"/>
                                                                                                                                                                                                                                                                                                                                              </w:divBdr>
                                                                                                                                                                                                                                                                                                                                              <w:divsChild>
                                                                                                                                                                                                                                                                                                                                                <w:div w:id="1847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6E15-394D-4F29-B98A-F02B04CBB2C2}">
  <ds:schemaRefs>
    <ds:schemaRef ds:uri="http://schemas.openxmlformats.org/officeDocument/2006/bibliography"/>
  </ds:schemaRefs>
</ds:datastoreItem>
</file>

<file path=customXml/itemProps2.xml><?xml version="1.0" encoding="utf-8"?>
<ds:datastoreItem xmlns:ds="http://schemas.openxmlformats.org/officeDocument/2006/customXml" ds:itemID="{3B52BD85-13F3-4FB2-9AE4-26D0C148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10</Pages>
  <Words>12036</Words>
  <Characters>73423</Characters>
  <Application>Microsoft Office Word</Application>
  <DocSecurity>0</DocSecurity>
  <Lines>611</Lines>
  <Paragraphs>170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Line</cp:lastModifiedBy>
  <cp:revision>12</cp:revision>
  <cp:lastPrinted>2013-05-19T14:46:00Z</cp:lastPrinted>
  <dcterms:created xsi:type="dcterms:W3CDTF">2013-05-22T12:34:00Z</dcterms:created>
  <dcterms:modified xsi:type="dcterms:W3CDTF">2013-05-24T09:26:00Z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linemel@jubii.dk@www.mendeley.com</vt:lpwstr>
  </property>
  <property fmtid="{D5CDD505-2E9C-101B-9397-08002B2CF9AE}" pid="4" name="Mendeley Recent Style Name 0_1">
    <vt:lpwstr>American Political Science Association</vt:lpwstr>
  </property>
  <property fmtid="{D5CDD505-2E9C-101B-9397-08002B2CF9AE}" pid="5" name="Mendeley Recent Style Id 0_1">
    <vt:lpwstr>http://www.zotero.org/styles/apsa</vt:lpwstr>
  </property>
  <property fmtid="{D5CDD505-2E9C-101B-9397-08002B2CF9AE}" pid="6" name="Mendeley Recent Style Name 1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2_1">
    <vt:lpwstr>American Sociological Association</vt:lpwstr>
  </property>
  <property fmtid="{D5CDD505-2E9C-101B-9397-08002B2CF9AE}" pid="9" name="Mendeley Recent Style Id 2_1">
    <vt:lpwstr>http://www.zotero.org/styles/asa</vt:lpwstr>
  </property>
  <property fmtid="{D5CDD505-2E9C-101B-9397-08002B2CF9AE}" pid="10" name="Mendeley Recent Style Name 3_1">
    <vt:lpwstr>Chicago Manual of Style (Author-Date format)</vt:lpwstr>
  </property>
  <property fmtid="{D5CDD505-2E9C-101B-9397-08002B2CF9AE}" pid="11" name="Mendeley Recent Style Id 3_1">
    <vt:lpwstr>http://www.zotero.org/styles/chicago-author-date</vt:lpwstr>
  </property>
  <property fmtid="{D5CDD505-2E9C-101B-9397-08002B2CF9AE}" pid="12" name="Mendeley Recent Style Name 4_1">
    <vt:lpwstr>IEEE</vt:lpwstr>
  </property>
  <property fmtid="{D5CDD505-2E9C-101B-9397-08002B2CF9AE}" pid="13" name="Mendeley Recent Style Id 4_1">
    <vt:lpwstr>http://www.zotero.org/styles/ieee</vt:lpwstr>
  </property>
  <property fmtid="{D5CDD505-2E9C-101B-9397-08002B2CF9AE}" pid="14" name="Mendeley Recent Style Name 5_1">
    <vt:lpwstr>JAMA (The Journal of the American Medical Association)</vt:lpwstr>
  </property>
  <property fmtid="{D5CDD505-2E9C-101B-9397-08002B2CF9AE}" pid="15" name="Mendeley Recent Style Id 5_1">
    <vt:lpwstr>http://www.zotero.org/styles/jama</vt:lpwstr>
  </property>
  <property fmtid="{D5CDD505-2E9C-101B-9397-08002B2CF9AE}" pid="16" name="Mendeley Recent Style Name 6_1">
    <vt:lpwstr>Modern Humanities Research Association (Note with Bibliography)</vt:lpwstr>
  </property>
  <property fmtid="{D5CDD505-2E9C-101B-9397-08002B2CF9AE}" pid="17" name="Mendeley Recent Style Id 6_1">
    <vt:lpwstr>http://www.zotero.org/styles/mhra</vt:lpwstr>
  </property>
  <property fmtid="{D5CDD505-2E9C-101B-9397-08002B2CF9AE}" pid="18" name="Mendeley Recent Style Name 7_1">
    <vt:lpwstr>Modern Language Association</vt:lpwstr>
  </property>
  <property fmtid="{D5CDD505-2E9C-101B-9397-08002B2CF9AE}" pid="19" name="Mendeley Recent Style Id 7_1">
    <vt:lpwstr>http://www.zotero.org/styles/mla</vt:lpwstr>
  </property>
  <property fmtid="{D5CDD505-2E9C-101B-9397-08002B2CF9AE}" pid="20" name="Mendeley Recent Style Name 8_1">
    <vt:lpwstr>Vancouver (author-date)</vt:lpwstr>
  </property>
  <property fmtid="{D5CDD505-2E9C-101B-9397-08002B2CF9AE}" pid="21" name="Mendeley Recent Style Id 8_1">
    <vt:lpwstr>http://www.zotero.org/styles/vancouver-author-date</vt:lpwstr>
  </property>
  <property fmtid="{D5CDD505-2E9C-101B-9397-08002B2CF9AE}" pid="22" name="Mendeley Recent Style Name 9_1">
    <vt:lpwstr>Vancouver (superscript)</vt:lpwstr>
  </property>
  <property fmtid="{D5CDD505-2E9C-101B-9397-08002B2CF9AE}" pid="23" name="Mendeley Recent Style Id 9_1">
    <vt:lpwstr>http://www.zotero.org/styles/vancouver-superscript</vt:lpwstr>
  </property>
  <property fmtid="{D5CDD505-2E9C-101B-9397-08002B2CF9AE}" pid="24" name="Mendeley Citation Style_1">
    <vt:lpwstr>http://www.zotero.org/styles/jama</vt:lpwstr>
  </property>
</Properties>
</file>