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da-DK"/>
        </w:rPr>
        <w:id w:val="5166796"/>
        <w:docPartObj>
          <w:docPartGallery w:val="Cover Pages"/>
          <w:docPartUnique/>
        </w:docPartObj>
      </w:sdtPr>
      <w:sdtEndPr>
        <w:rPr>
          <w:rFonts w:ascii="Times New Roman" w:eastAsia="Times New Roman" w:hAnsi="Times New Roman" w:cs="Times New Roman"/>
          <w:sz w:val="24"/>
          <w:szCs w:val="24"/>
        </w:rPr>
      </w:sdtEndPr>
      <w:sdtContent>
        <w:p w:rsidR="00784DE3" w:rsidRDefault="00D43498">
          <w:pPr>
            <w:pStyle w:val="Ingenafstand"/>
            <w:rPr>
              <w:rFonts w:asciiTheme="majorHAnsi" w:eastAsiaTheme="majorEastAsia" w:hAnsiTheme="majorHAnsi" w:cstheme="majorBidi"/>
              <w:sz w:val="72"/>
              <w:szCs w:val="72"/>
            </w:rPr>
          </w:pPr>
          <w:r>
            <w:rPr>
              <w:rFonts w:eastAsiaTheme="majorEastAsia" w:cstheme="majorBidi"/>
              <w:noProof/>
            </w:rPr>
            <w:pict>
              <v:rect id="_x0000_s1069" style="position:absolute;margin-left:0;margin-top:0;width:624.25pt;height:63pt;z-index:251664384;mso-width-percent:1050;mso-height-percent:900;mso-position-horizontal:center;mso-position-horizontal-relative:page;mso-position-vertical:bottom;mso-position-vertical-relative:page;mso-width-percent:1050;mso-height-percent:900;mso-height-relative:top-margin-area" o:allowincell="f" fillcolor="black [3200]" strokecolor="#f2f2f2 [3041]" strokeweight="3pt">
                <v:shadow on="t" type="perspective" color="#7f7f7f [1601]" opacity=".5" offset="1pt" offset2="-1pt"/>
                <w10:wrap anchorx="page" anchory="page"/>
              </v:rect>
            </w:pict>
          </w:r>
          <w:r>
            <w:rPr>
              <w:rFonts w:eastAsiaTheme="majorEastAsia" w:cstheme="majorBidi"/>
              <w:noProof/>
            </w:rPr>
            <w:pict>
              <v:rect id="_x0000_s1072" style="position:absolute;margin-left:0;margin-top:0;width:7.15pt;height:883.2pt;z-index:251667456;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71" style="position:absolute;margin-left:0;margin-top:0;width:7.15pt;height:883.2pt;z-index:251666432;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70" style="position:absolute;margin-left:0;margin-top:0;width:624.25pt;height:63pt;z-index:251665408;mso-width-percent:1050;mso-height-percent:900;mso-position-horizontal:center;mso-position-horizontal-relative:page;mso-position-vertical:top;mso-position-vertical-relative:top-margin-area;mso-width-percent:1050;mso-height-percent:900;mso-height-relative:top-margin-area" o:allowincell="f" fillcolor="black [3200]" strokecolor="#f2f2f2 [3041]" strokeweight="3pt">
                <v:shadow on="t" type="perspective" color="#7f7f7f [1601]" opacity=".5" offset="1pt" offset2="-1pt"/>
                <w10:wrap anchorx="page" anchory="margin"/>
              </v:rect>
            </w:pict>
          </w:r>
        </w:p>
        <w:p w:rsidR="00317846" w:rsidRDefault="00317846" w:rsidP="002179BF">
          <w:pPr>
            <w:pStyle w:val="Ingenafstand"/>
            <w:jc w:val="right"/>
            <w:rPr>
              <w:rFonts w:asciiTheme="majorHAnsi" w:eastAsiaTheme="majorEastAsia" w:hAnsiTheme="majorHAnsi" w:cstheme="majorBidi"/>
              <w:sz w:val="72"/>
              <w:szCs w:val="72"/>
            </w:rPr>
          </w:pPr>
        </w:p>
        <w:p w:rsidR="00784DE3" w:rsidRDefault="002179BF" w:rsidP="002179BF">
          <w:pPr>
            <w:pStyle w:val="Ingenafstand"/>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Fusion mellem</w:t>
          </w:r>
        </w:p>
        <w:p w:rsidR="002179BF" w:rsidRDefault="002179BF" w:rsidP="002179BF">
          <w:pPr>
            <w:pStyle w:val="Ingenafstand"/>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Den Jyske Sparekasse</w:t>
          </w:r>
        </w:p>
        <w:p w:rsidR="002179BF" w:rsidRDefault="002179BF" w:rsidP="002179BF">
          <w:pPr>
            <w:pStyle w:val="Ingenafstand"/>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og </w:t>
          </w:r>
        </w:p>
        <w:p w:rsidR="002179BF" w:rsidRDefault="002179BF" w:rsidP="002179BF">
          <w:pPr>
            <w:pStyle w:val="Ingenafstand"/>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Dronninglund Sparekasse</w:t>
          </w:r>
        </w:p>
        <w:p w:rsidR="00784DE3" w:rsidRDefault="00784DE3">
          <w:pPr>
            <w:pStyle w:val="Ingenafstand"/>
            <w:rPr>
              <w:rFonts w:asciiTheme="majorHAnsi" w:eastAsiaTheme="majorEastAsia" w:hAnsiTheme="majorHAnsi" w:cstheme="majorBidi"/>
              <w:sz w:val="36"/>
              <w:szCs w:val="36"/>
            </w:rPr>
          </w:pPr>
        </w:p>
        <w:p w:rsidR="00784DE3" w:rsidRDefault="00784DE3">
          <w:pPr>
            <w:pStyle w:val="Ingenafstand"/>
            <w:rPr>
              <w:rFonts w:asciiTheme="majorHAnsi" w:eastAsiaTheme="majorEastAsia" w:hAnsiTheme="majorHAnsi" w:cstheme="majorBidi"/>
              <w:sz w:val="36"/>
              <w:szCs w:val="36"/>
            </w:rPr>
          </w:pPr>
        </w:p>
        <w:p w:rsidR="00784DE3" w:rsidRDefault="00784DE3">
          <w:pPr>
            <w:pStyle w:val="Ingenafstand"/>
          </w:pPr>
        </w:p>
        <w:p w:rsidR="00317846" w:rsidRDefault="00317846">
          <w:pPr>
            <w:pStyle w:val="Ingenafstand"/>
          </w:pPr>
          <w:r>
            <w:rPr>
              <w:noProof/>
              <w:lang w:eastAsia="da-DK"/>
            </w:rPr>
            <w:drawing>
              <wp:anchor distT="0" distB="0" distL="114300" distR="114300" simplePos="0" relativeHeight="251668480" behindDoc="1" locked="0" layoutInCell="1" allowOverlap="1">
                <wp:simplePos x="0" y="0"/>
                <wp:positionH relativeFrom="column">
                  <wp:posOffset>1686560</wp:posOffset>
                </wp:positionH>
                <wp:positionV relativeFrom="paragraph">
                  <wp:posOffset>26670</wp:posOffset>
                </wp:positionV>
                <wp:extent cx="2762885" cy="836295"/>
                <wp:effectExtent l="19050" t="0" r="0" b="0"/>
                <wp:wrapSquare wrapText="bothSides"/>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62885" cy="836295"/>
                        </a:xfrm>
                        <a:prstGeom prst="rect">
                          <a:avLst/>
                        </a:prstGeom>
                        <a:noFill/>
                        <a:ln w="9525">
                          <a:noFill/>
                          <a:miter lim="800000"/>
                          <a:headEnd/>
                          <a:tailEnd/>
                        </a:ln>
                      </pic:spPr>
                    </pic:pic>
                  </a:graphicData>
                </a:graphic>
              </wp:anchor>
            </w:drawing>
          </w:r>
        </w:p>
        <w:p w:rsidR="00317846" w:rsidRDefault="00317846">
          <w:pPr>
            <w:pStyle w:val="Ingenafstand"/>
          </w:pPr>
        </w:p>
        <w:p w:rsidR="00317846" w:rsidRDefault="00317846">
          <w:pPr>
            <w:pStyle w:val="Ingenafstand"/>
          </w:pPr>
        </w:p>
        <w:p w:rsidR="00317846" w:rsidRDefault="00317846">
          <w:pPr>
            <w:pStyle w:val="Ingenafstand"/>
          </w:pP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r>
            <w:rPr>
              <w:noProof/>
              <w:sz w:val="36"/>
              <w:szCs w:val="36"/>
              <w:lang w:eastAsia="da-DK"/>
            </w:rPr>
            <w:drawing>
              <wp:anchor distT="0" distB="0" distL="114300" distR="114300" simplePos="0" relativeHeight="251669504" behindDoc="0" locked="0" layoutInCell="1" allowOverlap="1">
                <wp:simplePos x="0" y="0"/>
                <wp:positionH relativeFrom="column">
                  <wp:posOffset>1686560</wp:posOffset>
                </wp:positionH>
                <wp:positionV relativeFrom="paragraph">
                  <wp:posOffset>76835</wp:posOffset>
                </wp:positionV>
                <wp:extent cx="3112770" cy="680720"/>
                <wp:effectExtent l="19050" t="0" r="0" b="0"/>
                <wp:wrapSquare wrapText="bothSides"/>
                <wp:docPr id="1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12770" cy="680720"/>
                        </a:xfrm>
                        <a:prstGeom prst="rect">
                          <a:avLst/>
                        </a:prstGeom>
                        <a:noFill/>
                        <a:ln w="9525">
                          <a:noFill/>
                          <a:miter lim="800000"/>
                          <a:headEnd/>
                          <a:tailEnd/>
                        </a:ln>
                      </pic:spPr>
                    </pic:pic>
                  </a:graphicData>
                </a:graphic>
              </wp:anchor>
            </w:drawing>
          </w:r>
        </w:p>
        <w:p w:rsidR="00317846" w:rsidRDefault="00317846" w:rsidP="00317846">
          <w:pPr>
            <w:pStyle w:val="Ingenafstand"/>
            <w:rPr>
              <w:sz w:val="36"/>
              <w:szCs w:val="36"/>
            </w:rPr>
          </w:pP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r>
            <w:rPr>
              <w:sz w:val="36"/>
              <w:szCs w:val="36"/>
            </w:rPr>
            <w:t>HD i Finansiel Rådgivning</w:t>
          </w:r>
        </w:p>
        <w:p w:rsidR="00317846" w:rsidRDefault="00317846" w:rsidP="00317846">
          <w:pPr>
            <w:pStyle w:val="Ingenafstand"/>
            <w:jc w:val="right"/>
            <w:rPr>
              <w:sz w:val="36"/>
              <w:szCs w:val="36"/>
            </w:rPr>
          </w:pPr>
          <w:r>
            <w:rPr>
              <w:sz w:val="36"/>
              <w:szCs w:val="36"/>
            </w:rPr>
            <w:t>Aalborg Universitet</w:t>
          </w:r>
        </w:p>
        <w:p w:rsidR="00317846" w:rsidRDefault="00317846" w:rsidP="00317846">
          <w:pPr>
            <w:pStyle w:val="Ingenafstand"/>
            <w:jc w:val="right"/>
            <w:rPr>
              <w:sz w:val="36"/>
              <w:szCs w:val="36"/>
            </w:rPr>
          </w:pPr>
        </w:p>
        <w:p w:rsidR="00317846" w:rsidRDefault="00317846" w:rsidP="00317846">
          <w:pPr>
            <w:pStyle w:val="Ingenafstand"/>
            <w:jc w:val="right"/>
            <w:rPr>
              <w:sz w:val="36"/>
              <w:szCs w:val="36"/>
            </w:rPr>
          </w:pPr>
          <w:r>
            <w:rPr>
              <w:sz w:val="36"/>
              <w:szCs w:val="36"/>
            </w:rPr>
            <w:t>Udarbejdet af Camilla Søndergaard</w:t>
          </w:r>
        </w:p>
        <w:p w:rsidR="00317846" w:rsidRDefault="00317846" w:rsidP="00317846">
          <w:pPr>
            <w:pStyle w:val="Ingenafstand"/>
            <w:jc w:val="right"/>
            <w:rPr>
              <w:sz w:val="36"/>
              <w:szCs w:val="36"/>
            </w:rPr>
          </w:pPr>
          <w:r>
            <w:rPr>
              <w:sz w:val="36"/>
              <w:szCs w:val="36"/>
            </w:rPr>
            <w:t>Studie nr.</w:t>
          </w:r>
          <w:r w:rsidR="0017482A">
            <w:rPr>
              <w:sz w:val="36"/>
              <w:szCs w:val="36"/>
            </w:rPr>
            <w:t xml:space="preserve"> </w:t>
          </w:r>
          <w:proofErr w:type="gramStart"/>
          <w:r w:rsidR="0017482A">
            <w:rPr>
              <w:sz w:val="36"/>
              <w:szCs w:val="36"/>
            </w:rPr>
            <w:t>20112347</w:t>
          </w:r>
          <w:proofErr w:type="gramEnd"/>
        </w:p>
        <w:p w:rsidR="00317846" w:rsidRDefault="00317846" w:rsidP="00317846">
          <w:pPr>
            <w:pStyle w:val="Ingenafstand"/>
            <w:jc w:val="right"/>
            <w:rPr>
              <w:sz w:val="36"/>
              <w:szCs w:val="36"/>
            </w:rPr>
          </w:pPr>
          <w:r>
            <w:rPr>
              <w:sz w:val="36"/>
              <w:szCs w:val="36"/>
            </w:rPr>
            <w:t>Vejleder Jesper Raalskov</w:t>
          </w:r>
        </w:p>
        <w:p w:rsidR="00317846" w:rsidRPr="00317846" w:rsidRDefault="00317846" w:rsidP="00317846">
          <w:pPr>
            <w:pStyle w:val="Ingenafstand"/>
            <w:jc w:val="right"/>
            <w:rPr>
              <w:sz w:val="36"/>
              <w:szCs w:val="36"/>
            </w:rPr>
          </w:pPr>
          <w:r>
            <w:rPr>
              <w:sz w:val="36"/>
              <w:szCs w:val="36"/>
            </w:rPr>
            <w:t>D. 30. april 2013</w:t>
          </w:r>
        </w:p>
        <w:p w:rsidR="00317846" w:rsidRDefault="00D43498" w:rsidP="00317846">
          <w:pPr>
            <w:spacing w:line="240" w:lineRule="auto"/>
            <w:jc w:val="left"/>
          </w:pPr>
        </w:p>
      </w:sdtContent>
    </w:sdt>
    <w:p w:rsidR="00F40C91" w:rsidRDefault="00950B9F">
      <w:pPr>
        <w:pStyle w:val="Indholdsfortegnelse1"/>
        <w:rPr>
          <w:rFonts w:eastAsiaTheme="minorEastAsia" w:cstheme="minorBidi"/>
          <w:b w:val="0"/>
          <w:bCs w:val="0"/>
          <w:caps w:val="0"/>
          <w:noProof/>
          <w:u w:val="none"/>
        </w:rPr>
      </w:pPr>
      <w:r>
        <w:lastRenderedPageBreak/>
        <w:fldChar w:fldCharType="begin"/>
      </w:r>
      <w:r w:rsidR="00056FE0">
        <w:instrText xml:space="preserve"> TOC \o "1-3" \u </w:instrText>
      </w:r>
      <w:r>
        <w:fldChar w:fldCharType="separate"/>
      </w:r>
      <w:r w:rsidR="00F40C91">
        <w:rPr>
          <w:noProof/>
        </w:rPr>
        <w:t>1.</w:t>
      </w:r>
      <w:r w:rsidR="00F40C91">
        <w:rPr>
          <w:rFonts w:eastAsiaTheme="minorEastAsia" w:cstheme="minorBidi"/>
          <w:b w:val="0"/>
          <w:bCs w:val="0"/>
          <w:caps w:val="0"/>
          <w:noProof/>
          <w:u w:val="none"/>
        </w:rPr>
        <w:tab/>
      </w:r>
      <w:r w:rsidR="00F40C91">
        <w:rPr>
          <w:noProof/>
        </w:rPr>
        <w:t>Executive summary</w:t>
      </w:r>
      <w:r w:rsidR="00F40C91">
        <w:rPr>
          <w:noProof/>
        </w:rPr>
        <w:tab/>
      </w:r>
      <w:r>
        <w:rPr>
          <w:noProof/>
        </w:rPr>
        <w:fldChar w:fldCharType="begin"/>
      </w:r>
      <w:r w:rsidR="00F40C91">
        <w:rPr>
          <w:noProof/>
        </w:rPr>
        <w:instrText xml:space="preserve"> PAGEREF _Toc354517395 \h </w:instrText>
      </w:r>
      <w:r>
        <w:rPr>
          <w:noProof/>
        </w:rPr>
      </w:r>
      <w:r>
        <w:rPr>
          <w:noProof/>
        </w:rPr>
        <w:fldChar w:fldCharType="separate"/>
      </w:r>
      <w:r w:rsidR="00D43498">
        <w:rPr>
          <w:noProof/>
        </w:rPr>
        <w:t>3</w:t>
      </w:r>
      <w:r>
        <w:rPr>
          <w:noProof/>
        </w:rPr>
        <w:fldChar w:fldCharType="end"/>
      </w:r>
    </w:p>
    <w:p w:rsidR="00F40C91" w:rsidRDefault="00F40C91">
      <w:pPr>
        <w:pStyle w:val="Indholdsfortegnelse1"/>
        <w:rPr>
          <w:rFonts w:eastAsiaTheme="minorEastAsia" w:cstheme="minorBidi"/>
          <w:b w:val="0"/>
          <w:bCs w:val="0"/>
          <w:caps w:val="0"/>
          <w:noProof/>
          <w:u w:val="none"/>
        </w:rPr>
      </w:pPr>
      <w:r>
        <w:rPr>
          <w:noProof/>
        </w:rPr>
        <w:t>2.</w:t>
      </w:r>
      <w:r>
        <w:rPr>
          <w:rFonts w:eastAsiaTheme="minorEastAsia" w:cstheme="minorBidi"/>
          <w:b w:val="0"/>
          <w:bCs w:val="0"/>
          <w:caps w:val="0"/>
          <w:noProof/>
          <w:u w:val="none"/>
        </w:rPr>
        <w:tab/>
      </w:r>
      <w:r>
        <w:rPr>
          <w:noProof/>
        </w:rPr>
        <w:t>Problemfelt</w:t>
      </w:r>
      <w:r>
        <w:rPr>
          <w:noProof/>
        </w:rPr>
        <w:tab/>
      </w:r>
      <w:r w:rsidR="00950B9F">
        <w:rPr>
          <w:noProof/>
        </w:rPr>
        <w:fldChar w:fldCharType="begin"/>
      </w:r>
      <w:r>
        <w:rPr>
          <w:noProof/>
        </w:rPr>
        <w:instrText xml:space="preserve"> PAGEREF _Toc354517396 \h </w:instrText>
      </w:r>
      <w:r w:rsidR="00950B9F">
        <w:rPr>
          <w:noProof/>
        </w:rPr>
      </w:r>
      <w:r w:rsidR="00950B9F">
        <w:rPr>
          <w:noProof/>
        </w:rPr>
        <w:fldChar w:fldCharType="separate"/>
      </w:r>
      <w:r w:rsidR="00D43498">
        <w:rPr>
          <w:noProof/>
        </w:rPr>
        <w:t>4</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2.1</w:t>
      </w:r>
      <w:r>
        <w:rPr>
          <w:rFonts w:eastAsiaTheme="minorEastAsia" w:cstheme="minorBidi"/>
          <w:b w:val="0"/>
          <w:bCs w:val="0"/>
          <w:smallCaps w:val="0"/>
          <w:noProof/>
        </w:rPr>
        <w:tab/>
      </w:r>
      <w:r>
        <w:rPr>
          <w:noProof/>
        </w:rPr>
        <w:t>Indledning</w:t>
      </w:r>
      <w:r>
        <w:rPr>
          <w:noProof/>
        </w:rPr>
        <w:tab/>
      </w:r>
      <w:r w:rsidR="00950B9F">
        <w:rPr>
          <w:noProof/>
        </w:rPr>
        <w:fldChar w:fldCharType="begin"/>
      </w:r>
      <w:r>
        <w:rPr>
          <w:noProof/>
        </w:rPr>
        <w:instrText xml:space="preserve"> PAGEREF _Toc354517397 \h </w:instrText>
      </w:r>
      <w:r w:rsidR="00950B9F">
        <w:rPr>
          <w:noProof/>
        </w:rPr>
      </w:r>
      <w:r w:rsidR="00950B9F">
        <w:rPr>
          <w:noProof/>
        </w:rPr>
        <w:fldChar w:fldCharType="separate"/>
      </w:r>
      <w:r w:rsidR="00D43498">
        <w:rPr>
          <w:noProof/>
        </w:rPr>
        <w:t>4</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2.2</w:t>
      </w:r>
      <w:r>
        <w:rPr>
          <w:rFonts w:eastAsiaTheme="minorEastAsia" w:cstheme="minorBidi"/>
          <w:b w:val="0"/>
          <w:bCs w:val="0"/>
          <w:smallCaps w:val="0"/>
          <w:noProof/>
        </w:rPr>
        <w:tab/>
      </w:r>
      <w:r>
        <w:rPr>
          <w:noProof/>
        </w:rPr>
        <w:t>Problemformulering</w:t>
      </w:r>
      <w:r>
        <w:rPr>
          <w:noProof/>
        </w:rPr>
        <w:tab/>
      </w:r>
      <w:r w:rsidR="00950B9F">
        <w:rPr>
          <w:noProof/>
        </w:rPr>
        <w:fldChar w:fldCharType="begin"/>
      </w:r>
      <w:r>
        <w:rPr>
          <w:noProof/>
        </w:rPr>
        <w:instrText xml:space="preserve"> PAGEREF _Toc354517398 \h </w:instrText>
      </w:r>
      <w:r w:rsidR="00950B9F">
        <w:rPr>
          <w:noProof/>
        </w:rPr>
      </w:r>
      <w:r w:rsidR="00950B9F">
        <w:rPr>
          <w:noProof/>
        </w:rPr>
        <w:fldChar w:fldCharType="separate"/>
      </w:r>
      <w:r w:rsidR="00D43498">
        <w:rPr>
          <w:noProof/>
        </w:rPr>
        <w:t>6</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2.3</w:t>
      </w:r>
      <w:r>
        <w:rPr>
          <w:rFonts w:eastAsiaTheme="minorEastAsia" w:cstheme="minorBidi"/>
          <w:b w:val="0"/>
          <w:bCs w:val="0"/>
          <w:smallCaps w:val="0"/>
          <w:noProof/>
        </w:rPr>
        <w:tab/>
      </w:r>
      <w:r>
        <w:rPr>
          <w:noProof/>
        </w:rPr>
        <w:t>Metode</w:t>
      </w:r>
      <w:r>
        <w:rPr>
          <w:noProof/>
        </w:rPr>
        <w:tab/>
      </w:r>
      <w:r w:rsidR="00950B9F">
        <w:rPr>
          <w:noProof/>
        </w:rPr>
        <w:fldChar w:fldCharType="begin"/>
      </w:r>
      <w:r>
        <w:rPr>
          <w:noProof/>
        </w:rPr>
        <w:instrText xml:space="preserve"> PAGEREF _Toc354517399 \h </w:instrText>
      </w:r>
      <w:r w:rsidR="00950B9F">
        <w:rPr>
          <w:noProof/>
        </w:rPr>
      </w:r>
      <w:r w:rsidR="00950B9F">
        <w:rPr>
          <w:noProof/>
        </w:rPr>
        <w:fldChar w:fldCharType="separate"/>
      </w:r>
      <w:r w:rsidR="00D43498">
        <w:rPr>
          <w:noProof/>
        </w:rPr>
        <w:t>6</w:t>
      </w:r>
      <w:r w:rsidR="00950B9F">
        <w:rPr>
          <w:noProof/>
        </w:rPr>
        <w:fldChar w:fldCharType="end"/>
      </w:r>
    </w:p>
    <w:p w:rsidR="00F40C91" w:rsidRDefault="00F40C91">
      <w:pPr>
        <w:pStyle w:val="Indholdsfortegnelse3"/>
        <w:rPr>
          <w:rFonts w:eastAsiaTheme="minorEastAsia" w:cstheme="minorBidi"/>
          <w:smallCaps w:val="0"/>
          <w:noProof/>
        </w:rPr>
      </w:pPr>
      <w:r>
        <w:rPr>
          <w:noProof/>
        </w:rPr>
        <w:t>2.3.1</w:t>
      </w:r>
      <w:r>
        <w:rPr>
          <w:rFonts w:eastAsiaTheme="minorEastAsia" w:cstheme="minorBidi"/>
          <w:smallCaps w:val="0"/>
          <w:noProof/>
        </w:rPr>
        <w:tab/>
      </w:r>
      <w:r>
        <w:rPr>
          <w:noProof/>
        </w:rPr>
        <w:t>Opbygning af projektet</w:t>
      </w:r>
      <w:r>
        <w:rPr>
          <w:noProof/>
        </w:rPr>
        <w:tab/>
      </w:r>
      <w:r w:rsidR="00950B9F">
        <w:rPr>
          <w:noProof/>
        </w:rPr>
        <w:fldChar w:fldCharType="begin"/>
      </w:r>
      <w:r>
        <w:rPr>
          <w:noProof/>
        </w:rPr>
        <w:instrText xml:space="preserve"> PAGEREF _Toc354517400 \h </w:instrText>
      </w:r>
      <w:r w:rsidR="00950B9F">
        <w:rPr>
          <w:noProof/>
        </w:rPr>
      </w:r>
      <w:r w:rsidR="00950B9F">
        <w:rPr>
          <w:noProof/>
        </w:rPr>
        <w:fldChar w:fldCharType="separate"/>
      </w:r>
      <w:r w:rsidR="00D43498">
        <w:rPr>
          <w:noProof/>
        </w:rPr>
        <w:t>7</w:t>
      </w:r>
      <w:r w:rsidR="00950B9F">
        <w:rPr>
          <w:noProof/>
        </w:rPr>
        <w:fldChar w:fldCharType="end"/>
      </w:r>
    </w:p>
    <w:p w:rsidR="00F40C91" w:rsidRDefault="00F40C91">
      <w:pPr>
        <w:pStyle w:val="Indholdsfortegnelse3"/>
        <w:rPr>
          <w:rFonts w:eastAsiaTheme="minorEastAsia" w:cstheme="minorBidi"/>
          <w:smallCaps w:val="0"/>
          <w:noProof/>
        </w:rPr>
      </w:pPr>
      <w:r>
        <w:rPr>
          <w:noProof/>
        </w:rPr>
        <w:t>2.3.2</w:t>
      </w:r>
      <w:r>
        <w:rPr>
          <w:rFonts w:eastAsiaTheme="minorEastAsia" w:cstheme="minorBidi"/>
          <w:smallCaps w:val="0"/>
          <w:noProof/>
        </w:rPr>
        <w:tab/>
      </w:r>
      <w:r>
        <w:rPr>
          <w:noProof/>
        </w:rPr>
        <w:t>Teori i projektet</w:t>
      </w:r>
      <w:r>
        <w:rPr>
          <w:noProof/>
        </w:rPr>
        <w:tab/>
      </w:r>
      <w:r w:rsidR="00950B9F">
        <w:rPr>
          <w:noProof/>
        </w:rPr>
        <w:fldChar w:fldCharType="begin"/>
      </w:r>
      <w:r>
        <w:rPr>
          <w:noProof/>
        </w:rPr>
        <w:instrText xml:space="preserve"> PAGEREF _Toc354517401 \h </w:instrText>
      </w:r>
      <w:r w:rsidR="00950B9F">
        <w:rPr>
          <w:noProof/>
        </w:rPr>
      </w:r>
      <w:r w:rsidR="00950B9F">
        <w:rPr>
          <w:noProof/>
        </w:rPr>
        <w:fldChar w:fldCharType="separate"/>
      </w:r>
      <w:r w:rsidR="00D43498">
        <w:rPr>
          <w:noProof/>
        </w:rPr>
        <w:t>7</w:t>
      </w:r>
      <w:r w:rsidR="00950B9F">
        <w:rPr>
          <w:noProof/>
        </w:rPr>
        <w:fldChar w:fldCharType="end"/>
      </w:r>
    </w:p>
    <w:p w:rsidR="00F40C91" w:rsidRDefault="00F40C91">
      <w:pPr>
        <w:pStyle w:val="Indholdsfortegnelse3"/>
        <w:rPr>
          <w:rFonts w:eastAsiaTheme="minorEastAsia" w:cstheme="minorBidi"/>
          <w:smallCaps w:val="0"/>
          <w:noProof/>
        </w:rPr>
      </w:pPr>
      <w:r>
        <w:rPr>
          <w:noProof/>
        </w:rPr>
        <w:t>2.3.3</w:t>
      </w:r>
      <w:r>
        <w:rPr>
          <w:rFonts w:eastAsiaTheme="minorEastAsia" w:cstheme="minorBidi"/>
          <w:smallCaps w:val="0"/>
          <w:noProof/>
        </w:rPr>
        <w:tab/>
      </w:r>
      <w:r>
        <w:rPr>
          <w:noProof/>
        </w:rPr>
        <w:t>Øvrigt indhold</w:t>
      </w:r>
      <w:r>
        <w:rPr>
          <w:noProof/>
        </w:rPr>
        <w:tab/>
      </w:r>
      <w:r w:rsidR="00950B9F">
        <w:rPr>
          <w:noProof/>
        </w:rPr>
        <w:fldChar w:fldCharType="begin"/>
      </w:r>
      <w:r>
        <w:rPr>
          <w:noProof/>
        </w:rPr>
        <w:instrText xml:space="preserve"> PAGEREF _Toc354517402 \h </w:instrText>
      </w:r>
      <w:r w:rsidR="00950B9F">
        <w:rPr>
          <w:noProof/>
        </w:rPr>
      </w:r>
      <w:r w:rsidR="00950B9F">
        <w:rPr>
          <w:noProof/>
        </w:rPr>
        <w:fldChar w:fldCharType="separate"/>
      </w:r>
      <w:r w:rsidR="00D43498">
        <w:rPr>
          <w:noProof/>
        </w:rPr>
        <w:t>8</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2.4</w:t>
      </w:r>
      <w:r>
        <w:rPr>
          <w:rFonts w:eastAsiaTheme="minorEastAsia" w:cstheme="minorBidi"/>
          <w:b w:val="0"/>
          <w:bCs w:val="0"/>
          <w:smallCaps w:val="0"/>
          <w:noProof/>
        </w:rPr>
        <w:tab/>
      </w:r>
      <w:r>
        <w:rPr>
          <w:noProof/>
        </w:rPr>
        <w:t>Afgrænsning</w:t>
      </w:r>
      <w:r>
        <w:rPr>
          <w:noProof/>
        </w:rPr>
        <w:tab/>
      </w:r>
      <w:r w:rsidR="00950B9F">
        <w:rPr>
          <w:noProof/>
        </w:rPr>
        <w:fldChar w:fldCharType="begin"/>
      </w:r>
      <w:r>
        <w:rPr>
          <w:noProof/>
        </w:rPr>
        <w:instrText xml:space="preserve"> PAGEREF _Toc354517407 \h </w:instrText>
      </w:r>
      <w:r w:rsidR="00950B9F">
        <w:rPr>
          <w:noProof/>
        </w:rPr>
      </w:r>
      <w:r w:rsidR="00950B9F">
        <w:rPr>
          <w:noProof/>
        </w:rPr>
        <w:fldChar w:fldCharType="separate"/>
      </w:r>
      <w:r w:rsidR="00D43498">
        <w:rPr>
          <w:noProof/>
        </w:rPr>
        <w:t>9</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3</w:t>
      </w:r>
      <w:r>
        <w:rPr>
          <w:rFonts w:eastAsiaTheme="minorEastAsia" w:cstheme="minorBidi"/>
          <w:b w:val="0"/>
          <w:bCs w:val="0"/>
          <w:caps w:val="0"/>
          <w:noProof/>
          <w:u w:val="none"/>
        </w:rPr>
        <w:tab/>
      </w:r>
      <w:r>
        <w:rPr>
          <w:noProof/>
        </w:rPr>
        <w:t>Teori</w:t>
      </w:r>
      <w:r>
        <w:rPr>
          <w:noProof/>
        </w:rPr>
        <w:tab/>
      </w:r>
      <w:r w:rsidR="00950B9F">
        <w:rPr>
          <w:noProof/>
        </w:rPr>
        <w:fldChar w:fldCharType="begin"/>
      </w:r>
      <w:r>
        <w:rPr>
          <w:noProof/>
        </w:rPr>
        <w:instrText xml:space="preserve"> PAGEREF _Toc354517408 \h </w:instrText>
      </w:r>
      <w:r w:rsidR="00950B9F">
        <w:rPr>
          <w:noProof/>
        </w:rPr>
      </w:r>
      <w:r w:rsidR="00950B9F">
        <w:rPr>
          <w:noProof/>
        </w:rPr>
        <w:fldChar w:fldCharType="separate"/>
      </w:r>
      <w:r w:rsidR="00D43498">
        <w:rPr>
          <w:noProof/>
        </w:rPr>
        <w:t>10</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3.1</w:t>
      </w:r>
      <w:r>
        <w:rPr>
          <w:rFonts w:eastAsiaTheme="minorEastAsia" w:cstheme="minorBidi"/>
          <w:b w:val="0"/>
          <w:bCs w:val="0"/>
          <w:smallCaps w:val="0"/>
          <w:noProof/>
        </w:rPr>
        <w:tab/>
      </w:r>
      <w:r>
        <w:rPr>
          <w:noProof/>
        </w:rPr>
        <w:t>Lovgrundlag</w:t>
      </w:r>
      <w:r>
        <w:rPr>
          <w:noProof/>
        </w:rPr>
        <w:tab/>
      </w:r>
      <w:r w:rsidR="00950B9F">
        <w:rPr>
          <w:noProof/>
        </w:rPr>
        <w:fldChar w:fldCharType="begin"/>
      </w:r>
      <w:r>
        <w:rPr>
          <w:noProof/>
        </w:rPr>
        <w:instrText xml:space="preserve"> PAGEREF _Toc354517409 \h </w:instrText>
      </w:r>
      <w:r w:rsidR="00950B9F">
        <w:rPr>
          <w:noProof/>
        </w:rPr>
      </w:r>
      <w:r w:rsidR="00950B9F">
        <w:rPr>
          <w:noProof/>
        </w:rPr>
        <w:fldChar w:fldCharType="separate"/>
      </w:r>
      <w:r w:rsidR="00D43498">
        <w:rPr>
          <w:noProof/>
        </w:rPr>
        <w:t>10</w:t>
      </w:r>
      <w:r w:rsidR="00950B9F">
        <w:rPr>
          <w:noProof/>
        </w:rPr>
        <w:fldChar w:fldCharType="end"/>
      </w:r>
    </w:p>
    <w:p w:rsidR="00F40C91" w:rsidRDefault="00F40C91">
      <w:pPr>
        <w:pStyle w:val="Indholdsfortegnelse3"/>
        <w:rPr>
          <w:rFonts w:eastAsiaTheme="minorEastAsia" w:cstheme="minorBidi"/>
          <w:smallCaps w:val="0"/>
          <w:noProof/>
        </w:rPr>
      </w:pPr>
      <w:r>
        <w:rPr>
          <w:noProof/>
        </w:rPr>
        <w:t>3.1.1</w:t>
      </w:r>
      <w:r>
        <w:rPr>
          <w:rFonts w:eastAsiaTheme="minorEastAsia" w:cstheme="minorBidi"/>
          <w:smallCaps w:val="0"/>
          <w:noProof/>
        </w:rPr>
        <w:tab/>
      </w:r>
      <w:r>
        <w:rPr>
          <w:noProof/>
        </w:rPr>
        <w:t>Solvens</w:t>
      </w:r>
      <w:r>
        <w:rPr>
          <w:noProof/>
        </w:rPr>
        <w:tab/>
      </w:r>
      <w:r w:rsidR="00950B9F">
        <w:rPr>
          <w:noProof/>
        </w:rPr>
        <w:fldChar w:fldCharType="begin"/>
      </w:r>
      <w:r>
        <w:rPr>
          <w:noProof/>
        </w:rPr>
        <w:instrText xml:space="preserve"> PAGEREF _Toc354517410 \h </w:instrText>
      </w:r>
      <w:r w:rsidR="00950B9F">
        <w:rPr>
          <w:noProof/>
        </w:rPr>
      </w:r>
      <w:r w:rsidR="00950B9F">
        <w:rPr>
          <w:noProof/>
        </w:rPr>
        <w:fldChar w:fldCharType="separate"/>
      </w:r>
      <w:r w:rsidR="00D43498">
        <w:rPr>
          <w:noProof/>
        </w:rPr>
        <w:t>10</w:t>
      </w:r>
      <w:r w:rsidR="00950B9F">
        <w:rPr>
          <w:noProof/>
        </w:rPr>
        <w:fldChar w:fldCharType="end"/>
      </w:r>
    </w:p>
    <w:p w:rsidR="00F40C91" w:rsidRDefault="00F40C91">
      <w:pPr>
        <w:pStyle w:val="Indholdsfortegnelse3"/>
        <w:rPr>
          <w:rFonts w:eastAsiaTheme="minorEastAsia" w:cstheme="minorBidi"/>
          <w:smallCaps w:val="0"/>
          <w:noProof/>
        </w:rPr>
      </w:pPr>
      <w:r>
        <w:rPr>
          <w:noProof/>
        </w:rPr>
        <w:t>3.1.2</w:t>
      </w:r>
      <w:r>
        <w:rPr>
          <w:rFonts w:eastAsiaTheme="minorEastAsia" w:cstheme="minorBidi"/>
          <w:smallCaps w:val="0"/>
          <w:noProof/>
        </w:rPr>
        <w:tab/>
      </w:r>
      <w:r>
        <w:rPr>
          <w:noProof/>
        </w:rPr>
        <w:t>Risikovægtede poster</w:t>
      </w:r>
      <w:r>
        <w:rPr>
          <w:noProof/>
        </w:rPr>
        <w:tab/>
      </w:r>
      <w:r w:rsidR="00950B9F">
        <w:rPr>
          <w:noProof/>
        </w:rPr>
        <w:fldChar w:fldCharType="begin"/>
      </w:r>
      <w:r>
        <w:rPr>
          <w:noProof/>
        </w:rPr>
        <w:instrText xml:space="preserve"> PAGEREF _Toc354517411 \h </w:instrText>
      </w:r>
      <w:r w:rsidR="00950B9F">
        <w:rPr>
          <w:noProof/>
        </w:rPr>
      </w:r>
      <w:r w:rsidR="00950B9F">
        <w:rPr>
          <w:noProof/>
        </w:rPr>
        <w:fldChar w:fldCharType="separate"/>
      </w:r>
      <w:r w:rsidR="00D43498">
        <w:rPr>
          <w:noProof/>
        </w:rPr>
        <w:t>12</w:t>
      </w:r>
      <w:r w:rsidR="00950B9F">
        <w:rPr>
          <w:noProof/>
        </w:rPr>
        <w:fldChar w:fldCharType="end"/>
      </w:r>
    </w:p>
    <w:p w:rsidR="00F40C91" w:rsidRDefault="00F40C91">
      <w:pPr>
        <w:pStyle w:val="Indholdsfortegnelse3"/>
        <w:rPr>
          <w:rFonts w:eastAsiaTheme="minorEastAsia" w:cstheme="minorBidi"/>
          <w:smallCaps w:val="0"/>
          <w:noProof/>
        </w:rPr>
      </w:pPr>
      <w:r>
        <w:rPr>
          <w:noProof/>
        </w:rPr>
        <w:t>3.1.3</w:t>
      </w:r>
      <w:r>
        <w:rPr>
          <w:rFonts w:eastAsiaTheme="minorEastAsia" w:cstheme="minorBidi"/>
          <w:smallCaps w:val="0"/>
          <w:noProof/>
        </w:rPr>
        <w:tab/>
      </w:r>
      <w:r>
        <w:rPr>
          <w:noProof/>
        </w:rPr>
        <w:t>Likviditetskrav</w:t>
      </w:r>
      <w:r>
        <w:rPr>
          <w:noProof/>
        </w:rPr>
        <w:tab/>
      </w:r>
      <w:r w:rsidR="00950B9F">
        <w:rPr>
          <w:noProof/>
        </w:rPr>
        <w:fldChar w:fldCharType="begin"/>
      </w:r>
      <w:r>
        <w:rPr>
          <w:noProof/>
        </w:rPr>
        <w:instrText xml:space="preserve"> PAGEREF _Toc354517412 \h </w:instrText>
      </w:r>
      <w:r w:rsidR="00950B9F">
        <w:rPr>
          <w:noProof/>
        </w:rPr>
      </w:r>
      <w:r w:rsidR="00950B9F">
        <w:rPr>
          <w:noProof/>
        </w:rPr>
        <w:fldChar w:fldCharType="separate"/>
      </w:r>
      <w:r w:rsidR="00D43498">
        <w:rPr>
          <w:noProof/>
        </w:rPr>
        <w:t>13</w:t>
      </w:r>
      <w:r w:rsidR="00950B9F">
        <w:rPr>
          <w:noProof/>
        </w:rPr>
        <w:fldChar w:fldCharType="end"/>
      </w:r>
    </w:p>
    <w:p w:rsidR="00F40C91" w:rsidRDefault="00F40C91">
      <w:pPr>
        <w:pStyle w:val="Indholdsfortegnelse3"/>
        <w:rPr>
          <w:rFonts w:eastAsiaTheme="minorEastAsia" w:cstheme="minorBidi"/>
          <w:smallCaps w:val="0"/>
          <w:noProof/>
        </w:rPr>
      </w:pPr>
      <w:r>
        <w:rPr>
          <w:noProof/>
        </w:rPr>
        <w:t>3.1.4</w:t>
      </w:r>
      <w:r>
        <w:rPr>
          <w:rFonts w:eastAsiaTheme="minorEastAsia" w:cstheme="minorBidi"/>
          <w:smallCaps w:val="0"/>
          <w:noProof/>
        </w:rPr>
        <w:tab/>
      </w:r>
      <w:r>
        <w:rPr>
          <w:noProof/>
        </w:rPr>
        <w:t>Tilsynsdiamant</w:t>
      </w:r>
      <w:r>
        <w:rPr>
          <w:noProof/>
        </w:rPr>
        <w:tab/>
      </w:r>
      <w:r w:rsidR="00950B9F">
        <w:rPr>
          <w:noProof/>
        </w:rPr>
        <w:fldChar w:fldCharType="begin"/>
      </w:r>
      <w:r>
        <w:rPr>
          <w:noProof/>
        </w:rPr>
        <w:instrText xml:space="preserve"> PAGEREF _Toc354517413 \h </w:instrText>
      </w:r>
      <w:r w:rsidR="00950B9F">
        <w:rPr>
          <w:noProof/>
        </w:rPr>
      </w:r>
      <w:r w:rsidR="00950B9F">
        <w:rPr>
          <w:noProof/>
        </w:rPr>
        <w:fldChar w:fldCharType="separate"/>
      </w:r>
      <w:r w:rsidR="00D43498">
        <w:rPr>
          <w:noProof/>
        </w:rPr>
        <w:t>13</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3.2</w:t>
      </w:r>
      <w:r>
        <w:rPr>
          <w:rFonts w:eastAsiaTheme="minorEastAsia" w:cstheme="minorBidi"/>
          <w:b w:val="0"/>
          <w:bCs w:val="0"/>
          <w:smallCaps w:val="0"/>
          <w:noProof/>
        </w:rPr>
        <w:tab/>
      </w:r>
      <w:r>
        <w:rPr>
          <w:noProof/>
        </w:rPr>
        <w:t>Økonomiske nøgletal</w:t>
      </w:r>
      <w:r>
        <w:rPr>
          <w:noProof/>
        </w:rPr>
        <w:tab/>
      </w:r>
      <w:r w:rsidR="00950B9F">
        <w:rPr>
          <w:noProof/>
        </w:rPr>
        <w:fldChar w:fldCharType="begin"/>
      </w:r>
      <w:r>
        <w:rPr>
          <w:noProof/>
        </w:rPr>
        <w:instrText xml:space="preserve"> PAGEREF _Toc354517414 \h </w:instrText>
      </w:r>
      <w:r w:rsidR="00950B9F">
        <w:rPr>
          <w:noProof/>
        </w:rPr>
      </w:r>
      <w:r w:rsidR="00950B9F">
        <w:rPr>
          <w:noProof/>
        </w:rPr>
        <w:fldChar w:fldCharType="separate"/>
      </w:r>
      <w:r w:rsidR="00D43498">
        <w:rPr>
          <w:noProof/>
        </w:rPr>
        <w:t>16</w:t>
      </w:r>
      <w:r w:rsidR="00950B9F">
        <w:rPr>
          <w:noProof/>
        </w:rPr>
        <w:fldChar w:fldCharType="end"/>
      </w:r>
    </w:p>
    <w:p w:rsidR="00F40C91" w:rsidRDefault="00F40C91">
      <w:pPr>
        <w:pStyle w:val="Indholdsfortegnelse3"/>
        <w:rPr>
          <w:rFonts w:eastAsiaTheme="minorEastAsia" w:cstheme="minorBidi"/>
          <w:smallCaps w:val="0"/>
          <w:noProof/>
        </w:rPr>
      </w:pPr>
      <w:r>
        <w:rPr>
          <w:noProof/>
        </w:rPr>
        <w:t>3.2.1</w:t>
      </w:r>
      <w:r>
        <w:rPr>
          <w:rFonts w:eastAsiaTheme="minorEastAsia" w:cstheme="minorBidi"/>
          <w:smallCaps w:val="0"/>
          <w:noProof/>
        </w:rPr>
        <w:tab/>
      </w:r>
      <w:r>
        <w:rPr>
          <w:noProof/>
        </w:rPr>
        <w:t>WACC</w:t>
      </w:r>
      <w:r>
        <w:rPr>
          <w:noProof/>
        </w:rPr>
        <w:tab/>
      </w:r>
      <w:r w:rsidR="00950B9F">
        <w:rPr>
          <w:noProof/>
        </w:rPr>
        <w:fldChar w:fldCharType="begin"/>
      </w:r>
      <w:r>
        <w:rPr>
          <w:noProof/>
        </w:rPr>
        <w:instrText xml:space="preserve"> PAGEREF _Toc354517415 \h </w:instrText>
      </w:r>
      <w:r w:rsidR="00950B9F">
        <w:rPr>
          <w:noProof/>
        </w:rPr>
      </w:r>
      <w:r w:rsidR="00950B9F">
        <w:rPr>
          <w:noProof/>
        </w:rPr>
        <w:fldChar w:fldCharType="separate"/>
      </w:r>
      <w:r w:rsidR="00D43498">
        <w:rPr>
          <w:noProof/>
        </w:rPr>
        <w:t>16</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3.2.2</w:t>
      </w:r>
      <w:r w:rsidRPr="00F40C91">
        <w:rPr>
          <w:rFonts w:eastAsiaTheme="minorEastAsia" w:cstheme="minorBidi"/>
          <w:smallCaps w:val="0"/>
          <w:noProof/>
          <w:lang w:val="en-US"/>
        </w:rPr>
        <w:tab/>
      </w:r>
      <w:r w:rsidRPr="00F40C91">
        <w:rPr>
          <w:noProof/>
          <w:lang w:val="en-US"/>
        </w:rPr>
        <w:t>ICGR</w:t>
      </w:r>
      <w:r w:rsidRPr="00F40C91">
        <w:rPr>
          <w:noProof/>
          <w:lang w:val="en-US"/>
        </w:rPr>
        <w:tab/>
      </w:r>
      <w:r w:rsidR="00950B9F">
        <w:rPr>
          <w:noProof/>
        </w:rPr>
        <w:fldChar w:fldCharType="begin"/>
      </w:r>
      <w:r w:rsidRPr="00F40C91">
        <w:rPr>
          <w:noProof/>
          <w:lang w:val="en-US"/>
        </w:rPr>
        <w:instrText xml:space="preserve"> PAGEREF _Toc354517416 \h </w:instrText>
      </w:r>
      <w:r w:rsidR="00950B9F">
        <w:rPr>
          <w:noProof/>
        </w:rPr>
      </w:r>
      <w:r w:rsidR="00950B9F">
        <w:rPr>
          <w:noProof/>
        </w:rPr>
        <w:fldChar w:fldCharType="separate"/>
      </w:r>
      <w:r w:rsidR="00D43498">
        <w:rPr>
          <w:noProof/>
          <w:lang w:val="en-US"/>
        </w:rPr>
        <w:t>17</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3.2.3</w:t>
      </w:r>
      <w:r w:rsidRPr="00F40C91">
        <w:rPr>
          <w:rFonts w:eastAsiaTheme="minorEastAsia" w:cstheme="minorBidi"/>
          <w:smallCaps w:val="0"/>
          <w:noProof/>
          <w:lang w:val="en-US"/>
        </w:rPr>
        <w:tab/>
      </w:r>
      <w:r w:rsidRPr="00F40C91">
        <w:rPr>
          <w:noProof/>
          <w:lang w:val="en-US"/>
        </w:rPr>
        <w:t>GAP</w:t>
      </w:r>
      <w:r w:rsidRPr="00F40C91">
        <w:rPr>
          <w:noProof/>
          <w:lang w:val="en-US"/>
        </w:rPr>
        <w:tab/>
      </w:r>
      <w:r w:rsidR="00950B9F">
        <w:rPr>
          <w:noProof/>
        </w:rPr>
        <w:fldChar w:fldCharType="begin"/>
      </w:r>
      <w:r w:rsidRPr="00F40C91">
        <w:rPr>
          <w:noProof/>
          <w:lang w:val="en-US"/>
        </w:rPr>
        <w:instrText xml:space="preserve"> PAGEREF _Toc354517417 \h </w:instrText>
      </w:r>
      <w:r w:rsidR="00950B9F">
        <w:rPr>
          <w:noProof/>
        </w:rPr>
      </w:r>
      <w:r w:rsidR="00950B9F">
        <w:rPr>
          <w:noProof/>
        </w:rPr>
        <w:fldChar w:fldCharType="separate"/>
      </w:r>
      <w:r w:rsidR="00D43498">
        <w:rPr>
          <w:noProof/>
          <w:lang w:val="en-US"/>
        </w:rPr>
        <w:t>20</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3.2.4</w:t>
      </w:r>
      <w:r w:rsidRPr="00F40C91">
        <w:rPr>
          <w:rFonts w:eastAsiaTheme="minorEastAsia" w:cstheme="minorBidi"/>
          <w:smallCaps w:val="0"/>
          <w:noProof/>
          <w:lang w:val="en-US"/>
        </w:rPr>
        <w:tab/>
      </w:r>
      <w:r w:rsidRPr="00F40C91">
        <w:rPr>
          <w:noProof/>
          <w:lang w:val="en-US"/>
        </w:rPr>
        <w:t>Loan Ratio</w:t>
      </w:r>
      <w:r w:rsidRPr="00F40C91">
        <w:rPr>
          <w:noProof/>
          <w:lang w:val="en-US"/>
        </w:rPr>
        <w:tab/>
      </w:r>
      <w:r w:rsidR="00950B9F">
        <w:rPr>
          <w:noProof/>
        </w:rPr>
        <w:fldChar w:fldCharType="begin"/>
      </w:r>
      <w:r w:rsidRPr="00F40C91">
        <w:rPr>
          <w:noProof/>
          <w:lang w:val="en-US"/>
        </w:rPr>
        <w:instrText xml:space="preserve"> PAGEREF _Toc354517418 \h </w:instrText>
      </w:r>
      <w:r w:rsidR="00950B9F">
        <w:rPr>
          <w:noProof/>
        </w:rPr>
      </w:r>
      <w:r w:rsidR="00950B9F">
        <w:rPr>
          <w:noProof/>
        </w:rPr>
        <w:fldChar w:fldCharType="separate"/>
      </w:r>
      <w:r w:rsidR="00D43498">
        <w:rPr>
          <w:noProof/>
          <w:lang w:val="en-US"/>
        </w:rPr>
        <w:t>21</w:t>
      </w:r>
      <w:r w:rsidR="00950B9F">
        <w:rPr>
          <w:noProof/>
        </w:rPr>
        <w:fldChar w:fldCharType="end"/>
      </w:r>
    </w:p>
    <w:p w:rsidR="00F40C91" w:rsidRPr="00F40C91" w:rsidRDefault="00F40C91">
      <w:pPr>
        <w:pStyle w:val="Indholdsfortegnelse2"/>
        <w:rPr>
          <w:rFonts w:eastAsiaTheme="minorEastAsia" w:cstheme="minorBidi"/>
          <w:b w:val="0"/>
          <w:bCs w:val="0"/>
          <w:smallCaps w:val="0"/>
          <w:noProof/>
          <w:lang w:val="en-US"/>
        </w:rPr>
      </w:pPr>
      <w:r w:rsidRPr="00F40C91">
        <w:rPr>
          <w:noProof/>
          <w:lang w:val="en-US"/>
        </w:rPr>
        <w:t>3.3</w:t>
      </w:r>
      <w:r w:rsidRPr="00F40C91">
        <w:rPr>
          <w:rFonts w:eastAsiaTheme="minorEastAsia" w:cstheme="minorBidi"/>
          <w:b w:val="0"/>
          <w:bCs w:val="0"/>
          <w:smallCaps w:val="0"/>
          <w:noProof/>
          <w:lang w:val="en-US"/>
        </w:rPr>
        <w:tab/>
      </w:r>
      <w:r w:rsidRPr="00F40C91">
        <w:rPr>
          <w:noProof/>
          <w:lang w:val="en-US"/>
        </w:rPr>
        <w:t>Organisation</w:t>
      </w:r>
      <w:r w:rsidRPr="00F40C91">
        <w:rPr>
          <w:noProof/>
          <w:lang w:val="en-US"/>
        </w:rPr>
        <w:tab/>
      </w:r>
      <w:r w:rsidR="00950B9F">
        <w:rPr>
          <w:noProof/>
        </w:rPr>
        <w:fldChar w:fldCharType="begin"/>
      </w:r>
      <w:r w:rsidRPr="00F40C91">
        <w:rPr>
          <w:noProof/>
          <w:lang w:val="en-US"/>
        </w:rPr>
        <w:instrText xml:space="preserve"> PAGEREF _Toc354517419 \h </w:instrText>
      </w:r>
      <w:r w:rsidR="00950B9F">
        <w:rPr>
          <w:noProof/>
        </w:rPr>
      </w:r>
      <w:r w:rsidR="00950B9F">
        <w:rPr>
          <w:noProof/>
        </w:rPr>
        <w:fldChar w:fldCharType="separate"/>
      </w:r>
      <w:r w:rsidR="00D43498">
        <w:rPr>
          <w:noProof/>
          <w:lang w:val="en-US"/>
        </w:rPr>
        <w:t>22</w:t>
      </w:r>
      <w:r w:rsidR="00950B9F">
        <w:rPr>
          <w:noProof/>
        </w:rPr>
        <w:fldChar w:fldCharType="end"/>
      </w:r>
    </w:p>
    <w:p w:rsidR="00F40C91" w:rsidRDefault="00F40C91">
      <w:pPr>
        <w:pStyle w:val="Indholdsfortegnelse3"/>
        <w:rPr>
          <w:rFonts w:eastAsiaTheme="minorEastAsia" w:cstheme="minorBidi"/>
          <w:smallCaps w:val="0"/>
          <w:noProof/>
        </w:rPr>
      </w:pPr>
      <w:r>
        <w:rPr>
          <w:noProof/>
        </w:rPr>
        <w:t>3.3.1</w:t>
      </w:r>
      <w:r>
        <w:rPr>
          <w:rFonts w:eastAsiaTheme="minorEastAsia" w:cstheme="minorBidi"/>
          <w:smallCaps w:val="0"/>
          <w:noProof/>
        </w:rPr>
        <w:tab/>
      </w:r>
      <w:r>
        <w:rPr>
          <w:noProof/>
        </w:rPr>
        <w:t>Organisationens samlede kultur</w:t>
      </w:r>
      <w:r>
        <w:rPr>
          <w:noProof/>
        </w:rPr>
        <w:tab/>
      </w:r>
      <w:r w:rsidR="00950B9F">
        <w:rPr>
          <w:noProof/>
        </w:rPr>
        <w:fldChar w:fldCharType="begin"/>
      </w:r>
      <w:r>
        <w:rPr>
          <w:noProof/>
        </w:rPr>
        <w:instrText xml:space="preserve"> PAGEREF _Toc354517420 \h </w:instrText>
      </w:r>
      <w:r w:rsidR="00950B9F">
        <w:rPr>
          <w:noProof/>
        </w:rPr>
      </w:r>
      <w:r w:rsidR="00950B9F">
        <w:rPr>
          <w:noProof/>
        </w:rPr>
        <w:fldChar w:fldCharType="separate"/>
      </w:r>
      <w:r w:rsidR="00D43498">
        <w:rPr>
          <w:noProof/>
        </w:rPr>
        <w:t>22</w:t>
      </w:r>
      <w:r w:rsidR="00950B9F">
        <w:rPr>
          <w:noProof/>
        </w:rPr>
        <w:fldChar w:fldCharType="end"/>
      </w:r>
    </w:p>
    <w:p w:rsidR="00F40C91" w:rsidRDefault="00F40C91">
      <w:pPr>
        <w:pStyle w:val="Indholdsfortegnelse3"/>
        <w:rPr>
          <w:rFonts w:eastAsiaTheme="minorEastAsia" w:cstheme="minorBidi"/>
          <w:smallCaps w:val="0"/>
          <w:noProof/>
        </w:rPr>
      </w:pPr>
      <w:r>
        <w:rPr>
          <w:noProof/>
        </w:rPr>
        <w:t>3.3.2</w:t>
      </w:r>
      <w:r>
        <w:rPr>
          <w:rFonts w:eastAsiaTheme="minorEastAsia" w:cstheme="minorBidi"/>
          <w:smallCaps w:val="0"/>
          <w:noProof/>
        </w:rPr>
        <w:tab/>
      </w:r>
      <w:r>
        <w:rPr>
          <w:noProof/>
        </w:rPr>
        <w:t>Motivation af medarbejdere</w:t>
      </w:r>
      <w:r>
        <w:rPr>
          <w:noProof/>
        </w:rPr>
        <w:tab/>
      </w:r>
      <w:r w:rsidR="00950B9F">
        <w:rPr>
          <w:noProof/>
        </w:rPr>
        <w:fldChar w:fldCharType="begin"/>
      </w:r>
      <w:r>
        <w:rPr>
          <w:noProof/>
        </w:rPr>
        <w:instrText xml:space="preserve"> PAGEREF _Toc354517421 \h </w:instrText>
      </w:r>
      <w:r w:rsidR="00950B9F">
        <w:rPr>
          <w:noProof/>
        </w:rPr>
      </w:r>
      <w:r w:rsidR="00950B9F">
        <w:rPr>
          <w:noProof/>
        </w:rPr>
        <w:fldChar w:fldCharType="separate"/>
      </w:r>
      <w:r w:rsidR="00D43498">
        <w:rPr>
          <w:noProof/>
        </w:rPr>
        <w:t>24</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4</w:t>
      </w:r>
      <w:r>
        <w:rPr>
          <w:rFonts w:eastAsiaTheme="minorEastAsia" w:cstheme="minorBidi"/>
          <w:b w:val="0"/>
          <w:bCs w:val="0"/>
          <w:caps w:val="0"/>
          <w:noProof/>
          <w:u w:val="none"/>
        </w:rPr>
        <w:tab/>
      </w:r>
      <w:r>
        <w:rPr>
          <w:noProof/>
        </w:rPr>
        <w:t>Behandling</w:t>
      </w:r>
      <w:r>
        <w:rPr>
          <w:noProof/>
        </w:rPr>
        <w:tab/>
      </w:r>
      <w:r w:rsidR="00950B9F">
        <w:rPr>
          <w:noProof/>
        </w:rPr>
        <w:fldChar w:fldCharType="begin"/>
      </w:r>
      <w:r>
        <w:rPr>
          <w:noProof/>
        </w:rPr>
        <w:instrText xml:space="preserve"> PAGEREF _Toc354517422 \h </w:instrText>
      </w:r>
      <w:r w:rsidR="00950B9F">
        <w:rPr>
          <w:noProof/>
        </w:rPr>
      </w:r>
      <w:r w:rsidR="00950B9F">
        <w:rPr>
          <w:noProof/>
        </w:rPr>
        <w:fldChar w:fldCharType="separate"/>
      </w:r>
      <w:r w:rsidR="00D43498">
        <w:rPr>
          <w:noProof/>
        </w:rPr>
        <w:t>27</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4.1</w:t>
      </w:r>
      <w:r>
        <w:rPr>
          <w:rFonts w:eastAsiaTheme="minorEastAsia" w:cstheme="minorBidi"/>
          <w:b w:val="0"/>
          <w:bCs w:val="0"/>
          <w:smallCaps w:val="0"/>
          <w:noProof/>
        </w:rPr>
        <w:tab/>
      </w:r>
      <w:r>
        <w:rPr>
          <w:noProof/>
        </w:rPr>
        <w:t>Valg af pengeinstitutter</w:t>
      </w:r>
      <w:r>
        <w:rPr>
          <w:noProof/>
        </w:rPr>
        <w:tab/>
      </w:r>
      <w:r w:rsidR="00950B9F">
        <w:rPr>
          <w:noProof/>
        </w:rPr>
        <w:fldChar w:fldCharType="begin"/>
      </w:r>
      <w:r>
        <w:rPr>
          <w:noProof/>
        </w:rPr>
        <w:instrText xml:space="preserve"> PAGEREF _Toc354517423 \h </w:instrText>
      </w:r>
      <w:r w:rsidR="00950B9F">
        <w:rPr>
          <w:noProof/>
        </w:rPr>
      </w:r>
      <w:r w:rsidR="00950B9F">
        <w:rPr>
          <w:noProof/>
        </w:rPr>
        <w:fldChar w:fldCharType="separate"/>
      </w:r>
      <w:r w:rsidR="00D43498">
        <w:rPr>
          <w:noProof/>
        </w:rPr>
        <w:t>27</w:t>
      </w:r>
      <w:r w:rsidR="00950B9F">
        <w:rPr>
          <w:noProof/>
        </w:rPr>
        <w:fldChar w:fldCharType="end"/>
      </w:r>
    </w:p>
    <w:p w:rsidR="00F40C91" w:rsidRDefault="00F40C91">
      <w:pPr>
        <w:pStyle w:val="Indholdsfortegnelse3"/>
        <w:rPr>
          <w:rFonts w:eastAsiaTheme="minorEastAsia" w:cstheme="minorBidi"/>
          <w:smallCaps w:val="0"/>
          <w:noProof/>
        </w:rPr>
      </w:pPr>
      <w:r>
        <w:rPr>
          <w:noProof/>
        </w:rPr>
        <w:t>4.1.1</w:t>
      </w:r>
      <w:r>
        <w:rPr>
          <w:rFonts w:eastAsiaTheme="minorEastAsia" w:cstheme="minorBidi"/>
          <w:smallCaps w:val="0"/>
          <w:noProof/>
        </w:rPr>
        <w:tab/>
      </w:r>
      <w:r>
        <w:rPr>
          <w:noProof/>
        </w:rPr>
        <w:t>Den Jyske Sparekasse (Den Jyske)</w:t>
      </w:r>
      <w:r>
        <w:rPr>
          <w:noProof/>
        </w:rPr>
        <w:tab/>
      </w:r>
      <w:r w:rsidR="00950B9F">
        <w:rPr>
          <w:noProof/>
        </w:rPr>
        <w:fldChar w:fldCharType="begin"/>
      </w:r>
      <w:r>
        <w:rPr>
          <w:noProof/>
        </w:rPr>
        <w:instrText xml:space="preserve"> PAGEREF _Toc354517424 \h </w:instrText>
      </w:r>
      <w:r w:rsidR="00950B9F">
        <w:rPr>
          <w:noProof/>
        </w:rPr>
      </w:r>
      <w:r w:rsidR="00950B9F">
        <w:rPr>
          <w:noProof/>
        </w:rPr>
        <w:fldChar w:fldCharType="separate"/>
      </w:r>
      <w:r w:rsidR="00D43498">
        <w:rPr>
          <w:noProof/>
        </w:rPr>
        <w:t>27</w:t>
      </w:r>
      <w:r w:rsidR="00950B9F">
        <w:rPr>
          <w:noProof/>
        </w:rPr>
        <w:fldChar w:fldCharType="end"/>
      </w:r>
    </w:p>
    <w:p w:rsidR="00F40C91" w:rsidRDefault="00F40C91">
      <w:pPr>
        <w:pStyle w:val="Indholdsfortegnelse3"/>
        <w:rPr>
          <w:rFonts w:eastAsiaTheme="minorEastAsia" w:cstheme="minorBidi"/>
          <w:smallCaps w:val="0"/>
          <w:noProof/>
        </w:rPr>
      </w:pPr>
      <w:r>
        <w:rPr>
          <w:noProof/>
        </w:rPr>
        <w:t>4.1.2</w:t>
      </w:r>
      <w:r>
        <w:rPr>
          <w:rFonts w:eastAsiaTheme="minorEastAsia" w:cstheme="minorBidi"/>
          <w:smallCaps w:val="0"/>
          <w:noProof/>
        </w:rPr>
        <w:tab/>
      </w:r>
      <w:r>
        <w:rPr>
          <w:noProof/>
        </w:rPr>
        <w:t>Dronninglund Sparekasse (DS)</w:t>
      </w:r>
      <w:r>
        <w:rPr>
          <w:noProof/>
        </w:rPr>
        <w:tab/>
      </w:r>
      <w:r w:rsidR="00950B9F">
        <w:rPr>
          <w:noProof/>
        </w:rPr>
        <w:fldChar w:fldCharType="begin"/>
      </w:r>
      <w:r>
        <w:rPr>
          <w:noProof/>
        </w:rPr>
        <w:instrText xml:space="preserve"> PAGEREF _Toc354517425 \h </w:instrText>
      </w:r>
      <w:r w:rsidR="00950B9F">
        <w:rPr>
          <w:noProof/>
        </w:rPr>
      </w:r>
      <w:r w:rsidR="00950B9F">
        <w:rPr>
          <w:noProof/>
        </w:rPr>
        <w:fldChar w:fldCharType="separate"/>
      </w:r>
      <w:r w:rsidR="00D43498">
        <w:rPr>
          <w:noProof/>
        </w:rPr>
        <w:t>29</w:t>
      </w:r>
      <w:r w:rsidR="00950B9F">
        <w:rPr>
          <w:noProof/>
        </w:rPr>
        <w:fldChar w:fldCharType="end"/>
      </w:r>
    </w:p>
    <w:p w:rsidR="00F40C91" w:rsidRDefault="00F40C91">
      <w:pPr>
        <w:pStyle w:val="Indholdsfortegnelse3"/>
        <w:rPr>
          <w:rFonts w:eastAsiaTheme="minorEastAsia" w:cstheme="minorBidi"/>
          <w:smallCaps w:val="0"/>
          <w:noProof/>
        </w:rPr>
      </w:pPr>
      <w:r>
        <w:rPr>
          <w:noProof/>
        </w:rPr>
        <w:t>4.1.3</w:t>
      </w:r>
      <w:r>
        <w:rPr>
          <w:rFonts w:eastAsiaTheme="minorEastAsia" w:cstheme="minorBidi"/>
          <w:smallCaps w:val="0"/>
          <w:noProof/>
        </w:rPr>
        <w:tab/>
      </w:r>
      <w:r>
        <w:rPr>
          <w:noProof/>
        </w:rPr>
        <w:t>Kort opsummering og vigtigste udvalgte nøgletal fra 2012</w:t>
      </w:r>
      <w:r>
        <w:rPr>
          <w:noProof/>
        </w:rPr>
        <w:tab/>
      </w:r>
      <w:r w:rsidR="00950B9F">
        <w:rPr>
          <w:noProof/>
        </w:rPr>
        <w:fldChar w:fldCharType="begin"/>
      </w:r>
      <w:r>
        <w:rPr>
          <w:noProof/>
        </w:rPr>
        <w:instrText xml:space="preserve"> PAGEREF _Toc354517426 \h </w:instrText>
      </w:r>
      <w:r w:rsidR="00950B9F">
        <w:rPr>
          <w:noProof/>
        </w:rPr>
      </w:r>
      <w:r w:rsidR="00950B9F">
        <w:rPr>
          <w:noProof/>
        </w:rPr>
        <w:fldChar w:fldCharType="separate"/>
      </w:r>
      <w:r w:rsidR="00D43498">
        <w:rPr>
          <w:noProof/>
        </w:rPr>
        <w:t>32</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4.2</w:t>
      </w:r>
      <w:r>
        <w:rPr>
          <w:rFonts w:eastAsiaTheme="minorEastAsia" w:cstheme="minorBidi"/>
          <w:b w:val="0"/>
          <w:bCs w:val="0"/>
          <w:smallCaps w:val="0"/>
          <w:noProof/>
        </w:rPr>
        <w:tab/>
      </w:r>
      <w:r>
        <w:rPr>
          <w:noProof/>
        </w:rPr>
        <w:t>Rentabilitet af pengeinstitutterne</w:t>
      </w:r>
      <w:r>
        <w:rPr>
          <w:noProof/>
        </w:rPr>
        <w:tab/>
      </w:r>
      <w:r w:rsidR="00950B9F">
        <w:rPr>
          <w:noProof/>
        </w:rPr>
        <w:fldChar w:fldCharType="begin"/>
      </w:r>
      <w:r>
        <w:rPr>
          <w:noProof/>
        </w:rPr>
        <w:instrText xml:space="preserve"> PAGEREF _Toc354517427 \h </w:instrText>
      </w:r>
      <w:r w:rsidR="00950B9F">
        <w:rPr>
          <w:noProof/>
        </w:rPr>
      </w:r>
      <w:r w:rsidR="00950B9F">
        <w:rPr>
          <w:noProof/>
        </w:rPr>
        <w:fldChar w:fldCharType="separate"/>
      </w:r>
      <w:r w:rsidR="00D43498">
        <w:rPr>
          <w:noProof/>
        </w:rPr>
        <w:t>33</w:t>
      </w:r>
      <w:r w:rsidR="00950B9F">
        <w:rPr>
          <w:noProof/>
        </w:rPr>
        <w:fldChar w:fldCharType="end"/>
      </w:r>
    </w:p>
    <w:p w:rsidR="00F40C91" w:rsidRDefault="00F40C91">
      <w:pPr>
        <w:pStyle w:val="Indholdsfortegnelse3"/>
        <w:rPr>
          <w:rFonts w:eastAsiaTheme="minorEastAsia" w:cstheme="minorBidi"/>
          <w:smallCaps w:val="0"/>
          <w:noProof/>
        </w:rPr>
      </w:pPr>
      <w:r>
        <w:rPr>
          <w:noProof/>
        </w:rPr>
        <w:t>4.2.1</w:t>
      </w:r>
      <w:r>
        <w:rPr>
          <w:rFonts w:eastAsiaTheme="minorEastAsia" w:cstheme="minorBidi"/>
          <w:smallCaps w:val="0"/>
          <w:noProof/>
        </w:rPr>
        <w:tab/>
      </w:r>
      <w:r>
        <w:rPr>
          <w:noProof/>
        </w:rPr>
        <w:t>Solvens</w:t>
      </w:r>
      <w:r>
        <w:rPr>
          <w:noProof/>
        </w:rPr>
        <w:tab/>
      </w:r>
      <w:r w:rsidR="00950B9F">
        <w:rPr>
          <w:noProof/>
        </w:rPr>
        <w:fldChar w:fldCharType="begin"/>
      </w:r>
      <w:r>
        <w:rPr>
          <w:noProof/>
        </w:rPr>
        <w:instrText xml:space="preserve"> PAGEREF _Toc354517428 \h </w:instrText>
      </w:r>
      <w:r w:rsidR="00950B9F">
        <w:rPr>
          <w:noProof/>
        </w:rPr>
      </w:r>
      <w:r w:rsidR="00950B9F">
        <w:rPr>
          <w:noProof/>
        </w:rPr>
        <w:fldChar w:fldCharType="separate"/>
      </w:r>
      <w:r w:rsidR="00D43498">
        <w:rPr>
          <w:noProof/>
        </w:rPr>
        <w:t>33</w:t>
      </w:r>
      <w:r w:rsidR="00950B9F">
        <w:rPr>
          <w:noProof/>
        </w:rPr>
        <w:fldChar w:fldCharType="end"/>
      </w:r>
    </w:p>
    <w:p w:rsidR="00F40C91" w:rsidRDefault="00F40C91">
      <w:pPr>
        <w:pStyle w:val="Indholdsfortegnelse3"/>
        <w:rPr>
          <w:rFonts w:eastAsiaTheme="minorEastAsia" w:cstheme="minorBidi"/>
          <w:smallCaps w:val="0"/>
          <w:noProof/>
        </w:rPr>
      </w:pPr>
      <w:r>
        <w:rPr>
          <w:noProof/>
        </w:rPr>
        <w:t>4.2.2</w:t>
      </w:r>
      <w:r>
        <w:rPr>
          <w:rFonts w:eastAsiaTheme="minorEastAsia" w:cstheme="minorBidi"/>
          <w:smallCaps w:val="0"/>
          <w:noProof/>
        </w:rPr>
        <w:tab/>
      </w:r>
      <w:r>
        <w:rPr>
          <w:noProof/>
        </w:rPr>
        <w:t>Tilsynsdiamanten</w:t>
      </w:r>
      <w:r>
        <w:rPr>
          <w:noProof/>
        </w:rPr>
        <w:tab/>
      </w:r>
      <w:r w:rsidR="00950B9F">
        <w:rPr>
          <w:noProof/>
        </w:rPr>
        <w:fldChar w:fldCharType="begin"/>
      </w:r>
      <w:r>
        <w:rPr>
          <w:noProof/>
        </w:rPr>
        <w:instrText xml:space="preserve"> PAGEREF _Toc354517429 \h </w:instrText>
      </w:r>
      <w:r w:rsidR="00950B9F">
        <w:rPr>
          <w:noProof/>
        </w:rPr>
      </w:r>
      <w:r w:rsidR="00950B9F">
        <w:rPr>
          <w:noProof/>
        </w:rPr>
        <w:fldChar w:fldCharType="separate"/>
      </w:r>
      <w:r w:rsidR="00D43498">
        <w:rPr>
          <w:noProof/>
        </w:rPr>
        <w:t>35</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4.2.3</w:t>
      </w:r>
      <w:r w:rsidRPr="00F40C91">
        <w:rPr>
          <w:rFonts w:eastAsiaTheme="minorEastAsia" w:cstheme="minorBidi"/>
          <w:smallCaps w:val="0"/>
          <w:noProof/>
          <w:lang w:val="en-US"/>
        </w:rPr>
        <w:tab/>
      </w:r>
      <w:r w:rsidRPr="00F40C91">
        <w:rPr>
          <w:noProof/>
          <w:lang w:val="en-US"/>
        </w:rPr>
        <w:t>WACC</w:t>
      </w:r>
      <w:r w:rsidRPr="00F40C91">
        <w:rPr>
          <w:noProof/>
          <w:lang w:val="en-US"/>
        </w:rPr>
        <w:tab/>
      </w:r>
      <w:r w:rsidR="00950B9F">
        <w:rPr>
          <w:noProof/>
        </w:rPr>
        <w:fldChar w:fldCharType="begin"/>
      </w:r>
      <w:r w:rsidRPr="00F40C91">
        <w:rPr>
          <w:noProof/>
          <w:lang w:val="en-US"/>
        </w:rPr>
        <w:instrText xml:space="preserve"> PAGEREF _Toc354517430 \h </w:instrText>
      </w:r>
      <w:r w:rsidR="00950B9F">
        <w:rPr>
          <w:noProof/>
        </w:rPr>
      </w:r>
      <w:r w:rsidR="00950B9F">
        <w:rPr>
          <w:noProof/>
        </w:rPr>
        <w:fldChar w:fldCharType="separate"/>
      </w:r>
      <w:r w:rsidR="00D43498">
        <w:rPr>
          <w:noProof/>
          <w:lang w:val="en-US"/>
        </w:rPr>
        <w:t>36</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4.2.4</w:t>
      </w:r>
      <w:r w:rsidRPr="00F40C91">
        <w:rPr>
          <w:rFonts w:eastAsiaTheme="minorEastAsia" w:cstheme="minorBidi"/>
          <w:smallCaps w:val="0"/>
          <w:noProof/>
          <w:lang w:val="en-US"/>
        </w:rPr>
        <w:tab/>
      </w:r>
      <w:r w:rsidRPr="00F40C91">
        <w:rPr>
          <w:noProof/>
          <w:lang w:val="en-US"/>
        </w:rPr>
        <w:t>ICGR</w:t>
      </w:r>
      <w:r w:rsidRPr="00F40C91">
        <w:rPr>
          <w:noProof/>
          <w:lang w:val="en-US"/>
        </w:rPr>
        <w:tab/>
      </w:r>
      <w:r w:rsidR="00950B9F">
        <w:rPr>
          <w:noProof/>
        </w:rPr>
        <w:fldChar w:fldCharType="begin"/>
      </w:r>
      <w:r w:rsidRPr="00F40C91">
        <w:rPr>
          <w:noProof/>
          <w:lang w:val="en-US"/>
        </w:rPr>
        <w:instrText xml:space="preserve"> PAGEREF _Toc354517431 \h </w:instrText>
      </w:r>
      <w:r w:rsidR="00950B9F">
        <w:rPr>
          <w:noProof/>
        </w:rPr>
      </w:r>
      <w:r w:rsidR="00950B9F">
        <w:rPr>
          <w:noProof/>
        </w:rPr>
        <w:fldChar w:fldCharType="separate"/>
      </w:r>
      <w:r w:rsidR="00D43498">
        <w:rPr>
          <w:noProof/>
          <w:lang w:val="en-US"/>
        </w:rPr>
        <w:t>39</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4.2.5</w:t>
      </w:r>
      <w:r w:rsidRPr="00F40C91">
        <w:rPr>
          <w:rFonts w:eastAsiaTheme="minorEastAsia" w:cstheme="minorBidi"/>
          <w:smallCaps w:val="0"/>
          <w:noProof/>
          <w:lang w:val="en-US"/>
        </w:rPr>
        <w:tab/>
      </w:r>
      <w:r w:rsidRPr="00F40C91">
        <w:rPr>
          <w:noProof/>
          <w:lang w:val="en-US"/>
        </w:rPr>
        <w:t>GAP</w:t>
      </w:r>
      <w:r w:rsidRPr="00F40C91">
        <w:rPr>
          <w:noProof/>
          <w:lang w:val="en-US"/>
        </w:rPr>
        <w:tab/>
      </w:r>
      <w:r w:rsidR="00950B9F">
        <w:rPr>
          <w:noProof/>
        </w:rPr>
        <w:fldChar w:fldCharType="begin"/>
      </w:r>
      <w:r w:rsidRPr="00F40C91">
        <w:rPr>
          <w:noProof/>
          <w:lang w:val="en-US"/>
        </w:rPr>
        <w:instrText xml:space="preserve"> PAGEREF _Toc354517432 \h </w:instrText>
      </w:r>
      <w:r w:rsidR="00950B9F">
        <w:rPr>
          <w:noProof/>
        </w:rPr>
      </w:r>
      <w:r w:rsidR="00950B9F">
        <w:rPr>
          <w:noProof/>
        </w:rPr>
        <w:fldChar w:fldCharType="separate"/>
      </w:r>
      <w:r w:rsidR="00D43498">
        <w:rPr>
          <w:noProof/>
          <w:lang w:val="en-US"/>
        </w:rPr>
        <w:t>41</w:t>
      </w:r>
      <w:r w:rsidR="00950B9F">
        <w:rPr>
          <w:noProof/>
        </w:rPr>
        <w:fldChar w:fldCharType="end"/>
      </w:r>
    </w:p>
    <w:p w:rsidR="00F40C91" w:rsidRPr="00F40C91" w:rsidRDefault="00F40C91">
      <w:pPr>
        <w:pStyle w:val="Indholdsfortegnelse3"/>
        <w:rPr>
          <w:rFonts w:eastAsiaTheme="minorEastAsia" w:cstheme="minorBidi"/>
          <w:smallCaps w:val="0"/>
          <w:noProof/>
          <w:lang w:val="en-US"/>
        </w:rPr>
      </w:pPr>
      <w:r w:rsidRPr="00F40C91">
        <w:rPr>
          <w:noProof/>
          <w:lang w:val="en-US"/>
        </w:rPr>
        <w:t>4.2.6</w:t>
      </w:r>
      <w:r w:rsidRPr="00F40C91">
        <w:rPr>
          <w:rFonts w:eastAsiaTheme="minorEastAsia" w:cstheme="minorBidi"/>
          <w:smallCaps w:val="0"/>
          <w:noProof/>
          <w:lang w:val="en-US"/>
        </w:rPr>
        <w:tab/>
      </w:r>
      <w:r w:rsidRPr="00F40C91">
        <w:rPr>
          <w:noProof/>
          <w:lang w:val="en-US"/>
        </w:rPr>
        <w:t>Loan Ratio</w:t>
      </w:r>
      <w:r w:rsidRPr="00F40C91">
        <w:rPr>
          <w:noProof/>
          <w:lang w:val="en-US"/>
        </w:rPr>
        <w:tab/>
      </w:r>
      <w:r w:rsidR="00950B9F">
        <w:rPr>
          <w:noProof/>
        </w:rPr>
        <w:fldChar w:fldCharType="begin"/>
      </w:r>
      <w:r w:rsidRPr="00F40C91">
        <w:rPr>
          <w:noProof/>
          <w:lang w:val="en-US"/>
        </w:rPr>
        <w:instrText xml:space="preserve"> PAGEREF _Toc354517433 \h </w:instrText>
      </w:r>
      <w:r w:rsidR="00950B9F">
        <w:rPr>
          <w:noProof/>
        </w:rPr>
      </w:r>
      <w:r w:rsidR="00950B9F">
        <w:rPr>
          <w:noProof/>
        </w:rPr>
        <w:fldChar w:fldCharType="separate"/>
      </w:r>
      <w:r w:rsidR="00D43498">
        <w:rPr>
          <w:noProof/>
          <w:lang w:val="en-US"/>
        </w:rPr>
        <w:t>44</w:t>
      </w:r>
      <w:r w:rsidR="00950B9F">
        <w:rPr>
          <w:noProof/>
        </w:rPr>
        <w:fldChar w:fldCharType="end"/>
      </w:r>
    </w:p>
    <w:p w:rsidR="00F40C91" w:rsidRDefault="00F40C91">
      <w:pPr>
        <w:pStyle w:val="Indholdsfortegnelse3"/>
        <w:rPr>
          <w:rFonts w:eastAsiaTheme="minorEastAsia" w:cstheme="minorBidi"/>
          <w:smallCaps w:val="0"/>
          <w:noProof/>
        </w:rPr>
      </w:pPr>
      <w:r>
        <w:rPr>
          <w:noProof/>
        </w:rPr>
        <w:t>4.2.7</w:t>
      </w:r>
      <w:r>
        <w:rPr>
          <w:rFonts w:eastAsiaTheme="minorEastAsia" w:cstheme="minorBidi"/>
          <w:smallCaps w:val="0"/>
          <w:noProof/>
        </w:rPr>
        <w:tab/>
      </w:r>
      <w:r>
        <w:rPr>
          <w:noProof/>
        </w:rPr>
        <w:t>Delkonklusion/opsamling</w:t>
      </w:r>
      <w:r>
        <w:rPr>
          <w:noProof/>
        </w:rPr>
        <w:tab/>
      </w:r>
      <w:r w:rsidR="00950B9F">
        <w:rPr>
          <w:noProof/>
        </w:rPr>
        <w:fldChar w:fldCharType="begin"/>
      </w:r>
      <w:r>
        <w:rPr>
          <w:noProof/>
        </w:rPr>
        <w:instrText xml:space="preserve"> PAGEREF _Toc354517434 \h </w:instrText>
      </w:r>
      <w:r w:rsidR="00950B9F">
        <w:rPr>
          <w:noProof/>
        </w:rPr>
      </w:r>
      <w:r w:rsidR="00950B9F">
        <w:rPr>
          <w:noProof/>
        </w:rPr>
        <w:fldChar w:fldCharType="separate"/>
      </w:r>
      <w:r w:rsidR="00D43498">
        <w:rPr>
          <w:noProof/>
        </w:rPr>
        <w:t>45</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5</w:t>
      </w:r>
      <w:r>
        <w:rPr>
          <w:rFonts w:eastAsiaTheme="minorEastAsia" w:cstheme="minorBidi"/>
          <w:b w:val="0"/>
          <w:bCs w:val="0"/>
          <w:caps w:val="0"/>
          <w:noProof/>
          <w:u w:val="none"/>
        </w:rPr>
        <w:tab/>
      </w:r>
      <w:r>
        <w:rPr>
          <w:noProof/>
        </w:rPr>
        <w:t>Fusion</w:t>
      </w:r>
      <w:r>
        <w:rPr>
          <w:noProof/>
        </w:rPr>
        <w:tab/>
      </w:r>
      <w:r w:rsidR="00950B9F">
        <w:rPr>
          <w:noProof/>
        </w:rPr>
        <w:fldChar w:fldCharType="begin"/>
      </w:r>
      <w:r>
        <w:rPr>
          <w:noProof/>
        </w:rPr>
        <w:instrText xml:space="preserve"> PAGEREF _Toc354517435 \h </w:instrText>
      </w:r>
      <w:r w:rsidR="00950B9F">
        <w:rPr>
          <w:noProof/>
        </w:rPr>
      </w:r>
      <w:r w:rsidR="00950B9F">
        <w:rPr>
          <w:noProof/>
        </w:rPr>
        <w:fldChar w:fldCharType="separate"/>
      </w:r>
      <w:r w:rsidR="00D43498">
        <w:rPr>
          <w:noProof/>
        </w:rPr>
        <w:t>47</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5.1</w:t>
      </w:r>
      <w:r>
        <w:rPr>
          <w:rFonts w:eastAsiaTheme="minorEastAsia" w:cstheme="minorBidi"/>
          <w:b w:val="0"/>
          <w:bCs w:val="0"/>
          <w:smallCaps w:val="0"/>
          <w:noProof/>
        </w:rPr>
        <w:tab/>
      </w:r>
      <w:r>
        <w:rPr>
          <w:noProof/>
        </w:rPr>
        <w:t>Fusion</w:t>
      </w:r>
      <w:r>
        <w:rPr>
          <w:noProof/>
        </w:rPr>
        <w:tab/>
      </w:r>
      <w:r w:rsidR="00950B9F">
        <w:rPr>
          <w:noProof/>
        </w:rPr>
        <w:fldChar w:fldCharType="begin"/>
      </w:r>
      <w:r>
        <w:rPr>
          <w:noProof/>
        </w:rPr>
        <w:instrText xml:space="preserve"> PAGEREF _Toc354517438 \h </w:instrText>
      </w:r>
      <w:r w:rsidR="00950B9F">
        <w:rPr>
          <w:noProof/>
        </w:rPr>
      </w:r>
      <w:r w:rsidR="00950B9F">
        <w:rPr>
          <w:noProof/>
        </w:rPr>
        <w:fldChar w:fldCharType="separate"/>
      </w:r>
      <w:r w:rsidR="00D43498">
        <w:rPr>
          <w:noProof/>
        </w:rPr>
        <w:t>47</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5.2</w:t>
      </w:r>
      <w:r>
        <w:rPr>
          <w:rFonts w:eastAsiaTheme="minorEastAsia" w:cstheme="minorBidi"/>
          <w:b w:val="0"/>
          <w:bCs w:val="0"/>
          <w:smallCaps w:val="0"/>
          <w:noProof/>
        </w:rPr>
        <w:tab/>
      </w:r>
      <w:r>
        <w:rPr>
          <w:noProof/>
        </w:rPr>
        <w:t>Finansiering - fusion</w:t>
      </w:r>
      <w:r>
        <w:rPr>
          <w:noProof/>
        </w:rPr>
        <w:tab/>
      </w:r>
      <w:r w:rsidR="00950B9F">
        <w:rPr>
          <w:noProof/>
        </w:rPr>
        <w:fldChar w:fldCharType="begin"/>
      </w:r>
      <w:r>
        <w:rPr>
          <w:noProof/>
        </w:rPr>
        <w:instrText xml:space="preserve"> PAGEREF _Toc354517439 \h </w:instrText>
      </w:r>
      <w:r w:rsidR="00950B9F">
        <w:rPr>
          <w:noProof/>
        </w:rPr>
      </w:r>
      <w:r w:rsidR="00950B9F">
        <w:rPr>
          <w:noProof/>
        </w:rPr>
        <w:fldChar w:fldCharType="separate"/>
      </w:r>
      <w:r w:rsidR="00D43498">
        <w:rPr>
          <w:noProof/>
        </w:rPr>
        <w:t>49</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5.3</w:t>
      </w:r>
      <w:r>
        <w:rPr>
          <w:rFonts w:eastAsiaTheme="minorEastAsia" w:cstheme="minorBidi"/>
          <w:b w:val="0"/>
          <w:bCs w:val="0"/>
          <w:smallCaps w:val="0"/>
          <w:noProof/>
        </w:rPr>
        <w:tab/>
      </w:r>
      <w:r>
        <w:rPr>
          <w:noProof/>
        </w:rPr>
        <w:t>Rationalisering ved Fusion af Den Jyske Sparekasse og Dronninglund Sparekasse</w:t>
      </w:r>
      <w:r>
        <w:rPr>
          <w:noProof/>
        </w:rPr>
        <w:tab/>
      </w:r>
      <w:r w:rsidR="00950B9F">
        <w:rPr>
          <w:noProof/>
        </w:rPr>
        <w:fldChar w:fldCharType="begin"/>
      </w:r>
      <w:r>
        <w:rPr>
          <w:noProof/>
        </w:rPr>
        <w:instrText xml:space="preserve"> PAGEREF _Toc354517440 \h </w:instrText>
      </w:r>
      <w:r w:rsidR="00950B9F">
        <w:rPr>
          <w:noProof/>
        </w:rPr>
      </w:r>
      <w:r w:rsidR="00950B9F">
        <w:rPr>
          <w:noProof/>
        </w:rPr>
        <w:fldChar w:fldCharType="separate"/>
      </w:r>
      <w:r w:rsidR="00D43498">
        <w:rPr>
          <w:noProof/>
        </w:rPr>
        <w:t>50</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5.4</w:t>
      </w:r>
      <w:r>
        <w:rPr>
          <w:rFonts w:eastAsiaTheme="minorEastAsia" w:cstheme="minorBidi"/>
          <w:b w:val="0"/>
          <w:bCs w:val="0"/>
          <w:smallCaps w:val="0"/>
          <w:noProof/>
        </w:rPr>
        <w:tab/>
      </w:r>
      <w:r>
        <w:rPr>
          <w:noProof/>
        </w:rPr>
        <w:t>Risici ved fusion</w:t>
      </w:r>
      <w:r>
        <w:rPr>
          <w:noProof/>
        </w:rPr>
        <w:tab/>
      </w:r>
      <w:r w:rsidR="00950B9F">
        <w:rPr>
          <w:noProof/>
        </w:rPr>
        <w:fldChar w:fldCharType="begin"/>
      </w:r>
      <w:r>
        <w:rPr>
          <w:noProof/>
        </w:rPr>
        <w:instrText xml:space="preserve"> PAGEREF _Toc354517441 \h </w:instrText>
      </w:r>
      <w:r w:rsidR="00950B9F">
        <w:rPr>
          <w:noProof/>
        </w:rPr>
      </w:r>
      <w:r w:rsidR="00950B9F">
        <w:rPr>
          <w:noProof/>
        </w:rPr>
        <w:fldChar w:fldCharType="separate"/>
      </w:r>
      <w:r w:rsidR="00D43498">
        <w:rPr>
          <w:noProof/>
        </w:rPr>
        <w:t>53</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lastRenderedPageBreak/>
        <w:t>6</w:t>
      </w:r>
      <w:r>
        <w:rPr>
          <w:rFonts w:eastAsiaTheme="minorEastAsia" w:cstheme="minorBidi"/>
          <w:b w:val="0"/>
          <w:bCs w:val="0"/>
          <w:caps w:val="0"/>
          <w:noProof/>
          <w:u w:val="none"/>
        </w:rPr>
        <w:tab/>
      </w:r>
      <w:r>
        <w:rPr>
          <w:noProof/>
        </w:rPr>
        <w:t>Rentabilitet efter fusion</w:t>
      </w:r>
      <w:r>
        <w:rPr>
          <w:noProof/>
        </w:rPr>
        <w:tab/>
      </w:r>
      <w:r w:rsidR="00950B9F">
        <w:rPr>
          <w:noProof/>
        </w:rPr>
        <w:fldChar w:fldCharType="begin"/>
      </w:r>
      <w:r>
        <w:rPr>
          <w:noProof/>
        </w:rPr>
        <w:instrText xml:space="preserve"> PAGEREF _Toc354517442 \h </w:instrText>
      </w:r>
      <w:r w:rsidR="00950B9F">
        <w:rPr>
          <w:noProof/>
        </w:rPr>
      </w:r>
      <w:r w:rsidR="00950B9F">
        <w:rPr>
          <w:noProof/>
        </w:rPr>
        <w:fldChar w:fldCharType="separate"/>
      </w:r>
      <w:r w:rsidR="00D43498">
        <w:rPr>
          <w:noProof/>
        </w:rPr>
        <w:t>54</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6.1</w:t>
      </w:r>
      <w:r>
        <w:rPr>
          <w:rFonts w:eastAsiaTheme="minorEastAsia" w:cstheme="minorBidi"/>
          <w:b w:val="0"/>
          <w:bCs w:val="0"/>
          <w:smallCaps w:val="0"/>
          <w:noProof/>
        </w:rPr>
        <w:tab/>
      </w:r>
      <w:r>
        <w:rPr>
          <w:noProof/>
        </w:rPr>
        <w:t>Proforma resultatopgørelse og balance</w:t>
      </w:r>
      <w:r>
        <w:rPr>
          <w:noProof/>
        </w:rPr>
        <w:tab/>
      </w:r>
      <w:r w:rsidR="00950B9F">
        <w:rPr>
          <w:noProof/>
        </w:rPr>
        <w:fldChar w:fldCharType="begin"/>
      </w:r>
      <w:r>
        <w:rPr>
          <w:noProof/>
        </w:rPr>
        <w:instrText xml:space="preserve"> PAGEREF _Toc354517443 \h </w:instrText>
      </w:r>
      <w:r w:rsidR="00950B9F">
        <w:rPr>
          <w:noProof/>
        </w:rPr>
      </w:r>
      <w:r w:rsidR="00950B9F">
        <w:rPr>
          <w:noProof/>
        </w:rPr>
        <w:fldChar w:fldCharType="separate"/>
      </w:r>
      <w:r w:rsidR="00D43498">
        <w:rPr>
          <w:noProof/>
        </w:rPr>
        <w:t>54</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6.2</w:t>
      </w:r>
      <w:r>
        <w:rPr>
          <w:rFonts w:eastAsiaTheme="minorEastAsia" w:cstheme="minorBidi"/>
          <w:b w:val="0"/>
          <w:bCs w:val="0"/>
          <w:smallCaps w:val="0"/>
          <w:noProof/>
        </w:rPr>
        <w:tab/>
      </w:r>
      <w:r>
        <w:rPr>
          <w:noProof/>
        </w:rPr>
        <w:t>Nye Nøgletal efter fusion</w:t>
      </w:r>
      <w:r>
        <w:rPr>
          <w:noProof/>
        </w:rPr>
        <w:tab/>
      </w:r>
      <w:r w:rsidR="00950B9F">
        <w:rPr>
          <w:noProof/>
        </w:rPr>
        <w:fldChar w:fldCharType="begin"/>
      </w:r>
      <w:r>
        <w:rPr>
          <w:noProof/>
        </w:rPr>
        <w:instrText xml:space="preserve"> PAGEREF _Toc354517444 \h </w:instrText>
      </w:r>
      <w:r w:rsidR="00950B9F">
        <w:rPr>
          <w:noProof/>
        </w:rPr>
      </w:r>
      <w:r w:rsidR="00950B9F">
        <w:rPr>
          <w:noProof/>
        </w:rPr>
        <w:fldChar w:fldCharType="separate"/>
      </w:r>
      <w:r w:rsidR="00D43498">
        <w:rPr>
          <w:noProof/>
        </w:rPr>
        <w:t>56</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6.3</w:t>
      </w:r>
      <w:r>
        <w:rPr>
          <w:rFonts w:eastAsiaTheme="minorEastAsia" w:cstheme="minorBidi"/>
          <w:b w:val="0"/>
          <w:bCs w:val="0"/>
          <w:smallCaps w:val="0"/>
          <w:noProof/>
        </w:rPr>
        <w:tab/>
      </w:r>
      <w:r>
        <w:rPr>
          <w:noProof/>
        </w:rPr>
        <w:t>Delkonklusion/opsamling</w:t>
      </w:r>
      <w:r>
        <w:rPr>
          <w:noProof/>
        </w:rPr>
        <w:tab/>
      </w:r>
      <w:r w:rsidR="00950B9F">
        <w:rPr>
          <w:noProof/>
        </w:rPr>
        <w:fldChar w:fldCharType="begin"/>
      </w:r>
      <w:r>
        <w:rPr>
          <w:noProof/>
        </w:rPr>
        <w:instrText xml:space="preserve"> PAGEREF _Toc354517445 \h </w:instrText>
      </w:r>
      <w:r w:rsidR="00950B9F">
        <w:rPr>
          <w:noProof/>
        </w:rPr>
      </w:r>
      <w:r w:rsidR="00950B9F">
        <w:rPr>
          <w:noProof/>
        </w:rPr>
        <w:fldChar w:fldCharType="separate"/>
      </w:r>
      <w:r w:rsidR="00D43498">
        <w:rPr>
          <w:noProof/>
        </w:rPr>
        <w:t>57</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7</w:t>
      </w:r>
      <w:r>
        <w:rPr>
          <w:rFonts w:eastAsiaTheme="minorEastAsia" w:cstheme="minorBidi"/>
          <w:b w:val="0"/>
          <w:bCs w:val="0"/>
          <w:caps w:val="0"/>
          <w:noProof/>
          <w:u w:val="none"/>
        </w:rPr>
        <w:tab/>
      </w:r>
      <w:r>
        <w:rPr>
          <w:noProof/>
        </w:rPr>
        <w:t>Organisation</w:t>
      </w:r>
      <w:r>
        <w:rPr>
          <w:noProof/>
        </w:rPr>
        <w:tab/>
      </w:r>
      <w:r w:rsidR="00950B9F">
        <w:rPr>
          <w:noProof/>
        </w:rPr>
        <w:fldChar w:fldCharType="begin"/>
      </w:r>
      <w:r>
        <w:rPr>
          <w:noProof/>
        </w:rPr>
        <w:instrText xml:space="preserve"> PAGEREF _Toc354517446 \h </w:instrText>
      </w:r>
      <w:r w:rsidR="00950B9F">
        <w:rPr>
          <w:noProof/>
        </w:rPr>
      </w:r>
      <w:r w:rsidR="00950B9F">
        <w:rPr>
          <w:noProof/>
        </w:rPr>
        <w:fldChar w:fldCharType="separate"/>
      </w:r>
      <w:r w:rsidR="00D43498">
        <w:rPr>
          <w:noProof/>
        </w:rPr>
        <w:t>58</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7.1</w:t>
      </w:r>
      <w:r>
        <w:rPr>
          <w:rFonts w:eastAsiaTheme="minorEastAsia" w:cstheme="minorBidi"/>
          <w:b w:val="0"/>
          <w:bCs w:val="0"/>
          <w:smallCaps w:val="0"/>
          <w:noProof/>
        </w:rPr>
        <w:tab/>
      </w:r>
      <w:r>
        <w:rPr>
          <w:noProof/>
        </w:rPr>
        <w:t>Organisationens samlede kultur</w:t>
      </w:r>
      <w:r>
        <w:rPr>
          <w:noProof/>
        </w:rPr>
        <w:tab/>
      </w:r>
      <w:r w:rsidR="00950B9F">
        <w:rPr>
          <w:noProof/>
        </w:rPr>
        <w:fldChar w:fldCharType="begin"/>
      </w:r>
      <w:r>
        <w:rPr>
          <w:noProof/>
        </w:rPr>
        <w:instrText xml:space="preserve"> PAGEREF _Toc354517447 \h </w:instrText>
      </w:r>
      <w:r w:rsidR="00950B9F">
        <w:rPr>
          <w:noProof/>
        </w:rPr>
      </w:r>
      <w:r w:rsidR="00950B9F">
        <w:rPr>
          <w:noProof/>
        </w:rPr>
        <w:fldChar w:fldCharType="separate"/>
      </w:r>
      <w:r w:rsidR="00D43498">
        <w:rPr>
          <w:noProof/>
        </w:rPr>
        <w:t>58</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7.2</w:t>
      </w:r>
      <w:r>
        <w:rPr>
          <w:rFonts w:eastAsiaTheme="minorEastAsia" w:cstheme="minorBidi"/>
          <w:b w:val="0"/>
          <w:bCs w:val="0"/>
          <w:smallCaps w:val="0"/>
          <w:noProof/>
        </w:rPr>
        <w:tab/>
      </w:r>
      <w:r>
        <w:rPr>
          <w:noProof/>
        </w:rPr>
        <w:t>Motivation</w:t>
      </w:r>
      <w:r>
        <w:rPr>
          <w:noProof/>
        </w:rPr>
        <w:tab/>
      </w:r>
      <w:r w:rsidR="00950B9F">
        <w:rPr>
          <w:noProof/>
        </w:rPr>
        <w:fldChar w:fldCharType="begin"/>
      </w:r>
      <w:r>
        <w:rPr>
          <w:noProof/>
        </w:rPr>
        <w:instrText xml:space="preserve"> PAGEREF _Toc354517448 \h </w:instrText>
      </w:r>
      <w:r w:rsidR="00950B9F">
        <w:rPr>
          <w:noProof/>
        </w:rPr>
      </w:r>
      <w:r w:rsidR="00950B9F">
        <w:rPr>
          <w:noProof/>
        </w:rPr>
        <w:fldChar w:fldCharType="separate"/>
      </w:r>
      <w:r w:rsidR="00D43498">
        <w:rPr>
          <w:noProof/>
        </w:rPr>
        <w:t>62</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7.3</w:t>
      </w:r>
      <w:r>
        <w:rPr>
          <w:rFonts w:eastAsiaTheme="minorEastAsia" w:cstheme="minorBidi"/>
          <w:b w:val="0"/>
          <w:bCs w:val="0"/>
          <w:smallCaps w:val="0"/>
          <w:noProof/>
        </w:rPr>
        <w:tab/>
      </w:r>
      <w:r>
        <w:rPr>
          <w:noProof/>
        </w:rPr>
        <w:t>Delkonklusion/opsamling</w:t>
      </w:r>
      <w:r>
        <w:rPr>
          <w:noProof/>
        </w:rPr>
        <w:tab/>
      </w:r>
      <w:r w:rsidR="00950B9F">
        <w:rPr>
          <w:noProof/>
        </w:rPr>
        <w:fldChar w:fldCharType="begin"/>
      </w:r>
      <w:r>
        <w:rPr>
          <w:noProof/>
        </w:rPr>
        <w:instrText xml:space="preserve"> PAGEREF _Toc354517449 \h </w:instrText>
      </w:r>
      <w:r w:rsidR="00950B9F">
        <w:rPr>
          <w:noProof/>
        </w:rPr>
      </w:r>
      <w:r w:rsidR="00950B9F">
        <w:rPr>
          <w:noProof/>
        </w:rPr>
        <w:fldChar w:fldCharType="separate"/>
      </w:r>
      <w:r w:rsidR="00D43498">
        <w:rPr>
          <w:noProof/>
        </w:rPr>
        <w:t>65</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8</w:t>
      </w:r>
      <w:r>
        <w:rPr>
          <w:rFonts w:eastAsiaTheme="minorEastAsia" w:cstheme="minorBidi"/>
          <w:b w:val="0"/>
          <w:bCs w:val="0"/>
          <w:caps w:val="0"/>
          <w:noProof/>
          <w:u w:val="none"/>
        </w:rPr>
        <w:tab/>
      </w:r>
      <w:r>
        <w:rPr>
          <w:noProof/>
        </w:rPr>
        <w:t>Konklusion</w:t>
      </w:r>
      <w:r>
        <w:rPr>
          <w:noProof/>
        </w:rPr>
        <w:tab/>
      </w:r>
      <w:r w:rsidR="00950B9F">
        <w:rPr>
          <w:noProof/>
        </w:rPr>
        <w:fldChar w:fldCharType="begin"/>
      </w:r>
      <w:r>
        <w:rPr>
          <w:noProof/>
        </w:rPr>
        <w:instrText xml:space="preserve"> PAGEREF _Toc354517450 \h </w:instrText>
      </w:r>
      <w:r w:rsidR="00950B9F">
        <w:rPr>
          <w:noProof/>
        </w:rPr>
      </w:r>
      <w:r w:rsidR="00950B9F">
        <w:rPr>
          <w:noProof/>
        </w:rPr>
        <w:fldChar w:fldCharType="separate"/>
      </w:r>
      <w:r w:rsidR="00D43498">
        <w:rPr>
          <w:noProof/>
        </w:rPr>
        <w:t>66</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9</w:t>
      </w:r>
      <w:r>
        <w:rPr>
          <w:rFonts w:eastAsiaTheme="minorEastAsia" w:cstheme="minorBidi"/>
          <w:b w:val="0"/>
          <w:bCs w:val="0"/>
          <w:caps w:val="0"/>
          <w:noProof/>
          <w:u w:val="none"/>
        </w:rPr>
        <w:tab/>
      </w:r>
      <w:r>
        <w:rPr>
          <w:noProof/>
        </w:rPr>
        <w:t>Perspektivering</w:t>
      </w:r>
      <w:r>
        <w:rPr>
          <w:noProof/>
        </w:rPr>
        <w:tab/>
      </w:r>
      <w:r w:rsidR="00950B9F">
        <w:rPr>
          <w:noProof/>
        </w:rPr>
        <w:fldChar w:fldCharType="begin"/>
      </w:r>
      <w:r>
        <w:rPr>
          <w:noProof/>
        </w:rPr>
        <w:instrText xml:space="preserve"> PAGEREF _Toc354517451 \h </w:instrText>
      </w:r>
      <w:r w:rsidR="00950B9F">
        <w:rPr>
          <w:noProof/>
        </w:rPr>
      </w:r>
      <w:r w:rsidR="00950B9F">
        <w:rPr>
          <w:noProof/>
        </w:rPr>
        <w:fldChar w:fldCharType="separate"/>
      </w:r>
      <w:r w:rsidR="00D43498">
        <w:rPr>
          <w:noProof/>
        </w:rPr>
        <w:t>69</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10</w:t>
      </w:r>
      <w:r>
        <w:rPr>
          <w:rFonts w:eastAsiaTheme="minorEastAsia" w:cstheme="minorBidi"/>
          <w:b w:val="0"/>
          <w:bCs w:val="0"/>
          <w:caps w:val="0"/>
          <w:noProof/>
          <w:u w:val="none"/>
        </w:rPr>
        <w:tab/>
      </w:r>
      <w:r>
        <w:rPr>
          <w:noProof/>
        </w:rPr>
        <w:t>Litteraturliste/kildefortegnelse</w:t>
      </w:r>
      <w:r>
        <w:rPr>
          <w:noProof/>
        </w:rPr>
        <w:tab/>
      </w:r>
      <w:r w:rsidR="00950B9F">
        <w:rPr>
          <w:noProof/>
        </w:rPr>
        <w:fldChar w:fldCharType="begin"/>
      </w:r>
      <w:r>
        <w:rPr>
          <w:noProof/>
        </w:rPr>
        <w:instrText xml:space="preserve"> PAGEREF _Toc354517452 \h </w:instrText>
      </w:r>
      <w:r w:rsidR="00950B9F">
        <w:rPr>
          <w:noProof/>
        </w:rPr>
      </w:r>
      <w:r w:rsidR="00950B9F">
        <w:rPr>
          <w:noProof/>
        </w:rPr>
        <w:fldChar w:fldCharType="separate"/>
      </w:r>
      <w:r w:rsidR="00D43498">
        <w:rPr>
          <w:noProof/>
        </w:rPr>
        <w:t>70</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11</w:t>
      </w:r>
      <w:r>
        <w:rPr>
          <w:rFonts w:eastAsiaTheme="minorEastAsia" w:cstheme="minorBidi"/>
          <w:b w:val="0"/>
          <w:bCs w:val="0"/>
          <w:caps w:val="0"/>
          <w:noProof/>
          <w:u w:val="none"/>
        </w:rPr>
        <w:tab/>
      </w:r>
      <w:r>
        <w:rPr>
          <w:noProof/>
        </w:rPr>
        <w:t>Bilagsoversigt</w:t>
      </w:r>
      <w:r>
        <w:rPr>
          <w:noProof/>
        </w:rPr>
        <w:tab/>
      </w:r>
      <w:r w:rsidR="00950B9F">
        <w:rPr>
          <w:noProof/>
        </w:rPr>
        <w:fldChar w:fldCharType="begin"/>
      </w:r>
      <w:r>
        <w:rPr>
          <w:noProof/>
        </w:rPr>
        <w:instrText xml:space="preserve"> PAGEREF _Toc354517453 \h </w:instrText>
      </w:r>
      <w:r w:rsidR="00950B9F">
        <w:rPr>
          <w:noProof/>
        </w:rPr>
      </w:r>
      <w:r w:rsidR="00950B9F">
        <w:rPr>
          <w:noProof/>
        </w:rPr>
        <w:fldChar w:fldCharType="separate"/>
      </w:r>
      <w:r w:rsidR="00D43498">
        <w:rPr>
          <w:noProof/>
        </w:rPr>
        <w:t>71</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A - Solvens</w:t>
      </w:r>
      <w:r>
        <w:rPr>
          <w:noProof/>
        </w:rPr>
        <w:tab/>
      </w:r>
      <w:r w:rsidR="00950B9F">
        <w:rPr>
          <w:noProof/>
        </w:rPr>
        <w:fldChar w:fldCharType="begin"/>
      </w:r>
      <w:r>
        <w:rPr>
          <w:noProof/>
        </w:rPr>
        <w:instrText xml:space="preserve"> PAGEREF _Toc354517454 \h </w:instrText>
      </w:r>
      <w:r w:rsidR="00950B9F">
        <w:rPr>
          <w:noProof/>
        </w:rPr>
      </w:r>
      <w:r w:rsidR="00950B9F">
        <w:rPr>
          <w:noProof/>
        </w:rPr>
        <w:fldChar w:fldCharType="separate"/>
      </w:r>
      <w:r w:rsidR="00D43498">
        <w:rPr>
          <w:noProof/>
        </w:rPr>
        <w:t>72</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B - WACC</w:t>
      </w:r>
      <w:r>
        <w:rPr>
          <w:noProof/>
        </w:rPr>
        <w:tab/>
      </w:r>
      <w:r w:rsidR="00950B9F">
        <w:rPr>
          <w:noProof/>
        </w:rPr>
        <w:fldChar w:fldCharType="begin"/>
      </w:r>
      <w:r>
        <w:rPr>
          <w:noProof/>
        </w:rPr>
        <w:instrText xml:space="preserve"> PAGEREF _Toc354517455 \h </w:instrText>
      </w:r>
      <w:r w:rsidR="00950B9F">
        <w:rPr>
          <w:noProof/>
        </w:rPr>
      </w:r>
      <w:r w:rsidR="00950B9F">
        <w:rPr>
          <w:noProof/>
        </w:rPr>
        <w:fldChar w:fldCharType="separate"/>
      </w:r>
      <w:r w:rsidR="00D43498">
        <w:rPr>
          <w:noProof/>
        </w:rPr>
        <w:t>73</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C - ICGR</w:t>
      </w:r>
      <w:r>
        <w:rPr>
          <w:noProof/>
        </w:rPr>
        <w:tab/>
      </w:r>
      <w:r w:rsidR="00950B9F">
        <w:rPr>
          <w:noProof/>
        </w:rPr>
        <w:fldChar w:fldCharType="begin"/>
      </w:r>
      <w:r>
        <w:rPr>
          <w:noProof/>
        </w:rPr>
        <w:instrText xml:space="preserve"> PAGEREF _Toc354517456 \h </w:instrText>
      </w:r>
      <w:r w:rsidR="00950B9F">
        <w:rPr>
          <w:noProof/>
        </w:rPr>
      </w:r>
      <w:r w:rsidR="00950B9F">
        <w:rPr>
          <w:noProof/>
        </w:rPr>
        <w:fldChar w:fldCharType="separate"/>
      </w:r>
      <w:r w:rsidR="00D43498">
        <w:rPr>
          <w:noProof/>
        </w:rPr>
        <w:t>75</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D - GAP</w:t>
      </w:r>
      <w:r>
        <w:rPr>
          <w:noProof/>
        </w:rPr>
        <w:tab/>
      </w:r>
      <w:r w:rsidR="00950B9F">
        <w:rPr>
          <w:noProof/>
        </w:rPr>
        <w:fldChar w:fldCharType="begin"/>
      </w:r>
      <w:r>
        <w:rPr>
          <w:noProof/>
        </w:rPr>
        <w:instrText xml:space="preserve"> PAGEREF _Toc354517457 \h </w:instrText>
      </w:r>
      <w:r w:rsidR="00950B9F">
        <w:rPr>
          <w:noProof/>
        </w:rPr>
      </w:r>
      <w:r w:rsidR="00950B9F">
        <w:rPr>
          <w:noProof/>
        </w:rPr>
        <w:fldChar w:fldCharType="separate"/>
      </w:r>
      <w:r w:rsidR="00D43498">
        <w:rPr>
          <w:noProof/>
        </w:rPr>
        <w:t>76</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E – Loan Ratio</w:t>
      </w:r>
      <w:r>
        <w:rPr>
          <w:noProof/>
        </w:rPr>
        <w:tab/>
      </w:r>
      <w:r w:rsidR="00950B9F">
        <w:rPr>
          <w:noProof/>
        </w:rPr>
        <w:fldChar w:fldCharType="begin"/>
      </w:r>
      <w:r>
        <w:rPr>
          <w:noProof/>
        </w:rPr>
        <w:instrText xml:space="preserve"> PAGEREF _Toc354517458 \h </w:instrText>
      </w:r>
      <w:r w:rsidR="00950B9F">
        <w:rPr>
          <w:noProof/>
        </w:rPr>
      </w:r>
      <w:r w:rsidR="00950B9F">
        <w:rPr>
          <w:noProof/>
        </w:rPr>
        <w:fldChar w:fldCharType="separate"/>
      </w:r>
      <w:r w:rsidR="00D43498">
        <w:rPr>
          <w:noProof/>
        </w:rPr>
        <w:t>77</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F – Rationaliseringsgevinster og  engangsudgifter</w:t>
      </w:r>
      <w:r>
        <w:rPr>
          <w:noProof/>
        </w:rPr>
        <w:tab/>
      </w:r>
      <w:r w:rsidR="00950B9F">
        <w:rPr>
          <w:noProof/>
        </w:rPr>
        <w:fldChar w:fldCharType="begin"/>
      </w:r>
      <w:r>
        <w:rPr>
          <w:noProof/>
        </w:rPr>
        <w:instrText xml:space="preserve"> PAGEREF _Toc354517459 \h </w:instrText>
      </w:r>
      <w:r w:rsidR="00950B9F">
        <w:rPr>
          <w:noProof/>
        </w:rPr>
      </w:r>
      <w:r w:rsidR="00950B9F">
        <w:rPr>
          <w:noProof/>
        </w:rPr>
        <w:fldChar w:fldCharType="separate"/>
      </w:r>
      <w:r w:rsidR="00D43498">
        <w:rPr>
          <w:noProof/>
        </w:rPr>
        <w:t>78</w:t>
      </w:r>
      <w:r w:rsidR="00950B9F">
        <w:rPr>
          <w:noProof/>
        </w:rPr>
        <w:fldChar w:fldCharType="end"/>
      </w:r>
    </w:p>
    <w:p w:rsidR="00F40C91" w:rsidRDefault="00F40C91">
      <w:pPr>
        <w:pStyle w:val="Indholdsfortegnelse2"/>
        <w:rPr>
          <w:rFonts w:eastAsiaTheme="minorEastAsia" w:cstheme="minorBidi"/>
          <w:b w:val="0"/>
          <w:bCs w:val="0"/>
          <w:smallCaps w:val="0"/>
          <w:noProof/>
        </w:rPr>
      </w:pPr>
      <w:r>
        <w:rPr>
          <w:noProof/>
        </w:rPr>
        <w:t>Bilag G – Nøgletal efter fusion</w:t>
      </w:r>
      <w:r>
        <w:rPr>
          <w:noProof/>
        </w:rPr>
        <w:tab/>
      </w:r>
      <w:r w:rsidR="00950B9F">
        <w:rPr>
          <w:noProof/>
        </w:rPr>
        <w:fldChar w:fldCharType="begin"/>
      </w:r>
      <w:r>
        <w:rPr>
          <w:noProof/>
        </w:rPr>
        <w:instrText xml:space="preserve"> PAGEREF _Toc354517460 \h </w:instrText>
      </w:r>
      <w:r w:rsidR="00950B9F">
        <w:rPr>
          <w:noProof/>
        </w:rPr>
      </w:r>
      <w:r w:rsidR="00950B9F">
        <w:rPr>
          <w:noProof/>
        </w:rPr>
        <w:fldChar w:fldCharType="separate"/>
      </w:r>
      <w:r w:rsidR="00D43498">
        <w:rPr>
          <w:noProof/>
        </w:rPr>
        <w:t>79</w:t>
      </w:r>
      <w:r w:rsidR="00950B9F">
        <w:rPr>
          <w:noProof/>
        </w:rPr>
        <w:fldChar w:fldCharType="end"/>
      </w:r>
    </w:p>
    <w:p w:rsidR="00F40C91" w:rsidRDefault="00F40C91">
      <w:pPr>
        <w:pStyle w:val="Indholdsfortegnelse1"/>
        <w:rPr>
          <w:rFonts w:eastAsiaTheme="minorEastAsia" w:cstheme="minorBidi"/>
          <w:b w:val="0"/>
          <w:bCs w:val="0"/>
          <w:caps w:val="0"/>
          <w:noProof/>
          <w:u w:val="none"/>
        </w:rPr>
      </w:pPr>
      <w:r>
        <w:rPr>
          <w:noProof/>
        </w:rPr>
        <w:t>12</w:t>
      </w:r>
      <w:r>
        <w:rPr>
          <w:rFonts w:eastAsiaTheme="minorEastAsia" w:cstheme="minorBidi"/>
          <w:b w:val="0"/>
          <w:bCs w:val="0"/>
          <w:caps w:val="0"/>
          <w:noProof/>
          <w:u w:val="none"/>
        </w:rPr>
        <w:tab/>
      </w:r>
      <w:r>
        <w:rPr>
          <w:noProof/>
        </w:rPr>
        <w:t>Figur- og tabelfortegnelse</w:t>
      </w:r>
      <w:r>
        <w:rPr>
          <w:noProof/>
        </w:rPr>
        <w:tab/>
      </w:r>
      <w:r w:rsidR="00950B9F">
        <w:rPr>
          <w:noProof/>
        </w:rPr>
        <w:fldChar w:fldCharType="begin"/>
      </w:r>
      <w:r>
        <w:rPr>
          <w:noProof/>
        </w:rPr>
        <w:instrText xml:space="preserve"> PAGEREF _Toc354517461 \h </w:instrText>
      </w:r>
      <w:r w:rsidR="00950B9F">
        <w:rPr>
          <w:noProof/>
        </w:rPr>
      </w:r>
      <w:r w:rsidR="00950B9F">
        <w:rPr>
          <w:noProof/>
        </w:rPr>
        <w:fldChar w:fldCharType="separate"/>
      </w:r>
      <w:r w:rsidR="00D43498">
        <w:rPr>
          <w:noProof/>
        </w:rPr>
        <w:t>80</w:t>
      </w:r>
      <w:r w:rsidR="00950B9F">
        <w:rPr>
          <w:noProof/>
        </w:rPr>
        <w:fldChar w:fldCharType="end"/>
      </w:r>
    </w:p>
    <w:p w:rsidR="007A419F" w:rsidRDefault="00950B9F" w:rsidP="00704D52">
      <w:r>
        <w:fldChar w:fldCharType="end"/>
      </w:r>
    </w:p>
    <w:p w:rsidR="00433B58" w:rsidRDefault="00433B58">
      <w:pPr>
        <w:spacing w:line="240" w:lineRule="auto"/>
        <w:jc w:val="left"/>
        <w:rPr>
          <w:rFonts w:ascii="Verdana" w:eastAsiaTheme="majorEastAsia" w:hAnsi="Verdana" w:cstheme="majorBidi"/>
          <w:b/>
          <w:bCs/>
          <w:kern w:val="32"/>
          <w:sz w:val="26"/>
          <w:szCs w:val="32"/>
        </w:rPr>
      </w:pPr>
      <w:r>
        <w:br w:type="page"/>
      </w:r>
    </w:p>
    <w:p w:rsidR="00DF30A2" w:rsidRDefault="003E49E5" w:rsidP="0087410F">
      <w:pPr>
        <w:pStyle w:val="Overskrift1"/>
        <w:numPr>
          <w:ilvl w:val="0"/>
          <w:numId w:val="1"/>
        </w:numPr>
      </w:pPr>
      <w:bookmarkStart w:id="0" w:name="_Toc354517395"/>
      <w:proofErr w:type="spellStart"/>
      <w:r>
        <w:lastRenderedPageBreak/>
        <w:t>Executive</w:t>
      </w:r>
      <w:proofErr w:type="spellEnd"/>
      <w:r>
        <w:t xml:space="preserve"> summary</w:t>
      </w:r>
      <w:bookmarkEnd w:id="0"/>
    </w:p>
    <w:p w:rsidR="00164761" w:rsidRPr="00164761" w:rsidRDefault="00164761" w:rsidP="00164761">
      <w:pPr>
        <w:rPr>
          <w:lang w:val="en-US"/>
        </w:rPr>
      </w:pPr>
      <w:r>
        <w:rPr>
          <w:lang w:val="en-US"/>
        </w:rPr>
        <w:t xml:space="preserve">The Danish financial sector has in recent years experienced that legal requirements have been tightened, </w:t>
      </w:r>
      <w:proofErr w:type="spellStart"/>
      <w:r>
        <w:rPr>
          <w:lang w:val="en-US"/>
        </w:rPr>
        <w:t>a long</w:t>
      </w:r>
      <w:proofErr w:type="spellEnd"/>
      <w:r>
        <w:rPr>
          <w:lang w:val="en-US"/>
        </w:rPr>
        <w:t xml:space="preserve"> with </w:t>
      </w:r>
      <w:r>
        <w:rPr>
          <w:rStyle w:val="ecxspan9"/>
          <w:rFonts w:ascii="Segoe UI" w:hAnsi="Segoe UI" w:cs="Segoe UI"/>
          <w:color w:val="000000"/>
          <w:sz w:val="21"/>
          <w:szCs w:val="21"/>
          <w:lang w:val="en-US"/>
        </w:rPr>
        <w:t>The Financial Services Authority</w:t>
      </w:r>
      <w:r>
        <w:rPr>
          <w:lang w:val="en-US"/>
        </w:rPr>
        <w:t xml:space="preserve"> increasing their supervision. This has given the banks more administrative tasks. These administrative tasks can be very time-consuming and costly for small banks, which may find it difficult to meet the given requirements.</w:t>
      </w:r>
    </w:p>
    <w:p w:rsidR="00164761" w:rsidRPr="00164761" w:rsidRDefault="00164761" w:rsidP="00164761">
      <w:pPr>
        <w:rPr>
          <w:lang w:val="en-US"/>
        </w:rPr>
      </w:pPr>
      <w:r>
        <w:rPr>
          <w:lang w:val="en-US"/>
        </w:rPr>
        <w:t xml:space="preserve">Consequently, many banks have seen advantages to merge or acquire other banks. There are often good opportunities in achieving economies of scale, but also good opportunities to increase their earnings. It adds value for shareholders, but also provides a good signal value to the external environment, that the bank operates a healthy and good business which </w:t>
      </w:r>
      <w:proofErr w:type="gramStart"/>
      <w:r>
        <w:rPr>
          <w:lang w:val="en-US"/>
        </w:rPr>
        <w:t>meet</w:t>
      </w:r>
      <w:proofErr w:type="gramEnd"/>
      <w:r>
        <w:rPr>
          <w:lang w:val="en-US"/>
        </w:rPr>
        <w:t xml:space="preserve"> given requirements.</w:t>
      </w:r>
    </w:p>
    <w:p w:rsidR="00164761" w:rsidRPr="00164761" w:rsidRDefault="00164761" w:rsidP="00164761">
      <w:pPr>
        <w:rPr>
          <w:lang w:val="en-US"/>
        </w:rPr>
      </w:pPr>
      <w:r>
        <w:rPr>
          <w:lang w:val="en-US"/>
        </w:rPr>
        <w:br/>
        <w:t xml:space="preserve">This has inspired me to write a project for the merge of two smaller banks. In the project I use Den </w:t>
      </w:r>
      <w:proofErr w:type="spellStart"/>
      <w:r>
        <w:rPr>
          <w:lang w:val="en-US"/>
        </w:rPr>
        <w:t>Jyske</w:t>
      </w:r>
      <w:proofErr w:type="spellEnd"/>
      <w:r>
        <w:rPr>
          <w:lang w:val="en-US"/>
        </w:rPr>
        <w:t xml:space="preserve"> </w:t>
      </w:r>
      <w:proofErr w:type="spellStart"/>
      <w:r>
        <w:rPr>
          <w:lang w:val="en-US"/>
        </w:rPr>
        <w:t>Sparekasse</w:t>
      </w:r>
      <w:proofErr w:type="spellEnd"/>
      <w:r>
        <w:rPr>
          <w:lang w:val="en-US"/>
        </w:rPr>
        <w:t xml:space="preserve"> and </w:t>
      </w:r>
      <w:proofErr w:type="spellStart"/>
      <w:r>
        <w:rPr>
          <w:lang w:val="en-US"/>
        </w:rPr>
        <w:t>Dronninglund</w:t>
      </w:r>
      <w:proofErr w:type="spellEnd"/>
      <w:r>
        <w:rPr>
          <w:lang w:val="en-US"/>
        </w:rPr>
        <w:t xml:space="preserve"> </w:t>
      </w:r>
      <w:proofErr w:type="spellStart"/>
      <w:r>
        <w:rPr>
          <w:lang w:val="en-US"/>
        </w:rPr>
        <w:t>Sparekasse</w:t>
      </w:r>
      <w:proofErr w:type="spellEnd"/>
      <w:r>
        <w:rPr>
          <w:lang w:val="en-US"/>
        </w:rPr>
        <w:t xml:space="preserve"> as examples.</w:t>
      </w:r>
    </w:p>
    <w:p w:rsidR="00164761" w:rsidRPr="00164761" w:rsidRDefault="00164761" w:rsidP="00164761">
      <w:pPr>
        <w:rPr>
          <w:lang w:val="en-US"/>
        </w:rPr>
      </w:pPr>
      <w:r>
        <w:rPr>
          <w:lang w:val="en-US"/>
        </w:rPr>
        <w:br/>
      </w:r>
      <w:proofErr w:type="gramStart"/>
      <w:r>
        <w:rPr>
          <w:lang w:val="en-US"/>
        </w:rPr>
        <w:t xml:space="preserve">First I </w:t>
      </w:r>
      <w:proofErr w:type="spellStart"/>
      <w:r>
        <w:rPr>
          <w:lang w:val="en-US"/>
        </w:rPr>
        <w:t>adress</w:t>
      </w:r>
      <w:proofErr w:type="spellEnd"/>
      <w:r>
        <w:rPr>
          <w:lang w:val="en-US"/>
        </w:rPr>
        <w:t xml:space="preserve"> the theory of regulatory requirements given and </w:t>
      </w:r>
      <w:r>
        <w:rPr>
          <w:rStyle w:val="ecxspan9"/>
          <w:rFonts w:ascii="Segoe UI" w:hAnsi="Segoe UI" w:cs="Segoe UI"/>
          <w:color w:val="000000"/>
          <w:sz w:val="21"/>
          <w:szCs w:val="21"/>
          <w:lang w:val="en-US"/>
        </w:rPr>
        <w:t xml:space="preserve">The Financial Services Authority supervision matrix </w:t>
      </w:r>
      <w:r>
        <w:rPr>
          <w:lang w:val="en-US"/>
        </w:rPr>
        <w:t>"</w:t>
      </w:r>
      <w:proofErr w:type="spellStart"/>
      <w:r>
        <w:rPr>
          <w:lang w:val="en-US"/>
        </w:rPr>
        <w:t>Tilsynsdiamant</w:t>
      </w:r>
      <w:proofErr w:type="spellEnd"/>
      <w:r>
        <w:rPr>
          <w:lang w:val="en-US"/>
        </w:rPr>
        <w:t>".</w:t>
      </w:r>
      <w:proofErr w:type="gramEnd"/>
      <w:r>
        <w:rPr>
          <w:lang w:val="en-US"/>
        </w:rPr>
        <w:t xml:space="preserve"> After that I will review the theory of financial ratios, calculated and analyzed for both banks.</w:t>
      </w:r>
      <w:r w:rsidRPr="00164761">
        <w:rPr>
          <w:lang w:val="en-US"/>
        </w:rPr>
        <w:t> </w:t>
      </w:r>
    </w:p>
    <w:p w:rsidR="00164761" w:rsidRDefault="00164761" w:rsidP="00164761">
      <w:pPr>
        <w:rPr>
          <w:lang w:val="en-US"/>
        </w:rPr>
      </w:pPr>
    </w:p>
    <w:p w:rsidR="00164761" w:rsidRPr="00164761" w:rsidRDefault="00164761" w:rsidP="00164761">
      <w:pPr>
        <w:rPr>
          <w:lang w:val="en-US"/>
        </w:rPr>
      </w:pPr>
      <w:r>
        <w:rPr>
          <w:lang w:val="en-US"/>
        </w:rPr>
        <w:t>I will briefly introduce the banks, by presenting their selected key figures, their mission, strategy and values.</w:t>
      </w:r>
    </w:p>
    <w:p w:rsidR="00164761" w:rsidRDefault="00164761" w:rsidP="00164761">
      <w:pPr>
        <w:rPr>
          <w:lang w:val="en-US"/>
        </w:rPr>
      </w:pPr>
    </w:p>
    <w:p w:rsidR="00164761" w:rsidRPr="00164761" w:rsidRDefault="00164761" w:rsidP="00164761">
      <w:pPr>
        <w:rPr>
          <w:lang w:val="en-US"/>
        </w:rPr>
      </w:pPr>
      <w:r>
        <w:rPr>
          <w:lang w:val="en-US"/>
        </w:rPr>
        <w:t xml:space="preserve">After having calculated and commented on the economic indicators, I will </w:t>
      </w:r>
      <w:proofErr w:type="spellStart"/>
      <w:r>
        <w:rPr>
          <w:lang w:val="en-US"/>
        </w:rPr>
        <w:t>adress</w:t>
      </w:r>
      <w:proofErr w:type="spellEnd"/>
      <w:r>
        <w:rPr>
          <w:lang w:val="en-US"/>
        </w:rPr>
        <w:t xml:space="preserve"> what a merge is, as well as the risks that are associated with it. This provides the basics on how a merge between the two banks might look like.</w:t>
      </w:r>
      <w:r w:rsidRPr="00164761">
        <w:rPr>
          <w:lang w:val="en-US"/>
        </w:rPr>
        <w:t> </w:t>
      </w:r>
    </w:p>
    <w:p w:rsidR="00164761" w:rsidRDefault="00164761" w:rsidP="00164761">
      <w:pPr>
        <w:rPr>
          <w:lang w:val="en-US"/>
        </w:rPr>
      </w:pPr>
    </w:p>
    <w:p w:rsidR="00164761" w:rsidRPr="00D43498" w:rsidRDefault="00164761" w:rsidP="00164761">
      <w:pPr>
        <w:rPr>
          <w:lang w:val="en-US"/>
        </w:rPr>
      </w:pPr>
      <w:r>
        <w:rPr>
          <w:lang w:val="en-US"/>
        </w:rPr>
        <w:t xml:space="preserve">I will look at the synergies and economies of scale that will occur, and what efficiency savings it can provide. This is calculated in the new income statement and balance sheet, and new economic data for the new merged bank. I will comment on these. </w:t>
      </w:r>
      <w:r w:rsidRPr="00164761">
        <w:rPr>
          <w:lang w:val="en-US"/>
        </w:rPr>
        <w:t> </w:t>
      </w:r>
    </w:p>
    <w:p w:rsidR="00164761" w:rsidRDefault="00164761" w:rsidP="00164761">
      <w:pPr>
        <w:rPr>
          <w:lang w:val="en-US"/>
        </w:rPr>
      </w:pPr>
    </w:p>
    <w:p w:rsidR="00164761" w:rsidRPr="00164761" w:rsidRDefault="00164761" w:rsidP="00164761">
      <w:pPr>
        <w:rPr>
          <w:lang w:val="en-US"/>
        </w:rPr>
      </w:pPr>
      <w:r>
        <w:rPr>
          <w:lang w:val="en-US"/>
        </w:rPr>
        <w:t xml:space="preserve">Last, I will </w:t>
      </w:r>
      <w:proofErr w:type="spellStart"/>
      <w:r>
        <w:rPr>
          <w:lang w:val="en-US"/>
        </w:rPr>
        <w:t>adress</w:t>
      </w:r>
      <w:proofErr w:type="spellEnd"/>
      <w:r>
        <w:rPr>
          <w:lang w:val="en-US"/>
        </w:rPr>
        <w:t xml:space="preserve"> the organizational challenges a merge will give, and what management should be aware of in the process.</w:t>
      </w:r>
    </w:p>
    <w:p w:rsidR="00522DCF" w:rsidRPr="00522DCF" w:rsidRDefault="00522DCF" w:rsidP="00164761">
      <w:pPr>
        <w:rPr>
          <w:lang w:val="en-US"/>
        </w:rPr>
      </w:pPr>
      <w:r w:rsidRPr="00522DCF">
        <w:rPr>
          <w:lang w:val="en-US"/>
        </w:rPr>
        <w:lastRenderedPageBreak/>
        <w:t xml:space="preserve">The final conclusion and recommendation by this thesis is that it especially would be </w:t>
      </w:r>
      <w:proofErr w:type="spellStart"/>
      <w:r w:rsidRPr="00522DCF">
        <w:rPr>
          <w:lang w:val="en-US"/>
        </w:rPr>
        <w:t>favouble</w:t>
      </w:r>
      <w:proofErr w:type="spellEnd"/>
      <w:r w:rsidRPr="00522DCF">
        <w:rPr>
          <w:lang w:val="en-US"/>
        </w:rPr>
        <w:t xml:space="preserve"> for the shareholders in </w:t>
      </w:r>
      <w:proofErr w:type="spellStart"/>
      <w:r w:rsidRPr="00522DCF">
        <w:rPr>
          <w:lang w:val="en-US"/>
        </w:rPr>
        <w:t>Dronninglund</w:t>
      </w:r>
      <w:proofErr w:type="spellEnd"/>
      <w:r w:rsidRPr="00522DCF">
        <w:rPr>
          <w:lang w:val="en-US"/>
        </w:rPr>
        <w:t xml:space="preserve"> </w:t>
      </w:r>
      <w:proofErr w:type="spellStart"/>
      <w:r w:rsidRPr="00522DCF">
        <w:rPr>
          <w:lang w:val="en-US"/>
        </w:rPr>
        <w:t>Sparekasse</w:t>
      </w:r>
      <w:proofErr w:type="spellEnd"/>
      <w:r w:rsidRPr="00522DCF">
        <w:rPr>
          <w:lang w:val="en-US"/>
        </w:rPr>
        <w:t xml:space="preserve"> to merge. It would bring them in much better financial position and they will get economies of scale. </w:t>
      </w:r>
    </w:p>
    <w:p w:rsidR="00522DCF" w:rsidRPr="00522DCF" w:rsidRDefault="00522DCF" w:rsidP="00164761">
      <w:pPr>
        <w:rPr>
          <w:lang w:val="en-US"/>
        </w:rPr>
      </w:pPr>
      <w:r w:rsidRPr="00522DCF">
        <w:rPr>
          <w:lang w:val="en-US"/>
        </w:rPr>
        <w:t xml:space="preserve">For the shareholders in Den </w:t>
      </w:r>
      <w:proofErr w:type="spellStart"/>
      <w:r w:rsidRPr="00522DCF">
        <w:rPr>
          <w:lang w:val="en-US"/>
        </w:rPr>
        <w:t>Jyske</w:t>
      </w:r>
      <w:proofErr w:type="spellEnd"/>
      <w:r w:rsidRPr="00522DCF">
        <w:rPr>
          <w:lang w:val="en-US"/>
        </w:rPr>
        <w:t xml:space="preserve"> </w:t>
      </w:r>
      <w:proofErr w:type="spellStart"/>
      <w:r w:rsidRPr="00522DCF">
        <w:rPr>
          <w:lang w:val="en-US"/>
        </w:rPr>
        <w:t>Sparekasse</w:t>
      </w:r>
      <w:proofErr w:type="spellEnd"/>
      <w:r w:rsidRPr="00522DCF">
        <w:rPr>
          <w:lang w:val="en-US"/>
        </w:rPr>
        <w:t xml:space="preserve"> it brings a better solvency and they will obtain a stronger position in North Jutland and thereby be represented in all of Jutland.</w:t>
      </w:r>
    </w:p>
    <w:p w:rsidR="00484739" w:rsidRPr="00317846" w:rsidRDefault="00484739" w:rsidP="000B6F52">
      <w:pPr>
        <w:rPr>
          <w:lang w:val="en-US"/>
        </w:rPr>
      </w:pPr>
    </w:p>
    <w:p w:rsidR="00B3382A" w:rsidRPr="00E4263F" w:rsidRDefault="00B3382A" w:rsidP="00B3382A">
      <w:pPr>
        <w:pStyle w:val="Overskrift1"/>
        <w:numPr>
          <w:ilvl w:val="0"/>
          <w:numId w:val="1"/>
        </w:numPr>
      </w:pPr>
      <w:bookmarkStart w:id="1" w:name="_Toc354517396"/>
      <w:r w:rsidRPr="008D4A5F">
        <w:t>Problemfelt</w:t>
      </w:r>
      <w:bookmarkEnd w:id="1"/>
    </w:p>
    <w:p w:rsidR="00B3382A" w:rsidRPr="00B3382A" w:rsidRDefault="00B3382A" w:rsidP="00B3382A">
      <w:pPr>
        <w:pStyle w:val="Overskrift2"/>
        <w:numPr>
          <w:ilvl w:val="1"/>
          <w:numId w:val="1"/>
        </w:numPr>
      </w:pPr>
      <w:bookmarkStart w:id="2" w:name="_Toc354517397"/>
      <w:r>
        <w:t>Indledning</w:t>
      </w:r>
      <w:bookmarkEnd w:id="2"/>
    </w:p>
    <w:p w:rsidR="00B473B7" w:rsidRDefault="00B473B7" w:rsidP="00B473B7">
      <w:r>
        <w:t xml:space="preserve">Konsolidering er det ”nye sort”, og fusioner og opkøb er efterhånden dagligdag i den finansielle sektor. Vi har set mange fusioner og opkøb i 2012, og dette vil formentligt fortsætte i 2013. </w:t>
      </w:r>
    </w:p>
    <w:p w:rsidR="00DC293F" w:rsidRDefault="00DC293F" w:rsidP="00B473B7"/>
    <w:p w:rsidR="00B473B7" w:rsidRDefault="00B473B7" w:rsidP="00B473B7">
      <w:r>
        <w:t>Flere eksperter mener, at de mindre pengeinstitutter skal lade sig opkøbe eller fusionere med andre pengeinstitutter, så de er bedre rustet til fremtiden. På sigt kan</w:t>
      </w:r>
      <w:r w:rsidR="0049307F">
        <w:t xml:space="preserve"> de få udfordringer med at overholde</w:t>
      </w:r>
      <w:r>
        <w:t xml:space="preserve"> lovkrav,</w:t>
      </w:r>
      <w:r w:rsidR="0049307F">
        <w:t xml:space="preserve"> som medfører</w:t>
      </w:r>
      <w:r>
        <w:t xml:space="preserve"> administrative opgaver, </w:t>
      </w:r>
      <w:r w:rsidR="0049307F">
        <w:t xml:space="preserve">samt </w:t>
      </w:r>
      <w:r>
        <w:t xml:space="preserve">den øgede konkurrence, mv. </w:t>
      </w:r>
    </w:p>
    <w:p w:rsidR="00B473B7" w:rsidRDefault="00B473B7" w:rsidP="00B473B7">
      <w:r>
        <w:t>Det er dog ikke alle</w:t>
      </w:r>
      <w:r w:rsidR="0049307F">
        <w:t xml:space="preserve"> pengeinstitutter</w:t>
      </w:r>
      <w:r>
        <w:t xml:space="preserve">, der når at finde sig en mage inden den er helt gal, hvorfor det kan ende i et ”tvangsægteskab”, og derfor mere af nød end af lyst. Helt galt kan det gå, hvis man ender i finansiel stabilitet – statens skraldespand for pengeinstitutter. </w:t>
      </w:r>
    </w:p>
    <w:p w:rsidR="00B473B7" w:rsidRDefault="00B473B7" w:rsidP="00B473B7">
      <w:r>
        <w:t xml:space="preserve">Mange </w:t>
      </w:r>
      <w:r w:rsidR="0049307F">
        <w:t xml:space="preserve">analytikere </w:t>
      </w:r>
      <w:r>
        <w:t xml:space="preserve">mener endvidere, at hvis man når at fusionere i tide, er det med til at beskytte værdierne, som er i pengeinstituttet. Så </w:t>
      </w:r>
      <w:r w:rsidR="0049307F">
        <w:t xml:space="preserve">undgår </w:t>
      </w:r>
      <w:r>
        <w:t xml:space="preserve">man alt andet lige for at afvikle og finde løsning hen over en weekend. </w:t>
      </w:r>
    </w:p>
    <w:p w:rsidR="00B473B7" w:rsidRDefault="00B473B7" w:rsidP="00B473B7">
      <w:r>
        <w:t>Derudover må pengeinstitutterne også tænke på, hvilket signal der f.eks. sendes til udlandet, når et dansk pengeinstitut krakker. Derfor er det som udgangspunkt bedst, og i alles interesse, at de svageste institutter hurtigst muligt forsøger at konsolidere sig. Endvidere vil der også være gode muligheder for at udnytte de muligheder, der forekommer</w:t>
      </w:r>
      <w:r w:rsidR="0049307F">
        <w:t xml:space="preserve">, som f.eks. </w:t>
      </w:r>
      <w:proofErr w:type="spellStart"/>
      <w:r w:rsidR="0049307F">
        <w:t>synergier</w:t>
      </w:r>
      <w:proofErr w:type="spellEnd"/>
      <w:r w:rsidR="0049307F">
        <w:t xml:space="preserve"> og konkurrencefordele</w:t>
      </w:r>
      <w:r>
        <w:t xml:space="preserve">, når man er et større pengeinstitut – f.eks. vil der være administrative byrder og krav, som skal overholdes, uanset om der er tale om et stort eller lille pengeinstitut.  </w:t>
      </w:r>
    </w:p>
    <w:p w:rsidR="00B473B7" w:rsidRDefault="00B473B7" w:rsidP="00B473B7"/>
    <w:p w:rsidR="00B473B7" w:rsidRDefault="00B473B7" w:rsidP="00B473B7">
      <w:r>
        <w:t xml:space="preserve">Konsolideringen fører flere ting med sig. Efterhånden har de fleste pengeinstitutter skåret helt ind til benet og omkostningsreduceret, hvor det har været muligt. Derudover må vi også forvente, at vi ikke har set de sidste fyringsrunder i sektoren, dette pga. konsolidering, effektivitet, stordriftsfordele mv. Hvis vi sammenligner os med vores nordiske venner, har vi </w:t>
      </w:r>
      <w:r>
        <w:lastRenderedPageBreak/>
        <w:t>langt flere ansatte i den finansielle sektor – trods, at vi i Danmark har skåret 1300 stillinger væk i 2012</w:t>
      </w:r>
      <w:r>
        <w:rPr>
          <w:rStyle w:val="Fodnotehenvisning"/>
        </w:rPr>
        <w:footnoteReference w:id="1"/>
      </w:r>
      <w:r>
        <w:t>.</w:t>
      </w:r>
    </w:p>
    <w:p w:rsidR="00B473B7" w:rsidRDefault="00B473B7" w:rsidP="00B473B7">
      <w:r>
        <w:t>De danske bankkunder må måske også til at indse, at flere og flere filialer bliver lukket, hvilket medfører færre pengeinstitutter. I efteråret præsenterede Danske Bank, at de ville gøre 131 filialer kasseløse</w:t>
      </w:r>
      <w:r>
        <w:rPr>
          <w:rStyle w:val="Fodnotehenvisning"/>
        </w:rPr>
        <w:footnoteReference w:id="2"/>
      </w:r>
      <w:r w:rsidR="0049307F">
        <w:t>.</w:t>
      </w:r>
      <w:r>
        <w:t xml:space="preserve"> </w:t>
      </w:r>
      <w:r w:rsidR="0049307F">
        <w:t>Når</w:t>
      </w:r>
      <w:r>
        <w:t xml:space="preserve"> Danske Bank </w:t>
      </w:r>
      <w:r w:rsidR="0049307F">
        <w:t>går forrest</w:t>
      </w:r>
      <w:r>
        <w:t xml:space="preserve">, </w:t>
      </w:r>
      <w:r w:rsidR="0049307F">
        <w:t xml:space="preserve">følger </w:t>
      </w:r>
      <w:r>
        <w:t xml:space="preserve">de fleste andre pengeinstitutter </w:t>
      </w:r>
      <w:r w:rsidR="001E33FE">
        <w:t>efter</w:t>
      </w:r>
      <w:r>
        <w:t xml:space="preserve"> – det er set før. Derudover er det heller ikke uvæsentligt, at bankunder er blevet meget mere selvhjulpen, og at mange bruger netbanken til det ”daglige”, og ofte kun kommer i banken, når </w:t>
      </w:r>
      <w:r w:rsidR="009210F7">
        <w:t xml:space="preserve">der </w:t>
      </w:r>
      <w:r w:rsidR="001E33FE">
        <w:t xml:space="preserve">er behov for komplekse produkter og rådgivning om </w:t>
      </w:r>
      <w:r>
        <w:t>f.eks. boligkøb, pension mv. Tiden har ændret krav og behov i hele sektoren – både for medarbejderen og for kunden.</w:t>
      </w:r>
    </w:p>
    <w:p w:rsidR="00B473B7" w:rsidRDefault="00B473B7" w:rsidP="00B473B7"/>
    <w:p w:rsidR="00B473B7" w:rsidRDefault="00B473B7" w:rsidP="00B473B7">
      <w:r>
        <w:t xml:space="preserve">Udover at ovenstående giver anledning til at konsolidere sig, må </w:t>
      </w:r>
      <w:r w:rsidR="001E33FE">
        <w:t>er effekten også</w:t>
      </w:r>
      <w:r>
        <w:t xml:space="preserve">, at de større pengeinstitutter alt andet lige vil stå bedre på banen, og have bedre mulighed for at opfylde lovkrav, tilsynsdiamant, få billigere </w:t>
      </w:r>
      <w:proofErr w:type="spellStart"/>
      <w:r>
        <w:t>funding</w:t>
      </w:r>
      <w:proofErr w:type="spellEnd"/>
      <w:r>
        <w:t xml:space="preserve"> mv. Muligheden for flere opkøb og fusioner ser også ud til at forekomme. Der er flere pengeinstitutter, som har kapital klar til at opkøbe, som f.eks. Sydbank og Jyske Bank, men også et mindre nordjysk pengeinstitut som Nordjyske Bank</w:t>
      </w:r>
      <w:r>
        <w:rPr>
          <w:rStyle w:val="Fodnotehenvisning"/>
        </w:rPr>
        <w:footnoteReference w:id="3"/>
      </w:r>
      <w:r>
        <w:t xml:space="preserve">. </w:t>
      </w:r>
    </w:p>
    <w:p w:rsidR="00B473B7" w:rsidRDefault="00B473B7" w:rsidP="00B473B7"/>
    <w:p w:rsidR="001E33FE" w:rsidRDefault="001E33FE" w:rsidP="00B473B7">
      <w:r>
        <w:t>Netop konsolidering kan være meget aktuelt for mange mindre og små pengeinstitutter. Derfor har jeg valgt at tage udgangspunkt i to mindre sparekasser: Den Jyske Sparekasse og Dronninglund Sparekasse.</w:t>
      </w:r>
    </w:p>
    <w:p w:rsidR="001E33FE" w:rsidRDefault="00B473B7" w:rsidP="00B473B7">
      <w:r>
        <w:t>Den Jyske Sparekasse</w:t>
      </w:r>
      <w:r w:rsidR="001E33FE">
        <w:t xml:space="preserve"> </w:t>
      </w:r>
      <w:r>
        <w:t>har senest fusioneret med Sparekassen Farsø og Sparekassen Skals i 2012, samt opkøbt Spar Salling og er en sammenslutning af mange sparekasser,</w:t>
      </w:r>
      <w:r w:rsidR="001E33FE">
        <w:t xml:space="preserve"> som</w:t>
      </w:r>
      <w:r>
        <w:t xml:space="preserve"> primært </w:t>
      </w:r>
      <w:r w:rsidR="001E33FE">
        <w:t xml:space="preserve">har deres markedsområder </w:t>
      </w:r>
      <w:r>
        <w:t xml:space="preserve">i Midt- og Sønderjylland. </w:t>
      </w:r>
      <w:r w:rsidR="0017693C">
        <w:t xml:space="preserve">Herfra </w:t>
      </w:r>
      <w:r>
        <w:t>kunne Dronninglund Sparekasse være en oplagt kandidat til at fusionere med Den Jyske Sparekasse</w:t>
      </w:r>
      <w:r w:rsidR="001E33FE">
        <w:t>, hvis vi udelukkende ser på deres markedsområder</w:t>
      </w:r>
      <w:r>
        <w:t xml:space="preserve">. Den Jyske Sparekasse mangler netop markedsandele i det nordjyske, hvorfor det på det geografiske plan kunne være oplagt. </w:t>
      </w:r>
    </w:p>
    <w:p w:rsidR="00B473B7" w:rsidRDefault="00B473B7" w:rsidP="00B473B7">
      <w:r>
        <w:t xml:space="preserve">Derudover kunne det være spændende at se på, hvilke muligheder det evt. ville give Den Jyske Sparekasse, og hvad det </w:t>
      </w:r>
      <w:r w:rsidR="007263F6">
        <w:t xml:space="preserve">kan betyde </w:t>
      </w:r>
      <w:r>
        <w:t>for Dronninglund Sparekasse. Dette leder mig til følgende problemformulering:</w:t>
      </w:r>
    </w:p>
    <w:p w:rsidR="0017693C" w:rsidRDefault="0017693C" w:rsidP="00B473B7"/>
    <w:p w:rsidR="00B473B7" w:rsidRDefault="00B473B7" w:rsidP="00B473B7">
      <w:pPr>
        <w:pStyle w:val="Overskrift2"/>
        <w:numPr>
          <w:ilvl w:val="1"/>
          <w:numId w:val="1"/>
        </w:numPr>
      </w:pPr>
      <w:bookmarkStart w:id="3" w:name="_Toc354517398"/>
      <w:r w:rsidRPr="008D4A5F">
        <w:lastRenderedPageBreak/>
        <w:t>Problemformulering</w:t>
      </w:r>
      <w:bookmarkEnd w:id="3"/>
    </w:p>
    <w:p w:rsidR="00B473B7" w:rsidRDefault="00B473B7" w:rsidP="00B473B7">
      <w:r>
        <w:t xml:space="preserve">Hvilken betydning vil det have for garanterne i Dronninglund Sparekasse og Den Jyske Sparekasse, hvis disse fusionerer? </w:t>
      </w:r>
    </w:p>
    <w:p w:rsidR="00B473B7" w:rsidRDefault="00B473B7" w:rsidP="00B473B7">
      <w:r>
        <w:t>Hvilke organisatoriske overvejelser bør ledelsen gøre sig ved fusionen?</w:t>
      </w:r>
    </w:p>
    <w:p w:rsidR="00B3382A" w:rsidRPr="008075F5" w:rsidRDefault="00B3382A" w:rsidP="00B473B7"/>
    <w:p w:rsidR="00B473B7" w:rsidRDefault="00B473B7" w:rsidP="00B473B7">
      <w:pPr>
        <w:pStyle w:val="Overskrift2"/>
        <w:numPr>
          <w:ilvl w:val="1"/>
          <w:numId w:val="1"/>
        </w:numPr>
      </w:pPr>
      <w:bookmarkStart w:id="4" w:name="_Toc354517399"/>
      <w:r w:rsidRPr="008D4A5F">
        <w:t>Metode</w:t>
      </w:r>
      <w:bookmarkEnd w:id="4"/>
    </w:p>
    <w:p w:rsidR="00B473B7" w:rsidRPr="00433B58" w:rsidRDefault="00B473B7" w:rsidP="00B473B7">
      <w:pPr>
        <w:rPr>
          <w:i/>
        </w:rPr>
      </w:pPr>
      <w:r w:rsidRPr="00433B58">
        <w:rPr>
          <w:i/>
        </w:rPr>
        <w:t>Valg af pengeinstitutter</w:t>
      </w:r>
    </w:p>
    <w:p w:rsidR="00B473B7" w:rsidRDefault="00B473B7" w:rsidP="00B473B7">
      <w:r>
        <w:t xml:space="preserve">Jeg har valgt at tage udgangspunkt i Den Jyske Sparekasse og Dronninglund Sparekasse. Dette skyldes, at Den Jyske Sparekasse tidligere har fusioneret med sparekasser, som umiddelbart minder om Dronninglund Sparekasse, samt at Dronninglund Sparekasses filialnet vil passe godt med filialnettet i Den Jyske Sparekasse. Dette vil alt andet lige gøre, at deres markedsområde bliver større, da de pt. kun har filialer syd for Limfjorden. Ydermere vil det give dem gode muligheder for at vinde markedsandele nord for Limfjorden, hvor Dronninglund Sparekasse i skrivende stund har 12 afdelinger, som primært fordeler sig i den østlige del af Nordjylland. </w:t>
      </w:r>
    </w:p>
    <w:p w:rsidR="005B1F33" w:rsidRPr="00971E5C" w:rsidRDefault="001E33FE" w:rsidP="00B473B7">
      <w:r>
        <w:t xml:space="preserve">Da jeg ikke er </w:t>
      </w:r>
      <w:r w:rsidR="00B473B7">
        <w:t xml:space="preserve">ansat i nogen af ovenstående pengeinstitutter, hvorfor projektets synsvinkel vil forblive objektiv </w:t>
      </w:r>
      <w:r w:rsidR="00DC293F">
        <w:t>i forhold til</w:t>
      </w:r>
      <w:r w:rsidR="00B473B7">
        <w:t xml:space="preserve"> regnskaber og den endelige konklusion.</w:t>
      </w:r>
    </w:p>
    <w:p w:rsidR="005B1F33" w:rsidRDefault="005B1F33">
      <w:pPr>
        <w:spacing w:line="240" w:lineRule="auto"/>
        <w:jc w:val="left"/>
        <w:rPr>
          <w:rFonts w:ascii="Verdana" w:eastAsiaTheme="majorEastAsia" w:hAnsi="Verdana" w:cstheme="majorBidi"/>
          <w:b/>
          <w:bCs/>
          <w:sz w:val="20"/>
        </w:rPr>
      </w:pPr>
      <w:r>
        <w:br w:type="page"/>
      </w:r>
    </w:p>
    <w:p w:rsidR="00B473B7" w:rsidRDefault="00B473B7" w:rsidP="005B1F33">
      <w:pPr>
        <w:pStyle w:val="Overskrift3"/>
        <w:numPr>
          <w:ilvl w:val="2"/>
          <w:numId w:val="1"/>
        </w:numPr>
      </w:pPr>
      <w:bookmarkStart w:id="5" w:name="_Toc354517400"/>
      <w:r>
        <w:lastRenderedPageBreak/>
        <w:t>Opbygning af projektet</w:t>
      </w:r>
      <w:bookmarkEnd w:id="5"/>
    </w:p>
    <w:p w:rsidR="00B473B7" w:rsidRDefault="00B473B7" w:rsidP="00B473B7">
      <w:r>
        <w:t>For at have en rød tråd i projektet har jeg valgt at opdele projektet i flere faser for at besvare problemformuleringen bedst muligt. Det ses i nedenstående figur, hvorledes projektet bliver opbygget:</w:t>
      </w:r>
    </w:p>
    <w:p w:rsidR="00B473B7" w:rsidRDefault="00B473B7" w:rsidP="00B473B7">
      <w:r>
        <w:rPr>
          <w:noProof/>
        </w:rPr>
        <w:drawing>
          <wp:inline distT="0" distB="0" distL="0" distR="0">
            <wp:extent cx="5667555" cy="4042194"/>
            <wp:effectExtent l="0" t="38100" r="0" b="92075"/>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473B7" w:rsidRPr="00F70946" w:rsidRDefault="005A72E8" w:rsidP="00B3382A">
      <w:pPr>
        <w:jc w:val="center"/>
        <w:rPr>
          <w:sz w:val="20"/>
          <w:szCs w:val="20"/>
        </w:rPr>
      </w:pPr>
      <w:r w:rsidRPr="00F70946">
        <w:rPr>
          <w:sz w:val="20"/>
          <w:szCs w:val="20"/>
        </w:rPr>
        <w:t>Figur 1: Opbygning af projekt</w:t>
      </w:r>
    </w:p>
    <w:p w:rsidR="00B473B7" w:rsidRDefault="00B473B7" w:rsidP="00B473B7">
      <w:pPr>
        <w:pStyle w:val="Overskrift3"/>
        <w:numPr>
          <w:ilvl w:val="2"/>
          <w:numId w:val="1"/>
        </w:numPr>
      </w:pPr>
      <w:bookmarkStart w:id="6" w:name="_Toc354517401"/>
      <w:r>
        <w:t>Teori i projektet</w:t>
      </w:r>
      <w:bookmarkEnd w:id="6"/>
    </w:p>
    <w:p w:rsidR="00B473B7" w:rsidRPr="00213D94" w:rsidRDefault="00B473B7" w:rsidP="00B473B7">
      <w:pPr>
        <w:rPr>
          <w:i/>
        </w:rPr>
      </w:pPr>
      <w:r>
        <w:rPr>
          <w:i/>
        </w:rPr>
        <w:t>Lovgivning</w:t>
      </w:r>
    </w:p>
    <w:p w:rsidR="00B473B7" w:rsidRDefault="00B473B7" w:rsidP="00B473B7">
      <w:r>
        <w:t>I teoridelen vil jeg først gennemgå relevant lovgivning, herunder Bekendtgørelsen af Lov om Finansiel Virksomhed (herefter LOFV) og Bekendtgørelsen om kapitaldækning. Begge love giver grundlaget for at drive et pengeinstitut og er dermed med til at belyse, hvilke forhold der bliver berørt ved en fusion. I bekendtgørelsen om kapitaldækning ses også lovkrav vedrørende de risikovægtede poster, og hvordan disse bliver opgjort. Herunder vil solvens- og likviditetskrav også blive gennemgået.</w:t>
      </w:r>
    </w:p>
    <w:p w:rsidR="00B473B7" w:rsidRDefault="00B473B7" w:rsidP="00B473B7"/>
    <w:p w:rsidR="00B473B7" w:rsidRDefault="00B473B7" w:rsidP="00B473B7">
      <w:r>
        <w:t xml:space="preserve">Derudover vil de nøgletal herunder WACC, ICGR, GAP (rentefølsomhed) og </w:t>
      </w:r>
      <w:proofErr w:type="spellStart"/>
      <w:r>
        <w:t>loan</w:t>
      </w:r>
      <w:proofErr w:type="spellEnd"/>
      <w:r>
        <w:t xml:space="preserve"> ratio blive gennemgået.</w:t>
      </w:r>
    </w:p>
    <w:p w:rsidR="00B473B7" w:rsidRDefault="00B473B7" w:rsidP="00B473B7"/>
    <w:p w:rsidR="00B473B7" w:rsidRDefault="00B473B7" w:rsidP="00B473B7">
      <w:r>
        <w:lastRenderedPageBreak/>
        <w:t xml:space="preserve">Ydermere vil jeg gennemgå tilsynsdiamanten, som er særlige risikoområder udstukket af Finanstilsynet, hvilken alle pengeinstitutter fra ultimo 2012 skal overholde. Det er vigtigt, at disse pejlemærker overholdes, da der ellers, overfor pengeinstituttet, kræves ekstra fokus og opfølgning til Finanstilsynet.  </w:t>
      </w:r>
    </w:p>
    <w:p w:rsidR="00B473B7" w:rsidRDefault="00B473B7" w:rsidP="00B473B7"/>
    <w:p w:rsidR="00B473B7" w:rsidRPr="00213D94" w:rsidRDefault="00B473B7" w:rsidP="00B473B7">
      <w:pPr>
        <w:rPr>
          <w:i/>
        </w:rPr>
      </w:pPr>
      <w:r>
        <w:rPr>
          <w:i/>
        </w:rPr>
        <w:t>Organisatorisk</w:t>
      </w:r>
    </w:p>
    <w:p w:rsidR="00B473B7" w:rsidRDefault="00B473B7" w:rsidP="00B473B7">
      <w:r>
        <w:t>Yderligere i projektet vil jeg komme ind på, hvilke organisatoriske udfordringer og muligheder fusionen medfører.</w:t>
      </w:r>
    </w:p>
    <w:p w:rsidR="00B473B7" w:rsidRDefault="00B473B7" w:rsidP="00B473B7">
      <w:r>
        <w:t xml:space="preserve">Jeg vil se på begge pengeinstitutters nuværende organisation, og hvordan denne kommer til at se ud ved en fusion med udgangspunkt i ”Organisationens samlede kultur”. </w:t>
      </w:r>
    </w:p>
    <w:p w:rsidR="00B473B7" w:rsidRDefault="00B473B7" w:rsidP="00B473B7"/>
    <w:p w:rsidR="00B473B7" w:rsidRDefault="00B473B7" w:rsidP="00B473B7">
      <w:r>
        <w:t>Da kommunikation og motivation er en vigtig del af den ansattes trivsel og performance, vil jeg derfor også komme ind på, hvilke forhold ledelsen skal være opmærksomme på her, samt hvilken rolle lederen har ved en fusion.</w:t>
      </w:r>
    </w:p>
    <w:p w:rsidR="00B473B7" w:rsidRDefault="00B473B7" w:rsidP="00B473B7">
      <w:pPr>
        <w:pStyle w:val="Overskrift3"/>
        <w:numPr>
          <w:ilvl w:val="2"/>
          <w:numId w:val="1"/>
        </w:numPr>
      </w:pPr>
      <w:bookmarkStart w:id="7" w:name="_Toc354517402"/>
      <w:r w:rsidRPr="0087410F">
        <w:t>Øvrigt</w:t>
      </w:r>
      <w:r>
        <w:t xml:space="preserve"> indhold</w:t>
      </w:r>
      <w:bookmarkEnd w:id="7"/>
      <w:r>
        <w:t xml:space="preserve"> </w:t>
      </w:r>
    </w:p>
    <w:p w:rsidR="00B473B7" w:rsidRPr="00BD1A9F" w:rsidRDefault="00B473B7" w:rsidP="00B473B7">
      <w:r>
        <w:t>Som det ses i ovenstående figur</w:t>
      </w:r>
      <w:r w:rsidR="004B586B">
        <w:t xml:space="preserve"> 1, side 8, vedrørende</w:t>
      </w:r>
      <w:r>
        <w:t xml:space="preserve"> opbygning af projektet, vil der efter teoridelen komme en analysedel, hvor jeg først vil præsentere de valgte pengeinstitutter – Den Jyske Sparekasse (herefter Den Jyske) og Dronninglund Sparekasse (herefter DS).</w:t>
      </w:r>
    </w:p>
    <w:p w:rsidR="00B473B7" w:rsidRDefault="00B473B7" w:rsidP="00B473B7"/>
    <w:p w:rsidR="00B473B7" w:rsidRDefault="00B473B7" w:rsidP="00B473B7">
      <w:r>
        <w:t>Efter dette vil jeg se på rentabiliteten af de to pengeinstitutter og gennemgå de historiske økonomiske nøgletal for begge pengeinstitutter, som er omtalt i teoridelen (solvens, WACC, ICGR, GAP og Loan Ratio). Der tages udgangspunkt i nøgletallene fra regnskabsårene 2008 til 2012.</w:t>
      </w:r>
    </w:p>
    <w:p w:rsidR="00B473B7" w:rsidRDefault="00B473B7" w:rsidP="00B473B7"/>
    <w:p w:rsidR="00B473B7" w:rsidRDefault="00B473B7" w:rsidP="00B473B7">
      <w:r>
        <w:t xml:space="preserve">Efter gennemgang af de økonomiske nøgletal vil jeg give en generel beskrivelse af begrebet fusion, samt historikken. Derudover vil jeg komme ind på, hvilke rationaliseringer og synergieffekter der vil være ved en fusion af de to pengeinstitutter. </w:t>
      </w:r>
    </w:p>
    <w:p w:rsidR="00B473B7" w:rsidRDefault="00B473B7" w:rsidP="00B473B7"/>
    <w:p w:rsidR="00B473B7" w:rsidRDefault="00B473B7" w:rsidP="00B473B7">
      <w:r>
        <w:t xml:space="preserve">Når jeg har set på, hvilke synergieffekter og besparelser der er, vil jeg opstille en ny balance- og resultatopgørelse og derved udregne og opstille de nye nøgletal for Fusionssparekassen. Jeg vil kommentere på, hvilke fordele og ulemper jeg ser i fusionssparekassen.  </w:t>
      </w:r>
    </w:p>
    <w:p w:rsidR="00B473B7" w:rsidRDefault="00B473B7" w:rsidP="00B473B7"/>
    <w:p w:rsidR="00B473B7" w:rsidRDefault="00B473B7" w:rsidP="00B473B7">
      <w:r>
        <w:lastRenderedPageBreak/>
        <w:t xml:space="preserve">Sidst i projektet vil jeg komme ind på de organisatoriske overvejelser, der er ved en fusion – herunder de punkter, som er gennemgået i teoridelen. </w:t>
      </w:r>
    </w:p>
    <w:p w:rsidR="00F70946" w:rsidRDefault="00F70946" w:rsidP="00B473B7"/>
    <w:p w:rsidR="00B473B7" w:rsidRPr="0087410F" w:rsidRDefault="00B473B7" w:rsidP="00B473B7">
      <w:pPr>
        <w:pStyle w:val="Listeafsnit"/>
        <w:keepNext/>
        <w:keepLines/>
        <w:numPr>
          <w:ilvl w:val="0"/>
          <w:numId w:val="15"/>
        </w:numPr>
        <w:spacing w:before="200"/>
        <w:contextualSpacing w:val="0"/>
        <w:outlineLvl w:val="1"/>
        <w:rPr>
          <w:rFonts w:ascii="Verdana" w:eastAsiaTheme="majorEastAsia" w:hAnsi="Verdana" w:cstheme="majorBidi"/>
          <w:b/>
          <w:bCs/>
          <w:i/>
          <w:vanish/>
          <w:szCs w:val="26"/>
        </w:rPr>
      </w:pPr>
      <w:bookmarkStart w:id="8" w:name="_Toc347663305"/>
      <w:bookmarkStart w:id="9" w:name="_Toc347664438"/>
      <w:bookmarkStart w:id="10" w:name="_Toc347664557"/>
      <w:bookmarkStart w:id="11" w:name="_Toc347664834"/>
      <w:bookmarkStart w:id="12" w:name="_Toc348202048"/>
      <w:bookmarkStart w:id="13" w:name="_Toc349630914"/>
      <w:bookmarkStart w:id="14" w:name="_Toc350148768"/>
      <w:bookmarkStart w:id="15" w:name="_Toc350431929"/>
      <w:bookmarkStart w:id="16" w:name="_Toc350754398"/>
      <w:bookmarkStart w:id="17" w:name="_Toc350777706"/>
      <w:bookmarkStart w:id="18" w:name="_Toc352337797"/>
      <w:bookmarkStart w:id="19" w:name="_Toc352494354"/>
      <w:bookmarkStart w:id="20" w:name="_Toc352573040"/>
      <w:bookmarkStart w:id="21" w:name="_Toc352998008"/>
      <w:bookmarkStart w:id="22" w:name="_Toc353025920"/>
      <w:bookmarkStart w:id="23" w:name="_Toc353025981"/>
      <w:bookmarkStart w:id="24" w:name="_Toc353437523"/>
      <w:bookmarkStart w:id="25" w:name="_Toc353437584"/>
      <w:bookmarkStart w:id="26" w:name="_Toc354139106"/>
      <w:bookmarkStart w:id="27" w:name="_Toc354141296"/>
      <w:bookmarkStart w:id="28" w:name="_Toc354141411"/>
      <w:bookmarkStart w:id="29" w:name="_Toc354488991"/>
      <w:bookmarkStart w:id="30" w:name="_Toc354489058"/>
      <w:bookmarkStart w:id="31" w:name="_Toc35451740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473B7" w:rsidRPr="0087410F" w:rsidRDefault="00B473B7" w:rsidP="00B473B7">
      <w:pPr>
        <w:pStyle w:val="Listeafsnit"/>
        <w:keepNext/>
        <w:keepLines/>
        <w:numPr>
          <w:ilvl w:val="1"/>
          <w:numId w:val="15"/>
        </w:numPr>
        <w:spacing w:before="200"/>
        <w:contextualSpacing w:val="0"/>
        <w:outlineLvl w:val="1"/>
        <w:rPr>
          <w:rFonts w:ascii="Verdana" w:eastAsiaTheme="majorEastAsia" w:hAnsi="Verdana" w:cstheme="majorBidi"/>
          <w:b/>
          <w:bCs/>
          <w:i/>
          <w:vanish/>
          <w:szCs w:val="26"/>
        </w:rPr>
      </w:pPr>
      <w:bookmarkStart w:id="32" w:name="_Toc347664439"/>
      <w:bookmarkStart w:id="33" w:name="_Toc347664558"/>
      <w:bookmarkStart w:id="34" w:name="_Toc347664835"/>
      <w:bookmarkStart w:id="35" w:name="_Toc348202049"/>
      <w:bookmarkStart w:id="36" w:name="_Toc349630915"/>
      <w:bookmarkStart w:id="37" w:name="_Toc350148769"/>
      <w:bookmarkStart w:id="38" w:name="_Toc350431930"/>
      <w:bookmarkStart w:id="39" w:name="_Toc350754399"/>
      <w:bookmarkStart w:id="40" w:name="_Toc350777707"/>
      <w:bookmarkStart w:id="41" w:name="_Toc352337798"/>
      <w:bookmarkStart w:id="42" w:name="_Toc352494355"/>
      <w:bookmarkStart w:id="43" w:name="_Toc352573041"/>
      <w:bookmarkStart w:id="44" w:name="_Toc352998009"/>
      <w:bookmarkStart w:id="45" w:name="_Toc353025921"/>
      <w:bookmarkStart w:id="46" w:name="_Toc353025982"/>
      <w:bookmarkStart w:id="47" w:name="_Toc353437524"/>
      <w:bookmarkStart w:id="48" w:name="_Toc353437585"/>
      <w:bookmarkStart w:id="49" w:name="_Toc354139107"/>
      <w:bookmarkStart w:id="50" w:name="_Toc354141297"/>
      <w:bookmarkStart w:id="51" w:name="_Toc354141412"/>
      <w:bookmarkStart w:id="52" w:name="_Toc354488992"/>
      <w:bookmarkStart w:id="53" w:name="_Toc354489059"/>
      <w:bookmarkStart w:id="54" w:name="_Toc35451740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473B7" w:rsidRPr="0087410F" w:rsidRDefault="00B473B7" w:rsidP="00B473B7">
      <w:pPr>
        <w:pStyle w:val="Listeafsnit"/>
        <w:keepNext/>
        <w:keepLines/>
        <w:numPr>
          <w:ilvl w:val="1"/>
          <w:numId w:val="15"/>
        </w:numPr>
        <w:spacing w:before="200"/>
        <w:contextualSpacing w:val="0"/>
        <w:outlineLvl w:val="1"/>
        <w:rPr>
          <w:rFonts w:ascii="Verdana" w:eastAsiaTheme="majorEastAsia" w:hAnsi="Verdana" w:cstheme="majorBidi"/>
          <w:b/>
          <w:bCs/>
          <w:i/>
          <w:vanish/>
          <w:szCs w:val="26"/>
        </w:rPr>
      </w:pPr>
      <w:bookmarkStart w:id="55" w:name="_Toc347664440"/>
      <w:bookmarkStart w:id="56" w:name="_Toc347664559"/>
      <w:bookmarkStart w:id="57" w:name="_Toc347664836"/>
      <w:bookmarkStart w:id="58" w:name="_Toc348202050"/>
      <w:bookmarkStart w:id="59" w:name="_Toc349630916"/>
      <w:bookmarkStart w:id="60" w:name="_Toc350148770"/>
      <w:bookmarkStart w:id="61" w:name="_Toc350431931"/>
      <w:bookmarkStart w:id="62" w:name="_Toc350754400"/>
      <w:bookmarkStart w:id="63" w:name="_Toc350777708"/>
      <w:bookmarkStart w:id="64" w:name="_Toc352337799"/>
      <w:bookmarkStart w:id="65" w:name="_Toc352494356"/>
      <w:bookmarkStart w:id="66" w:name="_Toc352573042"/>
      <w:bookmarkStart w:id="67" w:name="_Toc352998010"/>
      <w:bookmarkStart w:id="68" w:name="_Toc353025922"/>
      <w:bookmarkStart w:id="69" w:name="_Toc353025983"/>
      <w:bookmarkStart w:id="70" w:name="_Toc353437525"/>
      <w:bookmarkStart w:id="71" w:name="_Toc353437586"/>
      <w:bookmarkStart w:id="72" w:name="_Toc354139108"/>
      <w:bookmarkStart w:id="73" w:name="_Toc354141298"/>
      <w:bookmarkStart w:id="74" w:name="_Toc354141413"/>
      <w:bookmarkStart w:id="75" w:name="_Toc354488993"/>
      <w:bookmarkStart w:id="76" w:name="_Toc354489060"/>
      <w:bookmarkStart w:id="77" w:name="_Toc35451740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473B7" w:rsidRPr="0087410F" w:rsidRDefault="00B473B7" w:rsidP="00B473B7">
      <w:pPr>
        <w:pStyle w:val="Listeafsnit"/>
        <w:keepNext/>
        <w:keepLines/>
        <w:numPr>
          <w:ilvl w:val="1"/>
          <w:numId w:val="15"/>
        </w:numPr>
        <w:spacing w:before="200"/>
        <w:contextualSpacing w:val="0"/>
        <w:outlineLvl w:val="1"/>
        <w:rPr>
          <w:rFonts w:ascii="Verdana" w:eastAsiaTheme="majorEastAsia" w:hAnsi="Verdana" w:cstheme="majorBidi"/>
          <w:b/>
          <w:bCs/>
          <w:i/>
          <w:vanish/>
          <w:szCs w:val="26"/>
        </w:rPr>
      </w:pPr>
      <w:bookmarkStart w:id="78" w:name="_Toc347664441"/>
      <w:bookmarkStart w:id="79" w:name="_Toc347664560"/>
      <w:bookmarkStart w:id="80" w:name="_Toc347664837"/>
      <w:bookmarkStart w:id="81" w:name="_Toc348202051"/>
      <w:bookmarkStart w:id="82" w:name="_Toc349630917"/>
      <w:bookmarkStart w:id="83" w:name="_Toc350148771"/>
      <w:bookmarkStart w:id="84" w:name="_Toc350431932"/>
      <w:bookmarkStart w:id="85" w:name="_Toc350754401"/>
      <w:bookmarkStart w:id="86" w:name="_Toc350777709"/>
      <w:bookmarkStart w:id="87" w:name="_Toc352337800"/>
      <w:bookmarkStart w:id="88" w:name="_Toc352494357"/>
      <w:bookmarkStart w:id="89" w:name="_Toc352573043"/>
      <w:bookmarkStart w:id="90" w:name="_Toc352998011"/>
      <w:bookmarkStart w:id="91" w:name="_Toc353025923"/>
      <w:bookmarkStart w:id="92" w:name="_Toc353025984"/>
      <w:bookmarkStart w:id="93" w:name="_Toc353437526"/>
      <w:bookmarkStart w:id="94" w:name="_Toc353437587"/>
      <w:bookmarkStart w:id="95" w:name="_Toc354139109"/>
      <w:bookmarkStart w:id="96" w:name="_Toc354141299"/>
      <w:bookmarkStart w:id="97" w:name="_Toc354141414"/>
      <w:bookmarkStart w:id="98" w:name="_Toc354488994"/>
      <w:bookmarkStart w:id="99" w:name="_Toc354489061"/>
      <w:bookmarkStart w:id="100" w:name="_Toc35451740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B473B7" w:rsidRPr="00211531" w:rsidRDefault="00B473B7" w:rsidP="00B473B7">
      <w:pPr>
        <w:pStyle w:val="Overskrift2"/>
        <w:numPr>
          <w:ilvl w:val="1"/>
          <w:numId w:val="15"/>
        </w:numPr>
      </w:pPr>
      <w:bookmarkStart w:id="101" w:name="_Toc354517407"/>
      <w:r>
        <w:t>Afgrænsning</w:t>
      </w:r>
      <w:bookmarkEnd w:id="101"/>
    </w:p>
    <w:p w:rsidR="00B473B7" w:rsidRDefault="00B473B7" w:rsidP="00B473B7">
      <w:r>
        <w:t xml:space="preserve">Der er sket meget de seneste år inden for den finansielle sektor, og der er mange lovforslag mv., hvorfor jeg har valgt at tage udgangspunkt i den lovgivning, der er offentlig tilgængeligt pr. 1. februar 2013, samt de nøgletal som foreligger i årsrapporterne fra 2008 - 2012. </w:t>
      </w:r>
    </w:p>
    <w:p w:rsidR="00B473B7" w:rsidRDefault="00B473B7" w:rsidP="00B473B7">
      <w:r>
        <w:t xml:space="preserve">Jeg afgrænser mig derfor fra kvartalsrapporter/halvårsrapporter fra 2013. Endvidere afgrænser jeg mig fra den nye 8+ model, som vedrører nye solvenskrav til pengeinstitutterne. </w:t>
      </w:r>
    </w:p>
    <w:p w:rsidR="00B473B7" w:rsidRDefault="00B473B7" w:rsidP="00B473B7"/>
    <w:p w:rsidR="00B473B7" w:rsidRDefault="00B473B7" w:rsidP="00B473B7">
      <w:r>
        <w:t xml:space="preserve">Grundet projektets omfang er teorierne ikke udtømmende, og derfor vil kun de vigtigste og mest nødvendige blive beskrevet og gennemgået i det omfang, som er nødvendig </w:t>
      </w:r>
      <w:r w:rsidR="00DC293F">
        <w:t>i forhold til</w:t>
      </w:r>
      <w:r>
        <w:t xml:space="preserve"> de valgte pengeinstitutter. </w:t>
      </w:r>
    </w:p>
    <w:p w:rsidR="00B473B7" w:rsidRDefault="00B473B7" w:rsidP="00B473B7"/>
    <w:p w:rsidR="00B473B7" w:rsidRDefault="00B473B7" w:rsidP="00B473B7">
      <w:r>
        <w:t xml:space="preserve">Jeg vil ikke kommentere påvirkningen af sparekassernes garantbeviser </w:t>
      </w:r>
      <w:r w:rsidR="00E93443">
        <w:t xml:space="preserve">og værdien af disse </w:t>
      </w:r>
      <w:r>
        <w:t xml:space="preserve">ved sammenlægning af disse. Samtidig vil jeg ikke forholde mig til en overtagelsespris på sparekassen, som overtages ved fusionen. </w:t>
      </w:r>
    </w:p>
    <w:p w:rsidR="00B473B7" w:rsidRDefault="00B473B7" w:rsidP="00B473B7"/>
    <w:p w:rsidR="00B473B7" w:rsidRDefault="00B473B7" w:rsidP="00B473B7">
      <w:r>
        <w:t xml:space="preserve">Jeg vil forholde mig kritisk til valg af kilder, og kun inddrage dem, jeg finder troværdige, pålidelige og uden politiske holdninger. </w:t>
      </w:r>
    </w:p>
    <w:p w:rsidR="00B473B7" w:rsidRDefault="00B473B7" w:rsidP="00B473B7"/>
    <w:p w:rsidR="00B473B7" w:rsidRDefault="00B473B7" w:rsidP="00B473B7">
      <w:pPr>
        <w:spacing w:line="240" w:lineRule="auto"/>
        <w:jc w:val="left"/>
        <w:rPr>
          <w:rFonts w:ascii="Verdana" w:eastAsiaTheme="majorEastAsia" w:hAnsi="Verdana" w:cstheme="majorBidi"/>
          <w:b/>
          <w:bCs/>
          <w:kern w:val="32"/>
          <w:sz w:val="26"/>
          <w:szCs w:val="32"/>
        </w:rPr>
      </w:pPr>
      <w:r>
        <w:br w:type="page"/>
      </w:r>
    </w:p>
    <w:p w:rsidR="00B473B7" w:rsidRDefault="00B473B7" w:rsidP="00B473B7">
      <w:pPr>
        <w:pStyle w:val="Overskrift1"/>
        <w:numPr>
          <w:ilvl w:val="0"/>
          <w:numId w:val="23"/>
        </w:numPr>
      </w:pPr>
      <w:bookmarkStart w:id="102" w:name="_Toc354517408"/>
      <w:r>
        <w:lastRenderedPageBreak/>
        <w:t>Teori</w:t>
      </w:r>
      <w:bookmarkEnd w:id="102"/>
    </w:p>
    <w:p w:rsidR="00B473B7" w:rsidRDefault="00B473B7" w:rsidP="00B473B7">
      <w:r>
        <w:t xml:space="preserve">I nedenstående afsnit vil relevant teori, som indgår i projektet, blive gennemgået. </w:t>
      </w:r>
    </w:p>
    <w:p w:rsidR="00B473B7" w:rsidRDefault="00B473B7" w:rsidP="00B473B7">
      <w:r>
        <w:t>Først vil jeg gennemgå gældende lovgivning for de danske pengeinstitutter, herunder solvens, risikovægtede poster, likviditet og tilsynsdiamanten.</w:t>
      </w:r>
    </w:p>
    <w:p w:rsidR="00B473B7" w:rsidRDefault="00B473B7" w:rsidP="00B473B7">
      <w:r>
        <w:t>Herefter vil jeg gennemgå de økonomiske nøgletal, som bliver beregnet og analyseret for begge pengeinstitutter senere i rapporten. Følgende økonomiske nøgletal vil blive gennemgået</w:t>
      </w:r>
      <w:r w:rsidR="007263F6">
        <w:t>:</w:t>
      </w:r>
      <w:r>
        <w:t xml:space="preserve"> solvens, WACC, ICGR, GAP og Loan Ratio</w:t>
      </w:r>
      <w:r w:rsidR="007263F6">
        <w:t>.</w:t>
      </w:r>
    </w:p>
    <w:p w:rsidR="00B473B7" w:rsidRPr="003B0478" w:rsidRDefault="00B473B7" w:rsidP="00B473B7"/>
    <w:p w:rsidR="00B473B7" w:rsidRDefault="00B473B7" w:rsidP="00B473B7">
      <w:pPr>
        <w:pStyle w:val="Overskrift2"/>
        <w:numPr>
          <w:ilvl w:val="1"/>
          <w:numId w:val="8"/>
        </w:numPr>
      </w:pPr>
      <w:bookmarkStart w:id="103" w:name="_Toc354517409"/>
      <w:r>
        <w:t>Lovgrundlag</w:t>
      </w:r>
      <w:bookmarkEnd w:id="103"/>
    </w:p>
    <w:p w:rsidR="00B473B7" w:rsidRDefault="00B473B7" w:rsidP="00B473B7">
      <w:pPr>
        <w:pStyle w:val="Overskrift3"/>
        <w:numPr>
          <w:ilvl w:val="2"/>
          <w:numId w:val="8"/>
        </w:numPr>
      </w:pPr>
      <w:bookmarkStart w:id="104" w:name="_Toc354517410"/>
      <w:r>
        <w:t>Solvens</w:t>
      </w:r>
      <w:bookmarkEnd w:id="104"/>
    </w:p>
    <w:p w:rsidR="00B473B7" w:rsidRDefault="00B473B7" w:rsidP="00B473B7">
      <w:r>
        <w:t xml:space="preserve">I bekendtgørelse af lov om Finansiel </w:t>
      </w:r>
      <w:r w:rsidR="007263F6">
        <w:t>V</w:t>
      </w:r>
      <w:r>
        <w:t>irksomhed (herefter LOFV) ses lovgivningen af bl.a. solvensen, som er et af de mest væsentlige nøgletal, pengeinstitutter skal drive deres pengeinstitut efter. Solvensen viser, hvor stor en del af pengei</w:t>
      </w:r>
      <w:r w:rsidR="00380614">
        <w:t>nstituttets basiskapital er i forhold til</w:t>
      </w:r>
      <w:r>
        <w:t xml:space="preserve"> de risikovægtede poster. </w:t>
      </w:r>
    </w:p>
    <w:p w:rsidR="00B473B7" w:rsidRDefault="00B473B7" w:rsidP="00B473B7"/>
    <w:p w:rsidR="00B473B7" w:rsidRDefault="00380614" w:rsidP="00B473B7">
      <w:r>
        <w:t>Det ses i LO</w:t>
      </w:r>
      <w:r w:rsidR="00B473B7">
        <w:t>F</w:t>
      </w:r>
      <w:r>
        <w:t>V</w:t>
      </w:r>
      <w:r w:rsidR="00B473B7">
        <w:t xml:space="preserve"> § 124 stk. 1, at det er direktionen og bestyrelsen, som har ansvaret for, at pengeinstituttet har en tilstrækkelig basiskapital og de fornødne redskaber til at vurdere og måle basiskapitalen </w:t>
      </w:r>
      <w:r>
        <w:t>i forhold til</w:t>
      </w:r>
      <w:r w:rsidR="00B473B7">
        <w:t xml:space="preserve"> pengeinstituttets </w:t>
      </w:r>
      <w:r>
        <w:t xml:space="preserve">finansielle </w:t>
      </w:r>
      <w:r w:rsidR="00B473B7">
        <w:t xml:space="preserve">risici og risikoprofil. Endvidere er det i samme paragraf stk. 2 angivet, at basiskapitalen mindst skal udgøre 8 % (solvenskravet) af de risikovægtede poster og 5 mio. euro. (minimumskravet). </w:t>
      </w:r>
    </w:p>
    <w:p w:rsidR="00B473B7" w:rsidRDefault="00B473B7" w:rsidP="00B473B7">
      <w:r>
        <w:t xml:space="preserve">Solvenskravet betyder, at hver gang pengeinstituttet udlåner kr. 1.000 skal der tilbageholdes (reserveres) kr. 80 i basiskapital, såfremt det forudsættes, at risikovægten på udlånet udgør 100 %. </w:t>
      </w:r>
    </w:p>
    <w:p w:rsidR="00B473B7" w:rsidRDefault="00B473B7" w:rsidP="00B473B7"/>
    <w:p w:rsidR="00B473B7" w:rsidRDefault="00B473B7" w:rsidP="00B473B7">
      <w:r>
        <w:t>Derudover skal direktionen og bestyrelse selv, på baggrund af risikoprofil, opgøre deres i</w:t>
      </w:r>
      <w:r w:rsidR="00380614">
        <w:t>ndividuelle solvensbehov jf. LO</w:t>
      </w:r>
      <w:r>
        <w:t>F</w:t>
      </w:r>
      <w:r w:rsidR="00380614">
        <w:t>V</w:t>
      </w:r>
      <w:r>
        <w:t xml:space="preserve"> § 124, stk. 4., og Finanstilsynet kan, hvis de finder det nødvendigt, fastlægge et højere individuelt solvenskrav jf. </w:t>
      </w:r>
      <w:r w:rsidR="00380614">
        <w:t xml:space="preserve">LOFV </w:t>
      </w:r>
      <w:r>
        <w:t>§ 124, stk. 5.</w:t>
      </w:r>
    </w:p>
    <w:p w:rsidR="00B473B7" w:rsidRDefault="00B473B7" w:rsidP="00B473B7"/>
    <w:p w:rsidR="00B473B7" w:rsidRDefault="00B473B7" w:rsidP="00B473B7">
      <w:r>
        <w:t>Jf. bekendtgørelse om kapitaldækning (herefter BK) § 5, ser den matematiske formel for opgørelse af solvensen således ud:</w:t>
      </w:r>
    </w:p>
    <w:p w:rsidR="00B473B7" w:rsidRDefault="00B473B7" w:rsidP="00B473B7">
      <m:oMathPara>
        <m:oMath>
          <m:r>
            <w:rPr>
              <w:rFonts w:ascii="Cambria Math" w:hAnsi="Cambria Math"/>
            </w:rPr>
            <m:t xml:space="preserve">Solvens = </m:t>
          </m:r>
          <m:f>
            <m:fPr>
              <m:ctrlPr>
                <w:rPr>
                  <w:rFonts w:ascii="Cambria Math" w:hAnsi="Cambria Math"/>
                  <w:i/>
                </w:rPr>
              </m:ctrlPr>
            </m:fPr>
            <m:num>
              <m:r>
                <w:rPr>
                  <w:rFonts w:ascii="Cambria Math" w:hAnsi="Cambria Math"/>
                </w:rPr>
                <m:t>Basiskapital</m:t>
              </m:r>
            </m:num>
            <m:den>
              <m:r>
                <w:rPr>
                  <w:rFonts w:ascii="Cambria Math" w:hAnsi="Cambria Math"/>
                </w:rPr>
                <m:t>Summen af de risikovægtede poster</m:t>
              </m:r>
            </m:den>
          </m:f>
        </m:oMath>
      </m:oMathPara>
    </w:p>
    <w:p w:rsidR="00B473B7" w:rsidRDefault="00B473B7" w:rsidP="00B473B7">
      <w:r>
        <w:lastRenderedPageBreak/>
        <w:t xml:space="preserve">Basiskapital består af kernekapital, hybrid kernekapital og supplerende kapital, hvilket fastsættes af Finanstilsynet jf. </w:t>
      </w:r>
      <w:r w:rsidR="00380614">
        <w:t xml:space="preserve">LOFV </w:t>
      </w:r>
      <w:r>
        <w:t xml:space="preserve">§ 128. </w:t>
      </w:r>
    </w:p>
    <w:p w:rsidR="00B473B7" w:rsidRDefault="00B473B7" w:rsidP="00B473B7">
      <w:pPr>
        <w:rPr>
          <w:color w:val="FF0000"/>
        </w:rPr>
      </w:pPr>
    </w:p>
    <w:p w:rsidR="00B473B7" w:rsidRDefault="00B473B7" w:rsidP="00B473B7">
      <w:r>
        <w:t>Kernekapital udgør kernen af basiskapitalen, hvorfor det også er den mest usikre kapital for investorer at investere i. Kernekapitalen består bl.a. af indbetalt garant- eller aktiekapital jf. bekendtgørelse om opgørelse af basiskapital § 4</w:t>
      </w:r>
      <w:r>
        <w:rPr>
          <w:rStyle w:val="Fodnotehenvisning"/>
        </w:rPr>
        <w:footnoteReference w:id="4"/>
      </w:r>
      <w:r>
        <w:t>.</w:t>
      </w:r>
    </w:p>
    <w:p w:rsidR="00B473B7" w:rsidRDefault="00B473B7" w:rsidP="00B473B7"/>
    <w:p w:rsidR="00B473B7" w:rsidRDefault="00B473B7" w:rsidP="00B473B7">
      <w:r>
        <w:t xml:space="preserve">Hybrid kernekapital kan jf. bekendtgørelse om opgørelse af basiskapital § 15 maksimalt udgøre 50 % af kernekapitalen, og består både af aktie- eller garantkapital og lånekapital. Den del, som ikke kan medregnes i kernekapitalen, kan medregnes under supplerende kapital. </w:t>
      </w:r>
    </w:p>
    <w:p w:rsidR="00B473B7" w:rsidRDefault="00B473B7" w:rsidP="00B473B7"/>
    <w:p w:rsidR="00B473B7" w:rsidRPr="00811BA2" w:rsidRDefault="00B473B7" w:rsidP="00B473B7">
      <w:r>
        <w:t>Sidste del af basiskapitalen er den supplerende kapital, som bl.a. består af ansvarlig lånekapital og den hybride kernekapital, som ikke medregnes i den egentlige kernekapital jf. bekendtgørelse om opgørelse af basiskapital § 27.</w:t>
      </w:r>
    </w:p>
    <w:p w:rsidR="00B473B7" w:rsidRDefault="00B473B7" w:rsidP="00B473B7">
      <w:pPr>
        <w:rPr>
          <w:color w:val="FF0000"/>
        </w:rPr>
      </w:pPr>
    </w:p>
    <w:p w:rsidR="00B473B7" w:rsidRDefault="00B473B7" w:rsidP="00B473B7">
      <w:r>
        <w:t xml:space="preserve">Solvensen viser, hvor meget pengeinstitutter har at stå imod med i dårlige tider, samt hvor meget den kan tåle at miste, inden et tab vil påvirke fremmedkapitalen. Hvis solvensen er lav kan det i værste fald betyde, at pengeinstituttet kan være nødsaget til at lukke, hvis de ikke følger de regler, som er omtalt i ovenstående. </w:t>
      </w:r>
    </w:p>
    <w:p w:rsidR="00B473B7" w:rsidRDefault="00B473B7" w:rsidP="00B473B7">
      <w:r>
        <w:t>For høj solvens kan derimod betyde, at pengeinstituttet ikke udnytter sine ressourcer effektivt og optimalt, og derved ikke formår at få deres overskud ud at arbejde og derved øge udlån og opnå større indtjening.</w:t>
      </w:r>
    </w:p>
    <w:p w:rsidR="00B473B7" w:rsidRDefault="00B473B7" w:rsidP="00B473B7"/>
    <w:p w:rsidR="00B473B7" w:rsidRDefault="00B473B7" w:rsidP="00B473B7">
      <w:r>
        <w:t xml:space="preserve">Hvis pengeinstituttet ønsker en højere solvens kan man med fordel nedbringe de risikovægtede poster, kræve bedre og mere sikkerhed for sit udlån eller øge basiskapitalen ved at forbedre nettoindtjeningen. </w:t>
      </w:r>
    </w:p>
    <w:p w:rsidR="00B473B7" w:rsidRPr="00E56262" w:rsidRDefault="007263F6" w:rsidP="00B473B7">
      <w:r>
        <w:t>P</w:t>
      </w:r>
      <w:r w:rsidR="00B473B7">
        <w:t>engeinstitut</w:t>
      </w:r>
      <w:r>
        <w:t>ter</w:t>
      </w:r>
      <w:r w:rsidR="00B473B7">
        <w:t xml:space="preserve"> med en høj solvens </w:t>
      </w:r>
      <w:r>
        <w:t xml:space="preserve">vil som udgangspunkt </w:t>
      </w:r>
      <w:r w:rsidR="00B473B7">
        <w:t>anses for at være solidt og robust. Dog bør man altid se på det individuelle solvensbehov, hvor pengeinstituttets egen risikoprofil også ”medregnes” og i højere grad</w:t>
      </w:r>
      <w:r w:rsidR="00B473B7" w:rsidRPr="00E6410E">
        <w:t xml:space="preserve"> </w:t>
      </w:r>
      <w:r w:rsidR="00B473B7">
        <w:t xml:space="preserve">angiver, hvor stor basiskapitalen bør være for at inddække et eventuelt underskud.  </w:t>
      </w:r>
    </w:p>
    <w:p w:rsidR="00C8662E" w:rsidRDefault="00C8662E" w:rsidP="00C8662E">
      <w:pPr>
        <w:pStyle w:val="Overskrift3"/>
        <w:numPr>
          <w:ilvl w:val="2"/>
          <w:numId w:val="8"/>
        </w:numPr>
      </w:pPr>
      <w:bookmarkStart w:id="105" w:name="_Toc354517411"/>
      <w:r>
        <w:lastRenderedPageBreak/>
        <w:t>Risikovægtede poster</w:t>
      </w:r>
      <w:bookmarkEnd w:id="105"/>
    </w:p>
    <w:p w:rsidR="00C8662E" w:rsidRDefault="00C8662E" w:rsidP="00C8662E">
      <w:r>
        <w:t>De risikovægtede poster udgør en samlet risiko af kredit-, markeds- og operationelrisici, og udgør alle en del af pengeinstituttets risikoeksponering.</w:t>
      </w:r>
    </w:p>
    <w:p w:rsidR="00C8662E" w:rsidRDefault="00C8662E" w:rsidP="00C8662E">
      <w:r>
        <w:t xml:space="preserve">Kreditrisikoen må alt andet lige være den største for pengeinstituttet, </w:t>
      </w:r>
      <w:r w:rsidR="00380614">
        <w:t>men</w:t>
      </w:r>
      <w:r>
        <w:t xml:space="preserve"> også der, hvor den primære indtjening er. </w:t>
      </w:r>
      <w:r w:rsidR="00965F94">
        <w:t>Pengeinstitutterne</w:t>
      </w:r>
      <w:r>
        <w:t xml:space="preserve"> lever af at låne penge ud</w:t>
      </w:r>
      <w:r w:rsidR="00965F94">
        <w:t>,</w:t>
      </w:r>
      <w:r>
        <w:t xml:space="preserve"> men overlever ved at få dem tilbage.</w:t>
      </w:r>
    </w:p>
    <w:p w:rsidR="00C8662E" w:rsidRDefault="00C8662E" w:rsidP="00C8662E">
      <w:r>
        <w:t>Markedsrisikoen udgør tab på valuta, værdipapirer, renteudsving</w:t>
      </w:r>
      <w:r w:rsidR="00380614">
        <w:t>, finansielle instrumenter</w:t>
      </w:r>
      <w:r>
        <w:t xml:space="preserve"> mv., mens den operationelle risiko udgør menneskelige fejl, fejl i interne procedurer mv.</w:t>
      </w:r>
    </w:p>
    <w:p w:rsidR="00C8662E" w:rsidRDefault="00C8662E" w:rsidP="00C8662E"/>
    <w:p w:rsidR="00C8662E" w:rsidRDefault="00C8662E" w:rsidP="00C8662E">
      <w:r>
        <w:t xml:space="preserve">Hvordan vægtningen og derved kreditrisikoen skal opgøres afhænger af metoden, der anvendes. Der kan vælges mellem </w:t>
      </w:r>
      <w:proofErr w:type="spellStart"/>
      <w:r>
        <w:t>standarmetoden</w:t>
      </w:r>
      <w:proofErr w:type="spellEnd"/>
      <w:r>
        <w:t xml:space="preserve"> jf. BK §§ 9 – 18 eller IRB-metoden jf. BK §§ 19 – 33. Typisk vil de mindre pengeinstitutter anvende standardmetoden, da den benytter standardiserede og faste risikovægte, og derved er den mest enkle og simple. Ved IRB-metoden anvendes en række interne systemer og metoder til at risikostyre og vurdere, som kræver </w:t>
      </w:r>
      <w:proofErr w:type="spellStart"/>
      <w:r>
        <w:t>ratingstyrede</w:t>
      </w:r>
      <w:proofErr w:type="spellEnd"/>
      <w:r>
        <w:t xml:space="preserve"> systemer og langt mere data.</w:t>
      </w:r>
    </w:p>
    <w:p w:rsidR="00C8662E" w:rsidRDefault="00C8662E" w:rsidP="00C8662E"/>
    <w:p w:rsidR="00C8662E" w:rsidRDefault="00C8662E" w:rsidP="00C8662E">
      <w:r>
        <w:t>Det er også standardmetoden begge valgte pengeinstitutter gør brug af, hvorfor det kun er denne metode, som beskrives i nedenstående.</w:t>
      </w:r>
    </w:p>
    <w:p w:rsidR="00C8662E" w:rsidRDefault="00C8662E" w:rsidP="00C8662E"/>
    <w:p w:rsidR="00C8662E" w:rsidRDefault="00C8662E" w:rsidP="00C8662E">
      <w:r>
        <w:t xml:space="preserve">I bekendtgørelsen om kapitaldækning ses, af bilag </w:t>
      </w:r>
      <w:r w:rsidR="00380614">
        <w:t>3</w:t>
      </w:r>
      <w:r>
        <w:rPr>
          <w:rStyle w:val="Fodnotehenvisning"/>
        </w:rPr>
        <w:footnoteReference w:id="5"/>
      </w:r>
      <w:r>
        <w:t xml:space="preserve">, opdelingen af udlånseksponeringen fordelt på kategorier ift. nedvægtningen. I nedenstående figur ses et mindre udvalg af eksempler på vægtklasser. </w:t>
      </w:r>
    </w:p>
    <w:p w:rsidR="00C8662E" w:rsidRDefault="00C8662E" w:rsidP="00C8662E"/>
    <w:tbl>
      <w:tblPr>
        <w:tblStyle w:val="Tabel-Gitter"/>
        <w:tblW w:w="9038" w:type="dxa"/>
        <w:tblLook w:val="04A0" w:firstRow="1" w:lastRow="0" w:firstColumn="1" w:lastColumn="0" w:noHBand="0" w:noVBand="1"/>
      </w:tblPr>
      <w:tblGrid>
        <w:gridCol w:w="6062"/>
        <w:gridCol w:w="2976"/>
      </w:tblGrid>
      <w:tr w:rsidR="00C8662E" w:rsidRPr="00F70946" w:rsidTr="00F70946">
        <w:tc>
          <w:tcPr>
            <w:tcW w:w="6062" w:type="dxa"/>
            <w:shd w:val="clear" w:color="auto" w:fill="C6D9F1" w:themeFill="text2" w:themeFillTint="33"/>
          </w:tcPr>
          <w:p w:rsidR="00C8662E" w:rsidRPr="00F70946" w:rsidRDefault="00C8662E" w:rsidP="00F70946">
            <w:pPr>
              <w:jc w:val="left"/>
              <w:rPr>
                <w:b/>
              </w:rPr>
            </w:pPr>
            <w:r w:rsidRPr="00F70946">
              <w:rPr>
                <w:b/>
              </w:rPr>
              <w:t>Eksponering</w:t>
            </w:r>
          </w:p>
        </w:tc>
        <w:tc>
          <w:tcPr>
            <w:tcW w:w="2976" w:type="dxa"/>
            <w:shd w:val="clear" w:color="auto" w:fill="C6D9F1" w:themeFill="text2" w:themeFillTint="33"/>
          </w:tcPr>
          <w:p w:rsidR="00C8662E" w:rsidRPr="00F70946" w:rsidRDefault="00C8662E" w:rsidP="00F70946">
            <w:pPr>
              <w:jc w:val="left"/>
              <w:rPr>
                <w:b/>
              </w:rPr>
            </w:pPr>
            <w:r w:rsidRPr="00F70946">
              <w:rPr>
                <w:b/>
              </w:rPr>
              <w:t>Vægtning</w:t>
            </w:r>
          </w:p>
        </w:tc>
      </w:tr>
      <w:tr w:rsidR="00C8662E" w:rsidTr="00F70946">
        <w:tc>
          <w:tcPr>
            <w:tcW w:w="6062" w:type="dxa"/>
          </w:tcPr>
          <w:p w:rsidR="00C8662E" w:rsidRPr="007D19FC" w:rsidRDefault="00C8662E" w:rsidP="00F70946">
            <w:pPr>
              <w:rPr>
                <w:b/>
              </w:rPr>
            </w:pPr>
            <w:r w:rsidRPr="007D19FC">
              <w:t>Detailkunder (private og erhverv)</w:t>
            </w:r>
          </w:p>
        </w:tc>
        <w:tc>
          <w:tcPr>
            <w:tcW w:w="2976" w:type="dxa"/>
          </w:tcPr>
          <w:p w:rsidR="00C8662E" w:rsidRPr="007D19FC" w:rsidRDefault="00C8662E" w:rsidP="00F70946">
            <w:r w:rsidRPr="007D19FC">
              <w:t>100 %</w:t>
            </w:r>
          </w:p>
        </w:tc>
      </w:tr>
      <w:tr w:rsidR="00C8662E" w:rsidTr="00F70946">
        <w:tc>
          <w:tcPr>
            <w:tcW w:w="6062" w:type="dxa"/>
          </w:tcPr>
          <w:p w:rsidR="00C8662E" w:rsidRPr="007D19FC" w:rsidRDefault="00C8662E" w:rsidP="00F70946">
            <w:pPr>
              <w:rPr>
                <w:b/>
              </w:rPr>
            </w:pPr>
            <w:r w:rsidRPr="007D19FC">
              <w:t>Erhvervskunder – bestemmes af rating</w:t>
            </w:r>
          </w:p>
        </w:tc>
        <w:tc>
          <w:tcPr>
            <w:tcW w:w="2976" w:type="dxa"/>
          </w:tcPr>
          <w:p w:rsidR="00C8662E" w:rsidRPr="007D19FC" w:rsidRDefault="00C8662E" w:rsidP="00F70946">
            <w:r w:rsidRPr="007D19FC">
              <w:t>20 – 150 %</w:t>
            </w:r>
          </w:p>
        </w:tc>
      </w:tr>
      <w:tr w:rsidR="00C8662E" w:rsidTr="00F70946">
        <w:tc>
          <w:tcPr>
            <w:tcW w:w="6062" w:type="dxa"/>
          </w:tcPr>
          <w:p w:rsidR="00C8662E" w:rsidRPr="007D19FC" w:rsidRDefault="00C8662E" w:rsidP="00F70946">
            <w:pPr>
              <w:rPr>
                <w:b/>
              </w:rPr>
            </w:pPr>
            <w:r w:rsidRPr="007D19FC">
              <w:t>Pant i fast ejendom, helårsbolig op til 80 %</w:t>
            </w:r>
          </w:p>
        </w:tc>
        <w:tc>
          <w:tcPr>
            <w:tcW w:w="2976" w:type="dxa"/>
          </w:tcPr>
          <w:p w:rsidR="00C8662E" w:rsidRPr="007D19FC" w:rsidRDefault="00C8662E" w:rsidP="00F70946">
            <w:r w:rsidRPr="007D19FC">
              <w:t>35 %</w:t>
            </w:r>
          </w:p>
        </w:tc>
      </w:tr>
      <w:tr w:rsidR="00C8662E" w:rsidTr="00F70946">
        <w:tc>
          <w:tcPr>
            <w:tcW w:w="6062" w:type="dxa"/>
          </w:tcPr>
          <w:p w:rsidR="00C8662E" w:rsidRPr="007D19FC" w:rsidRDefault="00C8662E" w:rsidP="00F70946">
            <w:pPr>
              <w:rPr>
                <w:b/>
              </w:rPr>
            </w:pPr>
            <w:r w:rsidRPr="007D19FC">
              <w:t>Pant i fast ejendom, fritids, op til 60 %</w:t>
            </w:r>
          </w:p>
        </w:tc>
        <w:tc>
          <w:tcPr>
            <w:tcW w:w="2976" w:type="dxa"/>
          </w:tcPr>
          <w:p w:rsidR="00C8662E" w:rsidRPr="007D19FC" w:rsidRDefault="00C8662E" w:rsidP="00F70946">
            <w:r w:rsidRPr="007D19FC">
              <w:t>35 %</w:t>
            </w:r>
          </w:p>
        </w:tc>
      </w:tr>
      <w:tr w:rsidR="00C8662E" w:rsidTr="00F70946">
        <w:tc>
          <w:tcPr>
            <w:tcW w:w="6062" w:type="dxa"/>
          </w:tcPr>
          <w:p w:rsidR="00C8662E" w:rsidRPr="007D19FC" w:rsidRDefault="00C8662E" w:rsidP="00F70946">
            <w:pPr>
              <w:rPr>
                <w:b/>
              </w:rPr>
            </w:pPr>
            <w:r w:rsidRPr="007D19FC">
              <w:t>Restance og overtræk</w:t>
            </w:r>
          </w:p>
        </w:tc>
        <w:tc>
          <w:tcPr>
            <w:tcW w:w="2976" w:type="dxa"/>
          </w:tcPr>
          <w:p w:rsidR="00C8662E" w:rsidRPr="007D19FC" w:rsidRDefault="00C8662E" w:rsidP="00F70946">
            <w:r w:rsidRPr="007D19FC">
              <w:t>150 %</w:t>
            </w:r>
          </w:p>
        </w:tc>
      </w:tr>
    </w:tbl>
    <w:p w:rsidR="00C8662E" w:rsidRPr="00F70946" w:rsidRDefault="00F70946" w:rsidP="00C8662E">
      <w:pPr>
        <w:rPr>
          <w:i/>
          <w:sz w:val="20"/>
          <w:szCs w:val="20"/>
        </w:rPr>
      </w:pPr>
      <w:r>
        <w:rPr>
          <w:sz w:val="20"/>
          <w:szCs w:val="20"/>
        </w:rPr>
        <w:t xml:space="preserve">Tabel 1: Vægtning af udvalgte risikogrupper. </w:t>
      </w:r>
      <w:r>
        <w:rPr>
          <w:i/>
          <w:sz w:val="20"/>
          <w:szCs w:val="20"/>
        </w:rPr>
        <w:t>Kilde: Bekendtgørelse om kapitaldækning, bilag 3</w:t>
      </w:r>
    </w:p>
    <w:p w:rsidR="00C8662E" w:rsidRDefault="00C8662E" w:rsidP="00C8662E">
      <w:pPr>
        <w:pStyle w:val="Overskrift3"/>
        <w:numPr>
          <w:ilvl w:val="2"/>
          <w:numId w:val="8"/>
        </w:numPr>
      </w:pPr>
      <w:bookmarkStart w:id="106" w:name="_Toc354517412"/>
      <w:r>
        <w:lastRenderedPageBreak/>
        <w:t>Likviditetskrav</w:t>
      </w:r>
      <w:bookmarkEnd w:id="106"/>
    </w:p>
    <w:p w:rsidR="00C8662E" w:rsidRDefault="00C8662E" w:rsidP="00C8662E">
      <w:r>
        <w:t xml:space="preserve">Udover solvensen og basiskapitalen stilles der også krav til likviditeten i Bekendtgørelsen af lov om finansiel virksomhed. </w:t>
      </w:r>
    </w:p>
    <w:p w:rsidR="00C8662E" w:rsidRDefault="00C8662E" w:rsidP="00C8662E">
      <w:r>
        <w:t xml:space="preserve">Jf. </w:t>
      </w:r>
      <w:r w:rsidR="00380614">
        <w:t>LOFV</w:t>
      </w:r>
      <w:r>
        <w:t xml:space="preserve"> § 152, stk. 1 skal pengeinstituttet have en forsvarlig likviditet, hvilken minimum skal udgøre 15 % af gældsforpligtelser</w:t>
      </w:r>
      <w:r w:rsidR="00380614">
        <w:t>ne</w:t>
      </w:r>
      <w:r w:rsidR="00965F94">
        <w:t>.</w:t>
      </w:r>
      <w:r>
        <w:t xml:space="preserve"> </w:t>
      </w:r>
      <w:r w:rsidR="00965F94">
        <w:t>Det gælder u</w:t>
      </w:r>
      <w:r>
        <w:t>anset mulige udbetalingsforbehold</w:t>
      </w:r>
      <w:r w:rsidR="00965F94">
        <w:t>, der</w:t>
      </w:r>
      <w:r>
        <w:t xml:space="preserve"> påhviler pengeinstituttet at betale på anfordring eller med kortere varsel end en måned, og 10 % af pengeinstituttets samlede gælds- og garantiforpligtelser fraregnet efterstillede kapitalindskud, der kan medregnes ved opgørelsen af basiskapitalen.</w:t>
      </w:r>
    </w:p>
    <w:p w:rsidR="00C8662E" w:rsidRDefault="00C8662E" w:rsidP="00C8662E">
      <w:r>
        <w:t>Hvis kravene til likviditeten jf. LOVF § 152, stk. 1 ikke er opfyldt, og forholdende ikke er bragt i orden senest otte dage efter</w:t>
      </w:r>
      <w:r w:rsidR="00965F94">
        <w:t xml:space="preserve"> pengeinstituttet opdager dette</w:t>
      </w:r>
      <w:r>
        <w:t xml:space="preserve">, skal pengeinstituttet indberette dette til Finanstilsynet, som fastsætter en frist for opfyldelse af kravene. </w:t>
      </w:r>
    </w:p>
    <w:p w:rsidR="00C8662E" w:rsidRDefault="00C8662E" w:rsidP="00C8662E"/>
    <w:p w:rsidR="00C8662E" w:rsidRPr="00BA72A9" w:rsidRDefault="00C8662E" w:rsidP="00C8662E">
      <w:r>
        <w:t>Likviditetsproblemer kan direkte true pengeinstituttets eksistens, hvorfor effektiv likviditetss</w:t>
      </w:r>
      <w:r w:rsidR="00380614">
        <w:t>t</w:t>
      </w:r>
      <w:r>
        <w:t>yring kan være med til at minimere likviditetsrelaterede omkostnings- og</w:t>
      </w:r>
      <w:r w:rsidR="00380614">
        <w:t xml:space="preserve"> øge</w:t>
      </w:r>
      <w:r>
        <w:t xml:space="preserve"> indtjeningsmuligheder</w:t>
      </w:r>
      <w:r w:rsidR="00380614">
        <w:t>ne</w:t>
      </w:r>
      <w:r>
        <w:t xml:space="preserve"> ved hhv. likviditetsover- og underskud. Til styring af dette har pengeinstitutterne normalt styringsredskaber, som giver pengeinstituttet overblik over de samlede betalingsforpligtelser.  </w:t>
      </w:r>
    </w:p>
    <w:p w:rsidR="00C8662E" w:rsidRDefault="00C8662E" w:rsidP="00C8662E">
      <w:pPr>
        <w:pStyle w:val="Overskrift3"/>
        <w:numPr>
          <w:ilvl w:val="2"/>
          <w:numId w:val="8"/>
        </w:numPr>
      </w:pPr>
      <w:bookmarkStart w:id="107" w:name="_Toc354517413"/>
      <w:r>
        <w:t>Tilsynsdiamant</w:t>
      </w:r>
      <w:bookmarkEnd w:id="107"/>
    </w:p>
    <w:p w:rsidR="00C8662E" w:rsidRDefault="00C8662E" w:rsidP="00C8662E">
      <w:r>
        <w:t xml:space="preserve">Tilsynsdiamanten blev introduceret for de danske pengeinstitutters bestyrelser og ledelser i 2010, og er pejlemærker eller grænseværdier, </w:t>
      </w:r>
      <w:r w:rsidR="00380614">
        <w:t xml:space="preserve">som </w:t>
      </w:r>
      <w:r>
        <w:t>de danske pengeinstitutter fra ultimo 2012 skal rette sig efter. De fleste pengeinstitutter har i deres årsrapporter, på hjemmesider mv. offentliggjort deres pejlemærker eller grænseværdier, så offentligheden kan se disse. Derudover fører Finanstilsynet et systematisk tilsyn med disse tal.</w:t>
      </w:r>
    </w:p>
    <w:p w:rsidR="00C8662E" w:rsidRDefault="00C8662E" w:rsidP="00C8662E">
      <w:r>
        <w:t xml:space="preserve">Grænseværdierne i tilsynsdiamanten er med til at indikere, om pengeinstituttet har for høj risiko og derved modvirke </w:t>
      </w:r>
      <w:r w:rsidR="00380614">
        <w:t xml:space="preserve">en </w:t>
      </w:r>
      <w:r>
        <w:t>for høj risikoeksponering. Derudover skal den også hjælpe pengeinsti</w:t>
      </w:r>
      <w:r w:rsidR="00380614">
        <w:t>tuttet til at drive en</w:t>
      </w:r>
      <w:r>
        <w:t xml:space="preserve"> sundt og profitabelt </w:t>
      </w:r>
      <w:r w:rsidR="00380614">
        <w:t>virksomhed</w:t>
      </w:r>
      <w:r>
        <w:t>, som kan yde de nødvendige kreditfaciliteter til virksomheder og private.</w:t>
      </w:r>
      <w:r>
        <w:rPr>
          <w:rStyle w:val="Fodnotehenvisning"/>
        </w:rPr>
        <w:footnoteReference w:id="6"/>
      </w:r>
      <w:r>
        <w:t xml:space="preserve"> </w:t>
      </w:r>
    </w:p>
    <w:p w:rsidR="00C8662E" w:rsidRDefault="00C8662E" w:rsidP="00C8662E"/>
    <w:p w:rsidR="00C8662E" w:rsidRDefault="00C8662E" w:rsidP="00C8662E">
      <w:r>
        <w:t xml:space="preserve">De pengeinstitutter, som ligger godt placeret i tilsynsdiamanten, og som ydermere overholder grænseværdierne, kommer derved med et godt signal til omverdenen, kunder og aktionærer eller garanter. Derved skal man ikke nødvendigvis bruge Tilsynsdiamanten som noget </w:t>
      </w:r>
      <w:r>
        <w:lastRenderedPageBreak/>
        <w:t xml:space="preserve">negativt, men derimod som et værktøj – både for Finanstilsynet, bestyrelsen og ledelsen – til at være på vagt for eventuelle faresignaler eller indikationer i de fem grænseværdier.  </w:t>
      </w:r>
    </w:p>
    <w:p w:rsidR="00C8662E" w:rsidRDefault="00C8662E" w:rsidP="00C8662E">
      <w:r>
        <w:t>I nedenstående figur ses de fem grænseværdier, som pengeinstitutterne nu skal indrette sig efter</w:t>
      </w:r>
      <w:r w:rsidR="005A72E8">
        <w:t>:</w:t>
      </w:r>
      <w:r>
        <w:t xml:space="preserve">  </w:t>
      </w:r>
    </w:p>
    <w:p w:rsidR="00C8662E" w:rsidRDefault="00C8662E" w:rsidP="00C8662E">
      <w:pPr>
        <w:jc w:val="center"/>
      </w:pPr>
      <w:r>
        <w:rPr>
          <w:noProof/>
        </w:rPr>
        <w:drawing>
          <wp:inline distT="0" distB="0" distL="0" distR="0">
            <wp:extent cx="4304665" cy="2562225"/>
            <wp:effectExtent l="19050" t="0" r="635" b="0"/>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04665" cy="2562225"/>
                    </a:xfrm>
                    <a:prstGeom prst="rect">
                      <a:avLst/>
                    </a:prstGeom>
                    <a:noFill/>
                    <a:ln w="9525">
                      <a:noFill/>
                      <a:miter lim="800000"/>
                      <a:headEnd/>
                      <a:tailEnd/>
                    </a:ln>
                  </pic:spPr>
                </pic:pic>
              </a:graphicData>
            </a:graphic>
          </wp:inline>
        </w:drawing>
      </w:r>
    </w:p>
    <w:p w:rsidR="00C8662E" w:rsidRDefault="00F70946" w:rsidP="00C8662E">
      <w:pPr>
        <w:rPr>
          <w:i/>
          <w:sz w:val="20"/>
        </w:rPr>
      </w:pPr>
      <w:r>
        <w:rPr>
          <w:sz w:val="20"/>
        </w:rPr>
        <w:t xml:space="preserve">Figur 2: Tilsynsdiamant </w:t>
      </w:r>
      <w:proofErr w:type="spellStart"/>
      <w:r>
        <w:rPr>
          <w:sz w:val="20"/>
        </w:rPr>
        <w:t>incl</w:t>
      </w:r>
      <w:proofErr w:type="spellEnd"/>
      <w:r>
        <w:rPr>
          <w:sz w:val="20"/>
        </w:rPr>
        <w:t xml:space="preserve">. grænseværdier. </w:t>
      </w:r>
      <w:r>
        <w:rPr>
          <w:i/>
          <w:sz w:val="20"/>
        </w:rPr>
        <w:t xml:space="preserve">Kilde </w:t>
      </w:r>
      <w:hyperlink r:id="rId18" w:history="1">
        <w:r w:rsidRPr="00F70946">
          <w:rPr>
            <w:rStyle w:val="Hyperlink"/>
            <w:i/>
            <w:color w:val="auto"/>
            <w:sz w:val="20"/>
            <w:u w:val="none"/>
          </w:rPr>
          <w:t>www.nordjyskebank.dk</w:t>
        </w:r>
      </w:hyperlink>
    </w:p>
    <w:p w:rsidR="00F70946" w:rsidRPr="00F70946" w:rsidRDefault="00F70946" w:rsidP="00C8662E">
      <w:pPr>
        <w:rPr>
          <w:i/>
          <w:sz w:val="20"/>
        </w:rPr>
      </w:pPr>
    </w:p>
    <w:p w:rsidR="00C8662E" w:rsidRDefault="00C8662E" w:rsidP="00C8662E">
      <w:r>
        <w:t>Som det ses i ovenstående figur skal summen af store engagementer være under 125 % af basiskapitalen. Netop dette punkt er medtaget for at minimere risikoen for at blive påvir</w:t>
      </w:r>
      <w:r w:rsidR="00F70946">
        <w:t xml:space="preserve">ket fatalt af et enkeltstående </w:t>
      </w:r>
      <w:r>
        <w:t>dårlig</w:t>
      </w:r>
      <w:r w:rsidR="00F70946">
        <w:t>t</w:t>
      </w:r>
      <w:r>
        <w:t xml:space="preserve"> engagement, som kan true pengeinstituttets eksistens. Dette pejlemærke stiller derved krav til at diversificere risikoen til flere og evt. mindre engagementer.</w:t>
      </w:r>
    </w:p>
    <w:p w:rsidR="00C8662E" w:rsidRDefault="00C8662E" w:rsidP="00C8662E"/>
    <w:p w:rsidR="00C8662E" w:rsidRDefault="00C8662E" w:rsidP="00C8662E">
      <w:r>
        <w:t>Den anden grænseværdi fortæller noget om udlånsvæksten, som skal være mindre en</w:t>
      </w:r>
      <w:r w:rsidR="0063200E">
        <w:t>d</w:t>
      </w:r>
      <w:r>
        <w:t xml:space="preserve"> 20 %. En høj udlånsvækst kan indikere, at </w:t>
      </w:r>
      <w:r w:rsidR="00F70946">
        <w:t>pengeinstituttet</w:t>
      </w:r>
      <w:r>
        <w:t xml:space="preserve"> har taget sig en større risiko for at øge udlånet. Dog er en høj vækst ikke nødvendigvis negativt men måske blot en indikation af, at pengeinstituttet har ført en mere ekspansiv udvikling. Endvidere er det de færreste pengeinstitutter, der de seneste år har vist meget høj vækst pga. </w:t>
      </w:r>
      <w:r w:rsidR="0063200E">
        <w:t>den generelle økonomiske afmatning</w:t>
      </w:r>
      <w:r w:rsidR="00F70946">
        <w:t xml:space="preserve">, stagnerede eller </w:t>
      </w:r>
      <w:r>
        <w:t xml:space="preserve">faldende huspriser mv.  </w:t>
      </w:r>
    </w:p>
    <w:p w:rsidR="00C8662E" w:rsidRDefault="00C8662E" w:rsidP="00C8662E"/>
    <w:p w:rsidR="00C8662E" w:rsidRDefault="00C8662E" w:rsidP="00C8662E">
      <w:r>
        <w:t xml:space="preserve">Stabil </w:t>
      </w:r>
      <w:proofErr w:type="spellStart"/>
      <w:r>
        <w:t>funding</w:t>
      </w:r>
      <w:proofErr w:type="spellEnd"/>
      <w:r>
        <w:t xml:space="preserve"> skal sikre, at pengeinstitutterne finansierer sig mere på lang sigt end på kort</w:t>
      </w:r>
      <w:r w:rsidR="0063200E">
        <w:t xml:space="preserve"> sigt</w:t>
      </w:r>
      <w:r>
        <w:t xml:space="preserve">. De skal derved planlægge og sikre sin </w:t>
      </w:r>
      <w:proofErr w:type="spellStart"/>
      <w:r>
        <w:t>funding</w:t>
      </w:r>
      <w:proofErr w:type="spellEnd"/>
      <w:r>
        <w:t xml:space="preserve"> så langsigtet som muligt. Denne grænseværdi indeholder den arbejdende kapital fratrukket obligation</w:t>
      </w:r>
      <w:r w:rsidR="00F70946">
        <w:t>er med en restløbetid på under et</w:t>
      </w:r>
      <w:r>
        <w:t xml:space="preserve"> år</w:t>
      </w:r>
      <w:r w:rsidR="00F70946">
        <w:t>, og</w:t>
      </w:r>
      <w:r>
        <w:t xml:space="preserve"> må ikke overstige udlånet.</w:t>
      </w:r>
    </w:p>
    <w:p w:rsidR="00C8662E" w:rsidRDefault="00C8662E" w:rsidP="00C8662E"/>
    <w:p w:rsidR="00C8662E" w:rsidRDefault="00C8662E" w:rsidP="00C8662E">
      <w:r>
        <w:lastRenderedPageBreak/>
        <w:t xml:space="preserve">Flere banker er krakket pga. stor ejendomseksponering, hvorfor netop dette punkt er aktuelt og må højst udgøre 25 % af det samlede udlån. Historisk set har mange </w:t>
      </w:r>
      <w:r w:rsidR="00F70946">
        <w:t xml:space="preserve">investorer, almindelige bankkunder mv. </w:t>
      </w:r>
      <w:r>
        <w:t>haft den opfattelse, at investering i fast ejendom har været en sikker investering</w:t>
      </w:r>
      <w:r w:rsidR="0063200E">
        <w:t>. De seneste</w:t>
      </w:r>
      <w:r>
        <w:t xml:space="preserve"> år har markedet båret præg af usikkerhed, stagnerende eller faldende boligpriser. Derved gælder det som ved grænseværdien vedrørende de store engagementer, at </w:t>
      </w:r>
      <w:r w:rsidR="00F70946">
        <w:t>pengeinstituttet</w:t>
      </w:r>
      <w:r w:rsidR="0063200E">
        <w:t xml:space="preserve"> skal diversificere risikoen, og</w:t>
      </w:r>
      <w:r>
        <w:t xml:space="preserve"> </w:t>
      </w:r>
      <w:r w:rsidR="00F70946">
        <w:t xml:space="preserve">derved </w:t>
      </w:r>
      <w:r>
        <w:t xml:space="preserve">højst </w:t>
      </w:r>
      <w:r w:rsidR="00F70946">
        <w:t xml:space="preserve">opnå </w:t>
      </w:r>
      <w:r>
        <w:t>en ejendomseksponering på 25 %.</w:t>
      </w:r>
    </w:p>
    <w:p w:rsidR="00C8662E" w:rsidRDefault="00C8662E" w:rsidP="00C8662E"/>
    <w:p w:rsidR="00C8662E" w:rsidRDefault="00C8662E" w:rsidP="00C8662E">
      <w:r>
        <w:t>Det sidste pejlemærke, som skal overholdes er, at pengeinstitutters likviditetsoverdækning skal være på mindst 50 %. Tidligere er flere pengeinstitutter krakket pga. manglende likviditet – en såkaldt ”Storm”, hvor kunderne henter deres indlån i banken pga. frygt for lukning af pengeinstituttet (</w:t>
      </w:r>
      <w:r w:rsidR="00F70946">
        <w:t xml:space="preserve">eksempelvis pga. </w:t>
      </w:r>
      <w:r>
        <w:t>manglende tillid). Dette kan i værste fald føre til lukning, som det f.eks. skete for Northern Rock, der endte med at blive overtaget af den engelske stat</w:t>
      </w:r>
      <w:r>
        <w:rPr>
          <w:rStyle w:val="Fodnotehenvisning"/>
        </w:rPr>
        <w:footnoteReference w:id="7"/>
      </w:r>
      <w:r>
        <w:t xml:space="preserve">. Der er ingen pengeinstitutter, som har så mange kontanter liggende, hvorfor dette må anses at være et de farligste scenarier for et pengeinstitut. </w:t>
      </w:r>
    </w:p>
    <w:p w:rsidR="00C8662E" w:rsidRDefault="00C8662E" w:rsidP="00C8662E">
      <w:r>
        <w:t xml:space="preserve">I Danmark har solvente pengeinstitutter den mulighed, at de altid kan hente likviditet i Nationalbanken, hvis en sådan situation opstår.  </w:t>
      </w:r>
    </w:p>
    <w:p w:rsidR="00C8662E" w:rsidRDefault="00C8662E" w:rsidP="00C8662E"/>
    <w:p w:rsidR="00C8662E" w:rsidRDefault="00C8662E" w:rsidP="00C8662E">
      <w:r>
        <w:t xml:space="preserve">Overordnet set kan man bruge tilsynsdiamanten positivt, selvom man bliver overvåget af Finanstilsynet. Finanstilsynet vil gerne bruge Tilsynsdiamanten til at skabe et godt og fremtidssikret grundlag for at drive pengeinstitut, og derved give kunder og aktionærer/garanter et godt overblik over pengeinstituttets aktuelle situation og status.  </w:t>
      </w:r>
    </w:p>
    <w:p w:rsidR="00C8662E" w:rsidRPr="001D1595" w:rsidRDefault="00C8662E" w:rsidP="00C8662E"/>
    <w:p w:rsidR="005B1F33" w:rsidRDefault="005B1F33">
      <w:pPr>
        <w:spacing w:line="240" w:lineRule="auto"/>
        <w:jc w:val="left"/>
        <w:rPr>
          <w:rFonts w:ascii="Verdana" w:eastAsiaTheme="majorEastAsia" w:hAnsi="Verdana" w:cstheme="majorBidi"/>
          <w:b/>
          <w:bCs/>
          <w:i/>
          <w:szCs w:val="26"/>
        </w:rPr>
      </w:pPr>
      <w:r>
        <w:br w:type="page"/>
      </w:r>
    </w:p>
    <w:p w:rsidR="00C8662E" w:rsidRDefault="00C8662E" w:rsidP="00C8662E">
      <w:pPr>
        <w:pStyle w:val="Overskrift2"/>
        <w:numPr>
          <w:ilvl w:val="1"/>
          <w:numId w:val="8"/>
        </w:numPr>
      </w:pPr>
      <w:bookmarkStart w:id="108" w:name="_Toc354517414"/>
      <w:r>
        <w:lastRenderedPageBreak/>
        <w:t>Økonomiske nøgletal</w:t>
      </w:r>
      <w:bookmarkEnd w:id="108"/>
    </w:p>
    <w:p w:rsidR="00C8662E" w:rsidRPr="00881FC6" w:rsidRDefault="00C8662E" w:rsidP="00C8662E">
      <w:r>
        <w:t>I nedenstående vil teorien for de økonomiske nøgletal, som bruges til at analysere de to pengeinstitutter, blive gennemgået.</w:t>
      </w:r>
    </w:p>
    <w:p w:rsidR="00C8662E" w:rsidRDefault="00C8662E" w:rsidP="00C8662E">
      <w:pPr>
        <w:pStyle w:val="Overskrift3"/>
        <w:numPr>
          <w:ilvl w:val="2"/>
          <w:numId w:val="8"/>
        </w:numPr>
      </w:pPr>
      <w:bookmarkStart w:id="109" w:name="_Toc354517415"/>
      <w:r>
        <w:t>WACC</w:t>
      </w:r>
      <w:r>
        <w:rPr>
          <w:rStyle w:val="Fodnotehenvisning"/>
        </w:rPr>
        <w:footnoteReference w:id="8"/>
      </w:r>
      <w:bookmarkEnd w:id="109"/>
    </w:p>
    <w:p w:rsidR="00C8662E" w:rsidRDefault="00C8662E" w:rsidP="00C8662E">
      <w:r>
        <w:t>WACC er en forkorte</w:t>
      </w:r>
      <w:r w:rsidR="0063200E">
        <w:t>lse af ”</w:t>
      </w:r>
      <w:proofErr w:type="spellStart"/>
      <w:r w:rsidR="0063200E">
        <w:t>Weighted</w:t>
      </w:r>
      <w:proofErr w:type="spellEnd"/>
      <w:r>
        <w:t xml:space="preserve"> average </w:t>
      </w:r>
      <w:proofErr w:type="spellStart"/>
      <w:r>
        <w:t>cost</w:t>
      </w:r>
      <w:proofErr w:type="spellEnd"/>
      <w:r>
        <w:t xml:space="preserve"> of </w:t>
      </w:r>
      <w:proofErr w:type="spellStart"/>
      <w:r>
        <w:t>capital</w:t>
      </w:r>
      <w:proofErr w:type="spellEnd"/>
      <w:r>
        <w:t>” og betyder prisen på pengeinstituttets gennemsnitlige anskaffelse for kapital. WACC viser derved, hvilke omkostninger pengeinstituttet har ved at fremskaffe kapital.</w:t>
      </w:r>
    </w:p>
    <w:p w:rsidR="00C8662E" w:rsidRDefault="00C8662E" w:rsidP="00C8662E">
      <w:r>
        <w:t>Det gælder for pengeinstituttet om at have den lavest mulige WACC, da den viser, hvor konkurrencedygtigt pengeinstituttet er, og hvor god pengeinstituttets indtjeningsevne er.</w:t>
      </w:r>
    </w:p>
    <w:p w:rsidR="00C8662E" w:rsidRDefault="00C8662E" w:rsidP="00C8662E"/>
    <w:p w:rsidR="00C8662E" w:rsidRDefault="00C8662E" w:rsidP="00C8662E">
      <w:r>
        <w:t xml:space="preserve">Det ses i nedenstående formel, at venstresiden viser aflønningen af fremmedkapitalen, mens </w:t>
      </w:r>
      <w:proofErr w:type="spellStart"/>
      <w:r>
        <w:t>højresiden</w:t>
      </w:r>
      <w:proofErr w:type="spellEnd"/>
      <w:r>
        <w:t xml:space="preserve"> viser aflønningen af egenkapitalen.</w:t>
      </w:r>
    </w:p>
    <w:p w:rsidR="00C8662E" w:rsidRDefault="00C8662E" w:rsidP="00C8662E">
      <w:r>
        <w:t xml:space="preserve"> </w:t>
      </w:r>
    </w:p>
    <w:p w:rsidR="00C8662E" w:rsidRDefault="00C8662E" w:rsidP="00C8662E">
      <w:r>
        <w:t>Beregning af WACC foretages ud fra følgende formel:</w:t>
      </w:r>
    </w:p>
    <w:p w:rsidR="00C8662E" w:rsidRDefault="00C8662E" w:rsidP="00C8662E">
      <w:proofErr w:type="spellStart"/>
      <w:r w:rsidRPr="009638C7">
        <w:rPr>
          <w:b/>
        </w:rPr>
        <w:t>K</w:t>
      </w:r>
      <w:r w:rsidRPr="009638C7">
        <w:rPr>
          <w:b/>
          <w:vertAlign w:val="subscript"/>
        </w:rPr>
        <w:t>w</w:t>
      </w:r>
      <w:proofErr w:type="spellEnd"/>
      <w:r w:rsidRPr="009638C7">
        <w:rPr>
          <w:b/>
          <w:vertAlign w:val="subscript"/>
        </w:rPr>
        <w:t xml:space="preserve"> </w:t>
      </w:r>
      <w:r w:rsidRPr="009638C7">
        <w:rPr>
          <w:b/>
        </w:rPr>
        <w:t xml:space="preserve">= </w:t>
      </w:r>
      <w:proofErr w:type="spellStart"/>
      <w:r w:rsidRPr="009638C7">
        <w:rPr>
          <w:b/>
        </w:rPr>
        <w:t>k</w:t>
      </w:r>
      <w:r w:rsidRPr="009638C7">
        <w:rPr>
          <w:b/>
          <w:vertAlign w:val="subscript"/>
        </w:rPr>
        <w:t>d</w:t>
      </w:r>
      <w:proofErr w:type="spellEnd"/>
      <w:r w:rsidRPr="009638C7">
        <w:rPr>
          <w:b/>
        </w:rPr>
        <w:t xml:space="preserve"> (1 – T) </w:t>
      </w:r>
      <w:r>
        <w:rPr>
          <w:b/>
        </w:rPr>
        <w:t>*</w:t>
      </w:r>
      <w:r w:rsidRPr="009638C7">
        <w:rPr>
          <w:b/>
        </w:rPr>
        <w:t xml:space="preserve"> L + </w:t>
      </w:r>
      <w:proofErr w:type="spellStart"/>
      <w:r w:rsidRPr="009638C7">
        <w:rPr>
          <w:b/>
        </w:rPr>
        <w:t>k</w:t>
      </w:r>
      <w:r w:rsidRPr="009638C7">
        <w:rPr>
          <w:b/>
          <w:vertAlign w:val="subscript"/>
        </w:rPr>
        <w:t>e</w:t>
      </w:r>
      <w:proofErr w:type="spellEnd"/>
      <w:r w:rsidRPr="009638C7">
        <w:rPr>
          <w:b/>
        </w:rPr>
        <w:t xml:space="preserve"> (1 – L),</w:t>
      </w:r>
      <w:r>
        <w:t xml:space="preserve"> hvor</w:t>
      </w:r>
    </w:p>
    <w:p w:rsidR="00C8662E" w:rsidRDefault="00C8662E" w:rsidP="00C8662E"/>
    <w:p w:rsidR="00C8662E" w:rsidRDefault="00C8662E" w:rsidP="00C8662E">
      <w:proofErr w:type="spellStart"/>
      <w:r>
        <w:t>K</w:t>
      </w:r>
      <w:r>
        <w:rPr>
          <w:vertAlign w:val="subscript"/>
        </w:rPr>
        <w:t>d</w:t>
      </w:r>
      <w:proofErr w:type="spellEnd"/>
      <w:r>
        <w:rPr>
          <w:vertAlign w:val="subscript"/>
        </w:rPr>
        <w:t xml:space="preserve"> </w:t>
      </w:r>
      <w:r>
        <w:t xml:space="preserve">= </w:t>
      </w:r>
      <w:proofErr w:type="spellStart"/>
      <w:r>
        <w:t>cost</w:t>
      </w:r>
      <w:proofErr w:type="spellEnd"/>
      <w:r>
        <w:t xml:space="preserve"> of </w:t>
      </w:r>
      <w:proofErr w:type="spellStart"/>
      <w:r>
        <w:t>interest-bearing</w:t>
      </w:r>
      <w:proofErr w:type="spellEnd"/>
      <w:r>
        <w:t xml:space="preserve"> </w:t>
      </w:r>
      <w:proofErr w:type="spellStart"/>
      <w:r>
        <w:t>liabilities</w:t>
      </w:r>
      <w:proofErr w:type="spellEnd"/>
      <w:r>
        <w:t xml:space="preserve"> (Balancesum – Egenkapital + Garantkapital – Pulje)</w:t>
      </w:r>
    </w:p>
    <w:p w:rsidR="00C8662E" w:rsidRDefault="00C8662E" w:rsidP="00C8662E">
      <w:r>
        <w:t xml:space="preserve">T = </w:t>
      </w:r>
      <w:proofErr w:type="spellStart"/>
      <w:r>
        <w:t>tax</w:t>
      </w:r>
      <w:proofErr w:type="spellEnd"/>
      <w:r>
        <w:t xml:space="preserve"> rate (skattesats i Danmark 25 %)</w:t>
      </w:r>
    </w:p>
    <w:p w:rsidR="00C8662E" w:rsidRDefault="00C8662E" w:rsidP="00C8662E">
      <w:r w:rsidRPr="004B25FA">
        <w:t xml:space="preserve">L = Ratio of </w:t>
      </w:r>
      <w:proofErr w:type="spellStart"/>
      <w:r w:rsidRPr="004B25FA">
        <w:t>liabilities</w:t>
      </w:r>
      <w:proofErr w:type="spellEnd"/>
      <w:r w:rsidRPr="004B25FA">
        <w:t xml:space="preserve"> to assets (</w:t>
      </w:r>
      <w:proofErr w:type="gramStart"/>
      <w:r w:rsidRPr="004B25FA">
        <w:t>passive</w:t>
      </w:r>
      <w:r>
        <w:t>r</w:t>
      </w:r>
      <w:r w:rsidRPr="004B25FA">
        <w:t xml:space="preserve"> </w:t>
      </w:r>
      <w:r>
        <w:t xml:space="preserve"> </w:t>
      </w:r>
      <w:r w:rsidR="00DC293F">
        <w:t>i</w:t>
      </w:r>
      <w:proofErr w:type="gramEnd"/>
      <w:r w:rsidR="00DC293F">
        <w:t xml:space="preserve"> forhold til</w:t>
      </w:r>
      <w:r w:rsidRPr="004B25FA">
        <w:t xml:space="preserve"> aktiver: ((</w:t>
      </w:r>
      <w:r>
        <w:t>Balancesum – Egenkapital + Garantkapital – pulje)/balancesum))</w:t>
      </w:r>
    </w:p>
    <w:p w:rsidR="00C8662E" w:rsidRDefault="00C8662E" w:rsidP="00C8662E">
      <w:proofErr w:type="spellStart"/>
      <w:r>
        <w:t>K</w:t>
      </w:r>
      <w:r>
        <w:rPr>
          <w:vertAlign w:val="subscript"/>
        </w:rPr>
        <w:t>e</w:t>
      </w:r>
      <w:proofErr w:type="spellEnd"/>
      <w:r>
        <w:t xml:space="preserve"> = </w:t>
      </w:r>
      <w:proofErr w:type="spellStart"/>
      <w:r>
        <w:t>Cost</w:t>
      </w:r>
      <w:proofErr w:type="spellEnd"/>
      <w:r>
        <w:t xml:space="preserve"> of </w:t>
      </w:r>
      <w:proofErr w:type="spellStart"/>
      <w:r>
        <w:t>equity</w:t>
      </w:r>
      <w:proofErr w:type="spellEnd"/>
      <w:r>
        <w:t xml:space="preserve">, som svarer til CAPM og udtrykker afkastkrav til egenkapitalen. CAPM = </w:t>
      </w:r>
      <w:proofErr w:type="spellStart"/>
      <w:r>
        <w:t>r</w:t>
      </w:r>
      <w:r>
        <w:rPr>
          <w:vertAlign w:val="subscript"/>
        </w:rPr>
        <w:t>f</w:t>
      </w:r>
      <w:proofErr w:type="spellEnd"/>
      <w:r>
        <w:t xml:space="preserve"> + β (</w:t>
      </w:r>
      <w:proofErr w:type="spellStart"/>
      <w:r>
        <w:t>r</w:t>
      </w:r>
      <w:r>
        <w:rPr>
          <w:vertAlign w:val="subscript"/>
        </w:rPr>
        <w:t>m</w:t>
      </w:r>
      <w:proofErr w:type="spellEnd"/>
      <w:r>
        <w:t xml:space="preserve"> – </w:t>
      </w:r>
      <w:proofErr w:type="spellStart"/>
      <w:r>
        <w:t>r</w:t>
      </w:r>
      <w:r>
        <w:rPr>
          <w:vertAlign w:val="subscript"/>
        </w:rPr>
        <w:t>f</w:t>
      </w:r>
      <w:proofErr w:type="spellEnd"/>
      <w:r>
        <w:t xml:space="preserve">).  </w:t>
      </w:r>
    </w:p>
    <w:p w:rsidR="00C8662E" w:rsidRDefault="00C8662E" w:rsidP="00C8662E">
      <w:proofErr w:type="spellStart"/>
      <w:r>
        <w:t>R</w:t>
      </w:r>
      <w:r>
        <w:rPr>
          <w:vertAlign w:val="subscript"/>
        </w:rPr>
        <w:t>f</w:t>
      </w:r>
      <w:proofErr w:type="spellEnd"/>
      <w:r>
        <w:t xml:space="preserve"> = risikofrie rente</w:t>
      </w:r>
    </w:p>
    <w:p w:rsidR="00C8662E" w:rsidRDefault="00C8662E" w:rsidP="00C8662E">
      <w:proofErr w:type="spellStart"/>
      <w:r>
        <w:t>R</w:t>
      </w:r>
      <w:r>
        <w:rPr>
          <w:vertAlign w:val="subscript"/>
        </w:rPr>
        <w:t>m</w:t>
      </w:r>
      <w:proofErr w:type="spellEnd"/>
      <w:r>
        <w:t xml:space="preserve"> = Forventet markedsafkast </w:t>
      </w:r>
    </w:p>
    <w:p w:rsidR="00C8662E" w:rsidRPr="007A4D3D" w:rsidRDefault="00C8662E" w:rsidP="00C8662E">
      <w:pPr>
        <w:rPr>
          <w:b/>
        </w:rPr>
      </w:pPr>
      <w:r>
        <w:t>Det ses af ovenstående første led (venstresiden,</w:t>
      </w:r>
      <w:r w:rsidRPr="00C3734B">
        <w:rPr>
          <w:b/>
        </w:rPr>
        <w:t xml:space="preserve"> </w:t>
      </w:r>
      <w:proofErr w:type="spellStart"/>
      <w:r w:rsidRPr="009638C7">
        <w:rPr>
          <w:b/>
        </w:rPr>
        <w:t>k</w:t>
      </w:r>
      <w:r w:rsidRPr="009638C7">
        <w:rPr>
          <w:b/>
          <w:vertAlign w:val="subscript"/>
        </w:rPr>
        <w:t>d</w:t>
      </w:r>
      <w:proofErr w:type="spellEnd"/>
      <w:r w:rsidRPr="009638C7">
        <w:rPr>
          <w:b/>
        </w:rPr>
        <w:t xml:space="preserve"> (1 – T)</w:t>
      </w:r>
      <w:r>
        <w:rPr>
          <w:b/>
        </w:rPr>
        <w:t xml:space="preserve"> *</w:t>
      </w:r>
      <w:r w:rsidRPr="009638C7">
        <w:rPr>
          <w:b/>
        </w:rPr>
        <w:t xml:space="preserve"> L</w:t>
      </w:r>
      <w:r>
        <w:rPr>
          <w:b/>
        </w:rPr>
        <w:t>)</w:t>
      </w:r>
      <w:r>
        <w:t xml:space="preserve">, at denne skal være så lav som muligt, da den viser pengeinstituttets samlede renteudgifter i forhold til fremmedkapitalen. Det ses, at renteudgifterne korrigeres for skat (T), og ganges efterfølgende med L, som er pengeinstituttets gældsandel. </w:t>
      </w:r>
    </w:p>
    <w:p w:rsidR="00C8662E" w:rsidRDefault="00C8662E" w:rsidP="00C8662E"/>
    <w:p w:rsidR="00C8662E" w:rsidRDefault="00C8662E" w:rsidP="00C8662E">
      <w:r>
        <w:t>Det andet led i formlen, (</w:t>
      </w:r>
      <w:proofErr w:type="spellStart"/>
      <w:r>
        <w:t>højresiden</w:t>
      </w:r>
      <w:proofErr w:type="spellEnd"/>
      <w:r>
        <w:t xml:space="preserve">, </w:t>
      </w:r>
      <w:proofErr w:type="spellStart"/>
      <w:r w:rsidRPr="009638C7">
        <w:rPr>
          <w:b/>
        </w:rPr>
        <w:t>k</w:t>
      </w:r>
      <w:r w:rsidRPr="009638C7">
        <w:rPr>
          <w:b/>
          <w:vertAlign w:val="subscript"/>
        </w:rPr>
        <w:t>e</w:t>
      </w:r>
      <w:proofErr w:type="spellEnd"/>
      <w:r w:rsidRPr="009638C7">
        <w:rPr>
          <w:b/>
        </w:rPr>
        <w:t xml:space="preserve"> (1 – L)</w:t>
      </w:r>
      <w:r>
        <w:rPr>
          <w:b/>
        </w:rPr>
        <w:t xml:space="preserve">) </w:t>
      </w:r>
      <w:r w:rsidRPr="00BB7CD8">
        <w:t xml:space="preserve">skal ligeledes have lavest mulige </w:t>
      </w:r>
      <w:proofErr w:type="spellStart"/>
      <w:r w:rsidRPr="00BB7CD8">
        <w:t>K</w:t>
      </w:r>
      <w:r w:rsidRPr="00BB7CD8">
        <w:rPr>
          <w:vertAlign w:val="subscript"/>
        </w:rPr>
        <w:t>e</w:t>
      </w:r>
      <w:proofErr w:type="spellEnd"/>
      <w:r>
        <w:t xml:space="preserve">, som er investors afkastkrav. Et lavt afkastkrav opnås ved at kunne fremvise gode resultater og samtidig fremstå som et solidt pengeinstitut. </w:t>
      </w:r>
    </w:p>
    <w:p w:rsidR="00C8662E" w:rsidRPr="006528F9" w:rsidRDefault="00C8662E" w:rsidP="00C8662E">
      <w:r>
        <w:lastRenderedPageBreak/>
        <w:t xml:space="preserve">I udregningerne af </w:t>
      </w:r>
      <w:proofErr w:type="spellStart"/>
      <w:r>
        <w:t>K</w:t>
      </w:r>
      <w:r>
        <w:rPr>
          <w:vertAlign w:val="subscript"/>
        </w:rPr>
        <w:t>e</w:t>
      </w:r>
      <w:proofErr w:type="spellEnd"/>
      <w:r>
        <w:t xml:space="preserve"> er den risikofrie rente fastsat til 4 %, som er den gennemsnitlige 10 års obligationsrente. </w:t>
      </w:r>
    </w:p>
    <w:p w:rsidR="00C8662E" w:rsidRDefault="00C8662E" w:rsidP="00C8662E"/>
    <w:p w:rsidR="00C8662E" w:rsidRDefault="00C8662E" w:rsidP="00C8662E">
      <w:r w:rsidRPr="00445CF8">
        <w:t xml:space="preserve">Beta fastsættes </w:t>
      </w:r>
      <w:r>
        <w:t xml:space="preserve">som udgangspunkt </w:t>
      </w:r>
      <w:r w:rsidRPr="00445CF8">
        <w:t>til 1,</w:t>
      </w:r>
      <w:r>
        <w:t xml:space="preserve"> hvis der er tale om er ”almindeligt” pengeinstitut uden store risici eller et normalt solidt pengeinstitut. Jo højere risiko, der er forbundet med et pengeinstitut, jo højere skal beta være. Hvis der e</w:t>
      </w:r>
      <w:r w:rsidR="0063200E">
        <w:t>r tale om et mindre solidt</w:t>
      </w:r>
      <w:r>
        <w:t xml:space="preserve"> pengeinstitut, hvor der er større risiko, vil beta være under 1. Hvorvidt der er tale om et solidt pengeinstitut, og derved størrelsen på beta, kan afhænge af parametre som f.eks. solvensprocent, nedskrivningsprocent, kreditpolitik, hvordan pengeinstituttet nedskriver på deres</w:t>
      </w:r>
      <w:r w:rsidR="0063200E">
        <w:t xml:space="preserve"> engagementer</w:t>
      </w:r>
      <w:r>
        <w:t xml:space="preserve"> osv. </w:t>
      </w:r>
    </w:p>
    <w:p w:rsidR="00C8662E" w:rsidRDefault="00C8662E" w:rsidP="00C8662E">
      <w:r>
        <w:t>Beta</w:t>
      </w:r>
      <w:r w:rsidRPr="00445CF8">
        <w:t xml:space="preserve"> viser pengeinstituttets systematiske risiko</w:t>
      </w:r>
      <w:r>
        <w:t xml:space="preserve"> samt hændelser, der rammer markedet generelt, og som investor ikke selv umiddelbart kan påvirke og ændre</w:t>
      </w:r>
      <w:r w:rsidRPr="00445CF8">
        <w:t>. Den systematiske risiko</w:t>
      </w:r>
      <w:r>
        <w:t xml:space="preserve"> kan ikke diversificeres væk og </w:t>
      </w:r>
      <w:r w:rsidR="00954901">
        <w:t>vil altid være der, uanset</w:t>
      </w:r>
      <w:r>
        <w:t xml:space="preserve"> </w:t>
      </w:r>
      <w:r w:rsidR="00954901">
        <w:t>investors evner</w:t>
      </w:r>
      <w:r>
        <w:t xml:space="preserve">. Beta betegnes derfor også som markedsrisikoen, da den altid vil være der. </w:t>
      </w:r>
    </w:p>
    <w:p w:rsidR="00C8662E" w:rsidRDefault="00BA4777" w:rsidP="00C8662E">
      <w:r>
        <w:t>Investor</w:t>
      </w:r>
      <w:r w:rsidR="00C8662E">
        <w:t xml:space="preserve"> har derimod næsten altid mulighed for at diversificere den usystematiske risiko væk, da den kendetegner hændelser, som rammer den enkelte virksomhed. </w:t>
      </w:r>
      <w:r>
        <w:t>Investor</w:t>
      </w:r>
      <w:r w:rsidR="00C8662E">
        <w:t xml:space="preserve"> har derved mulighed for at diversificere risikoen ved at investere i flere forskellige værdipapirer i forskellige lande, brancher osv. </w:t>
      </w:r>
      <w:r w:rsidR="00C8662E" w:rsidRPr="00445CF8">
        <w:t xml:space="preserve"> </w:t>
      </w:r>
    </w:p>
    <w:p w:rsidR="00C8662E" w:rsidRDefault="00C8662E" w:rsidP="00C8662E"/>
    <w:p w:rsidR="00C8662E" w:rsidRDefault="00C8662E" w:rsidP="00C8662E">
      <w:r>
        <w:t>Markedsafkastet (</w:t>
      </w:r>
      <w:r w:rsidRPr="00445CF8">
        <w:t>K</w:t>
      </w:r>
      <w:r w:rsidRPr="00445CF8">
        <w:rPr>
          <w:vertAlign w:val="subscript"/>
        </w:rPr>
        <w:t>m</w:t>
      </w:r>
      <w:r>
        <w:t>) fastsættes til 8 %, da</w:t>
      </w:r>
      <w:r w:rsidRPr="00445CF8">
        <w:t xml:space="preserve"> dette er det forventede afkast på aktiemarkedet, og investor belønnes for at påtage sig den ekstra risiko. </w:t>
      </w:r>
    </w:p>
    <w:p w:rsidR="00C8662E" w:rsidRDefault="00C8662E" w:rsidP="00C8662E"/>
    <w:p w:rsidR="00C8662E" w:rsidRPr="001F5677" w:rsidRDefault="00C8662E" w:rsidP="00C8662E">
      <w:r>
        <w:t>Når WACC falder, betyder det, at pengeinstituttet betaler mindre for sin fremmedkapital og/eller</w:t>
      </w:r>
      <w:r w:rsidR="00BA4777">
        <w:t xml:space="preserve"> at afkastkravet/</w:t>
      </w:r>
      <w:r>
        <w:t xml:space="preserve">egenkapitalen er faldet. Derudover kan WACC også vise, hvad prisen på nye udlån skal være, da disse normalvis kræver ny kapital og kan være dyrere at fremskaffe. </w:t>
      </w:r>
    </w:p>
    <w:p w:rsidR="00C8662E" w:rsidRDefault="00C8662E" w:rsidP="00C8662E">
      <w:pPr>
        <w:pStyle w:val="Overskrift3"/>
        <w:numPr>
          <w:ilvl w:val="2"/>
          <w:numId w:val="8"/>
        </w:numPr>
      </w:pPr>
      <w:bookmarkStart w:id="110" w:name="_Toc354517416"/>
      <w:r>
        <w:t>ICGR</w:t>
      </w:r>
      <w:r>
        <w:rPr>
          <w:rStyle w:val="Fodnotehenvisning"/>
        </w:rPr>
        <w:footnoteReference w:id="9"/>
      </w:r>
      <w:bookmarkEnd w:id="110"/>
    </w:p>
    <w:p w:rsidR="00C8662E" w:rsidRDefault="00C8662E" w:rsidP="00C8662E">
      <w:r>
        <w:t>ICGR er en forkortelse af ”</w:t>
      </w:r>
      <w:proofErr w:type="spellStart"/>
      <w:r>
        <w:t>Internal</w:t>
      </w:r>
      <w:proofErr w:type="spellEnd"/>
      <w:r>
        <w:t xml:space="preserve"> </w:t>
      </w:r>
      <w:proofErr w:type="spellStart"/>
      <w:r>
        <w:t>capital</w:t>
      </w:r>
      <w:proofErr w:type="spellEnd"/>
      <w:r>
        <w:t xml:space="preserve"> generation rate”, der siger noget om pengeinstitutters evne til at skabe egenkapital og konsolidere sig.</w:t>
      </w:r>
    </w:p>
    <w:p w:rsidR="00C8662E" w:rsidRDefault="00C8662E" w:rsidP="00C8662E">
      <w:r>
        <w:t xml:space="preserve">ICGR viser, hvor meget </w:t>
      </w:r>
      <w:r w:rsidR="00BA4777">
        <w:t>pengeinstituttet</w:t>
      </w:r>
      <w:r>
        <w:t xml:space="preserve"> kan øge balancen ved at fastholde samme solvens, givet </w:t>
      </w:r>
      <w:r w:rsidR="00BA4777">
        <w:t>de</w:t>
      </w:r>
      <w:r>
        <w:t xml:space="preserve"> har det samme </w:t>
      </w:r>
      <w:proofErr w:type="spellStart"/>
      <w:r>
        <w:t>vægtningsmix</w:t>
      </w:r>
      <w:proofErr w:type="spellEnd"/>
      <w:r>
        <w:t xml:space="preserve">. Dette er dog afhængigt af, at vi øger indtjeningen. Derved vil ICGR give et godt billede af, hvor meget et pengeinstitut kan </w:t>
      </w:r>
      <w:proofErr w:type="spellStart"/>
      <w:r>
        <w:t>vækste</w:t>
      </w:r>
      <w:proofErr w:type="spellEnd"/>
      <w:r>
        <w:t xml:space="preserve"> i fremtiden </w:t>
      </w:r>
      <w:r>
        <w:lastRenderedPageBreak/>
        <w:t xml:space="preserve">uden at øge risikoen. Dette er en god måde at skabe ekstra indtjening og udvide forretningsomfanget.   </w:t>
      </w:r>
    </w:p>
    <w:p w:rsidR="00C8662E" w:rsidRDefault="00C8662E" w:rsidP="00C8662E"/>
    <w:p w:rsidR="00C8662E" w:rsidRDefault="00C8662E" w:rsidP="00C8662E">
      <w:r>
        <w:t>Beregning af ICGR foretages med følgende formel:</w:t>
      </w:r>
    </w:p>
    <w:p w:rsidR="00C8662E" w:rsidRDefault="00C8662E" w:rsidP="00C8662E"/>
    <w:p w:rsidR="00C8662E" w:rsidRDefault="00C8662E" w:rsidP="00C8662E">
      <m:oMath>
        <m:r>
          <w:rPr>
            <w:rFonts w:ascii="Cambria Math" w:hAnsi="Cambria Math" w:cs="Cambria Math"/>
          </w:rPr>
          <m:t>ICGR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C</m:t>
            </m:r>
            <m:r>
              <w:rPr>
                <w:rFonts w:ascii="Cambria Math" w:hAnsi="Cambria Math" w:cs="Cambria Math"/>
              </w:rPr>
              <m:t>apital ratio</m:t>
            </m:r>
          </m:den>
        </m:f>
        <m:r>
          <m:rPr>
            <m:sty m:val="p"/>
          </m:rPr>
          <w:rPr>
            <w:rFonts w:ascii="Cambria Math" w:hAnsi="Cambria Math"/>
          </w:rPr>
          <m:t xml:space="preserve">x Return on assets </m:t>
        </m:r>
        <m:d>
          <m:dPr>
            <m:ctrlPr>
              <w:rPr>
                <w:rFonts w:ascii="Cambria Math" w:hAnsi="Cambria Math"/>
              </w:rPr>
            </m:ctrlPr>
          </m:dPr>
          <m:e>
            <m:r>
              <m:rPr>
                <m:sty m:val="p"/>
              </m:rPr>
              <w:rPr>
                <w:rFonts w:ascii="Cambria Math" w:hAnsi="Cambria Math"/>
              </w:rPr>
              <m:t>ROA</m:t>
            </m:r>
          </m:e>
        </m:d>
        <m:r>
          <m:rPr>
            <m:sty m:val="p"/>
          </m:rPr>
          <w:rPr>
            <w:rFonts w:ascii="Cambria Math" w:hAnsi="Cambria Math"/>
          </w:rPr>
          <m:t>x Earnings retention ratio</m:t>
        </m:r>
      </m:oMath>
      <w:r>
        <w:t xml:space="preserve"> </w:t>
      </w:r>
      <w:r>
        <w:br/>
        <w:t xml:space="preserve">   </w:t>
      </w:r>
    </w:p>
    <w:p w:rsidR="00C8662E" w:rsidRDefault="00C8662E" w:rsidP="00C8662E">
      <w:r>
        <w:t>hvor;</w:t>
      </w:r>
    </w:p>
    <w:p w:rsidR="00C8662E" w:rsidRDefault="00C8662E" w:rsidP="00C8662E">
      <m:oMathPara>
        <m:oMath>
          <m:r>
            <w:rPr>
              <w:rFonts w:ascii="Cambria Math" w:hAnsi="Cambria Math"/>
            </w:rPr>
            <m:t xml:space="preserve">Capital Ratio= </m:t>
          </m:r>
          <m:f>
            <m:fPr>
              <m:ctrlPr>
                <w:rPr>
                  <w:rFonts w:ascii="Cambria Math" w:hAnsi="Cambria Math"/>
                  <w:i/>
                </w:rPr>
              </m:ctrlPr>
            </m:fPr>
            <m:num>
              <m:r>
                <w:rPr>
                  <w:rFonts w:ascii="Cambria Math" w:hAnsi="Cambria Math"/>
                </w:rPr>
                <m:t>Egenkapital</m:t>
              </m:r>
            </m:num>
            <m:den>
              <m:r>
                <w:rPr>
                  <w:rFonts w:ascii="Cambria Math" w:hAnsi="Cambria Math"/>
                </w:rPr>
                <m:t>Samlede aktiver</m:t>
              </m:r>
            </m:den>
          </m:f>
        </m:oMath>
      </m:oMathPara>
    </w:p>
    <w:p w:rsidR="00C8662E" w:rsidRDefault="00C8662E" w:rsidP="00C8662E">
      <w:r>
        <w:t xml:space="preserve">Capital Ratio viser forholdet mellem egenkapitalen og de samlede aktiver. Jo større </w:t>
      </w:r>
      <w:proofErr w:type="spellStart"/>
      <w:r>
        <w:t>capital</w:t>
      </w:r>
      <w:proofErr w:type="spellEnd"/>
      <w:r>
        <w:t xml:space="preserve"> Ratio er, jo lavere bliver ICGR, da egenkapitalen fylder mere i balancen.</w:t>
      </w:r>
    </w:p>
    <w:p w:rsidR="00C8662E" w:rsidRDefault="00C8662E" w:rsidP="00C8662E"/>
    <w:p w:rsidR="00C8662E" w:rsidRDefault="00C8662E" w:rsidP="00C8662E">
      <m:oMathPara>
        <m:oMath>
          <m:r>
            <w:rPr>
              <w:rFonts w:ascii="Cambria Math" w:hAnsi="Cambria Math"/>
            </w:rPr>
            <m:t xml:space="preserve">Return on assets (ROA)= </m:t>
          </m:r>
          <m:f>
            <m:fPr>
              <m:ctrlPr>
                <w:rPr>
                  <w:rFonts w:ascii="Cambria Math" w:hAnsi="Cambria Math"/>
                  <w:i/>
                </w:rPr>
              </m:ctrlPr>
            </m:fPr>
            <m:num>
              <m:r>
                <w:rPr>
                  <w:rFonts w:ascii="Cambria Math" w:hAnsi="Cambria Math"/>
                </w:rPr>
                <m:t>Årets resultat</m:t>
              </m:r>
            </m:num>
            <m:den>
              <m:r>
                <w:rPr>
                  <w:rFonts w:ascii="Cambria Math" w:hAnsi="Cambria Math"/>
                </w:rPr>
                <m:t>Samlede aktiver</m:t>
              </m:r>
            </m:den>
          </m:f>
        </m:oMath>
      </m:oMathPara>
    </w:p>
    <w:p w:rsidR="00C8662E" w:rsidRDefault="00C8662E" w:rsidP="00C8662E"/>
    <w:p w:rsidR="00C8662E" w:rsidRDefault="00C8662E" w:rsidP="00C8662E">
      <w:r>
        <w:t>ROA betegner afkastningsgraden og viser det samlede afkast, pengeinstituttets aktiver giver, og derved</w:t>
      </w:r>
      <w:r w:rsidR="00BA4777">
        <w:t>,</w:t>
      </w:r>
      <w:r>
        <w:t xml:space="preserve"> hvor </w:t>
      </w:r>
      <w:r w:rsidR="00BA4777">
        <w:t xml:space="preserve">god </w:t>
      </w:r>
      <w:r>
        <w:t>udnyttelse</w:t>
      </w:r>
      <w:r w:rsidR="00BA4777">
        <w:t>n</w:t>
      </w:r>
      <w:r>
        <w:t xml:space="preserve"> er af den investerede kapital. ROA viser også, hvor gode </w:t>
      </w:r>
      <w:r w:rsidR="00BA4777">
        <w:t xml:space="preserve">pengeinstituttet </w:t>
      </w:r>
      <w:r>
        <w:t xml:space="preserve">er til at udnytte de midler </w:t>
      </w:r>
      <w:r w:rsidR="00BA4777">
        <w:t>de</w:t>
      </w:r>
      <w:r>
        <w:t xml:space="preserve"> har i balancen, hvorfor pengeinstituttet ønsker så høj en ROA som muligt. En høj ROA vil også give en høj ISGR, som giver et højere beløb at kunne udvide balancen med.  </w:t>
      </w:r>
    </w:p>
    <w:p w:rsidR="00C8662E" w:rsidRDefault="00C8662E" w:rsidP="00C8662E"/>
    <w:p w:rsidR="00C8662E" w:rsidRDefault="00C8662E" w:rsidP="00C8662E">
      <w:r>
        <w:t xml:space="preserve">Det sidste led i ICGR afhænger af det udbytte, pengeinstituttet udbetaler til deres aktionærer. Da begge pengeinstitutter i dette projekt er sparekasser og derfor ikke betaler udbytte, vil ERR blive 1. </w:t>
      </w:r>
    </w:p>
    <w:p w:rsidR="00C8662E" w:rsidRDefault="00C8662E" w:rsidP="00C8662E"/>
    <w:p w:rsidR="00C8662E" w:rsidRDefault="00C8662E" w:rsidP="00C8662E">
      <m:oMathPara>
        <m:oMath>
          <m:r>
            <w:rPr>
              <w:rFonts w:ascii="Cambria Math" w:hAnsi="Cambria Math"/>
            </w:rPr>
            <m:t>Earnings retention r</m:t>
          </m:r>
          <m:r>
            <w:rPr>
              <w:rFonts w:ascii="Cambria Math" w:hAnsi="Cambria Math"/>
            </w:rPr>
            <m:t xml:space="preserve">atio (ERR)= </m:t>
          </m:r>
          <m:f>
            <m:fPr>
              <m:ctrlPr>
                <w:rPr>
                  <w:rFonts w:ascii="Cambria Math" w:hAnsi="Cambria Math"/>
                  <w:i/>
                </w:rPr>
              </m:ctrlPr>
            </m:fPr>
            <m:num>
              <m:r>
                <w:rPr>
                  <w:rFonts w:ascii="Cambria Math" w:hAnsi="Cambria Math"/>
                </w:rPr>
                <m:t>Resultat efter skat-udbytte</m:t>
              </m:r>
            </m:num>
            <m:den>
              <m:r>
                <w:rPr>
                  <w:rFonts w:ascii="Cambria Math" w:hAnsi="Cambria Math"/>
                </w:rPr>
                <m:t>Resultat efter skat</m:t>
              </m:r>
            </m:den>
          </m:f>
        </m:oMath>
      </m:oMathPara>
    </w:p>
    <w:p w:rsidR="00C8662E" w:rsidRDefault="00C8662E" w:rsidP="00C8662E"/>
    <w:p w:rsidR="00C8662E" w:rsidRDefault="00C8662E" w:rsidP="00C8662E">
      <w:r>
        <w:t>Ud fra ovenstående fås følgende formel:</w:t>
      </w:r>
    </w:p>
    <w:p w:rsidR="00C8662E" w:rsidRDefault="00C8662E" w:rsidP="00C8662E"/>
    <w:p w:rsidR="00C8662E" w:rsidRDefault="00C8662E" w:rsidP="00C8662E">
      <m:oMathPara>
        <m:oMath>
          <m:r>
            <w:rPr>
              <w:rFonts w:ascii="Cambria Math" w:hAnsi="Cambria Math" w:cs="Cambria Math"/>
            </w:rPr>
            <m:t>ICGR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num>
            <m:den>
              <m:f>
                <m:fPr>
                  <m:ctrlPr>
                    <w:rPr>
                      <w:rFonts w:ascii="Cambria Math" w:hAnsi="Cambria Math" w:cs="Cambria Math"/>
                    </w:rPr>
                  </m:ctrlPr>
                </m:fPr>
                <m:num>
                  <m:r>
                    <m:rPr>
                      <m:sty m:val="p"/>
                    </m:rPr>
                    <w:rPr>
                      <w:rFonts w:ascii="Cambria Math" w:hAnsi="Cambria Math" w:cs="Cambria Math"/>
                    </w:rPr>
                    <m:t>Egenkapital</m:t>
                  </m:r>
                </m:num>
                <m:den>
                  <m:r>
                    <m:rPr>
                      <m:sty m:val="p"/>
                    </m:rPr>
                    <w:rPr>
                      <w:rFonts w:ascii="Cambria Math" w:hAnsi="Cambria Math" w:cs="Cambria Math"/>
                    </w:rPr>
                    <m:t>Samlede aktiver</m:t>
                  </m:r>
                </m:den>
              </m:f>
            </m:den>
          </m:f>
          <m:r>
            <m:rPr>
              <m:sty m:val="p"/>
            </m:rPr>
            <w:rPr>
              <w:rFonts w:ascii="Cambria Math" w:hAnsi="Cambria Math"/>
            </w:rPr>
            <m:t>x</m:t>
          </m:r>
          <m:f>
            <m:fPr>
              <m:ctrlPr>
                <w:rPr>
                  <w:rFonts w:ascii="Cambria Math" w:hAnsi="Cambria Math"/>
                </w:rPr>
              </m:ctrlPr>
            </m:fPr>
            <m:num>
              <m:r>
                <m:rPr>
                  <m:sty m:val="p"/>
                </m:rPr>
                <w:rPr>
                  <w:rFonts w:ascii="Cambria Math" w:hAnsi="Cambria Math" w:cs="Cambria Math"/>
                </w:rPr>
                <m:t>Resultat efter skat</m:t>
              </m:r>
            </m:num>
            <m:den>
              <m:r>
                <m:rPr>
                  <m:sty m:val="p"/>
                </m:rPr>
                <w:rPr>
                  <w:rFonts w:ascii="Cambria Math" w:hAnsi="Cambria Math" w:cs="Cambria Math"/>
                </w:rPr>
                <m:t>Samlede aktiver</m:t>
              </m:r>
            </m:den>
          </m:f>
          <m:r>
            <m:rPr>
              <m:sty m:val="p"/>
            </m:rPr>
            <w:rPr>
              <w:rFonts w:ascii="Cambria Math" w:hAnsi="Cambria Math"/>
            </w:rPr>
            <m:t xml:space="preserve">  x</m:t>
          </m:r>
          <m:f>
            <m:fPr>
              <m:ctrlPr>
                <w:rPr>
                  <w:rFonts w:ascii="Cambria Math" w:hAnsi="Cambria Math"/>
                </w:rPr>
              </m:ctrlPr>
            </m:fPr>
            <m:num>
              <m:r>
                <m:rPr>
                  <m:sty m:val="p"/>
                </m:rPr>
                <w:rPr>
                  <w:rFonts w:ascii="Cambria Math" w:hAnsi="Cambria Math" w:cs="Cambria Math"/>
                </w:rPr>
                <m:t>Resultat efter skat-udnytte</m:t>
              </m:r>
            </m:num>
            <m:den>
              <m:r>
                <m:rPr>
                  <m:sty m:val="p"/>
                </m:rPr>
                <w:rPr>
                  <w:rFonts w:ascii="Cambria Math" w:hAnsi="Cambria Math" w:cs="Cambria Math"/>
                </w:rPr>
                <m:t>Resultat efter skat</m:t>
              </m:r>
            </m:den>
          </m:f>
        </m:oMath>
      </m:oMathPara>
    </w:p>
    <w:p w:rsidR="00C8662E" w:rsidRDefault="00C8662E" w:rsidP="00C8662E"/>
    <w:p w:rsidR="00C8662E" w:rsidRDefault="00C8662E" w:rsidP="00C8662E">
      <w:r>
        <w:lastRenderedPageBreak/>
        <w:t>ICGR bør være så højt, at pengeinstituttet kan rumme inflation og årlig rentestigning. Hvis pengeinstituttet ikke kan servicere renter, vil der blive underskud og balancen skal slankes eller ny kapital skal tilføres for at opretholde samme solvensniveau.</w:t>
      </w:r>
    </w:p>
    <w:p w:rsidR="00C8662E" w:rsidRDefault="00C8662E" w:rsidP="00C8662E">
      <w:r>
        <w:t xml:space="preserve">Et negativt ICGR viser, at pengeinstituttet ikke har mulighed for at </w:t>
      </w:r>
      <w:r w:rsidR="007F6A93">
        <w:t>ekspandere</w:t>
      </w:r>
      <w:r>
        <w:t xml:space="preserve"> deres udlån, uden det påvirker solvensprocenten negativt.</w:t>
      </w:r>
    </w:p>
    <w:p w:rsidR="00C8662E" w:rsidRDefault="00C8662E" w:rsidP="00C8662E">
      <w:r>
        <w:t>Udover at ovenstående nøgletal er ”gemt” i ICGR, kan der yderligere udledes og omskrives en ICGR-formel, hvor det ses, at ICGR er lig med ROE jf. nedenstående:</w:t>
      </w:r>
    </w:p>
    <w:p w:rsidR="00C8662E" w:rsidRDefault="00C8662E" w:rsidP="00C8662E"/>
    <w:p w:rsidR="00C8662E" w:rsidRDefault="00C8662E" w:rsidP="00C8662E">
      <w:pPr>
        <w:rPr>
          <w:rFonts w:ascii="Calibri" w:hAnsi="Calibri"/>
        </w:rPr>
      </w:pPr>
      <m:oMath>
        <m:r>
          <w:rPr>
            <w:rFonts w:ascii="Cambria Math" w:hAnsi="Cambria Math"/>
          </w:rPr>
          <m:t xml:space="preserve">ICGR= </m:t>
        </m:r>
        <m:f>
          <m:fPr>
            <m:ctrlPr>
              <w:rPr>
                <w:rFonts w:ascii="Cambria Math" w:hAnsi="Cambria Math"/>
                <w:i/>
              </w:rPr>
            </m:ctrlPr>
          </m:fPr>
          <m:num>
            <m:r>
              <w:rPr>
                <w:rFonts w:ascii="Cambria Math" w:hAnsi="Cambria Math"/>
              </w:rPr>
              <m:t>balansum x resultat efter skat</m:t>
            </m:r>
          </m:num>
          <m:den>
            <m:r>
              <w:rPr>
                <w:rFonts w:ascii="Cambria Math" w:hAnsi="Cambria Math"/>
              </w:rPr>
              <m:t>egenkapital x balancesum</m:t>
            </m:r>
          </m:den>
        </m:f>
        <m:r>
          <w:rPr>
            <w:rFonts w:ascii="Cambria Math" w:hAnsi="Cambria Math"/>
          </w:rPr>
          <m:t xml:space="preserve"> x</m:t>
        </m:r>
        <m:f>
          <m:fPr>
            <m:ctrlPr>
              <w:rPr>
                <w:rFonts w:ascii="Cambria Math" w:hAnsi="Cambria Math"/>
                <w:i/>
              </w:rPr>
            </m:ctrlPr>
          </m:fPr>
          <m:num>
            <m:r>
              <w:rPr>
                <w:rFonts w:ascii="Cambria Math" w:hAnsi="Cambria Math"/>
              </w:rPr>
              <m:t>resultat efter skat-udbytte</m:t>
            </m:r>
          </m:num>
          <m:den>
            <m:r>
              <w:rPr>
                <w:rFonts w:ascii="Cambria Math" w:hAnsi="Cambria Math"/>
              </w:rPr>
              <m:t>resultat efter skat</m:t>
            </m:r>
          </m:den>
        </m:f>
        <m:r>
          <w:rPr>
            <w:rFonts w:ascii="Cambria Math" w:hAnsi="Cambria Math"/>
          </w:rPr>
          <m:t xml:space="preserve"> </m:t>
        </m:r>
      </m:oMath>
      <w:r>
        <w:rPr>
          <w:rFonts w:ascii="Calibri" w:hAnsi="Calibri"/>
        </w:rPr>
        <w:t xml:space="preserve"> </w:t>
      </w:r>
      <w:r>
        <w:rPr>
          <w:rFonts w:ascii="Calibri" w:hAnsi="Calibri"/>
        </w:rPr>
        <w:tab/>
      </w:r>
      <w:r>
        <w:rPr>
          <w:rFonts w:ascii="Calibri" w:hAnsi="Calibri"/>
        </w:rPr>
        <w:tab/>
        <w:t>↔</w:t>
      </w:r>
    </w:p>
    <w:p w:rsidR="00C8662E" w:rsidRDefault="00C8662E" w:rsidP="00C8662E">
      <w:pPr>
        <w:rPr>
          <w:rFonts w:ascii="Calibri" w:hAnsi="Calibri"/>
        </w:rPr>
      </w:pPr>
    </w:p>
    <w:p w:rsidR="00C8662E" w:rsidRDefault="00C8662E" w:rsidP="00C8662E">
      <w:pPr>
        <w:tabs>
          <w:tab w:val="left" w:pos="1304"/>
          <w:tab w:val="left" w:pos="2608"/>
          <w:tab w:val="left" w:pos="3912"/>
          <w:tab w:val="left" w:pos="5216"/>
          <w:tab w:val="left" w:pos="6520"/>
          <w:tab w:val="left" w:pos="7824"/>
          <w:tab w:val="right" w:pos="9072"/>
        </w:tabs>
        <w:rPr>
          <w:rFonts w:ascii="Calibri" w:hAnsi="Calibri"/>
        </w:rPr>
      </w:pPr>
      <m:oMath>
        <m:r>
          <w:rPr>
            <w:rFonts w:ascii="Cambria Math" w:hAnsi="Cambria Math"/>
          </w:rPr>
          <m:t xml:space="preserve">ICGR= </m:t>
        </m:r>
        <m:f>
          <m:fPr>
            <m:ctrlPr>
              <w:rPr>
                <w:rFonts w:ascii="Cambria Math" w:hAnsi="Cambria Math"/>
                <w:i/>
              </w:rPr>
            </m:ctrlPr>
          </m:fPr>
          <m:num>
            <m:r>
              <w:rPr>
                <w:rFonts w:ascii="Cambria Math" w:hAnsi="Cambria Math"/>
              </w:rPr>
              <m:t>resultat efter skat</m:t>
            </m:r>
          </m:num>
          <m:den>
            <m:r>
              <w:rPr>
                <w:rFonts w:ascii="Cambria Math" w:hAnsi="Cambria Math"/>
              </w:rPr>
              <m:t>egenkapital</m:t>
            </m:r>
          </m:den>
        </m:f>
        <m:r>
          <w:rPr>
            <w:rFonts w:ascii="Cambria Math" w:hAnsi="Cambria Math"/>
          </w:rPr>
          <m:t xml:space="preserve"> x</m:t>
        </m:r>
        <m:f>
          <m:fPr>
            <m:ctrlPr>
              <w:rPr>
                <w:rFonts w:ascii="Cambria Math" w:hAnsi="Cambria Math"/>
                <w:i/>
              </w:rPr>
            </m:ctrlPr>
          </m:fPr>
          <m:num>
            <m:r>
              <w:rPr>
                <w:rFonts w:ascii="Cambria Math" w:hAnsi="Cambria Math"/>
              </w:rPr>
              <m:t>resultat efter skat-udbytte</m:t>
            </m:r>
          </m:num>
          <m:den>
            <m:r>
              <w:rPr>
                <w:rFonts w:ascii="Cambria Math" w:hAnsi="Cambria Math"/>
              </w:rPr>
              <m:t>resultat efter skat</m:t>
            </m:r>
          </m:den>
        </m:f>
      </m:oMath>
      <w:r>
        <w:tab/>
      </w:r>
      <w:r>
        <w:tab/>
      </w:r>
      <w:r>
        <w:tab/>
      </w:r>
      <w:r>
        <w:rPr>
          <w:rFonts w:ascii="Calibri" w:hAnsi="Calibri"/>
        </w:rPr>
        <w:t>↔</w:t>
      </w:r>
      <w:r>
        <w:rPr>
          <w:rFonts w:ascii="Calibri" w:hAnsi="Calibri"/>
        </w:rPr>
        <w:tab/>
      </w:r>
    </w:p>
    <w:p w:rsidR="00C8662E" w:rsidRDefault="00C8662E" w:rsidP="00C8662E">
      <w:pPr>
        <w:tabs>
          <w:tab w:val="left" w:pos="1304"/>
          <w:tab w:val="left" w:pos="2608"/>
          <w:tab w:val="left" w:pos="3912"/>
          <w:tab w:val="left" w:pos="5216"/>
          <w:tab w:val="left" w:pos="6520"/>
          <w:tab w:val="left" w:pos="7824"/>
          <w:tab w:val="right" w:pos="9072"/>
        </w:tabs>
        <w:rPr>
          <w:rFonts w:ascii="Calibri" w:hAnsi="Calibri"/>
        </w:rPr>
      </w:pPr>
    </w:p>
    <w:p w:rsidR="00C8662E" w:rsidRDefault="00C8662E" w:rsidP="00C8662E">
      <w:pPr>
        <w:tabs>
          <w:tab w:val="left" w:pos="1304"/>
          <w:tab w:val="left" w:pos="2608"/>
          <w:tab w:val="left" w:pos="3912"/>
          <w:tab w:val="left" w:pos="5216"/>
          <w:tab w:val="left" w:pos="6520"/>
          <w:tab w:val="left" w:pos="7824"/>
          <w:tab w:val="right" w:pos="9072"/>
        </w:tabs>
      </w:pPr>
      <m:oMathPara>
        <m:oMathParaPr>
          <m:jc m:val="left"/>
        </m:oMathParaPr>
        <m:oMath>
          <m:r>
            <w:rPr>
              <w:rFonts w:ascii="Cambria Math" w:hAnsi="Cambria Math"/>
            </w:rPr>
            <m:t xml:space="preserve">ICGR= </m:t>
          </m:r>
          <m:f>
            <m:fPr>
              <m:ctrlPr>
                <w:rPr>
                  <w:rFonts w:ascii="Cambria Math" w:hAnsi="Cambria Math"/>
                  <w:i/>
                </w:rPr>
              </m:ctrlPr>
            </m:fPr>
            <m:num>
              <m:r>
                <w:rPr>
                  <w:rFonts w:ascii="Cambria Math" w:hAnsi="Cambria Math"/>
                </w:rPr>
                <m:t>resultat efter skat-udbytte</m:t>
              </m:r>
            </m:num>
            <m:den>
              <m:r>
                <w:rPr>
                  <w:rFonts w:ascii="Cambria Math" w:hAnsi="Cambria Math"/>
                </w:rPr>
                <m:t>egenkapit</m:t>
              </m:r>
              <m:r>
                <w:rPr>
                  <w:rFonts w:ascii="Cambria Math" w:hAnsi="Cambria Math"/>
                </w:rPr>
                <m:t>al</m:t>
              </m:r>
            </m:den>
          </m:f>
        </m:oMath>
      </m:oMathPara>
    </w:p>
    <w:p w:rsidR="00C8662E" w:rsidRDefault="00C8662E" w:rsidP="00C8662E"/>
    <w:p w:rsidR="00C8662E" w:rsidRPr="00B63D13" w:rsidRDefault="00C8662E" w:rsidP="00C8662E">
      <w:r>
        <w:t xml:space="preserve">Som det ses af ovenstående fås </w:t>
      </w:r>
      <w:r w:rsidRPr="00B63D13">
        <w:t>ROE</w:t>
      </w:r>
      <w:r w:rsidRPr="00B63D13">
        <w:rPr>
          <w:rStyle w:val="Fodnotehenvisning"/>
        </w:rPr>
        <w:footnoteReference w:id="10"/>
      </w:r>
      <w:r w:rsidRPr="00B63D13">
        <w:t xml:space="preserve">, som er en forkortelse af </w:t>
      </w:r>
      <w:r w:rsidRPr="00B63D13">
        <w:rPr>
          <w:i/>
        </w:rPr>
        <w:t xml:space="preserve">Rate of </w:t>
      </w:r>
      <w:proofErr w:type="spellStart"/>
      <w:r w:rsidRPr="00B63D13">
        <w:rPr>
          <w:i/>
        </w:rPr>
        <w:t>return</w:t>
      </w:r>
      <w:proofErr w:type="spellEnd"/>
      <w:r w:rsidRPr="00B63D13">
        <w:rPr>
          <w:i/>
        </w:rPr>
        <w:t xml:space="preserve"> on </w:t>
      </w:r>
      <w:proofErr w:type="spellStart"/>
      <w:r w:rsidRPr="00B63D13">
        <w:rPr>
          <w:i/>
        </w:rPr>
        <w:t>equity</w:t>
      </w:r>
      <w:proofErr w:type="spellEnd"/>
      <w:r w:rsidRPr="00B63D13">
        <w:t xml:space="preserve"> og viser</w:t>
      </w:r>
      <w:r>
        <w:t>,</w:t>
      </w:r>
      <w:r w:rsidRPr="00B63D13">
        <w:t xml:space="preserve"> hvor god pengeinstituttet er til at forrente deres egenkapital, </w:t>
      </w:r>
      <w:r w:rsidR="0063200E">
        <w:t xml:space="preserve">og dermed </w:t>
      </w:r>
      <w:r w:rsidRPr="00B63D13">
        <w:t xml:space="preserve">hvor gode de er til at </w:t>
      </w:r>
      <w:r w:rsidR="0063200E">
        <w:t>skabe indtjening</w:t>
      </w:r>
      <w:r w:rsidRPr="00B63D13">
        <w:t xml:space="preserve">. </w:t>
      </w:r>
    </w:p>
    <w:p w:rsidR="00C8662E" w:rsidRPr="00B63D13" w:rsidRDefault="00C8662E" w:rsidP="00C8662E">
      <w:r w:rsidRPr="00B63D13">
        <w:t>Et lav</w:t>
      </w:r>
      <w:r>
        <w:t>t ROE kan betyde, at pengeinstitu</w:t>
      </w:r>
      <w:r w:rsidRPr="00B63D13">
        <w:t>ttet har svær</w:t>
      </w:r>
      <w:r>
        <w:t xml:space="preserve">t ved at tjene penge på bundlinjen, </w:t>
      </w:r>
      <w:r w:rsidR="007F6A93">
        <w:t xml:space="preserve">ekspandere </w:t>
      </w:r>
      <w:r w:rsidRPr="00B63D13">
        <w:t>og</w:t>
      </w:r>
      <w:r>
        <w:t xml:space="preserve"> dermed</w:t>
      </w:r>
      <w:r w:rsidRPr="00B63D13">
        <w:t xml:space="preserve"> give aktionærer</w:t>
      </w:r>
      <w:r>
        <w:t>ne</w:t>
      </w:r>
      <w:r w:rsidRPr="00B63D13">
        <w:t xml:space="preserve"> et fornuftigt afkast. Derudover kan pengeinstituttet få svært ved at komme til ny kapital, da de</w:t>
      </w:r>
      <w:r w:rsidR="00BA4777">
        <w:t>n</w:t>
      </w:r>
      <w:r w:rsidRPr="00B63D13">
        <w:t xml:space="preserve"> ved en lav egenkapitalforrentning kan se svagere ud end konkurrenterne.</w:t>
      </w:r>
    </w:p>
    <w:p w:rsidR="00C8662E" w:rsidRPr="00DD695A" w:rsidRDefault="00C8662E" w:rsidP="00C8662E">
      <w:r w:rsidRPr="00B63D13">
        <w:t>Et højt ROE kan derimod indikere, at de formår at få penge ud af at arbejde i samfundet, og hvor gode de er til at tjene penge.</w:t>
      </w:r>
    </w:p>
    <w:p w:rsidR="004B586B" w:rsidRDefault="004B586B">
      <w:pPr>
        <w:spacing w:line="240" w:lineRule="auto"/>
        <w:jc w:val="left"/>
        <w:rPr>
          <w:rFonts w:ascii="Verdana" w:eastAsiaTheme="majorEastAsia" w:hAnsi="Verdana" w:cstheme="majorBidi"/>
          <w:b/>
          <w:bCs/>
          <w:sz w:val="20"/>
        </w:rPr>
      </w:pPr>
      <w:bookmarkStart w:id="111" w:name="_Toc354517417"/>
      <w:r>
        <w:br w:type="page"/>
      </w:r>
    </w:p>
    <w:p w:rsidR="00C8662E" w:rsidRDefault="00C8662E" w:rsidP="00C8662E">
      <w:pPr>
        <w:pStyle w:val="Overskrift3"/>
        <w:numPr>
          <w:ilvl w:val="2"/>
          <w:numId w:val="8"/>
        </w:numPr>
      </w:pPr>
      <w:r>
        <w:lastRenderedPageBreak/>
        <w:t>GAP</w:t>
      </w:r>
      <w:r>
        <w:rPr>
          <w:rStyle w:val="Fodnotehenvisning"/>
        </w:rPr>
        <w:footnoteReference w:id="11"/>
      </w:r>
      <w:bookmarkEnd w:id="111"/>
    </w:p>
    <w:p w:rsidR="00C8662E" w:rsidRDefault="00C8662E" w:rsidP="00C8662E">
      <w:proofErr w:type="gramStart"/>
      <w:r>
        <w:t>Det</w:t>
      </w:r>
      <w:proofErr w:type="gramEnd"/>
      <w:r>
        <w:t xml:space="preserve"> tredje </w:t>
      </w:r>
      <w:proofErr w:type="gramStart"/>
      <w:r>
        <w:t>nøgletal</w:t>
      </w:r>
      <w:proofErr w:type="gramEnd"/>
      <w:r>
        <w:t xml:space="preserve">, som skal beregnes for de to valgte pengeinstitutter er GAP-analyse, som viser pengeinstituttets rentefølsomhed ved rentefald eller -stigninger. </w:t>
      </w:r>
    </w:p>
    <w:p w:rsidR="00C8662E" w:rsidRDefault="00C8662E" w:rsidP="00C8662E"/>
    <w:p w:rsidR="00C8662E" w:rsidRDefault="00C8662E" w:rsidP="00C8662E">
      <w:r>
        <w:t>Her sammenlignes de rentefølsomme aktiver ved de rentefølsomme passiver</w:t>
      </w:r>
      <w:r w:rsidR="006E1C14">
        <w:t>.</w:t>
      </w:r>
    </w:p>
    <w:p w:rsidR="00C8662E" w:rsidRDefault="00C8662E" w:rsidP="00C8662E"/>
    <w:p w:rsidR="00C8662E" w:rsidRDefault="00C8662E" w:rsidP="00C8662E">
      <w:r>
        <w:t>Formel for DKK-GAP:</w:t>
      </w:r>
    </w:p>
    <w:p w:rsidR="00C8662E" w:rsidRDefault="00C8662E" w:rsidP="00C8662E">
      <w:pPr>
        <w:spacing w:line="276" w:lineRule="auto"/>
        <w:jc w:val="center"/>
      </w:pPr>
      <w:r>
        <w:t>DKK-GAB = RSA (rentefølsomme aktiver) – RSL (rentefølsomme passiver)</w:t>
      </w:r>
    </w:p>
    <w:p w:rsidR="00C8662E" w:rsidRDefault="00C8662E" w:rsidP="00C8662E">
      <w:pPr>
        <w:spacing w:line="276" w:lineRule="auto"/>
        <w:jc w:val="center"/>
      </w:pPr>
    </w:p>
    <w:p w:rsidR="00C8662E" w:rsidRDefault="00C8662E" w:rsidP="00C8662E">
      <w:r>
        <w:t>Udover ovenstående DKK-GAP kan ISR (</w:t>
      </w:r>
      <w:proofErr w:type="spellStart"/>
      <w:r>
        <w:t>Interrest</w:t>
      </w:r>
      <w:proofErr w:type="spellEnd"/>
      <w:r>
        <w:t xml:space="preserve"> </w:t>
      </w:r>
      <w:proofErr w:type="spellStart"/>
      <w:r>
        <w:t>Sensitiviti</w:t>
      </w:r>
      <w:proofErr w:type="spellEnd"/>
      <w:r>
        <w:t xml:space="preserve"> Ratio) også beregnes. Denne viser graden af rentefølsomhed mellem aktiverne og passiverne:</w:t>
      </w:r>
    </w:p>
    <w:p w:rsidR="00C8662E" w:rsidRDefault="00C8662E" w:rsidP="00C8662E"/>
    <w:p w:rsidR="00C8662E" w:rsidRDefault="00C8662E" w:rsidP="00C8662E">
      <w:pPr>
        <w:jc w:val="center"/>
      </w:pPr>
      <m:oMathPara>
        <m:oMath>
          <m:r>
            <w:rPr>
              <w:rFonts w:ascii="Cambria Math" w:hAnsi="Cambria Math"/>
            </w:rPr>
            <m:t>Interest sensitivity=</m:t>
          </m:r>
          <m:f>
            <m:fPr>
              <m:ctrlPr>
                <w:rPr>
                  <w:rFonts w:ascii="Cambria Math" w:hAnsi="Cambria Math"/>
                  <w:i/>
                </w:rPr>
              </m:ctrlPr>
            </m:fPr>
            <m:num>
              <m:r>
                <w:rPr>
                  <w:rFonts w:ascii="Cambria Math" w:hAnsi="Cambria Math"/>
                </w:rPr>
                <m:t>Rentefølsomme aktiver</m:t>
              </m:r>
            </m:num>
            <m:den>
              <m:r>
                <w:rPr>
                  <w:rFonts w:ascii="Cambria Math" w:hAnsi="Cambria Math"/>
                </w:rPr>
                <m:t>Rentefølsomme passiver</m:t>
              </m:r>
            </m:den>
          </m:f>
        </m:oMath>
      </m:oMathPara>
    </w:p>
    <w:p w:rsidR="00C8662E" w:rsidRDefault="00C8662E" w:rsidP="00C8662E"/>
    <w:p w:rsidR="00C8662E" w:rsidRDefault="00C8662E" w:rsidP="00C8662E">
      <w:r>
        <w:t xml:space="preserve">Hvis ISR er højere end 1, har pengeinstituttet et positiv følsomt GAP, og hvis ISR er mindre end 1, har pengeinstituttet et negativt følsomt GAP. </w:t>
      </w:r>
    </w:p>
    <w:p w:rsidR="00C8662E" w:rsidRDefault="00C8662E" w:rsidP="00C8662E"/>
    <w:p w:rsidR="00C8662E" w:rsidRDefault="00C8662E" w:rsidP="00C8662E">
      <w:r>
        <w:t xml:space="preserve">Det sidste nøgletal i GAP-analysen er det </w:t>
      </w:r>
      <w:r>
        <w:rPr>
          <w:i/>
        </w:rPr>
        <w:t>relative GAP</w:t>
      </w:r>
      <w:r>
        <w:t xml:space="preserve">, som viser forholdet mellem DKK-GAP og de samlede aktiver. Formel for </w:t>
      </w:r>
      <w:r>
        <w:rPr>
          <w:i/>
        </w:rPr>
        <w:t xml:space="preserve">relativ GAP </w:t>
      </w:r>
      <w:r>
        <w:t>er følgende:</w:t>
      </w:r>
    </w:p>
    <w:p w:rsidR="00C8662E" w:rsidRDefault="00C8662E" w:rsidP="00C8662E"/>
    <w:p w:rsidR="00C8662E" w:rsidRDefault="00C8662E" w:rsidP="00C8662E">
      <w:pPr>
        <w:jc w:val="center"/>
      </w:pPr>
      <m:oMathPara>
        <m:oMath>
          <m:r>
            <w:rPr>
              <w:rFonts w:ascii="Cambria Math" w:hAnsi="Cambria Math"/>
            </w:rPr>
            <m:t>Relativt gab=</m:t>
          </m:r>
          <m:f>
            <m:fPr>
              <m:ctrlPr>
                <w:rPr>
                  <w:rFonts w:ascii="Cambria Math" w:hAnsi="Cambria Math"/>
                  <w:i/>
                </w:rPr>
              </m:ctrlPr>
            </m:fPr>
            <m:num>
              <m:r>
                <w:rPr>
                  <w:rFonts w:ascii="Cambria Math" w:hAnsi="Cambria Math"/>
                </w:rPr>
                <m:t>DKK-GAB x 100</m:t>
              </m:r>
            </m:num>
            <m:den>
              <m:r>
                <w:rPr>
                  <w:rFonts w:ascii="Cambria Math" w:hAnsi="Cambria Math"/>
                </w:rPr>
                <m:t>Samlede aktiver</m:t>
              </m:r>
            </m:den>
          </m:f>
        </m:oMath>
      </m:oMathPara>
    </w:p>
    <w:p w:rsidR="00C8662E" w:rsidRPr="000C0FC0" w:rsidRDefault="00C8662E" w:rsidP="00C8662E">
      <w:pPr>
        <w:jc w:val="center"/>
      </w:pPr>
    </w:p>
    <w:p w:rsidR="00C8662E" w:rsidRDefault="00C8662E" w:rsidP="00C8662E">
      <w:r>
        <w:t xml:space="preserve">Hvad der er optimalt ift. </w:t>
      </w:r>
      <w:r w:rsidR="0063200E">
        <w:t>den strategiske</w:t>
      </w:r>
      <w:r>
        <w:t xml:space="preserve"> </w:t>
      </w:r>
      <w:r w:rsidR="0063200E">
        <w:t>fordeling</w:t>
      </w:r>
      <w:r>
        <w:t xml:space="preserve"> af rentefølsomme aktiver og passiver, afhænger af det enkelte pengeinstitut og dets ønsker om at føre den valgte ”politik og virksomhed”, samt forudsigelsen af renten. Dog kan det være utroligt svært at forudsige dette, da der er flere variabler og faktorer, som ofte</w:t>
      </w:r>
      <w:r w:rsidRPr="0030280A">
        <w:t xml:space="preserve"> </w:t>
      </w:r>
      <w:r>
        <w:t xml:space="preserve">ændres. Dog skal ledelsen i pengeinstituttet tage aktiv stilling til, hvilken strategi de ønsker at føre, i det der alt andet lige er en renterisiko, som man kan forsøge at minimere mest muligt. </w:t>
      </w:r>
    </w:p>
    <w:p w:rsidR="00C8662E" w:rsidRDefault="00C8662E" w:rsidP="00C8662E"/>
    <w:p w:rsidR="00C8662E" w:rsidRDefault="00C8662E" w:rsidP="00C8662E">
      <w:r>
        <w:t>Det neutrale valg vil være, at forsøge at få ISR til 1, da pengeinstituttet vil være mindre påvirket ved rentestigninger (og fald).</w:t>
      </w:r>
    </w:p>
    <w:p w:rsidR="00C8662E" w:rsidRDefault="00C8662E" w:rsidP="00C8662E">
      <w:r>
        <w:lastRenderedPageBreak/>
        <w:t xml:space="preserve">Hvis ISR ligger over 1 vil pengeinstituttet øge sin indtjening ved rentestigning, da afkastet på de rentefølsomme aktiver vil stige ift., hvad passiverne vil stige. Det omvendte er tilfældet, hvis ISR er under 1; her vil pengeinstituttet mindske sin indtjening. </w:t>
      </w:r>
    </w:p>
    <w:p w:rsidR="00B34D70" w:rsidRDefault="00B34D70">
      <w:pPr>
        <w:spacing w:line="240" w:lineRule="auto"/>
        <w:jc w:val="left"/>
      </w:pPr>
    </w:p>
    <w:p w:rsidR="00C8662E" w:rsidRDefault="00C8662E" w:rsidP="00C8662E">
      <w:r>
        <w:t>I nedenstående tabel</w:t>
      </w:r>
      <w:r>
        <w:rPr>
          <w:rStyle w:val="Fodnotehenvisning"/>
        </w:rPr>
        <w:footnoteReference w:id="12"/>
      </w:r>
      <w:r>
        <w:t xml:space="preserve"> ses, hvorledes indtjeningen påvirkes ved rentestigninger eller fald ved enten et positivt eller negativt GAP og ISR:</w:t>
      </w:r>
    </w:p>
    <w:p w:rsidR="00C8662E" w:rsidRDefault="00C8662E" w:rsidP="00C8662E"/>
    <w:tbl>
      <w:tblPr>
        <w:tblStyle w:val="Tabel-Gitter"/>
        <w:tblW w:w="0" w:type="auto"/>
        <w:tblLook w:val="04A0" w:firstRow="1" w:lastRow="0" w:firstColumn="1" w:lastColumn="0" w:noHBand="0" w:noVBand="1"/>
      </w:tblPr>
      <w:tblGrid>
        <w:gridCol w:w="1833"/>
        <w:gridCol w:w="1830"/>
        <w:gridCol w:w="1963"/>
        <w:gridCol w:w="1831"/>
        <w:gridCol w:w="1831"/>
      </w:tblGrid>
      <w:tr w:rsidR="00C8662E" w:rsidTr="00F70946">
        <w:tc>
          <w:tcPr>
            <w:tcW w:w="3663" w:type="dxa"/>
            <w:gridSpan w:val="2"/>
            <w:vMerge w:val="restart"/>
            <w:shd w:val="clear" w:color="auto" w:fill="C6D9F1" w:themeFill="text2" w:themeFillTint="33"/>
            <w:vAlign w:val="center"/>
          </w:tcPr>
          <w:p w:rsidR="00C8662E" w:rsidRPr="00E265A8" w:rsidRDefault="00C8662E" w:rsidP="00F70946">
            <w:pPr>
              <w:jc w:val="center"/>
              <w:rPr>
                <w:b/>
              </w:rPr>
            </w:pPr>
            <w:r w:rsidRPr="00E265A8">
              <w:rPr>
                <w:b/>
              </w:rPr>
              <w:t>GAP</w:t>
            </w:r>
          </w:p>
        </w:tc>
        <w:tc>
          <w:tcPr>
            <w:tcW w:w="3794" w:type="dxa"/>
            <w:gridSpan w:val="2"/>
            <w:shd w:val="clear" w:color="auto" w:fill="C6D9F1" w:themeFill="text2" w:themeFillTint="33"/>
            <w:vAlign w:val="center"/>
          </w:tcPr>
          <w:p w:rsidR="00C8662E" w:rsidRPr="00E265A8" w:rsidRDefault="00C8662E" w:rsidP="00F70946">
            <w:pPr>
              <w:jc w:val="center"/>
              <w:rPr>
                <w:b/>
              </w:rPr>
            </w:pPr>
            <w:r w:rsidRPr="00E265A8">
              <w:rPr>
                <w:b/>
              </w:rPr>
              <w:t>Udviklingsretning</w:t>
            </w:r>
          </w:p>
        </w:tc>
        <w:tc>
          <w:tcPr>
            <w:tcW w:w="1831" w:type="dxa"/>
            <w:vMerge w:val="restart"/>
            <w:shd w:val="clear" w:color="auto" w:fill="C6D9F1" w:themeFill="text2" w:themeFillTint="33"/>
            <w:vAlign w:val="center"/>
          </w:tcPr>
          <w:p w:rsidR="00C8662E" w:rsidRPr="00E265A8" w:rsidRDefault="00C8662E" w:rsidP="00F70946">
            <w:pPr>
              <w:jc w:val="center"/>
              <w:rPr>
                <w:b/>
              </w:rPr>
            </w:pPr>
            <w:r w:rsidRPr="00E265A8">
              <w:rPr>
                <w:b/>
              </w:rPr>
              <w:t>ISR</w:t>
            </w:r>
          </w:p>
        </w:tc>
      </w:tr>
      <w:tr w:rsidR="00C8662E" w:rsidTr="00BC10D9">
        <w:tc>
          <w:tcPr>
            <w:tcW w:w="3663" w:type="dxa"/>
            <w:gridSpan w:val="2"/>
            <w:vMerge/>
            <w:shd w:val="clear" w:color="auto" w:fill="C6D9F1" w:themeFill="text2" w:themeFillTint="33"/>
          </w:tcPr>
          <w:p w:rsidR="00C8662E" w:rsidRDefault="00C8662E" w:rsidP="00F70946"/>
        </w:tc>
        <w:tc>
          <w:tcPr>
            <w:tcW w:w="1963" w:type="dxa"/>
            <w:shd w:val="clear" w:color="auto" w:fill="C6D9F1" w:themeFill="text2" w:themeFillTint="33"/>
          </w:tcPr>
          <w:p w:rsidR="00C8662E" w:rsidRPr="00E265A8" w:rsidRDefault="00C8662E" w:rsidP="00F70946">
            <w:pPr>
              <w:rPr>
                <w:b/>
              </w:rPr>
            </w:pPr>
            <w:r w:rsidRPr="00E265A8">
              <w:rPr>
                <w:b/>
              </w:rPr>
              <w:t>Renten</w:t>
            </w:r>
          </w:p>
        </w:tc>
        <w:tc>
          <w:tcPr>
            <w:tcW w:w="1831" w:type="dxa"/>
            <w:shd w:val="clear" w:color="auto" w:fill="C6D9F1" w:themeFill="text2" w:themeFillTint="33"/>
          </w:tcPr>
          <w:p w:rsidR="00C8662E" w:rsidRPr="00E265A8" w:rsidRDefault="00C8662E" w:rsidP="00F70946">
            <w:pPr>
              <w:rPr>
                <w:b/>
              </w:rPr>
            </w:pPr>
            <w:r w:rsidRPr="00E265A8">
              <w:rPr>
                <w:b/>
              </w:rPr>
              <w:t>Indtjening</w:t>
            </w:r>
          </w:p>
        </w:tc>
        <w:tc>
          <w:tcPr>
            <w:tcW w:w="1831" w:type="dxa"/>
            <w:vMerge/>
          </w:tcPr>
          <w:p w:rsidR="00C8662E" w:rsidRDefault="00C8662E" w:rsidP="00F70946"/>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Positiv</w:t>
            </w:r>
          </w:p>
        </w:tc>
        <w:tc>
          <w:tcPr>
            <w:tcW w:w="1830" w:type="dxa"/>
            <w:shd w:val="clear" w:color="auto" w:fill="auto"/>
          </w:tcPr>
          <w:p w:rsidR="00C8662E" w:rsidRPr="00E265A8" w:rsidRDefault="00C8662E" w:rsidP="00F70946">
            <w:pPr>
              <w:rPr>
                <w:sz w:val="20"/>
                <w:szCs w:val="20"/>
              </w:rPr>
            </w:pPr>
            <w:r>
              <w:rPr>
                <w:sz w:val="20"/>
                <w:szCs w:val="20"/>
              </w:rPr>
              <w:t>RSA &gt; RSL</w:t>
            </w:r>
          </w:p>
        </w:tc>
        <w:tc>
          <w:tcPr>
            <w:tcW w:w="1963" w:type="dxa"/>
            <w:shd w:val="clear" w:color="auto" w:fill="auto"/>
          </w:tcPr>
          <w:p w:rsidR="00C8662E" w:rsidRPr="00E265A8" w:rsidRDefault="00C8662E" w:rsidP="00F70946">
            <w:pPr>
              <w:rPr>
                <w:sz w:val="20"/>
                <w:szCs w:val="20"/>
              </w:rPr>
            </w:pPr>
            <w:r>
              <w:rPr>
                <w:sz w:val="20"/>
                <w:szCs w:val="20"/>
              </w:rPr>
              <w:t>Stigende</w:t>
            </w:r>
          </w:p>
        </w:tc>
        <w:tc>
          <w:tcPr>
            <w:tcW w:w="1831" w:type="dxa"/>
            <w:shd w:val="clear" w:color="auto" w:fill="auto"/>
          </w:tcPr>
          <w:p w:rsidR="00C8662E" w:rsidRPr="00E265A8" w:rsidRDefault="00C8662E" w:rsidP="00F70946">
            <w:pPr>
              <w:rPr>
                <w:sz w:val="20"/>
                <w:szCs w:val="20"/>
              </w:rPr>
            </w:pPr>
            <w:r>
              <w:rPr>
                <w:sz w:val="20"/>
                <w:szCs w:val="20"/>
              </w:rPr>
              <w:t>Stigende</w:t>
            </w:r>
          </w:p>
        </w:tc>
        <w:tc>
          <w:tcPr>
            <w:tcW w:w="1831" w:type="dxa"/>
            <w:shd w:val="clear" w:color="auto" w:fill="auto"/>
          </w:tcPr>
          <w:p w:rsidR="00C8662E" w:rsidRPr="00E265A8" w:rsidRDefault="00C8662E" w:rsidP="00F70946">
            <w:pPr>
              <w:rPr>
                <w:sz w:val="20"/>
                <w:szCs w:val="20"/>
              </w:rPr>
            </w:pPr>
            <w:r>
              <w:rPr>
                <w:sz w:val="20"/>
                <w:szCs w:val="20"/>
              </w:rPr>
              <w:t>ISR ≥ 1</w:t>
            </w:r>
          </w:p>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Positiv</w:t>
            </w:r>
          </w:p>
        </w:tc>
        <w:tc>
          <w:tcPr>
            <w:tcW w:w="1830" w:type="dxa"/>
            <w:shd w:val="clear" w:color="auto" w:fill="auto"/>
          </w:tcPr>
          <w:p w:rsidR="00C8662E" w:rsidRPr="00E265A8" w:rsidRDefault="00C8662E" w:rsidP="00F70946">
            <w:pPr>
              <w:rPr>
                <w:sz w:val="20"/>
                <w:szCs w:val="20"/>
              </w:rPr>
            </w:pPr>
            <w:r>
              <w:rPr>
                <w:sz w:val="20"/>
                <w:szCs w:val="20"/>
              </w:rPr>
              <w:t>RSA &gt; RSL</w:t>
            </w:r>
          </w:p>
        </w:tc>
        <w:tc>
          <w:tcPr>
            <w:tcW w:w="1963" w:type="dxa"/>
            <w:shd w:val="clear" w:color="auto" w:fill="auto"/>
          </w:tcPr>
          <w:p w:rsidR="00C8662E" w:rsidRPr="00E265A8" w:rsidRDefault="00C8662E" w:rsidP="00F70946">
            <w:pPr>
              <w:rPr>
                <w:sz w:val="20"/>
                <w:szCs w:val="20"/>
              </w:rPr>
            </w:pPr>
            <w:r>
              <w:rPr>
                <w:sz w:val="20"/>
                <w:szCs w:val="20"/>
              </w:rPr>
              <w:t>Faldende</w:t>
            </w:r>
          </w:p>
        </w:tc>
        <w:tc>
          <w:tcPr>
            <w:tcW w:w="1831" w:type="dxa"/>
            <w:shd w:val="clear" w:color="auto" w:fill="auto"/>
          </w:tcPr>
          <w:p w:rsidR="00C8662E" w:rsidRPr="00E265A8" w:rsidRDefault="00C8662E" w:rsidP="00F70946">
            <w:pPr>
              <w:rPr>
                <w:sz w:val="20"/>
                <w:szCs w:val="20"/>
              </w:rPr>
            </w:pPr>
            <w:r>
              <w:rPr>
                <w:sz w:val="20"/>
                <w:szCs w:val="20"/>
              </w:rPr>
              <w:t>Faldende</w:t>
            </w:r>
          </w:p>
        </w:tc>
        <w:tc>
          <w:tcPr>
            <w:tcW w:w="1831" w:type="dxa"/>
            <w:shd w:val="clear" w:color="auto" w:fill="auto"/>
          </w:tcPr>
          <w:p w:rsidR="00C8662E" w:rsidRPr="00E265A8" w:rsidRDefault="00C8662E" w:rsidP="00F70946">
            <w:pPr>
              <w:rPr>
                <w:sz w:val="20"/>
                <w:szCs w:val="20"/>
              </w:rPr>
            </w:pPr>
            <w:r>
              <w:rPr>
                <w:sz w:val="20"/>
                <w:szCs w:val="20"/>
              </w:rPr>
              <w:t>ISR ≥ 1</w:t>
            </w:r>
          </w:p>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Negativ</w:t>
            </w:r>
          </w:p>
        </w:tc>
        <w:tc>
          <w:tcPr>
            <w:tcW w:w="1830" w:type="dxa"/>
            <w:shd w:val="clear" w:color="auto" w:fill="auto"/>
          </w:tcPr>
          <w:p w:rsidR="00C8662E" w:rsidRPr="00E265A8" w:rsidRDefault="00C8662E" w:rsidP="00F70946">
            <w:pPr>
              <w:rPr>
                <w:sz w:val="20"/>
                <w:szCs w:val="20"/>
              </w:rPr>
            </w:pPr>
            <w:r>
              <w:rPr>
                <w:sz w:val="20"/>
                <w:szCs w:val="20"/>
              </w:rPr>
              <w:t>RSA &lt; RSL</w:t>
            </w:r>
          </w:p>
        </w:tc>
        <w:tc>
          <w:tcPr>
            <w:tcW w:w="1963" w:type="dxa"/>
            <w:shd w:val="clear" w:color="auto" w:fill="auto"/>
          </w:tcPr>
          <w:p w:rsidR="00C8662E" w:rsidRPr="00E265A8" w:rsidRDefault="00C8662E" w:rsidP="00F70946">
            <w:pPr>
              <w:rPr>
                <w:sz w:val="20"/>
                <w:szCs w:val="20"/>
              </w:rPr>
            </w:pPr>
            <w:r>
              <w:rPr>
                <w:sz w:val="20"/>
                <w:szCs w:val="20"/>
              </w:rPr>
              <w:t>Stigende</w:t>
            </w:r>
          </w:p>
        </w:tc>
        <w:tc>
          <w:tcPr>
            <w:tcW w:w="1831" w:type="dxa"/>
            <w:shd w:val="clear" w:color="auto" w:fill="auto"/>
          </w:tcPr>
          <w:p w:rsidR="00C8662E" w:rsidRPr="00E265A8" w:rsidRDefault="00C8662E" w:rsidP="00F70946">
            <w:pPr>
              <w:rPr>
                <w:sz w:val="20"/>
                <w:szCs w:val="20"/>
              </w:rPr>
            </w:pPr>
            <w:r>
              <w:rPr>
                <w:sz w:val="20"/>
                <w:szCs w:val="20"/>
              </w:rPr>
              <w:t>Faldende</w:t>
            </w:r>
          </w:p>
        </w:tc>
        <w:tc>
          <w:tcPr>
            <w:tcW w:w="1831" w:type="dxa"/>
            <w:shd w:val="clear" w:color="auto" w:fill="auto"/>
          </w:tcPr>
          <w:p w:rsidR="00C8662E" w:rsidRPr="00E265A8" w:rsidRDefault="00C8662E" w:rsidP="00F70946">
            <w:pPr>
              <w:rPr>
                <w:sz w:val="20"/>
                <w:szCs w:val="20"/>
              </w:rPr>
            </w:pPr>
            <w:r>
              <w:rPr>
                <w:sz w:val="20"/>
                <w:szCs w:val="20"/>
              </w:rPr>
              <w:t>ISR ≤ 1</w:t>
            </w:r>
          </w:p>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Negativ</w:t>
            </w:r>
          </w:p>
        </w:tc>
        <w:tc>
          <w:tcPr>
            <w:tcW w:w="1830" w:type="dxa"/>
            <w:shd w:val="clear" w:color="auto" w:fill="auto"/>
          </w:tcPr>
          <w:p w:rsidR="00C8662E" w:rsidRPr="00E265A8" w:rsidRDefault="00C8662E" w:rsidP="00F70946">
            <w:pPr>
              <w:rPr>
                <w:sz w:val="20"/>
                <w:szCs w:val="20"/>
              </w:rPr>
            </w:pPr>
            <w:r>
              <w:rPr>
                <w:sz w:val="20"/>
                <w:szCs w:val="20"/>
              </w:rPr>
              <w:t>RSA &lt; RSL</w:t>
            </w:r>
          </w:p>
        </w:tc>
        <w:tc>
          <w:tcPr>
            <w:tcW w:w="1963" w:type="dxa"/>
            <w:shd w:val="clear" w:color="auto" w:fill="auto"/>
          </w:tcPr>
          <w:p w:rsidR="00C8662E" w:rsidRPr="00E265A8" w:rsidRDefault="00C8662E" w:rsidP="00F70946">
            <w:pPr>
              <w:rPr>
                <w:sz w:val="20"/>
                <w:szCs w:val="20"/>
              </w:rPr>
            </w:pPr>
            <w:r>
              <w:rPr>
                <w:sz w:val="20"/>
                <w:szCs w:val="20"/>
              </w:rPr>
              <w:t>Faldende</w:t>
            </w:r>
          </w:p>
        </w:tc>
        <w:tc>
          <w:tcPr>
            <w:tcW w:w="1831" w:type="dxa"/>
            <w:shd w:val="clear" w:color="auto" w:fill="auto"/>
          </w:tcPr>
          <w:p w:rsidR="00C8662E" w:rsidRPr="00E265A8" w:rsidRDefault="00C8662E" w:rsidP="00F70946">
            <w:pPr>
              <w:rPr>
                <w:sz w:val="20"/>
                <w:szCs w:val="20"/>
              </w:rPr>
            </w:pPr>
            <w:r>
              <w:rPr>
                <w:sz w:val="20"/>
                <w:szCs w:val="20"/>
              </w:rPr>
              <w:t>Stigende</w:t>
            </w:r>
          </w:p>
        </w:tc>
        <w:tc>
          <w:tcPr>
            <w:tcW w:w="1831" w:type="dxa"/>
            <w:shd w:val="clear" w:color="auto" w:fill="auto"/>
          </w:tcPr>
          <w:p w:rsidR="00C8662E" w:rsidRPr="00E265A8" w:rsidRDefault="00C8662E" w:rsidP="00F70946">
            <w:pPr>
              <w:rPr>
                <w:sz w:val="20"/>
                <w:szCs w:val="20"/>
              </w:rPr>
            </w:pPr>
            <w:r>
              <w:rPr>
                <w:sz w:val="20"/>
                <w:szCs w:val="20"/>
              </w:rPr>
              <w:t>ISR ≤ 1</w:t>
            </w:r>
          </w:p>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Neutral</w:t>
            </w:r>
          </w:p>
        </w:tc>
        <w:tc>
          <w:tcPr>
            <w:tcW w:w="1830" w:type="dxa"/>
            <w:shd w:val="clear" w:color="auto" w:fill="auto"/>
          </w:tcPr>
          <w:p w:rsidR="00C8662E" w:rsidRPr="00E265A8" w:rsidRDefault="00C8662E" w:rsidP="00F70946">
            <w:pPr>
              <w:rPr>
                <w:sz w:val="20"/>
                <w:szCs w:val="20"/>
              </w:rPr>
            </w:pPr>
            <w:r>
              <w:rPr>
                <w:sz w:val="20"/>
                <w:szCs w:val="20"/>
              </w:rPr>
              <w:t>RSA = RSL</w:t>
            </w:r>
          </w:p>
        </w:tc>
        <w:tc>
          <w:tcPr>
            <w:tcW w:w="1963" w:type="dxa"/>
            <w:shd w:val="clear" w:color="auto" w:fill="auto"/>
          </w:tcPr>
          <w:p w:rsidR="00C8662E" w:rsidRPr="00E265A8" w:rsidRDefault="00C8662E" w:rsidP="00F70946">
            <w:pPr>
              <w:rPr>
                <w:sz w:val="20"/>
                <w:szCs w:val="20"/>
              </w:rPr>
            </w:pPr>
            <w:r>
              <w:rPr>
                <w:sz w:val="20"/>
                <w:szCs w:val="20"/>
              </w:rPr>
              <w:t>Stigende</w:t>
            </w:r>
          </w:p>
        </w:tc>
        <w:tc>
          <w:tcPr>
            <w:tcW w:w="1831" w:type="dxa"/>
            <w:shd w:val="clear" w:color="auto" w:fill="auto"/>
          </w:tcPr>
          <w:p w:rsidR="00C8662E" w:rsidRPr="00E265A8" w:rsidRDefault="00C8662E" w:rsidP="00F70946">
            <w:pPr>
              <w:rPr>
                <w:sz w:val="20"/>
                <w:szCs w:val="20"/>
              </w:rPr>
            </w:pPr>
            <w:r>
              <w:rPr>
                <w:sz w:val="20"/>
                <w:szCs w:val="20"/>
              </w:rPr>
              <w:t>Ingen ændringer</w:t>
            </w:r>
          </w:p>
        </w:tc>
        <w:tc>
          <w:tcPr>
            <w:tcW w:w="1831" w:type="dxa"/>
            <w:shd w:val="clear" w:color="auto" w:fill="auto"/>
          </w:tcPr>
          <w:p w:rsidR="00C8662E" w:rsidRPr="00E265A8" w:rsidRDefault="00C8662E" w:rsidP="00F70946">
            <w:pPr>
              <w:rPr>
                <w:sz w:val="20"/>
                <w:szCs w:val="20"/>
              </w:rPr>
            </w:pPr>
            <w:r>
              <w:rPr>
                <w:sz w:val="20"/>
                <w:szCs w:val="20"/>
              </w:rPr>
              <w:t>ISR = 1</w:t>
            </w:r>
          </w:p>
        </w:tc>
      </w:tr>
      <w:tr w:rsidR="00C8662E" w:rsidTr="00BC10D9">
        <w:tc>
          <w:tcPr>
            <w:tcW w:w="1833" w:type="dxa"/>
            <w:shd w:val="clear" w:color="auto" w:fill="auto"/>
          </w:tcPr>
          <w:p w:rsidR="00C8662E" w:rsidRPr="00E265A8" w:rsidRDefault="00C8662E" w:rsidP="00F70946">
            <w:pPr>
              <w:rPr>
                <w:sz w:val="20"/>
                <w:szCs w:val="20"/>
              </w:rPr>
            </w:pPr>
            <w:r w:rsidRPr="00E265A8">
              <w:rPr>
                <w:sz w:val="20"/>
                <w:szCs w:val="20"/>
              </w:rPr>
              <w:t>Neutral</w:t>
            </w:r>
          </w:p>
        </w:tc>
        <w:tc>
          <w:tcPr>
            <w:tcW w:w="1830" w:type="dxa"/>
            <w:shd w:val="clear" w:color="auto" w:fill="auto"/>
          </w:tcPr>
          <w:p w:rsidR="00C8662E" w:rsidRPr="00E265A8" w:rsidRDefault="00C8662E" w:rsidP="00F70946">
            <w:pPr>
              <w:rPr>
                <w:sz w:val="20"/>
                <w:szCs w:val="20"/>
              </w:rPr>
            </w:pPr>
            <w:r>
              <w:rPr>
                <w:sz w:val="20"/>
                <w:szCs w:val="20"/>
              </w:rPr>
              <w:t>RSA = RSL</w:t>
            </w:r>
          </w:p>
        </w:tc>
        <w:tc>
          <w:tcPr>
            <w:tcW w:w="1963" w:type="dxa"/>
            <w:shd w:val="clear" w:color="auto" w:fill="auto"/>
          </w:tcPr>
          <w:p w:rsidR="00C8662E" w:rsidRPr="00E265A8" w:rsidRDefault="00C8662E" w:rsidP="00F70946">
            <w:pPr>
              <w:rPr>
                <w:sz w:val="20"/>
                <w:szCs w:val="20"/>
              </w:rPr>
            </w:pPr>
            <w:r>
              <w:rPr>
                <w:sz w:val="20"/>
                <w:szCs w:val="20"/>
              </w:rPr>
              <w:t>Faldende</w:t>
            </w:r>
          </w:p>
        </w:tc>
        <w:tc>
          <w:tcPr>
            <w:tcW w:w="1831" w:type="dxa"/>
            <w:shd w:val="clear" w:color="auto" w:fill="auto"/>
          </w:tcPr>
          <w:p w:rsidR="00C8662E" w:rsidRPr="00E265A8" w:rsidRDefault="00C8662E" w:rsidP="00F70946">
            <w:pPr>
              <w:rPr>
                <w:sz w:val="20"/>
                <w:szCs w:val="20"/>
              </w:rPr>
            </w:pPr>
            <w:r>
              <w:rPr>
                <w:sz w:val="20"/>
                <w:szCs w:val="20"/>
              </w:rPr>
              <w:t>Ingen ændringer</w:t>
            </w:r>
          </w:p>
        </w:tc>
        <w:tc>
          <w:tcPr>
            <w:tcW w:w="1831" w:type="dxa"/>
            <w:shd w:val="clear" w:color="auto" w:fill="auto"/>
          </w:tcPr>
          <w:p w:rsidR="00C8662E" w:rsidRPr="00E265A8" w:rsidRDefault="00C8662E" w:rsidP="00F70946">
            <w:pPr>
              <w:rPr>
                <w:sz w:val="20"/>
                <w:szCs w:val="20"/>
              </w:rPr>
            </w:pPr>
            <w:r>
              <w:rPr>
                <w:sz w:val="20"/>
                <w:szCs w:val="20"/>
              </w:rPr>
              <w:t>ISR = 1</w:t>
            </w:r>
          </w:p>
        </w:tc>
      </w:tr>
    </w:tbl>
    <w:p w:rsidR="00BA4777" w:rsidRPr="0038770E" w:rsidRDefault="00BA4777" w:rsidP="00BA4777">
      <w:pPr>
        <w:rPr>
          <w:i/>
          <w:sz w:val="20"/>
        </w:rPr>
      </w:pPr>
      <w:r>
        <w:rPr>
          <w:sz w:val="20"/>
        </w:rPr>
        <w:t xml:space="preserve">Tabel 2: </w:t>
      </w:r>
      <w:proofErr w:type="gramStart"/>
      <w:r w:rsidR="00355EC7">
        <w:rPr>
          <w:sz w:val="20"/>
        </w:rPr>
        <w:t>Teoretisk</w:t>
      </w:r>
      <w:proofErr w:type="gramEnd"/>
      <w:r w:rsidR="00355EC7">
        <w:rPr>
          <w:sz w:val="20"/>
        </w:rPr>
        <w:t xml:space="preserve"> sammenhæng mellem GAP, rente og indtjening. </w:t>
      </w:r>
      <w:r w:rsidR="00355EC7">
        <w:rPr>
          <w:i/>
          <w:sz w:val="20"/>
        </w:rPr>
        <w:t>Kilde: Commercial Banking s. 124</w:t>
      </w:r>
    </w:p>
    <w:p w:rsidR="00C8662E" w:rsidRPr="00583C32" w:rsidRDefault="00C8662E" w:rsidP="00C8662E">
      <w:pPr>
        <w:pStyle w:val="Overskrift3"/>
        <w:numPr>
          <w:ilvl w:val="2"/>
          <w:numId w:val="8"/>
        </w:numPr>
      </w:pPr>
      <w:bookmarkStart w:id="112" w:name="_Toc354517418"/>
      <w:r>
        <w:t>Loan Ratio</w:t>
      </w:r>
      <w:r>
        <w:rPr>
          <w:rStyle w:val="Fodnotehenvisning"/>
        </w:rPr>
        <w:footnoteReference w:id="13"/>
      </w:r>
      <w:bookmarkEnd w:id="112"/>
    </w:p>
    <w:p w:rsidR="00C8662E" w:rsidRDefault="00C8662E" w:rsidP="00C8662E">
      <w:r>
        <w:t xml:space="preserve">Loan Ratio viser pengeinstituttets evne til at udnytte dets aktiver. Jo højere Loan Ratio er, jo bedre er pengeinstituttet til at forrente sine aktiver. Derfor er det vigtigt, at så stor en del af pengeinstituttets samlede udlån er aktiver, da det modtager forrentning deraf, og derved får mest ud af sine aktiver. </w:t>
      </w:r>
    </w:p>
    <w:p w:rsidR="00C8662E" w:rsidRDefault="00C8662E" w:rsidP="00C8662E">
      <w:r>
        <w:t xml:space="preserve">Som sagt er det vigtigt for pengeinstitutterne, at en udnyttelse af aktiver er optimal. Derfor er de største pengeinstitutter begyndt at sælge deres domicilejendomme fra. Derved binder de ikke deres kapital i en (eller flere) ejendomme, der ikke giver et løbende afkast. Derudover er det heller ikke positivt for Loan Ratio, da de ejendomme indgår i den samlede aktivmasse. </w:t>
      </w:r>
    </w:p>
    <w:p w:rsidR="00C8662E" w:rsidRDefault="00C8662E" w:rsidP="00C8662E">
      <w:r>
        <w:t xml:space="preserve">Derudover bruges Loan Ratio sammen med forrentningen af egenkapitalen, når </w:t>
      </w:r>
      <w:r w:rsidR="0038770E">
        <w:t>pengeinstituttet</w:t>
      </w:r>
      <w:r w:rsidR="0063200E">
        <w:t xml:space="preserve"> skal ud og </w:t>
      </w:r>
      <w:proofErr w:type="spellStart"/>
      <w:r w:rsidR="0063200E">
        <w:t>fu</w:t>
      </w:r>
      <w:r>
        <w:t>nde</w:t>
      </w:r>
      <w:proofErr w:type="spellEnd"/>
      <w:r>
        <w:t xml:space="preserve"> sig på </w:t>
      </w:r>
      <w:proofErr w:type="spellStart"/>
      <w:r>
        <w:t>Interbankmarkedet</w:t>
      </w:r>
      <w:proofErr w:type="spellEnd"/>
      <w:r>
        <w:t>.</w:t>
      </w:r>
    </w:p>
    <w:p w:rsidR="00C8662E" w:rsidRDefault="00C8662E" w:rsidP="00C8662E"/>
    <w:p w:rsidR="00C8662E" w:rsidRDefault="00C8662E" w:rsidP="00C8662E">
      <w:r>
        <w:t>Loan Ratio udregnes således:</w:t>
      </w:r>
    </w:p>
    <w:p w:rsidR="00C8662E" w:rsidRDefault="00C8662E" w:rsidP="00C8662E"/>
    <w:p w:rsidR="00C8662E" w:rsidRDefault="00C8662E" w:rsidP="00C8662E">
      <m:oMathPara>
        <m:oMath>
          <m:r>
            <w:rPr>
              <w:rFonts w:ascii="Cambria Math" w:hAnsi="Cambria Math"/>
            </w:rPr>
            <m:t>Loan Ratio=</m:t>
          </m:r>
          <m:f>
            <m:fPr>
              <m:ctrlPr>
                <w:rPr>
                  <w:rFonts w:ascii="Cambria Math" w:hAnsi="Cambria Math"/>
                  <w:i/>
                </w:rPr>
              </m:ctrlPr>
            </m:fPr>
            <m:num>
              <m:r>
                <w:rPr>
                  <w:rFonts w:ascii="Cambria Math" w:hAnsi="Cambria Math"/>
                </w:rPr>
                <m:t>Udlån</m:t>
              </m:r>
            </m:num>
            <m:den>
              <m:r>
                <w:rPr>
                  <w:rFonts w:ascii="Cambria Math" w:hAnsi="Cambria Math"/>
                </w:rPr>
                <m:t>Samlede aktiver</m:t>
              </m:r>
            </m:den>
          </m:f>
        </m:oMath>
      </m:oMathPara>
    </w:p>
    <w:p w:rsidR="00AC599F" w:rsidRDefault="00AC599F">
      <w:pPr>
        <w:spacing w:line="240" w:lineRule="auto"/>
        <w:jc w:val="left"/>
        <w:rPr>
          <w:rFonts w:ascii="Verdana" w:eastAsiaTheme="majorEastAsia" w:hAnsi="Verdana" w:cstheme="majorBidi"/>
          <w:b/>
          <w:bCs/>
          <w:i/>
          <w:szCs w:val="26"/>
        </w:rPr>
      </w:pPr>
    </w:p>
    <w:p w:rsidR="00707E85" w:rsidRDefault="00707E85" w:rsidP="0087410F">
      <w:pPr>
        <w:pStyle w:val="Overskrift2"/>
        <w:numPr>
          <w:ilvl w:val="1"/>
          <w:numId w:val="8"/>
        </w:numPr>
      </w:pPr>
      <w:bookmarkStart w:id="113" w:name="_Toc354517419"/>
      <w:r>
        <w:lastRenderedPageBreak/>
        <w:t>Organisat</w:t>
      </w:r>
      <w:r w:rsidR="001E1D01">
        <w:t>ion</w:t>
      </w:r>
      <w:bookmarkEnd w:id="113"/>
    </w:p>
    <w:p w:rsidR="00344293" w:rsidRDefault="00344293" w:rsidP="00344293">
      <w:r>
        <w:t xml:space="preserve">Efter at have set på teorien på udvalgte nøgletal bevæger jeg mig nu over i de mere bløde </w:t>
      </w:r>
      <w:r w:rsidR="0063200E">
        <w:t>forhold</w:t>
      </w:r>
      <w:r>
        <w:t xml:space="preserve">. I nedenstående vil jeg gennemgå hvilke faktorer, der påvirker kulturen i en organisation. </w:t>
      </w:r>
    </w:p>
    <w:p w:rsidR="00344293" w:rsidRPr="004216E5" w:rsidRDefault="00344293" w:rsidP="00344293">
      <w:r>
        <w:t>Jeg vil ydermere gennemgå teori vedrørende motivation af de ansatte, samt hvorledes en fusion kan påvirke de ansatte.</w:t>
      </w:r>
    </w:p>
    <w:p w:rsidR="00707E85" w:rsidRDefault="004216E5" w:rsidP="00962FC4">
      <w:pPr>
        <w:pStyle w:val="Overskrift3"/>
        <w:numPr>
          <w:ilvl w:val="2"/>
          <w:numId w:val="8"/>
        </w:numPr>
      </w:pPr>
      <w:bookmarkStart w:id="114" w:name="_Toc354517420"/>
      <w:r>
        <w:t>Organisationens samlede kultur</w:t>
      </w:r>
      <w:r w:rsidR="004970A3">
        <w:rPr>
          <w:rStyle w:val="Fodnotehenvisning"/>
        </w:rPr>
        <w:footnoteReference w:id="14"/>
      </w:r>
      <w:bookmarkEnd w:id="114"/>
    </w:p>
    <w:p w:rsidR="00960D70" w:rsidRDefault="00AC599F" w:rsidP="004216E5">
      <w:r>
        <w:t xml:space="preserve">Kulturen i en organisation påvirkes af mange </w:t>
      </w:r>
      <w:r w:rsidR="00960D70">
        <w:t xml:space="preserve">elementer og </w:t>
      </w:r>
      <w:r w:rsidR="00354B1C">
        <w:t>faktorer</w:t>
      </w:r>
      <w:r w:rsidR="00960D70">
        <w:t>, og kan umiddelbart være svær</w:t>
      </w:r>
      <w:r>
        <w:t xml:space="preserve"> at definere.</w:t>
      </w:r>
      <w:r w:rsidR="00680661">
        <w:t xml:space="preserve"> Kulturen er den</w:t>
      </w:r>
      <w:r w:rsidR="000B5085">
        <w:t>,</w:t>
      </w:r>
      <w:r w:rsidR="00680661">
        <w:t xml:space="preserve"> der holder organisationen sammen</w:t>
      </w:r>
      <w:r w:rsidR="00600CE4">
        <w:t>. Den</w:t>
      </w:r>
      <w:r w:rsidR="00680661">
        <w:t xml:space="preserve"> er med til </w:t>
      </w:r>
      <w:r w:rsidR="00011A6C">
        <w:t xml:space="preserve">at </w:t>
      </w:r>
      <w:r w:rsidR="00680661">
        <w:t>definere, hvorledes ansatte og leder</w:t>
      </w:r>
      <w:r w:rsidR="00011A6C">
        <w:t>e</w:t>
      </w:r>
      <w:r w:rsidR="00680661">
        <w:t xml:space="preserve"> skal agere i forskellige situationer, og ikke mindst er </w:t>
      </w:r>
      <w:r w:rsidR="00741B9E">
        <w:t>kulturen</w:t>
      </w:r>
      <w:r w:rsidR="00680661">
        <w:t xml:space="preserve"> med til lede</w:t>
      </w:r>
      <w:r w:rsidR="00011A6C">
        <w:t xml:space="preserve"> og</w:t>
      </w:r>
      <w:r w:rsidR="00680661">
        <w:t xml:space="preserve"> udvikle.  </w:t>
      </w:r>
    </w:p>
    <w:p w:rsidR="001C5B18" w:rsidRDefault="001C5B18" w:rsidP="004216E5"/>
    <w:p w:rsidR="00344293" w:rsidRDefault="00344293" w:rsidP="00344293">
      <w:r>
        <w:t xml:space="preserve">For at beskrive organisationens kultur optimalt tages udgangspunkt i denne model, som oprindeligt er udarbejdet af </w:t>
      </w:r>
      <w:proofErr w:type="spellStart"/>
      <w:r>
        <w:t>Bakka</w:t>
      </w:r>
      <w:proofErr w:type="spellEnd"/>
      <w:r>
        <w:t xml:space="preserve"> i 1986 og efterfølgende videreudviklet af Johnson &amp; </w:t>
      </w:r>
      <w:proofErr w:type="spellStart"/>
      <w:r>
        <w:t>Scholes</w:t>
      </w:r>
      <w:proofErr w:type="spellEnd"/>
      <w:r>
        <w:t xml:space="preserve">. Nedenstående figur viser, hvordan en lang række forskellige faktorer spiller sammen og påvirker virksomhedens samlede kultur. </w:t>
      </w:r>
    </w:p>
    <w:p w:rsidR="00EF3B46" w:rsidRDefault="002137E1" w:rsidP="00EF3B46">
      <w:pPr>
        <w:jc w:val="center"/>
        <w:rPr>
          <w:sz w:val="20"/>
        </w:rPr>
      </w:pPr>
      <w:r>
        <w:rPr>
          <w:noProof/>
          <w:sz w:val="20"/>
        </w:rPr>
        <w:drawing>
          <wp:inline distT="0" distB="0" distL="0" distR="0">
            <wp:extent cx="3421380" cy="3698875"/>
            <wp:effectExtent l="38100" t="19050" r="26670" b="158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421380" cy="3698875"/>
                    </a:xfrm>
                    <a:prstGeom prst="rect">
                      <a:avLst/>
                    </a:prstGeom>
                    <a:noFill/>
                    <a:ln w="9525">
                      <a:solidFill>
                        <a:schemeClr val="tx1"/>
                      </a:solidFill>
                      <a:miter lim="800000"/>
                      <a:headEnd/>
                      <a:tailEnd/>
                    </a:ln>
                  </pic:spPr>
                </pic:pic>
              </a:graphicData>
            </a:graphic>
          </wp:inline>
        </w:drawing>
      </w:r>
    </w:p>
    <w:p w:rsidR="0038770E" w:rsidRDefault="0038770E" w:rsidP="00EF3B46">
      <w:pPr>
        <w:jc w:val="center"/>
        <w:rPr>
          <w:i/>
          <w:sz w:val="20"/>
        </w:rPr>
      </w:pPr>
      <w:r w:rsidRPr="0038770E">
        <w:rPr>
          <w:sz w:val="20"/>
        </w:rPr>
        <w:t xml:space="preserve">Figur 3: Hovedtyper af påvirkningsfaktorer, som bestemmer organisationens samlede kultur. </w:t>
      </w:r>
      <w:r w:rsidRPr="0038770E">
        <w:rPr>
          <w:i/>
          <w:sz w:val="20"/>
        </w:rPr>
        <w:t>Kilde: Organisationsteori s. 163.</w:t>
      </w:r>
    </w:p>
    <w:p w:rsidR="00344293" w:rsidRDefault="00344293" w:rsidP="00344293">
      <w:r>
        <w:lastRenderedPageBreak/>
        <w:t xml:space="preserve">Det ses, at figuren er inddelt i fire hovedkategorier, der eksternt udgør omgivelsernes art og virksomhedstype og internt findes virksomhedens- og medarbejderens egenart. Det er disse fire interne og eksterne hovedkategorier, der er med til at udvikle og skabe kulturen i en organisation. </w:t>
      </w:r>
    </w:p>
    <w:p w:rsidR="00344293" w:rsidRDefault="00344293" w:rsidP="00344293"/>
    <w:p w:rsidR="00344293" w:rsidRDefault="00344293" w:rsidP="00344293">
      <w:r>
        <w:t xml:space="preserve">I den første kasse ses omgivelserne, som både udgør individer og organisationen. De ændringer, der løbende sker i samfundet, vil smitte af på denne gruppe og have en generel indflydelse derpå. </w:t>
      </w:r>
    </w:p>
    <w:p w:rsidR="00344293" w:rsidRDefault="00344293" w:rsidP="00344293"/>
    <w:p w:rsidR="00344293" w:rsidRDefault="00344293" w:rsidP="00344293">
      <w:r>
        <w:t xml:space="preserve">Virksomhedens historie har også stor betydning for kulturen og er i høj grad med til at </w:t>
      </w:r>
      <w:r w:rsidR="0063200E">
        <w:t>påvirke</w:t>
      </w:r>
      <w:r>
        <w:t>, hvordan virksomheden agerer internt, men også hvordan den agerer overfor kunderne. Som eksempel har pengeinstitutterne alti</w:t>
      </w:r>
      <w:r w:rsidR="00DC293F">
        <w:t>d haft et lidt stift udtryk med hensyn til</w:t>
      </w:r>
      <w:r>
        <w:t xml:space="preserve"> </w:t>
      </w:r>
      <w:proofErr w:type="spellStart"/>
      <w:r>
        <w:t>til</w:t>
      </w:r>
      <w:proofErr w:type="spellEnd"/>
      <w:r>
        <w:t xml:space="preserve"> indretning af lokaler og påklædning for at udstråle autoritet og seriøsitet, men dette har ændret sig. Se f.eks. på Jyske Bank, som i midten af nullerne lavede total make-over af indretningen af lokaler, fremtoning af produkter mv., som alt andet lige viste det modsatte </w:t>
      </w:r>
      <w:r w:rsidR="00DC293F">
        <w:t>i forhold til</w:t>
      </w:r>
      <w:r>
        <w:t xml:space="preserve"> ”de gamle dyder”. De viste i højere grad afslappethed; at det ikke var ”farligt” at komme ned i sit pengeinstitut.   </w:t>
      </w:r>
    </w:p>
    <w:p w:rsidR="00F628B6" w:rsidRDefault="00F628B6" w:rsidP="004216E5"/>
    <w:p w:rsidR="00344293" w:rsidRDefault="00344293" w:rsidP="00344293">
      <w:r>
        <w:t xml:space="preserve">Forskellige organiserede grupper, som f.eks. fagforeninger, er i høj grad med til at påvirke kulturen, da disse har stor indflydelse på f.eks. løn, sikkerhedskrav mv. Dette kan give anledning til konflikter, da eksternt organiserede grupper ikke nødvendigvis er enig med virksomheden.  </w:t>
      </w:r>
    </w:p>
    <w:p w:rsidR="00344293" w:rsidRDefault="00344293" w:rsidP="00344293">
      <w:pPr>
        <w:pStyle w:val="Listeafsnit"/>
        <w:ind w:left="420"/>
      </w:pPr>
    </w:p>
    <w:p w:rsidR="00344293" w:rsidRDefault="00344293" w:rsidP="00344293">
      <w:r>
        <w:t xml:space="preserve">I den anden kasse ses virksomhedstypen, som påvirkes af markeds- og konkurrenceforholdende. </w:t>
      </w:r>
    </w:p>
    <w:p w:rsidR="00344293" w:rsidRDefault="00344293" w:rsidP="00344293">
      <w:pPr>
        <w:pStyle w:val="Listeafsnit"/>
        <w:ind w:left="420"/>
      </w:pPr>
    </w:p>
    <w:p w:rsidR="00344293" w:rsidRDefault="00344293" w:rsidP="00344293">
      <w:r>
        <w:t xml:space="preserve">For begge de eksterne kategorier gælder det, at når der er tale om pengeinstitutter, er disse ofte meget ens, uanset hvilket pengeinstitut, der er tale om. De kulturelle forskelle ses for alvor i de interne kategorier. </w:t>
      </w:r>
    </w:p>
    <w:p w:rsidR="00344293" w:rsidRDefault="00344293" w:rsidP="00344293">
      <w:pPr>
        <w:pStyle w:val="Listeafsnit"/>
        <w:ind w:left="420"/>
      </w:pPr>
    </w:p>
    <w:p w:rsidR="00344293" w:rsidRDefault="00344293" w:rsidP="00344293">
      <w:r>
        <w:t>Den første kasse i de interne kategorier viser virksomhedens egenart og indeholder historik, størrelse, ledelsesstil og administrationsstil.</w:t>
      </w:r>
    </w:p>
    <w:p w:rsidR="00344293" w:rsidRDefault="00344293" w:rsidP="00344293">
      <w:r>
        <w:t xml:space="preserve">Virksomhedens historiske udvikling kan give en god forståelse af de dominerende værdier i organisationen. Ældre virksomheder har ofte en stærk kultur, hvor værdier og holdninger har </w:t>
      </w:r>
      <w:r>
        <w:lastRenderedPageBreak/>
        <w:t>udvikle</w:t>
      </w:r>
      <w:r w:rsidR="00353142">
        <w:t>t sig over mange år, hvilket</w:t>
      </w:r>
      <w:r>
        <w:t xml:space="preserve"> giver styrke. En ulempe ved en stærk historik kan også bevirke, at det er svært at implementere forandringer.</w:t>
      </w:r>
    </w:p>
    <w:p w:rsidR="00344293" w:rsidRDefault="00344293" w:rsidP="00344293"/>
    <w:p w:rsidR="00344293" w:rsidRDefault="00344293" w:rsidP="00344293">
      <w:r>
        <w:t xml:space="preserve">Det ses også, at ledelsesstilen har stor betydning for kulturen i organisationen. Lederen er den, som skal gå forrest og vise vejen. Lederen er den, som har magten og ressourcerne til at bestemme, hvilken retning organisationen skal bevæge sig mod. Lederens adfærd, attitude, holdninger osv., på godt og ondt, skal gerne gennemsyre hele organisationen </w:t>
      </w:r>
      <w:r w:rsidR="00353142">
        <w:t>ned til påvirkning af den enkelte medarbejder</w:t>
      </w:r>
      <w:r>
        <w:t xml:space="preserve">.  </w:t>
      </w:r>
    </w:p>
    <w:p w:rsidR="00344293" w:rsidRDefault="00344293" w:rsidP="00344293"/>
    <w:p w:rsidR="00344293" w:rsidRDefault="00344293" w:rsidP="00344293">
      <w:r>
        <w:t>I den sidste kasse ses medarbejderens egenart, hvor medarbejderen udvikler holdninger og normer gennem sit fællesskab med sine kollegaer. Dog vil medarbejderens holdninger og værdier også være præget af den enkeltes opvækst, uddannelse, sociale baggrund mv.</w:t>
      </w:r>
    </w:p>
    <w:p w:rsidR="00344293" w:rsidRDefault="00344293" w:rsidP="00344293"/>
    <w:p w:rsidR="00344293" w:rsidRPr="00FE337A" w:rsidRDefault="00344293" w:rsidP="00344293">
      <w:r>
        <w:t>Som udgangspunkt er alle kategorier lige vigtige, men i en fusion, hvor to kulturer lægges sammen, vil det umiddelbart være medarbejderne, der har den vigtigste betydning.</w:t>
      </w:r>
    </w:p>
    <w:p w:rsidR="004216E5" w:rsidRDefault="00FE337A" w:rsidP="004216E5">
      <w:pPr>
        <w:pStyle w:val="Overskrift3"/>
        <w:numPr>
          <w:ilvl w:val="2"/>
          <w:numId w:val="8"/>
        </w:numPr>
      </w:pPr>
      <w:bookmarkStart w:id="115" w:name="_Toc354517421"/>
      <w:r>
        <w:t>Motivation</w:t>
      </w:r>
      <w:r w:rsidR="00F0542C">
        <w:t xml:space="preserve"> af medarbejdere</w:t>
      </w:r>
      <w:bookmarkEnd w:id="115"/>
    </w:p>
    <w:p w:rsidR="00344293" w:rsidRDefault="00344293" w:rsidP="00344293">
      <w:r>
        <w:t xml:space="preserve">I forbindelse med en fusion er der mange indtryk, der sidst på dagen skal fordøjes. Der er måske nye rutiner, kollegaer, systemer mv. som skal integreres i dagligdagen - alt dette samtidig med, at der forsat skal serviceres kunder og drives forretning. </w:t>
      </w:r>
    </w:p>
    <w:p w:rsidR="00344293" w:rsidRDefault="00344293" w:rsidP="00344293"/>
    <w:p w:rsidR="00344293" w:rsidRDefault="00344293" w:rsidP="00344293">
      <w:r>
        <w:t>Det er en af lederens fornemste opgaver at samle og motivere sine ansatte. Lederen skal få dem til at arbejde sammen og få den nye organisation præsenteret på bedste vis, sammen med alt, hvad en fusion i øvrigt byder på.</w:t>
      </w:r>
    </w:p>
    <w:p w:rsidR="00344293" w:rsidRDefault="00344293" w:rsidP="00344293">
      <w:pPr>
        <w:pStyle w:val="Listeafsnit"/>
        <w:ind w:left="420"/>
      </w:pPr>
    </w:p>
    <w:p w:rsidR="00344293" w:rsidRDefault="00344293" w:rsidP="00344293">
      <w:r>
        <w:t>Moss Kanter har lavet et par modeller, som kan være med til at beskrive, hvilke tilstande en medarbejder kan være udsat for i forbindelse med en fusion.</w:t>
      </w:r>
    </w:p>
    <w:p w:rsidR="00DC293F" w:rsidRDefault="00DC293F" w:rsidP="00C571DC"/>
    <w:p w:rsidR="00DC293F" w:rsidRDefault="00DC293F">
      <w:pPr>
        <w:spacing w:line="240" w:lineRule="auto"/>
        <w:jc w:val="left"/>
      </w:pPr>
      <w:r>
        <w:br w:type="page"/>
      </w:r>
    </w:p>
    <w:p w:rsidR="000B6713" w:rsidRDefault="00D66EE9" w:rsidP="00C571DC">
      <w:r>
        <w:lastRenderedPageBreak/>
        <w:t xml:space="preserve">I </w:t>
      </w:r>
      <w:r w:rsidR="000B6713">
        <w:t xml:space="preserve">nedenstående </w:t>
      </w:r>
      <w:r w:rsidRPr="0038770E">
        <w:t>figur</w:t>
      </w:r>
      <w:r w:rsidR="000B6713">
        <w:t xml:space="preserve"> ses, hvordan man kan ændre adfærd på positiv og negativ vis </w:t>
      </w:r>
      <w:r w:rsidR="00B0629C">
        <w:t xml:space="preserve">i </w:t>
      </w:r>
      <w:r w:rsidR="000B6713">
        <w:t xml:space="preserve">en ændringssituation. </w:t>
      </w:r>
      <w:r w:rsidR="0058193B">
        <w:t>Det optimale er</w:t>
      </w:r>
      <w:r w:rsidR="00A004E6">
        <w:t xml:space="preserve"> at undgå og minimere modstand, og i stedet opnå samarbejde og accept om den nye situation.</w:t>
      </w:r>
    </w:p>
    <w:p w:rsidR="002137E1" w:rsidRDefault="002137E1" w:rsidP="00C571DC"/>
    <w:p w:rsidR="002137E1" w:rsidRDefault="002137E1" w:rsidP="002137E1">
      <w:pPr>
        <w:jc w:val="center"/>
        <w:rPr>
          <w:sz w:val="20"/>
        </w:rPr>
      </w:pPr>
      <w:r>
        <w:rPr>
          <w:noProof/>
        </w:rPr>
        <w:drawing>
          <wp:inline distT="0" distB="0" distL="0" distR="0">
            <wp:extent cx="3472815" cy="2465705"/>
            <wp:effectExtent l="19050" t="19050" r="13335" b="1079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472815" cy="2465705"/>
                    </a:xfrm>
                    <a:prstGeom prst="rect">
                      <a:avLst/>
                    </a:prstGeom>
                    <a:noFill/>
                    <a:ln w="9525">
                      <a:solidFill>
                        <a:schemeClr val="tx1"/>
                      </a:solidFill>
                      <a:miter lim="800000"/>
                      <a:headEnd/>
                      <a:tailEnd/>
                    </a:ln>
                  </pic:spPr>
                </pic:pic>
              </a:graphicData>
            </a:graphic>
          </wp:inline>
        </w:drawing>
      </w:r>
    </w:p>
    <w:p w:rsidR="0038770E" w:rsidRPr="0038770E" w:rsidRDefault="0038770E" w:rsidP="002137E1">
      <w:pPr>
        <w:jc w:val="center"/>
        <w:rPr>
          <w:i/>
          <w:sz w:val="20"/>
        </w:rPr>
      </w:pPr>
      <w:r>
        <w:rPr>
          <w:sz w:val="20"/>
        </w:rPr>
        <w:t xml:space="preserve">Figur 4: Skala for mulig adfærd i en ændringssituation. </w:t>
      </w:r>
      <w:r>
        <w:rPr>
          <w:i/>
          <w:sz w:val="20"/>
        </w:rPr>
        <w:t>Kilde: Organisationsteori s. 332.</w:t>
      </w:r>
    </w:p>
    <w:p w:rsidR="002137E1" w:rsidRDefault="002137E1" w:rsidP="00C571DC"/>
    <w:p w:rsidR="000B6713" w:rsidRDefault="000B6713" w:rsidP="00C571DC">
      <w:r>
        <w:t>Der er taget udgangspunkt i 4 stadier</w:t>
      </w:r>
      <w:r w:rsidR="00354B1C">
        <w:t>. Her ønsker</w:t>
      </w:r>
      <w:r>
        <w:t xml:space="preserve"> man som udgangspunkt, at sine medarbejdere</w:t>
      </w:r>
      <w:r w:rsidR="00A004E6">
        <w:t xml:space="preserve"> befinder sig i ”accept-fasen”. Det er </w:t>
      </w:r>
      <w:r>
        <w:t xml:space="preserve">fasen, hvor medarbejderen formår at samarbejde, være entusiastisk og støttende, samt acceptere den situation, som man er i. </w:t>
      </w:r>
    </w:p>
    <w:p w:rsidR="00600CE4" w:rsidRDefault="00354B1C" w:rsidP="00C571DC">
      <w:r>
        <w:t xml:space="preserve">Efter </w:t>
      </w:r>
      <w:r w:rsidR="00A004E6">
        <w:t>a</w:t>
      </w:r>
      <w:r w:rsidR="00600CE4">
        <w:t>ccept-fasen</w:t>
      </w:r>
      <w:r w:rsidR="00A004E6">
        <w:t>, som</w:t>
      </w:r>
      <w:r w:rsidR="00BC10D9">
        <w:t xml:space="preserve"> må være de</w:t>
      </w:r>
      <w:r w:rsidR="00600CE4">
        <w:t xml:space="preserve"> optimale stadie at være i for medarbejderen</w:t>
      </w:r>
      <w:r w:rsidR="00344293">
        <w:t xml:space="preserve"> - og virksomheden - </w:t>
      </w:r>
      <w:r w:rsidR="00A004E6">
        <w:t>er ”ligegyldighed”, hvor medarbejderen er passiv, ligeglad og kun gør det absolutte nødvendige</w:t>
      </w:r>
      <w:r w:rsidR="00600CE4">
        <w:t xml:space="preserve">. </w:t>
      </w:r>
    </w:p>
    <w:p w:rsidR="00A004E6" w:rsidRDefault="000B6713" w:rsidP="00C571DC">
      <w:r>
        <w:t xml:space="preserve">I den </w:t>
      </w:r>
      <w:r w:rsidR="00A004E6">
        <w:t xml:space="preserve">dårlige ende af skalaen ses det, at </w:t>
      </w:r>
      <w:r>
        <w:t xml:space="preserve">medarbejderen gør aktiv modstand ved at protestere, lave så lidt som muligt, bevist </w:t>
      </w:r>
      <w:r w:rsidR="00EC648C">
        <w:t>sabotage</w:t>
      </w:r>
      <w:r>
        <w:t xml:space="preserve"> osv. </w:t>
      </w:r>
    </w:p>
    <w:p w:rsidR="00A004E6" w:rsidRDefault="00A004E6" w:rsidP="00C571DC"/>
    <w:p w:rsidR="00D66EE9" w:rsidRDefault="000B6713" w:rsidP="00C571DC">
      <w:r>
        <w:t xml:space="preserve">Alt andet lige vil man som leder (og kollega) helst have en medarbejder, som er i ”accept-fasen”, og så vidt muligt </w:t>
      </w:r>
      <w:r w:rsidR="00A004E6">
        <w:t>undgå for meget modstand, og medarbejdere som spreder dårlig stemning med en negativ adfærd</w:t>
      </w:r>
      <w:r>
        <w:t xml:space="preserve">. </w:t>
      </w:r>
    </w:p>
    <w:p w:rsidR="002137E1" w:rsidRDefault="002137E1" w:rsidP="00C571DC"/>
    <w:p w:rsidR="00F40C91" w:rsidRDefault="00F40C91">
      <w:pPr>
        <w:spacing w:line="240" w:lineRule="auto"/>
        <w:jc w:val="left"/>
      </w:pPr>
      <w:r>
        <w:br w:type="page"/>
      </w:r>
    </w:p>
    <w:p w:rsidR="00C55E98" w:rsidRDefault="00BE09AA" w:rsidP="00C571DC">
      <w:r>
        <w:lastRenderedPageBreak/>
        <w:t>For at få medarbejderen optimalt gennem en ændringssituation kan man aktiv</w:t>
      </w:r>
      <w:r w:rsidR="00EC648C">
        <w:t>t</w:t>
      </w:r>
      <w:r>
        <w:t xml:space="preserve"> bruge modellen vedrørende ”Effektivitet og selvværd i udviklingsfaserne.”</w:t>
      </w:r>
      <w:r w:rsidR="00DA2912">
        <w:t xml:space="preserve"> </w:t>
      </w:r>
    </w:p>
    <w:p w:rsidR="002137E1" w:rsidRDefault="002137E1" w:rsidP="002137E1">
      <w:pPr>
        <w:jc w:val="center"/>
        <w:rPr>
          <w:sz w:val="20"/>
        </w:rPr>
      </w:pPr>
      <w:r>
        <w:rPr>
          <w:noProof/>
        </w:rPr>
        <w:drawing>
          <wp:inline distT="0" distB="0" distL="0" distR="0">
            <wp:extent cx="3390265" cy="2280920"/>
            <wp:effectExtent l="19050" t="19050" r="19685" b="2413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390265" cy="2280920"/>
                    </a:xfrm>
                    <a:prstGeom prst="rect">
                      <a:avLst/>
                    </a:prstGeom>
                    <a:noFill/>
                    <a:ln w="9525">
                      <a:solidFill>
                        <a:schemeClr val="tx1"/>
                      </a:solidFill>
                      <a:miter lim="800000"/>
                      <a:headEnd/>
                      <a:tailEnd/>
                    </a:ln>
                  </pic:spPr>
                </pic:pic>
              </a:graphicData>
            </a:graphic>
          </wp:inline>
        </w:drawing>
      </w:r>
    </w:p>
    <w:p w:rsidR="00C55E98" w:rsidRDefault="00C55E98" w:rsidP="002137E1">
      <w:pPr>
        <w:jc w:val="center"/>
        <w:rPr>
          <w:i/>
          <w:sz w:val="20"/>
        </w:rPr>
      </w:pPr>
      <w:r>
        <w:rPr>
          <w:sz w:val="20"/>
        </w:rPr>
        <w:t xml:space="preserve">Figur 5: </w:t>
      </w:r>
      <w:r w:rsidR="00FE572C">
        <w:rPr>
          <w:sz w:val="20"/>
        </w:rPr>
        <w:t xml:space="preserve">Effektivitet og selvværd i udviklingsfaserne. </w:t>
      </w:r>
      <w:r w:rsidR="00FE572C">
        <w:rPr>
          <w:i/>
          <w:sz w:val="20"/>
        </w:rPr>
        <w:t>Kilde: Organisationsteori, s. 333.</w:t>
      </w:r>
    </w:p>
    <w:p w:rsidR="003E1274" w:rsidRPr="00FE572C" w:rsidRDefault="003E1274" w:rsidP="003E1274"/>
    <w:p w:rsidR="00403F00" w:rsidRDefault="00BE09AA" w:rsidP="00C571DC">
      <w:r>
        <w:t>Her ses det, at man over tid vil komme tilbage til sit normale niveau, hvad selvværd og effektivitet angår. I en ændringssituation er der mange variabler og indtryk som skal ”fordøjes”, og det tager tid</w:t>
      </w:r>
      <w:r w:rsidR="00403F00">
        <w:t xml:space="preserve"> at komme tilbage på normalt niveau</w:t>
      </w:r>
      <w:r>
        <w:t>.</w:t>
      </w:r>
    </w:p>
    <w:p w:rsidR="00BE09AA" w:rsidRDefault="00BE09AA" w:rsidP="00C571DC">
      <w:r>
        <w:t xml:space="preserve">Dette ses også i modellen, som antyder, at man </w:t>
      </w:r>
      <w:r w:rsidR="00344293">
        <w:t xml:space="preserve">som leder </w:t>
      </w:r>
      <w:r>
        <w:t xml:space="preserve">med fordel </w:t>
      </w:r>
      <w:r w:rsidR="007E2790">
        <w:t xml:space="preserve">kan </w:t>
      </w:r>
      <w:r>
        <w:t>støtte sine medarbejdere ekstra i en svær tid</w:t>
      </w:r>
      <w:r w:rsidR="00403F00">
        <w:t xml:space="preserve"> ved f.eks. at gøre dem opmærksomme på, at man godt ved, at det er en proces alle skal igennem, og at det er okay</w:t>
      </w:r>
      <w:r w:rsidR="007E2790">
        <w:t xml:space="preserve"> det tager tid</w:t>
      </w:r>
      <w:r w:rsidR="00403F00">
        <w:t>!</w:t>
      </w:r>
    </w:p>
    <w:p w:rsidR="00C571DC" w:rsidRDefault="005E33C5" w:rsidP="00C571DC">
      <w:r>
        <w:t xml:space="preserve"> </w:t>
      </w:r>
    </w:p>
    <w:p w:rsidR="00CB3D28" w:rsidRPr="00DA2912" w:rsidRDefault="00DA2912" w:rsidP="00C571DC">
      <w:r>
        <w:t>Alt andet lige kan lederen i filialen blandt andet benytte sig af ovenstående teori for at få sine medarbejdere til at forstå, at det er en lang og hård proces at være en del af en fusion</w:t>
      </w:r>
      <w:r w:rsidR="00EC648C">
        <w:t>. D</w:t>
      </w:r>
      <w:r>
        <w:t xml:space="preserve">er er mange </w:t>
      </w:r>
      <w:r w:rsidR="00354B1C">
        <w:t>faktorer</w:t>
      </w:r>
      <w:r>
        <w:t xml:space="preserve"> og indtryk, som man skal tage stilling til, og at det er okay og normalt, at man ikke kan rumme alt, og det </w:t>
      </w:r>
      <w:r w:rsidR="00354B1C">
        <w:t xml:space="preserve">kan komme til at </w:t>
      </w:r>
      <w:r>
        <w:t>gå ud over effektivitet og selvværd</w:t>
      </w:r>
      <w:r w:rsidR="006E58A1">
        <w:t xml:space="preserve"> i en kortere periode</w:t>
      </w:r>
      <w:r>
        <w:t>.</w:t>
      </w:r>
    </w:p>
    <w:p w:rsidR="00751DBA" w:rsidRDefault="00751DBA">
      <w:pPr>
        <w:spacing w:line="240" w:lineRule="auto"/>
        <w:jc w:val="left"/>
        <w:rPr>
          <w:rFonts w:ascii="Verdana" w:eastAsiaTheme="majorEastAsia" w:hAnsi="Verdana" w:cstheme="majorBidi"/>
          <w:b/>
          <w:bCs/>
          <w:kern w:val="32"/>
          <w:sz w:val="28"/>
          <w:szCs w:val="32"/>
        </w:rPr>
      </w:pPr>
      <w:r>
        <w:br w:type="page"/>
      </w:r>
    </w:p>
    <w:p w:rsidR="00707E85" w:rsidRDefault="00707E85" w:rsidP="0087410F">
      <w:pPr>
        <w:pStyle w:val="Overskrift1"/>
        <w:numPr>
          <w:ilvl w:val="0"/>
          <w:numId w:val="18"/>
        </w:numPr>
      </w:pPr>
      <w:bookmarkStart w:id="116" w:name="_Toc354517422"/>
      <w:r>
        <w:lastRenderedPageBreak/>
        <w:t>Behandling</w:t>
      </w:r>
      <w:bookmarkEnd w:id="116"/>
    </w:p>
    <w:p w:rsidR="00344293" w:rsidRDefault="00344293" w:rsidP="00344293">
      <w:r>
        <w:t>I nedenstående afsnit vil de to valgte pengeinstitutter, samt relevante fakta og nøgletal</w:t>
      </w:r>
      <w:r w:rsidRPr="00527DF2">
        <w:t xml:space="preserve"> </w:t>
      </w:r>
      <w:r>
        <w:t>blive præsenteret.</w:t>
      </w:r>
    </w:p>
    <w:p w:rsidR="00E4263F" w:rsidRDefault="00A7683D" w:rsidP="00A7683D">
      <w:r>
        <w:t xml:space="preserve">Derudover vil </w:t>
      </w:r>
      <w:r w:rsidR="00881FC6">
        <w:t xml:space="preserve">beregnede </w:t>
      </w:r>
      <w:r>
        <w:t>nøgletal for de to pengeinstitutter blive gennemgået og analyseret.</w:t>
      </w:r>
    </w:p>
    <w:p w:rsidR="003220B1" w:rsidRPr="00E4263F" w:rsidRDefault="003220B1" w:rsidP="00A7683D"/>
    <w:p w:rsidR="00707E85" w:rsidRDefault="00707E85" w:rsidP="008D4A5F">
      <w:pPr>
        <w:pStyle w:val="Overskrift2"/>
        <w:numPr>
          <w:ilvl w:val="1"/>
          <w:numId w:val="9"/>
        </w:numPr>
        <w:ind w:left="567" w:hanging="567"/>
      </w:pPr>
      <w:bookmarkStart w:id="117" w:name="_Toc354517423"/>
      <w:r>
        <w:t>Valg af pengeinstitutter</w:t>
      </w:r>
      <w:bookmarkEnd w:id="117"/>
    </w:p>
    <w:p w:rsidR="00344293" w:rsidRPr="00FD7D27" w:rsidRDefault="00344293" w:rsidP="00344293">
      <w:r>
        <w:t xml:space="preserve">I det nedenstående afsnit vil jeg kort beskrive de valgte pengeinstitutter: Den Jyske Sparekasse og Dronninglund Sparekasse. Jeg vil komme ind på de vigtigste og mest relevante tal og fakta, samt de mere bløde værdier, eksempelvis deres vision, værdier og historie. </w:t>
      </w:r>
    </w:p>
    <w:p w:rsidR="00344293" w:rsidRDefault="00344293" w:rsidP="00344293">
      <w:pPr>
        <w:pStyle w:val="Overskrift3"/>
        <w:numPr>
          <w:ilvl w:val="2"/>
          <w:numId w:val="10"/>
        </w:numPr>
        <w:tabs>
          <w:tab w:val="left" w:pos="567"/>
        </w:tabs>
      </w:pPr>
      <w:bookmarkStart w:id="118" w:name="_Toc353437605"/>
      <w:bookmarkStart w:id="119" w:name="_Toc354517424"/>
      <w:r>
        <w:t>Den Jyske Sparekasse (Den Jyske)</w:t>
      </w:r>
      <w:r>
        <w:rPr>
          <w:rStyle w:val="Fodnotehenvisning"/>
        </w:rPr>
        <w:footnoteReference w:id="15"/>
      </w:r>
      <w:bookmarkEnd w:id="118"/>
      <w:bookmarkEnd w:id="119"/>
    </w:p>
    <w:p w:rsidR="00344293" w:rsidRDefault="00344293" w:rsidP="00344293">
      <w:r>
        <w:t>Den Jyske Sparekasse er en sammenslutning af ca. 50 Sparekasser, og det må derfor antages, at den har erfaring med fusioner og opkøb. Sparekassens hovedsæde ligger i Grindsted, hvor det har ligget siden 1878.</w:t>
      </w:r>
      <w:r w:rsidR="00B0629C">
        <w:t xml:space="preserve"> Sparekassen startede dog tilbage i 1872.</w:t>
      </w:r>
      <w:r>
        <w:t xml:space="preserve">  </w:t>
      </w:r>
    </w:p>
    <w:p w:rsidR="00344293" w:rsidRDefault="00344293" w:rsidP="00344293">
      <w:r>
        <w:t xml:space="preserve">Den Jyske Sparekasse har haft rigeligt at se til i 2012, som har budt på 3 fusioner/opkøb. Den Jyske har fusioneret med Sparekassen Farsø (marts, 2012), Spar Salling (april, 2012) og d. 20. december 2012 godkendte repræsentantskabet i Sparekassen Skals en fusion med Den Jyske. Sammenlægningen af alle tre sparekasser er medregnet i Årsrapporten fra 2012. </w:t>
      </w:r>
    </w:p>
    <w:p w:rsidR="00344293" w:rsidRDefault="00344293" w:rsidP="00344293">
      <w:r>
        <w:t xml:space="preserve"> </w:t>
      </w:r>
    </w:p>
    <w:p w:rsidR="00344293" w:rsidRDefault="00344293" w:rsidP="00344293">
      <w:r>
        <w:t>Sparekassen har pt. 2 direktører, samt et repræsentantskab, der består af 105 medlemmer. Repræsentantskabet er øverste myndighed i Sparekassen og bestyrelsen består af valgte medlemmer fra repræsentantskabet. Direktionen ansættes af bestyrelsen</w:t>
      </w:r>
      <w:r w:rsidR="00353142">
        <w:t>,</w:t>
      </w:r>
      <w:r>
        <w:t xml:space="preserve"> og skal drive Sparekassen efter de retningslinjer og anvisninger, bestyrelsen har givet dem.</w:t>
      </w:r>
    </w:p>
    <w:p w:rsidR="00344293" w:rsidRDefault="00344293" w:rsidP="00344293"/>
    <w:p w:rsidR="00B0629C" w:rsidRDefault="00B0629C">
      <w:pPr>
        <w:spacing w:line="240" w:lineRule="auto"/>
        <w:jc w:val="left"/>
      </w:pPr>
      <w:r>
        <w:br w:type="page"/>
      </w:r>
    </w:p>
    <w:p w:rsidR="00344293" w:rsidRDefault="00344293" w:rsidP="00344293">
      <w:r>
        <w:lastRenderedPageBreak/>
        <w:t>Den Jyske har et filialnet, som dækker fra Aalborg til Tønder, og i alt 39 afdelinger, hvilket ses på nedenstående kort:</w:t>
      </w:r>
    </w:p>
    <w:p w:rsidR="000A73DF" w:rsidRDefault="00344293" w:rsidP="000A73DF">
      <w:pPr>
        <w:jc w:val="center"/>
      </w:pPr>
      <w:r>
        <w:rPr>
          <w:noProof/>
        </w:rPr>
        <w:drawing>
          <wp:inline distT="0" distB="0" distL="0" distR="0">
            <wp:extent cx="2228850" cy="3827473"/>
            <wp:effectExtent l="19050" t="0" r="0" b="0"/>
            <wp:docPr id="1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230419" cy="3830167"/>
                    </a:xfrm>
                    <a:prstGeom prst="rect">
                      <a:avLst/>
                    </a:prstGeom>
                    <a:noFill/>
                    <a:ln w="9525">
                      <a:noFill/>
                      <a:miter lim="800000"/>
                      <a:headEnd/>
                      <a:tailEnd/>
                    </a:ln>
                  </pic:spPr>
                </pic:pic>
              </a:graphicData>
            </a:graphic>
          </wp:inline>
        </w:drawing>
      </w:r>
    </w:p>
    <w:p w:rsidR="000A73DF" w:rsidRPr="000A73DF" w:rsidRDefault="000A73DF" w:rsidP="000A73DF">
      <w:pPr>
        <w:jc w:val="center"/>
        <w:rPr>
          <w:sz w:val="20"/>
        </w:rPr>
      </w:pPr>
      <w:r>
        <w:rPr>
          <w:sz w:val="20"/>
        </w:rPr>
        <w:t xml:space="preserve">Figur 6: Den Jyske Sparekasses kort over deres filialer. </w:t>
      </w:r>
      <w:r>
        <w:rPr>
          <w:i/>
          <w:sz w:val="20"/>
        </w:rPr>
        <w:t>Kilde: www.denjyskesparekasse.dk</w:t>
      </w:r>
    </w:p>
    <w:p w:rsidR="000A73DF" w:rsidRDefault="000A73DF" w:rsidP="000A73DF">
      <w:pPr>
        <w:jc w:val="center"/>
      </w:pPr>
    </w:p>
    <w:p w:rsidR="000A73DF" w:rsidRDefault="00344293" w:rsidP="00344293">
      <w:r>
        <w:t xml:space="preserve">Den </w:t>
      </w:r>
      <w:proofErr w:type="spellStart"/>
      <w:r>
        <w:t>Jyske’s</w:t>
      </w:r>
      <w:proofErr w:type="spellEnd"/>
      <w:r>
        <w:t xml:space="preserve"> overordnede værdigrundlag er, at den gerne vil skabe overblik, sådan at kunderne oplever overskud – personligt og økonomisk. Derudover vil den gerne have et godt samarbejde med kunden, så der bliver tale om et godt tillidsforhold, som giver tryghed og et langt tryghedsforhold. Den ønsker høj trivsel for medarbejderne, samt personlig rådgivning og kontakt med kunderne. Derudover har den seks kerneværdier, som er købmandsskab, visionær, professionalisme, teamånd, handlekraft og ærlighed.</w:t>
      </w:r>
    </w:p>
    <w:p w:rsidR="000A73DF" w:rsidRDefault="00344293" w:rsidP="006E21B4">
      <w:r>
        <w:t xml:space="preserve">Den Jyske vil deltage aktivt lokalt i de områder, hvor den har filialer. Hvert år inviteres garanter til garantmøder med mad og underholdning. </w:t>
      </w:r>
    </w:p>
    <w:p w:rsidR="000A73DF" w:rsidRDefault="000A73DF">
      <w:pPr>
        <w:spacing w:line="240" w:lineRule="auto"/>
        <w:jc w:val="left"/>
      </w:pPr>
    </w:p>
    <w:p w:rsidR="00F848CC" w:rsidRDefault="00FD7D27" w:rsidP="006E21B4">
      <w:r>
        <w:t>Udvalgt k</w:t>
      </w:r>
      <w:r w:rsidR="00683E85">
        <w:t>undefordelingen af kunderne i Den Jyske fordeler sig som følgende:</w:t>
      </w:r>
    </w:p>
    <w:tbl>
      <w:tblPr>
        <w:tblStyle w:val="Tabel-Gitter"/>
        <w:tblW w:w="0" w:type="auto"/>
        <w:tblLook w:val="04A0" w:firstRow="1" w:lastRow="0" w:firstColumn="1" w:lastColumn="0" w:noHBand="0" w:noVBand="1"/>
      </w:tblPr>
      <w:tblGrid>
        <w:gridCol w:w="2303"/>
        <w:gridCol w:w="2303"/>
        <w:gridCol w:w="2303"/>
        <w:gridCol w:w="2303"/>
      </w:tblGrid>
      <w:tr w:rsidR="00683E85" w:rsidTr="00BC10D9">
        <w:tc>
          <w:tcPr>
            <w:tcW w:w="9212" w:type="dxa"/>
            <w:gridSpan w:val="4"/>
            <w:shd w:val="clear" w:color="auto" w:fill="C6D9F1" w:themeFill="text2" w:themeFillTint="33"/>
          </w:tcPr>
          <w:p w:rsidR="00683E85" w:rsidRPr="00BC10D9" w:rsidRDefault="00683E85" w:rsidP="00F13DE3">
            <w:pPr>
              <w:spacing w:line="240" w:lineRule="auto"/>
              <w:jc w:val="center"/>
              <w:rPr>
                <w:b/>
              </w:rPr>
            </w:pPr>
            <w:r w:rsidRPr="00BC10D9">
              <w:rPr>
                <w:b/>
              </w:rPr>
              <w:t>Kundefordeling – Den Jyske Sparekasse</w:t>
            </w:r>
          </w:p>
        </w:tc>
      </w:tr>
      <w:tr w:rsidR="00683E85" w:rsidTr="00BC10D9">
        <w:tc>
          <w:tcPr>
            <w:tcW w:w="2303" w:type="dxa"/>
            <w:shd w:val="clear" w:color="auto" w:fill="C6D9F1" w:themeFill="text2" w:themeFillTint="33"/>
          </w:tcPr>
          <w:p w:rsidR="00683E85" w:rsidRPr="00BC10D9" w:rsidRDefault="00683E85" w:rsidP="00F13DE3">
            <w:pPr>
              <w:spacing w:line="240" w:lineRule="auto"/>
              <w:rPr>
                <w:b/>
              </w:rPr>
            </w:pP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2012</w:t>
            </w: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2011</w:t>
            </w: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2010</w:t>
            </w:r>
          </w:p>
        </w:tc>
      </w:tr>
      <w:tr w:rsidR="00683E85" w:rsidTr="00BC10D9">
        <w:tc>
          <w:tcPr>
            <w:tcW w:w="2303" w:type="dxa"/>
          </w:tcPr>
          <w:p w:rsidR="00683E85" w:rsidRPr="00F13DE3" w:rsidRDefault="00683E85" w:rsidP="00F13DE3">
            <w:pPr>
              <w:spacing w:line="240" w:lineRule="auto"/>
            </w:pPr>
            <w:r w:rsidRPr="00F13DE3">
              <w:t>Privat</w:t>
            </w:r>
          </w:p>
        </w:tc>
        <w:tc>
          <w:tcPr>
            <w:tcW w:w="2303" w:type="dxa"/>
          </w:tcPr>
          <w:p w:rsidR="00683E85" w:rsidRDefault="009B4712" w:rsidP="00F13DE3">
            <w:pPr>
              <w:spacing w:line="240" w:lineRule="auto"/>
              <w:jc w:val="right"/>
            </w:pPr>
            <w:r>
              <w:t>30 %</w:t>
            </w:r>
          </w:p>
        </w:tc>
        <w:tc>
          <w:tcPr>
            <w:tcW w:w="2303" w:type="dxa"/>
          </w:tcPr>
          <w:p w:rsidR="00683E85" w:rsidRDefault="009B4712" w:rsidP="00F13DE3">
            <w:pPr>
              <w:spacing w:line="240" w:lineRule="auto"/>
              <w:jc w:val="right"/>
            </w:pPr>
            <w:r>
              <w:t>28 %</w:t>
            </w:r>
          </w:p>
        </w:tc>
        <w:tc>
          <w:tcPr>
            <w:tcW w:w="2303" w:type="dxa"/>
          </w:tcPr>
          <w:p w:rsidR="00683E85" w:rsidRDefault="009B4712" w:rsidP="00F13DE3">
            <w:pPr>
              <w:spacing w:line="240" w:lineRule="auto"/>
              <w:jc w:val="right"/>
            </w:pPr>
            <w:r>
              <w:t>28</w:t>
            </w:r>
            <w:r w:rsidR="00762614">
              <w:t xml:space="preserve"> %</w:t>
            </w:r>
          </w:p>
        </w:tc>
      </w:tr>
      <w:tr w:rsidR="00683E85" w:rsidTr="00BC10D9">
        <w:tc>
          <w:tcPr>
            <w:tcW w:w="2303" w:type="dxa"/>
          </w:tcPr>
          <w:p w:rsidR="00683E85" w:rsidRPr="00F13DE3" w:rsidRDefault="00683E85" w:rsidP="00F13DE3">
            <w:pPr>
              <w:spacing w:line="240" w:lineRule="auto"/>
            </w:pPr>
            <w:r w:rsidRPr="00F13DE3">
              <w:t>Erhverv</w:t>
            </w:r>
          </w:p>
        </w:tc>
        <w:tc>
          <w:tcPr>
            <w:tcW w:w="2303" w:type="dxa"/>
          </w:tcPr>
          <w:p w:rsidR="00683E85" w:rsidRDefault="009B4712" w:rsidP="00F13DE3">
            <w:pPr>
              <w:spacing w:line="240" w:lineRule="auto"/>
              <w:jc w:val="right"/>
            </w:pPr>
            <w:r>
              <w:t>70 %</w:t>
            </w:r>
          </w:p>
        </w:tc>
        <w:tc>
          <w:tcPr>
            <w:tcW w:w="2303" w:type="dxa"/>
          </w:tcPr>
          <w:p w:rsidR="00683E85" w:rsidRDefault="00762614" w:rsidP="00F13DE3">
            <w:pPr>
              <w:spacing w:line="240" w:lineRule="auto"/>
              <w:jc w:val="right"/>
            </w:pPr>
            <w:r>
              <w:t>72 %</w:t>
            </w:r>
          </w:p>
        </w:tc>
        <w:tc>
          <w:tcPr>
            <w:tcW w:w="2303" w:type="dxa"/>
          </w:tcPr>
          <w:p w:rsidR="00683E85" w:rsidRDefault="009B4712" w:rsidP="00F13DE3">
            <w:pPr>
              <w:spacing w:line="240" w:lineRule="auto"/>
              <w:jc w:val="right"/>
            </w:pPr>
            <w:r>
              <w:t>72</w:t>
            </w:r>
            <w:r w:rsidR="00762614">
              <w:t xml:space="preserve"> %</w:t>
            </w:r>
          </w:p>
        </w:tc>
      </w:tr>
      <w:tr w:rsidR="00762614" w:rsidTr="00BC10D9">
        <w:tc>
          <w:tcPr>
            <w:tcW w:w="2303" w:type="dxa"/>
          </w:tcPr>
          <w:p w:rsidR="00762614" w:rsidRPr="00F13DE3" w:rsidRDefault="00762614" w:rsidP="00F13DE3">
            <w:pPr>
              <w:spacing w:line="240" w:lineRule="auto"/>
            </w:pPr>
            <w:r w:rsidRPr="00F13DE3">
              <w:t>Landbrug</w:t>
            </w:r>
          </w:p>
        </w:tc>
        <w:tc>
          <w:tcPr>
            <w:tcW w:w="2303" w:type="dxa"/>
          </w:tcPr>
          <w:p w:rsidR="00762614" w:rsidRDefault="009B4712" w:rsidP="00F13DE3">
            <w:pPr>
              <w:spacing w:line="240" w:lineRule="auto"/>
              <w:jc w:val="right"/>
            </w:pPr>
            <w:r>
              <w:t>21 %</w:t>
            </w:r>
          </w:p>
        </w:tc>
        <w:tc>
          <w:tcPr>
            <w:tcW w:w="2303" w:type="dxa"/>
          </w:tcPr>
          <w:p w:rsidR="00762614" w:rsidRDefault="00762614" w:rsidP="00F13DE3">
            <w:pPr>
              <w:spacing w:line="240" w:lineRule="auto"/>
              <w:jc w:val="right"/>
            </w:pPr>
            <w:r>
              <w:t>18 %</w:t>
            </w:r>
          </w:p>
        </w:tc>
        <w:tc>
          <w:tcPr>
            <w:tcW w:w="2303" w:type="dxa"/>
          </w:tcPr>
          <w:p w:rsidR="00762614" w:rsidRDefault="00762614" w:rsidP="00F13DE3">
            <w:pPr>
              <w:spacing w:line="240" w:lineRule="auto"/>
              <w:jc w:val="right"/>
            </w:pPr>
            <w:r>
              <w:t>19 %</w:t>
            </w:r>
          </w:p>
        </w:tc>
      </w:tr>
      <w:tr w:rsidR="00762614" w:rsidTr="00BC10D9">
        <w:tc>
          <w:tcPr>
            <w:tcW w:w="2303" w:type="dxa"/>
          </w:tcPr>
          <w:p w:rsidR="00762614" w:rsidRPr="00F13DE3" w:rsidRDefault="00762614" w:rsidP="00F13DE3">
            <w:pPr>
              <w:spacing w:line="240" w:lineRule="auto"/>
            </w:pPr>
            <w:r w:rsidRPr="00F13DE3">
              <w:t>Fast ejendom</w:t>
            </w:r>
          </w:p>
        </w:tc>
        <w:tc>
          <w:tcPr>
            <w:tcW w:w="2303" w:type="dxa"/>
          </w:tcPr>
          <w:p w:rsidR="00762614" w:rsidRDefault="009B4712" w:rsidP="00F13DE3">
            <w:pPr>
              <w:spacing w:line="240" w:lineRule="auto"/>
              <w:jc w:val="right"/>
            </w:pPr>
            <w:r>
              <w:t>16 %</w:t>
            </w:r>
          </w:p>
        </w:tc>
        <w:tc>
          <w:tcPr>
            <w:tcW w:w="2303" w:type="dxa"/>
          </w:tcPr>
          <w:p w:rsidR="00762614" w:rsidRDefault="00762614" w:rsidP="00F13DE3">
            <w:pPr>
              <w:spacing w:line="240" w:lineRule="auto"/>
              <w:jc w:val="right"/>
            </w:pPr>
            <w:r>
              <w:t>16 %</w:t>
            </w:r>
          </w:p>
        </w:tc>
        <w:tc>
          <w:tcPr>
            <w:tcW w:w="2303" w:type="dxa"/>
          </w:tcPr>
          <w:p w:rsidR="00762614" w:rsidRDefault="00762614" w:rsidP="00F13DE3">
            <w:pPr>
              <w:spacing w:line="240" w:lineRule="auto"/>
              <w:jc w:val="right"/>
            </w:pPr>
            <w:r>
              <w:t>14 %</w:t>
            </w:r>
          </w:p>
        </w:tc>
      </w:tr>
    </w:tbl>
    <w:p w:rsidR="00683E85" w:rsidRDefault="003E1274" w:rsidP="006E21B4">
      <w:pPr>
        <w:rPr>
          <w:i/>
          <w:sz w:val="20"/>
        </w:rPr>
      </w:pPr>
      <w:r>
        <w:rPr>
          <w:sz w:val="20"/>
        </w:rPr>
        <w:t xml:space="preserve">Tabel 3: Udvalgte kundesegmenter, Den Jyske Sparekasse. </w:t>
      </w:r>
      <w:r>
        <w:rPr>
          <w:i/>
          <w:sz w:val="20"/>
        </w:rPr>
        <w:t>Kilde: Årsrapport 2012.</w:t>
      </w:r>
    </w:p>
    <w:p w:rsidR="00762614" w:rsidRDefault="00560FAD" w:rsidP="006E21B4">
      <w:r>
        <w:lastRenderedPageBreak/>
        <w:t>I ovenstående tabel ses det</w:t>
      </w:r>
      <w:r w:rsidR="00762614">
        <w:t xml:space="preserve">, at fordelingen mellem privat og erhverv i 2010 og 2011 er </w:t>
      </w:r>
      <w:r>
        <w:t xml:space="preserve">hhv. </w:t>
      </w:r>
      <w:r w:rsidR="00762614">
        <w:t>28 % og 72 %</w:t>
      </w:r>
      <w:r w:rsidR="00517AC5">
        <w:t>, og i 2012 er andelen i privat stege</w:t>
      </w:r>
      <w:r>
        <w:t>t</w:t>
      </w:r>
      <w:r w:rsidR="00517AC5">
        <w:t xml:space="preserve"> til 30 %, og faldet i erhverv til 70 %</w:t>
      </w:r>
      <w:r w:rsidR="00881FC6">
        <w:t>. A</w:t>
      </w:r>
      <w:r w:rsidR="00762614">
        <w:t>lt andet lige er</w:t>
      </w:r>
      <w:r w:rsidR="00881FC6">
        <w:t xml:space="preserve"> det</w:t>
      </w:r>
      <w:r w:rsidR="00762614">
        <w:t xml:space="preserve"> en lidt skæv fordeling, og for at diversificere risici kunne man </w:t>
      </w:r>
      <w:r w:rsidR="003F46A2">
        <w:t xml:space="preserve">i fremtiden </w:t>
      </w:r>
      <w:r w:rsidR="00881FC6">
        <w:t>med fordel bruge mest energi på</w:t>
      </w:r>
      <w:r w:rsidR="00762614">
        <w:t xml:space="preserve"> at få flere privatkunder i butikken. Denne fordeling kan være svær, og tage</w:t>
      </w:r>
      <w:r w:rsidR="00B0629C">
        <w:t>r</w:t>
      </w:r>
      <w:r w:rsidR="00762614">
        <w:t xml:space="preserve"> tid at ændre, da en privatkundes engagement </w:t>
      </w:r>
      <w:r w:rsidR="00344293">
        <w:t xml:space="preserve">som udgangspunkt </w:t>
      </w:r>
      <w:r w:rsidR="00762614">
        <w:t>ikke er så stort som en erhvervskunde</w:t>
      </w:r>
      <w:r w:rsidR="003F46A2">
        <w:t>, og derved udgør en mindre del af det samlede udlån</w:t>
      </w:r>
      <w:r w:rsidR="00762614">
        <w:t>.</w:t>
      </w:r>
    </w:p>
    <w:p w:rsidR="00344293" w:rsidRDefault="00344293" w:rsidP="00344293">
      <w:r>
        <w:t xml:space="preserve">Den Jyske har et stort udlån i landbrugssektoren, som i 2012 er steget til 21 % mod 18 % i 2011. Landbruget er pt. et segment, som er hårdt ramt, hvor mange har svært ved at tjene penge. Derfor kan man risikere flere nedskrivninger og/eller tab end de konkurrenter, som har et mindre udlån til dette segment. </w:t>
      </w:r>
    </w:p>
    <w:p w:rsidR="00344293" w:rsidRDefault="00344293" w:rsidP="00344293"/>
    <w:p w:rsidR="00344293" w:rsidRPr="006E21B4" w:rsidRDefault="00344293" w:rsidP="00344293">
      <w:r>
        <w:t xml:space="preserve">Slutteligt fremgår det, at udlånet på fast ejendom i 2012 er 16 %, hvilket er fint ift. tilsynsdiamanten, hvor der højest må være en ejendomseksponering på 25 %. </w:t>
      </w:r>
    </w:p>
    <w:p w:rsidR="00344293" w:rsidRDefault="00344293" w:rsidP="00344293">
      <w:pPr>
        <w:pStyle w:val="Overskrift3"/>
        <w:numPr>
          <w:ilvl w:val="2"/>
          <w:numId w:val="10"/>
        </w:numPr>
      </w:pPr>
      <w:bookmarkStart w:id="120" w:name="_Toc353437606"/>
      <w:bookmarkStart w:id="121" w:name="_Toc354517425"/>
      <w:r>
        <w:t>Dronninglund Sparekasse (DS)</w:t>
      </w:r>
      <w:r>
        <w:rPr>
          <w:rStyle w:val="Fodnotehenvisning"/>
        </w:rPr>
        <w:footnoteReference w:id="16"/>
      </w:r>
      <w:bookmarkEnd w:id="120"/>
      <w:bookmarkEnd w:id="121"/>
    </w:p>
    <w:p w:rsidR="00344293" w:rsidRDefault="00344293" w:rsidP="00344293">
      <w:r>
        <w:t xml:space="preserve">Dronninglund Sparekasse blev oprettet tilbage i 1873 i Dronninglund, og det har siden da været hovedsædet. Der er tale om et ældre pengeinstitut, som ikke har fusioneret med andre pengeinstitutter i den tid, den har eksisteret. </w:t>
      </w:r>
    </w:p>
    <w:p w:rsidR="00344293" w:rsidRDefault="00344293" w:rsidP="00344293">
      <w:r>
        <w:t>Sparekassen har i skrivende stund 2 direktører, samt et repræsentantskab på 30 personer, samt en bestyrelse bestående af 9 personer. Dog vil Villy Sørensen overtage direktørstolen pr. 1. maj af Birger Haaning, som går på pension</w:t>
      </w:r>
      <w:r>
        <w:rPr>
          <w:rStyle w:val="Fodnotehenvisning"/>
        </w:rPr>
        <w:footnoteReference w:id="17"/>
      </w:r>
      <w:r>
        <w:t xml:space="preserve">. Som hos Den Jyske har DS også et repræsentantskab, som udgør den øverste myndighed. </w:t>
      </w:r>
    </w:p>
    <w:p w:rsidR="00344293" w:rsidRDefault="00344293" w:rsidP="00344293"/>
    <w:p w:rsidR="000A73DF" w:rsidRDefault="000A73DF">
      <w:pPr>
        <w:spacing w:line="240" w:lineRule="auto"/>
        <w:jc w:val="left"/>
      </w:pPr>
      <w:r>
        <w:br w:type="page"/>
      </w:r>
    </w:p>
    <w:p w:rsidR="00344293" w:rsidRDefault="00344293" w:rsidP="00344293">
      <w:r>
        <w:lastRenderedPageBreak/>
        <w:t>DS har pt. 11 afdelinger fordelt i Øst Vendsyssel – se nedenstående kort:</w:t>
      </w:r>
    </w:p>
    <w:p w:rsidR="000A73DF" w:rsidRDefault="00344293" w:rsidP="000A73DF">
      <w:pPr>
        <w:jc w:val="center"/>
      </w:pPr>
      <w:r>
        <w:rPr>
          <w:noProof/>
        </w:rPr>
        <w:drawing>
          <wp:inline distT="0" distB="0" distL="0" distR="0">
            <wp:extent cx="3522083" cy="2944906"/>
            <wp:effectExtent l="19050" t="0" r="2167" b="0"/>
            <wp:docPr id="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522083" cy="2944906"/>
                    </a:xfrm>
                    <a:prstGeom prst="rect">
                      <a:avLst/>
                    </a:prstGeom>
                    <a:noFill/>
                    <a:ln w="9525">
                      <a:noFill/>
                      <a:miter lim="800000"/>
                      <a:headEnd/>
                      <a:tailEnd/>
                    </a:ln>
                  </pic:spPr>
                </pic:pic>
              </a:graphicData>
            </a:graphic>
          </wp:inline>
        </w:drawing>
      </w:r>
    </w:p>
    <w:p w:rsidR="000A73DF" w:rsidRPr="000A73DF" w:rsidRDefault="000A73DF" w:rsidP="000A73DF">
      <w:pPr>
        <w:spacing w:line="240" w:lineRule="auto"/>
        <w:jc w:val="center"/>
        <w:rPr>
          <w:sz w:val="20"/>
        </w:rPr>
      </w:pPr>
      <w:r>
        <w:rPr>
          <w:sz w:val="20"/>
        </w:rPr>
        <w:t xml:space="preserve">Figur 7: Dronninglund Sparekasses kort over deres filialer. </w:t>
      </w:r>
      <w:r>
        <w:rPr>
          <w:i/>
          <w:sz w:val="20"/>
        </w:rPr>
        <w:t>Kilde: www.dronspar.dk</w:t>
      </w:r>
    </w:p>
    <w:p w:rsidR="000A73DF" w:rsidRDefault="000A73DF" w:rsidP="00344293"/>
    <w:p w:rsidR="00344293" w:rsidRDefault="00344293" w:rsidP="00344293">
      <w:r>
        <w:t xml:space="preserve">Sparekassens mission for fremtiden er, at den vil yde en personlig service overfor kunderne ved at engagere sig i kundens hverdag og individuelle situation. </w:t>
      </w:r>
    </w:p>
    <w:p w:rsidR="00344293" w:rsidRDefault="00344293" w:rsidP="00344293">
      <w:r>
        <w:t>Sparekassen ønsker at udvide markedsandele regionalt og lokalt, samt være den mest attraktive samarbejdspartner, mest effektive og konkurrencedygtige pengeinstitut i sit virkeområde.</w:t>
      </w:r>
    </w:p>
    <w:p w:rsidR="00344293" w:rsidRDefault="00344293" w:rsidP="00344293"/>
    <w:p w:rsidR="00344293" w:rsidRDefault="00344293" w:rsidP="00344293">
      <w:r>
        <w:t xml:space="preserve">Derudover afholder den hvert år garantmøder for garanter, hvor Sparekassen inviterer på mad. Den afholder også diverse arrangementer, hvor der f.eks. inviteres kunder i cirkus. </w:t>
      </w:r>
    </w:p>
    <w:p w:rsidR="003F46A2" w:rsidRDefault="003F46A2" w:rsidP="00E94F02"/>
    <w:p w:rsidR="00683E85" w:rsidRDefault="00683E85" w:rsidP="00E94F02">
      <w:r>
        <w:t>I nedenstående tabel se</w:t>
      </w:r>
      <w:r w:rsidR="003F46A2">
        <w:t xml:space="preserve"> udvalgte segmenter i </w:t>
      </w:r>
      <w:r>
        <w:t xml:space="preserve">kundefordelingen </w:t>
      </w:r>
      <w:r w:rsidR="003F46A2">
        <w:t>for DS</w:t>
      </w:r>
      <w:r>
        <w:t>:</w:t>
      </w:r>
    </w:p>
    <w:tbl>
      <w:tblPr>
        <w:tblStyle w:val="Tabel-Gitter"/>
        <w:tblW w:w="0" w:type="auto"/>
        <w:tblLook w:val="04A0" w:firstRow="1" w:lastRow="0" w:firstColumn="1" w:lastColumn="0" w:noHBand="0" w:noVBand="1"/>
      </w:tblPr>
      <w:tblGrid>
        <w:gridCol w:w="2303"/>
        <w:gridCol w:w="2303"/>
        <w:gridCol w:w="2303"/>
        <w:gridCol w:w="2303"/>
      </w:tblGrid>
      <w:tr w:rsidR="00683E85" w:rsidRPr="00683E85" w:rsidTr="00BC10D9">
        <w:tc>
          <w:tcPr>
            <w:tcW w:w="9212" w:type="dxa"/>
            <w:gridSpan w:val="4"/>
            <w:shd w:val="clear" w:color="auto" w:fill="C6D9F1" w:themeFill="text2" w:themeFillTint="33"/>
          </w:tcPr>
          <w:p w:rsidR="00683E85" w:rsidRPr="00BC10D9" w:rsidRDefault="00683E85" w:rsidP="00F13DE3">
            <w:pPr>
              <w:spacing w:line="240" w:lineRule="auto"/>
              <w:jc w:val="center"/>
              <w:rPr>
                <w:b/>
              </w:rPr>
            </w:pPr>
            <w:r w:rsidRPr="00BC10D9">
              <w:rPr>
                <w:b/>
              </w:rPr>
              <w:t>Kundefordeling – Dronninglund Sparekasse</w:t>
            </w:r>
          </w:p>
        </w:tc>
      </w:tr>
      <w:tr w:rsidR="00683E85" w:rsidTr="00BC10D9">
        <w:tc>
          <w:tcPr>
            <w:tcW w:w="2303" w:type="dxa"/>
            <w:shd w:val="clear" w:color="auto" w:fill="C6D9F1" w:themeFill="text2" w:themeFillTint="33"/>
          </w:tcPr>
          <w:p w:rsidR="00683E85" w:rsidRPr="00BC10D9" w:rsidRDefault="00683E85" w:rsidP="00F13DE3">
            <w:pPr>
              <w:spacing w:line="240" w:lineRule="auto"/>
              <w:rPr>
                <w:b/>
              </w:rPr>
            </w:pP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2012</w:t>
            </w: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2011</w:t>
            </w:r>
          </w:p>
        </w:tc>
        <w:tc>
          <w:tcPr>
            <w:tcW w:w="2303" w:type="dxa"/>
            <w:shd w:val="clear" w:color="auto" w:fill="C6D9F1" w:themeFill="text2" w:themeFillTint="33"/>
          </w:tcPr>
          <w:p w:rsidR="00683E85" w:rsidRPr="00BC10D9" w:rsidRDefault="00683E85" w:rsidP="00F13DE3">
            <w:pPr>
              <w:spacing w:line="240" w:lineRule="auto"/>
              <w:jc w:val="center"/>
              <w:rPr>
                <w:b/>
              </w:rPr>
            </w:pPr>
            <w:r w:rsidRPr="00BC10D9">
              <w:rPr>
                <w:b/>
              </w:rPr>
              <w:t>2010</w:t>
            </w:r>
          </w:p>
        </w:tc>
      </w:tr>
      <w:tr w:rsidR="00683E85" w:rsidTr="00BC10D9">
        <w:tc>
          <w:tcPr>
            <w:tcW w:w="2303" w:type="dxa"/>
          </w:tcPr>
          <w:p w:rsidR="00683E85" w:rsidRPr="00F13DE3" w:rsidRDefault="00683E85" w:rsidP="00F13DE3">
            <w:pPr>
              <w:spacing w:line="240" w:lineRule="auto"/>
            </w:pPr>
            <w:r w:rsidRPr="00F13DE3">
              <w:t>Privat</w:t>
            </w:r>
          </w:p>
        </w:tc>
        <w:tc>
          <w:tcPr>
            <w:tcW w:w="2303" w:type="dxa"/>
          </w:tcPr>
          <w:p w:rsidR="00683E85" w:rsidRPr="00F13DE3" w:rsidRDefault="003B29CB" w:rsidP="00F13DE3">
            <w:pPr>
              <w:spacing w:line="240" w:lineRule="auto"/>
              <w:jc w:val="right"/>
            </w:pPr>
            <w:r>
              <w:t>25 %</w:t>
            </w:r>
          </w:p>
        </w:tc>
        <w:tc>
          <w:tcPr>
            <w:tcW w:w="2303" w:type="dxa"/>
          </w:tcPr>
          <w:p w:rsidR="00683E85" w:rsidRPr="00F13DE3" w:rsidRDefault="00683E85" w:rsidP="00F13DE3">
            <w:pPr>
              <w:spacing w:line="240" w:lineRule="auto"/>
              <w:jc w:val="right"/>
            </w:pPr>
            <w:r w:rsidRPr="00F13DE3">
              <w:t>28 %</w:t>
            </w:r>
          </w:p>
        </w:tc>
        <w:tc>
          <w:tcPr>
            <w:tcW w:w="2303" w:type="dxa"/>
          </w:tcPr>
          <w:p w:rsidR="00683E85" w:rsidRPr="00F13DE3" w:rsidRDefault="00683E85" w:rsidP="00F13DE3">
            <w:pPr>
              <w:spacing w:line="240" w:lineRule="auto"/>
              <w:jc w:val="right"/>
            </w:pPr>
            <w:r w:rsidRPr="00F13DE3">
              <w:t>25 %</w:t>
            </w:r>
          </w:p>
        </w:tc>
      </w:tr>
      <w:tr w:rsidR="00683E85" w:rsidTr="00BC10D9">
        <w:tc>
          <w:tcPr>
            <w:tcW w:w="2303" w:type="dxa"/>
          </w:tcPr>
          <w:p w:rsidR="00683E85" w:rsidRPr="00F13DE3" w:rsidRDefault="00683E85" w:rsidP="00F13DE3">
            <w:pPr>
              <w:spacing w:line="240" w:lineRule="auto"/>
            </w:pPr>
            <w:r w:rsidRPr="00F13DE3">
              <w:t>Erhverv</w:t>
            </w:r>
          </w:p>
        </w:tc>
        <w:tc>
          <w:tcPr>
            <w:tcW w:w="2303" w:type="dxa"/>
          </w:tcPr>
          <w:p w:rsidR="00683E85" w:rsidRPr="00F13DE3" w:rsidRDefault="003B29CB" w:rsidP="00F13DE3">
            <w:pPr>
              <w:spacing w:line="240" w:lineRule="auto"/>
              <w:jc w:val="right"/>
            </w:pPr>
            <w:r>
              <w:t>75 %</w:t>
            </w:r>
          </w:p>
        </w:tc>
        <w:tc>
          <w:tcPr>
            <w:tcW w:w="2303" w:type="dxa"/>
          </w:tcPr>
          <w:p w:rsidR="00683E85" w:rsidRPr="00F13DE3" w:rsidRDefault="00683E85" w:rsidP="00F13DE3">
            <w:pPr>
              <w:spacing w:line="240" w:lineRule="auto"/>
              <w:jc w:val="right"/>
            </w:pPr>
            <w:r w:rsidRPr="00F13DE3">
              <w:t>72 %</w:t>
            </w:r>
          </w:p>
        </w:tc>
        <w:tc>
          <w:tcPr>
            <w:tcW w:w="2303" w:type="dxa"/>
          </w:tcPr>
          <w:p w:rsidR="00683E85" w:rsidRPr="00F13DE3" w:rsidRDefault="00683E85" w:rsidP="00F13DE3">
            <w:pPr>
              <w:spacing w:line="240" w:lineRule="auto"/>
              <w:jc w:val="right"/>
            </w:pPr>
            <w:r w:rsidRPr="00F13DE3">
              <w:t>75 %</w:t>
            </w:r>
          </w:p>
        </w:tc>
      </w:tr>
      <w:tr w:rsidR="006B1E90" w:rsidTr="00BC10D9">
        <w:tc>
          <w:tcPr>
            <w:tcW w:w="2303" w:type="dxa"/>
          </w:tcPr>
          <w:p w:rsidR="006B1E90" w:rsidRPr="00F13DE3" w:rsidRDefault="006B1E90" w:rsidP="00F13DE3">
            <w:pPr>
              <w:spacing w:line="240" w:lineRule="auto"/>
            </w:pPr>
            <w:r w:rsidRPr="00F13DE3">
              <w:t>Landbrug</w:t>
            </w:r>
          </w:p>
        </w:tc>
        <w:tc>
          <w:tcPr>
            <w:tcW w:w="2303" w:type="dxa"/>
          </w:tcPr>
          <w:p w:rsidR="006B1E90" w:rsidRPr="00F13DE3" w:rsidRDefault="003B29CB" w:rsidP="00F13DE3">
            <w:pPr>
              <w:spacing w:line="240" w:lineRule="auto"/>
              <w:jc w:val="right"/>
            </w:pPr>
            <w:r>
              <w:t>9 %</w:t>
            </w:r>
          </w:p>
        </w:tc>
        <w:tc>
          <w:tcPr>
            <w:tcW w:w="2303" w:type="dxa"/>
          </w:tcPr>
          <w:p w:rsidR="006B1E90" w:rsidRPr="00F13DE3" w:rsidRDefault="006B1E90" w:rsidP="00F13DE3">
            <w:pPr>
              <w:spacing w:line="240" w:lineRule="auto"/>
              <w:jc w:val="right"/>
            </w:pPr>
            <w:r w:rsidRPr="00F13DE3">
              <w:t>8 %</w:t>
            </w:r>
          </w:p>
        </w:tc>
        <w:tc>
          <w:tcPr>
            <w:tcW w:w="2303" w:type="dxa"/>
          </w:tcPr>
          <w:p w:rsidR="006B1E90" w:rsidRPr="00F13DE3" w:rsidRDefault="006B1E90" w:rsidP="00F13DE3">
            <w:pPr>
              <w:spacing w:line="240" w:lineRule="auto"/>
              <w:jc w:val="right"/>
            </w:pPr>
            <w:r w:rsidRPr="00F13DE3">
              <w:t>11 %</w:t>
            </w:r>
          </w:p>
        </w:tc>
      </w:tr>
      <w:tr w:rsidR="006B1E90" w:rsidTr="00BC10D9">
        <w:tc>
          <w:tcPr>
            <w:tcW w:w="2303" w:type="dxa"/>
          </w:tcPr>
          <w:p w:rsidR="006B1E90" w:rsidRPr="00F13DE3" w:rsidRDefault="006B1E90" w:rsidP="00F13DE3">
            <w:pPr>
              <w:spacing w:line="240" w:lineRule="auto"/>
            </w:pPr>
            <w:r w:rsidRPr="00F13DE3">
              <w:t>Ejendom</w:t>
            </w:r>
          </w:p>
        </w:tc>
        <w:tc>
          <w:tcPr>
            <w:tcW w:w="2303" w:type="dxa"/>
          </w:tcPr>
          <w:p w:rsidR="006B1E90" w:rsidRPr="00F13DE3" w:rsidRDefault="003B29CB" w:rsidP="00F13DE3">
            <w:pPr>
              <w:spacing w:line="240" w:lineRule="auto"/>
              <w:jc w:val="right"/>
            </w:pPr>
            <w:r>
              <w:t>21 %</w:t>
            </w:r>
          </w:p>
        </w:tc>
        <w:tc>
          <w:tcPr>
            <w:tcW w:w="2303" w:type="dxa"/>
          </w:tcPr>
          <w:p w:rsidR="006B1E90" w:rsidRPr="00F13DE3" w:rsidRDefault="006B1E90" w:rsidP="00F13DE3">
            <w:pPr>
              <w:spacing w:line="240" w:lineRule="auto"/>
              <w:jc w:val="right"/>
            </w:pPr>
            <w:r w:rsidRPr="00F13DE3">
              <w:t>19 %</w:t>
            </w:r>
          </w:p>
        </w:tc>
        <w:tc>
          <w:tcPr>
            <w:tcW w:w="2303" w:type="dxa"/>
          </w:tcPr>
          <w:p w:rsidR="006B1E90" w:rsidRPr="00F13DE3" w:rsidRDefault="006B1E90" w:rsidP="00F13DE3">
            <w:pPr>
              <w:spacing w:line="240" w:lineRule="auto"/>
              <w:jc w:val="right"/>
            </w:pPr>
            <w:r w:rsidRPr="00F13DE3">
              <w:t>15 %</w:t>
            </w:r>
          </w:p>
        </w:tc>
      </w:tr>
    </w:tbl>
    <w:p w:rsidR="0083753C" w:rsidRDefault="00FC49DE" w:rsidP="0083753C">
      <w:pPr>
        <w:rPr>
          <w:i/>
          <w:sz w:val="20"/>
        </w:rPr>
      </w:pPr>
      <w:r>
        <w:rPr>
          <w:sz w:val="20"/>
        </w:rPr>
        <w:t>Tabel 4</w:t>
      </w:r>
      <w:r w:rsidR="0083753C">
        <w:rPr>
          <w:sz w:val="20"/>
        </w:rPr>
        <w:t>: Udvalgte kundesegmenter, D</w:t>
      </w:r>
      <w:r>
        <w:rPr>
          <w:sz w:val="20"/>
        </w:rPr>
        <w:t xml:space="preserve">ronninglund </w:t>
      </w:r>
      <w:r w:rsidR="0083753C">
        <w:rPr>
          <w:sz w:val="20"/>
        </w:rPr>
        <w:t xml:space="preserve">Sparekasse. </w:t>
      </w:r>
      <w:r w:rsidR="0083753C">
        <w:rPr>
          <w:i/>
          <w:sz w:val="20"/>
        </w:rPr>
        <w:t>Kilde: Årsrapport 2012.</w:t>
      </w:r>
    </w:p>
    <w:p w:rsidR="0023603D" w:rsidRPr="0065305B" w:rsidRDefault="0023603D" w:rsidP="00E94F02">
      <w:pPr>
        <w:rPr>
          <w:sz w:val="20"/>
        </w:rPr>
      </w:pPr>
    </w:p>
    <w:p w:rsidR="00B84092" w:rsidRDefault="00B84092" w:rsidP="00B84092">
      <w:r>
        <w:t xml:space="preserve">Som det ses i ovenstående figur er fordelingen mellem privat og erhverv hos DS meget lig Den Jyske, hvorfor det også er gældende for DS, at den med fordel kunne forsøge at udvide dens privatsegment for en bedre fordeling. </w:t>
      </w:r>
    </w:p>
    <w:p w:rsidR="00B84092" w:rsidRDefault="00B84092" w:rsidP="00B84092"/>
    <w:p w:rsidR="00B84092" w:rsidRDefault="00B84092" w:rsidP="00B84092">
      <w:r>
        <w:lastRenderedPageBreak/>
        <w:t xml:space="preserve">Derudover ser det til gengæld ud til, at dens udlån til landbruget har en faldende tendens, hvilket alt andet lige er positivt ift. </w:t>
      </w:r>
      <w:proofErr w:type="gramStart"/>
      <w:r>
        <w:t>sektorens nedskrivninger og tab derpå.</w:t>
      </w:r>
      <w:proofErr w:type="gramEnd"/>
      <w:r>
        <w:t xml:space="preserve"> Et sted, den dog skal være opmærksom på, er ejendomssegment, der er steget fra 15 % i 2010 til 21 % i 2012, og specielt her har Finanstilsynet deres opmærksomhed, da Tilsynsdiamantens grænseværdi er på 25 %. </w:t>
      </w:r>
    </w:p>
    <w:p w:rsidR="001A7D70" w:rsidRDefault="001A7D70">
      <w:pPr>
        <w:spacing w:line="240" w:lineRule="auto"/>
        <w:jc w:val="left"/>
        <w:rPr>
          <w:rFonts w:ascii="Verdana" w:eastAsiaTheme="majorEastAsia" w:hAnsi="Verdana" w:cstheme="majorBidi"/>
          <w:b/>
          <w:bCs/>
          <w:sz w:val="20"/>
        </w:rPr>
      </w:pPr>
    </w:p>
    <w:p w:rsidR="00747EEF" w:rsidRDefault="00747EEF">
      <w:pPr>
        <w:spacing w:line="240" w:lineRule="auto"/>
        <w:jc w:val="left"/>
        <w:rPr>
          <w:rFonts w:ascii="Verdana" w:eastAsiaTheme="majorEastAsia" w:hAnsi="Verdana" w:cstheme="majorBidi"/>
          <w:b/>
          <w:bCs/>
          <w:sz w:val="20"/>
        </w:rPr>
      </w:pPr>
      <w:r>
        <w:br w:type="page"/>
      </w:r>
    </w:p>
    <w:p w:rsidR="0042581F" w:rsidRPr="0042581F" w:rsidRDefault="00290B9F" w:rsidP="0042581F">
      <w:pPr>
        <w:pStyle w:val="Overskrift3"/>
        <w:numPr>
          <w:ilvl w:val="2"/>
          <w:numId w:val="10"/>
        </w:numPr>
      </w:pPr>
      <w:bookmarkStart w:id="122" w:name="_Toc354517426"/>
      <w:r>
        <w:lastRenderedPageBreak/>
        <w:t>Kort o</w:t>
      </w:r>
      <w:r w:rsidR="006E21B4">
        <w:t>psummering</w:t>
      </w:r>
      <w:r w:rsidR="00FD7D27">
        <w:t xml:space="preserve"> og vigtigste udvalgte nøgletal fra 2012</w:t>
      </w:r>
      <w:bookmarkEnd w:id="122"/>
    </w:p>
    <w:tbl>
      <w:tblPr>
        <w:tblStyle w:val="Tabel-Gitter"/>
        <w:tblW w:w="9224" w:type="dxa"/>
        <w:tblLook w:val="04A0" w:firstRow="1" w:lastRow="0" w:firstColumn="1" w:lastColumn="0" w:noHBand="0" w:noVBand="1"/>
      </w:tblPr>
      <w:tblGrid>
        <w:gridCol w:w="2518"/>
        <w:gridCol w:w="3353"/>
        <w:gridCol w:w="3353"/>
      </w:tblGrid>
      <w:tr w:rsidR="0042581F" w:rsidTr="00BC10D9">
        <w:tc>
          <w:tcPr>
            <w:tcW w:w="9224" w:type="dxa"/>
            <w:gridSpan w:val="3"/>
            <w:shd w:val="clear" w:color="auto" w:fill="C6D9F1" w:themeFill="text2" w:themeFillTint="33"/>
          </w:tcPr>
          <w:p w:rsidR="0042581F" w:rsidRPr="00BC10D9" w:rsidRDefault="0042581F" w:rsidP="00F13DE3">
            <w:pPr>
              <w:jc w:val="center"/>
              <w:rPr>
                <w:b/>
              </w:rPr>
            </w:pPr>
            <w:r w:rsidRPr="00BC10D9">
              <w:rPr>
                <w:b/>
              </w:rPr>
              <w:t xml:space="preserve">Udvalgte nøgletal og </w:t>
            </w:r>
            <w:r w:rsidR="00487C10" w:rsidRPr="00BC10D9">
              <w:rPr>
                <w:b/>
              </w:rPr>
              <w:t>FAQ</w:t>
            </w:r>
            <w:r w:rsidRPr="00BC10D9">
              <w:rPr>
                <w:b/>
              </w:rPr>
              <w:t xml:space="preserve"> for</w:t>
            </w:r>
          </w:p>
          <w:p w:rsidR="0042581F" w:rsidRPr="00BC10D9" w:rsidRDefault="0042581F" w:rsidP="00F13DE3">
            <w:pPr>
              <w:jc w:val="center"/>
              <w:rPr>
                <w:b/>
              </w:rPr>
            </w:pPr>
            <w:r w:rsidRPr="00BC10D9">
              <w:rPr>
                <w:b/>
              </w:rPr>
              <w:t>Den Jyske Sparekasse og Dronninglund Sparekasse 2012</w:t>
            </w:r>
          </w:p>
        </w:tc>
      </w:tr>
      <w:tr w:rsidR="006E21B4" w:rsidTr="00BC10D9">
        <w:tc>
          <w:tcPr>
            <w:tcW w:w="2518" w:type="dxa"/>
            <w:shd w:val="clear" w:color="auto" w:fill="C6D9F1" w:themeFill="text2" w:themeFillTint="33"/>
          </w:tcPr>
          <w:p w:rsidR="006E21B4" w:rsidRPr="00BC10D9" w:rsidRDefault="006E21B4" w:rsidP="006E21B4">
            <w:pPr>
              <w:rPr>
                <w:b/>
              </w:rPr>
            </w:pPr>
          </w:p>
        </w:tc>
        <w:tc>
          <w:tcPr>
            <w:tcW w:w="3353" w:type="dxa"/>
            <w:shd w:val="clear" w:color="auto" w:fill="C6D9F1" w:themeFill="text2" w:themeFillTint="33"/>
          </w:tcPr>
          <w:p w:rsidR="006E21B4" w:rsidRPr="00BC10D9" w:rsidRDefault="006E21B4" w:rsidP="006E21B4">
            <w:pPr>
              <w:rPr>
                <w:b/>
              </w:rPr>
            </w:pPr>
            <w:r w:rsidRPr="00BC10D9">
              <w:rPr>
                <w:b/>
              </w:rPr>
              <w:t>Den Jyske Sparekasse</w:t>
            </w:r>
          </w:p>
        </w:tc>
        <w:tc>
          <w:tcPr>
            <w:tcW w:w="3353" w:type="dxa"/>
            <w:shd w:val="clear" w:color="auto" w:fill="C6D9F1" w:themeFill="text2" w:themeFillTint="33"/>
          </w:tcPr>
          <w:p w:rsidR="006E21B4" w:rsidRPr="00BC10D9" w:rsidRDefault="006E21B4" w:rsidP="006E21B4">
            <w:pPr>
              <w:rPr>
                <w:b/>
              </w:rPr>
            </w:pPr>
            <w:r w:rsidRPr="00BC10D9">
              <w:rPr>
                <w:b/>
              </w:rPr>
              <w:t>Dronninglund Sparekasse</w:t>
            </w:r>
          </w:p>
        </w:tc>
      </w:tr>
      <w:tr w:rsidR="006E21B4" w:rsidTr="00BC10D9">
        <w:tc>
          <w:tcPr>
            <w:tcW w:w="2518" w:type="dxa"/>
          </w:tcPr>
          <w:p w:rsidR="006E21B4" w:rsidRPr="00F13DE3" w:rsidRDefault="006E21B4" w:rsidP="005237A9">
            <w:pPr>
              <w:spacing w:line="240" w:lineRule="auto"/>
              <w:jc w:val="left"/>
            </w:pPr>
            <w:r w:rsidRPr="00F13DE3">
              <w:t>Geografi/filialnet</w:t>
            </w:r>
          </w:p>
        </w:tc>
        <w:tc>
          <w:tcPr>
            <w:tcW w:w="3353" w:type="dxa"/>
          </w:tcPr>
          <w:p w:rsidR="006E21B4" w:rsidRPr="00F13DE3" w:rsidRDefault="006E21B4" w:rsidP="005237A9">
            <w:pPr>
              <w:spacing w:line="240" w:lineRule="auto"/>
              <w:jc w:val="left"/>
            </w:pPr>
            <w:r w:rsidRPr="00F13DE3">
              <w:t xml:space="preserve">Filialnet </w:t>
            </w:r>
            <w:r w:rsidR="00EB48E4" w:rsidRPr="00F13DE3">
              <w:t>fra Aalborg til Tønder, i alt 39</w:t>
            </w:r>
            <w:r w:rsidRPr="00F13DE3">
              <w:t xml:space="preserve"> filialer.</w:t>
            </w:r>
          </w:p>
          <w:p w:rsidR="006E21B4" w:rsidRPr="00F13DE3" w:rsidRDefault="006E21B4" w:rsidP="005237A9">
            <w:pPr>
              <w:spacing w:line="240" w:lineRule="auto"/>
              <w:jc w:val="left"/>
            </w:pPr>
            <w:r w:rsidRPr="00F13DE3">
              <w:t>Hovedkontor: Grindsted</w:t>
            </w:r>
          </w:p>
        </w:tc>
        <w:tc>
          <w:tcPr>
            <w:tcW w:w="3353" w:type="dxa"/>
          </w:tcPr>
          <w:p w:rsidR="006E21B4" w:rsidRPr="00F13DE3" w:rsidRDefault="00F27360" w:rsidP="005237A9">
            <w:pPr>
              <w:spacing w:line="240" w:lineRule="auto"/>
              <w:jc w:val="left"/>
            </w:pPr>
            <w:r w:rsidRPr="00F13DE3">
              <w:t>Filialnet fra Frederikshavn til Aalborg – primært i Øst Vendsyssel.</w:t>
            </w:r>
            <w:r w:rsidR="005B557E" w:rsidRPr="00F13DE3">
              <w:t xml:space="preserve"> I alt 11 afdelinger.</w:t>
            </w:r>
          </w:p>
          <w:p w:rsidR="005B557E" w:rsidRPr="00F13DE3" w:rsidRDefault="005B557E" w:rsidP="005237A9">
            <w:pPr>
              <w:spacing w:line="240" w:lineRule="auto"/>
              <w:jc w:val="left"/>
            </w:pPr>
            <w:r w:rsidRPr="00F13DE3">
              <w:t>Hovedkontor: Dronninglund</w:t>
            </w:r>
          </w:p>
        </w:tc>
      </w:tr>
      <w:tr w:rsidR="006E21B4" w:rsidTr="00BC10D9">
        <w:tc>
          <w:tcPr>
            <w:tcW w:w="2518" w:type="dxa"/>
          </w:tcPr>
          <w:p w:rsidR="006E21B4" w:rsidRPr="00F13DE3" w:rsidRDefault="006E21B4" w:rsidP="005237A9">
            <w:pPr>
              <w:spacing w:line="240" w:lineRule="auto"/>
              <w:jc w:val="left"/>
            </w:pPr>
            <w:r w:rsidRPr="00F13DE3">
              <w:t>Ledelse/Bestyrelse</w:t>
            </w:r>
          </w:p>
        </w:tc>
        <w:tc>
          <w:tcPr>
            <w:tcW w:w="3353" w:type="dxa"/>
          </w:tcPr>
          <w:p w:rsidR="006E21B4" w:rsidRPr="00F13DE3" w:rsidRDefault="005237A9" w:rsidP="005237A9">
            <w:pPr>
              <w:spacing w:line="240" w:lineRule="auto"/>
              <w:jc w:val="left"/>
            </w:pPr>
            <w:r w:rsidRPr="00F13DE3">
              <w:t xml:space="preserve">2 direktører: Claus Petersen og Otto </w:t>
            </w:r>
            <w:proofErr w:type="spellStart"/>
            <w:r w:rsidRPr="00F13DE3">
              <w:t>Feierskov</w:t>
            </w:r>
            <w:proofErr w:type="spellEnd"/>
          </w:p>
          <w:p w:rsidR="005237A9" w:rsidRPr="00F13DE3" w:rsidRDefault="005237A9" w:rsidP="005237A9">
            <w:pPr>
              <w:spacing w:line="240" w:lineRule="auto"/>
              <w:jc w:val="left"/>
            </w:pPr>
            <w:r w:rsidRPr="00F13DE3">
              <w:t xml:space="preserve">Bestyrelse: 12 medlemmer, 1 </w:t>
            </w:r>
            <w:proofErr w:type="spellStart"/>
            <w:r w:rsidRPr="00F13DE3">
              <w:t>obsavatør</w:t>
            </w:r>
            <w:proofErr w:type="spellEnd"/>
          </w:p>
          <w:p w:rsidR="005237A9" w:rsidRPr="00F13DE3" w:rsidRDefault="005237A9" w:rsidP="005237A9">
            <w:pPr>
              <w:spacing w:line="240" w:lineRule="auto"/>
              <w:jc w:val="left"/>
            </w:pPr>
            <w:r w:rsidRPr="00F13DE3">
              <w:t>Repræsentantskab: 105 medlemmer.</w:t>
            </w:r>
          </w:p>
        </w:tc>
        <w:tc>
          <w:tcPr>
            <w:tcW w:w="3353" w:type="dxa"/>
          </w:tcPr>
          <w:p w:rsidR="006E21B4" w:rsidRPr="00F13DE3" w:rsidRDefault="005237A9" w:rsidP="005237A9">
            <w:pPr>
              <w:spacing w:line="240" w:lineRule="auto"/>
              <w:jc w:val="left"/>
            </w:pPr>
            <w:r w:rsidRPr="00F13DE3">
              <w:t xml:space="preserve">Pt. </w:t>
            </w:r>
            <w:r w:rsidR="00E94F02" w:rsidRPr="00F13DE3">
              <w:t>2 direktører: Birger Haaning og Villy Sørensen.</w:t>
            </w:r>
            <w:r w:rsidR="006D72AF">
              <w:t xml:space="preserve"> Birger Haaning stopper pr. 1.5.2013</w:t>
            </w:r>
          </w:p>
          <w:p w:rsidR="00E94F02" w:rsidRPr="00F13DE3" w:rsidRDefault="00EB48E4" w:rsidP="005237A9">
            <w:pPr>
              <w:spacing w:line="240" w:lineRule="auto"/>
              <w:jc w:val="left"/>
            </w:pPr>
            <w:r w:rsidRPr="00F13DE3">
              <w:t>Bestyrelse: 9 medlemmer</w:t>
            </w:r>
          </w:p>
          <w:p w:rsidR="00E94F02" w:rsidRPr="00F13DE3" w:rsidRDefault="006D72AF" w:rsidP="005237A9">
            <w:pPr>
              <w:spacing w:line="240" w:lineRule="auto"/>
              <w:jc w:val="left"/>
            </w:pPr>
            <w:r>
              <w:t>Repræsentantskab: 30 medlemmer</w:t>
            </w:r>
          </w:p>
        </w:tc>
      </w:tr>
      <w:tr w:rsidR="006E21B4" w:rsidTr="00BC10D9">
        <w:tc>
          <w:tcPr>
            <w:tcW w:w="2518" w:type="dxa"/>
          </w:tcPr>
          <w:p w:rsidR="006E21B4" w:rsidRPr="00F13DE3" w:rsidRDefault="00762614" w:rsidP="005237A9">
            <w:pPr>
              <w:spacing w:line="240" w:lineRule="auto"/>
              <w:jc w:val="left"/>
            </w:pPr>
            <w:r w:rsidRPr="00F13DE3">
              <w:t>Nedskrivningsprocent</w:t>
            </w:r>
          </w:p>
        </w:tc>
        <w:tc>
          <w:tcPr>
            <w:tcW w:w="3353" w:type="dxa"/>
          </w:tcPr>
          <w:p w:rsidR="006E21B4" w:rsidRPr="00F13DE3" w:rsidRDefault="00CE251F" w:rsidP="00590AA9">
            <w:pPr>
              <w:spacing w:line="240" w:lineRule="auto"/>
              <w:jc w:val="right"/>
            </w:pPr>
            <w:r w:rsidRPr="00F13DE3">
              <w:t>2,3 %</w:t>
            </w:r>
          </w:p>
        </w:tc>
        <w:tc>
          <w:tcPr>
            <w:tcW w:w="3353" w:type="dxa"/>
          </w:tcPr>
          <w:p w:rsidR="006E21B4" w:rsidRPr="00F13DE3" w:rsidRDefault="00D1744A" w:rsidP="00590AA9">
            <w:pPr>
              <w:spacing w:line="240" w:lineRule="auto"/>
              <w:jc w:val="right"/>
            </w:pPr>
            <w:r>
              <w:t>1,6 %</w:t>
            </w:r>
          </w:p>
        </w:tc>
      </w:tr>
      <w:tr w:rsidR="00FD7D27" w:rsidTr="00BC10D9">
        <w:tc>
          <w:tcPr>
            <w:tcW w:w="2518" w:type="dxa"/>
          </w:tcPr>
          <w:p w:rsidR="0042581F" w:rsidRPr="00F13DE3" w:rsidRDefault="0042581F" w:rsidP="005237A9">
            <w:pPr>
              <w:spacing w:line="240" w:lineRule="auto"/>
              <w:jc w:val="left"/>
            </w:pPr>
            <w:r w:rsidRPr="00F13DE3">
              <w:t xml:space="preserve">Udlån </w:t>
            </w:r>
            <w:proofErr w:type="spellStart"/>
            <w:r w:rsidRPr="00F13DE3">
              <w:t>tkr</w:t>
            </w:r>
            <w:proofErr w:type="spellEnd"/>
            <w:r w:rsidRPr="00F13DE3">
              <w:t>.</w:t>
            </w:r>
          </w:p>
        </w:tc>
        <w:tc>
          <w:tcPr>
            <w:tcW w:w="3353" w:type="dxa"/>
          </w:tcPr>
          <w:p w:rsidR="00FD7D27" w:rsidRPr="00F13DE3" w:rsidRDefault="00474D6A" w:rsidP="00590AA9">
            <w:pPr>
              <w:spacing w:line="240" w:lineRule="auto"/>
              <w:jc w:val="right"/>
            </w:pPr>
            <w:r w:rsidRPr="00F13DE3">
              <w:t>12.620</w:t>
            </w:r>
            <w:r w:rsidR="009B4712" w:rsidRPr="00F13DE3">
              <w:t>.</w:t>
            </w:r>
            <w:r w:rsidRPr="00F13DE3">
              <w:t>684</w:t>
            </w:r>
          </w:p>
        </w:tc>
        <w:tc>
          <w:tcPr>
            <w:tcW w:w="3353" w:type="dxa"/>
          </w:tcPr>
          <w:p w:rsidR="0042581F" w:rsidRPr="00F13DE3" w:rsidRDefault="00D1744A" w:rsidP="00590AA9">
            <w:pPr>
              <w:spacing w:line="240" w:lineRule="auto"/>
              <w:jc w:val="right"/>
            </w:pPr>
            <w:r>
              <w:t>1.851.607</w:t>
            </w:r>
          </w:p>
        </w:tc>
      </w:tr>
      <w:tr w:rsidR="0042581F" w:rsidTr="00BC10D9">
        <w:tc>
          <w:tcPr>
            <w:tcW w:w="2518" w:type="dxa"/>
          </w:tcPr>
          <w:p w:rsidR="0042581F" w:rsidRPr="00F13DE3" w:rsidRDefault="0042581F" w:rsidP="005237A9">
            <w:pPr>
              <w:spacing w:line="240" w:lineRule="auto"/>
              <w:jc w:val="left"/>
            </w:pPr>
            <w:r w:rsidRPr="00F13DE3">
              <w:t xml:space="preserve">Indlån </w:t>
            </w:r>
            <w:proofErr w:type="spellStart"/>
            <w:r w:rsidRPr="00F13DE3">
              <w:t>tkr</w:t>
            </w:r>
            <w:proofErr w:type="spellEnd"/>
            <w:r w:rsidRPr="00F13DE3">
              <w:t>.</w:t>
            </w:r>
          </w:p>
        </w:tc>
        <w:tc>
          <w:tcPr>
            <w:tcW w:w="3353" w:type="dxa"/>
          </w:tcPr>
          <w:p w:rsidR="0042581F" w:rsidRPr="00F13DE3" w:rsidRDefault="009B4712" w:rsidP="00590AA9">
            <w:pPr>
              <w:spacing w:line="240" w:lineRule="auto"/>
              <w:jc w:val="right"/>
            </w:pPr>
            <w:r w:rsidRPr="00F13DE3">
              <w:t>14.493.058</w:t>
            </w:r>
          </w:p>
        </w:tc>
        <w:tc>
          <w:tcPr>
            <w:tcW w:w="3353" w:type="dxa"/>
          </w:tcPr>
          <w:p w:rsidR="0042581F" w:rsidRPr="00F13DE3" w:rsidRDefault="00D1744A" w:rsidP="00590AA9">
            <w:pPr>
              <w:spacing w:line="240" w:lineRule="auto"/>
              <w:jc w:val="right"/>
            </w:pPr>
            <w:r>
              <w:t>2.116.473</w:t>
            </w:r>
          </w:p>
        </w:tc>
      </w:tr>
      <w:tr w:rsidR="0042581F" w:rsidTr="00BC10D9">
        <w:tc>
          <w:tcPr>
            <w:tcW w:w="2518" w:type="dxa"/>
          </w:tcPr>
          <w:p w:rsidR="0042581F" w:rsidRPr="00F13DE3" w:rsidRDefault="0042581F" w:rsidP="005237A9">
            <w:pPr>
              <w:spacing w:line="240" w:lineRule="auto"/>
              <w:jc w:val="left"/>
            </w:pPr>
            <w:r w:rsidRPr="00F13DE3">
              <w:t xml:space="preserve">Egenkapital </w:t>
            </w:r>
            <w:proofErr w:type="spellStart"/>
            <w:r w:rsidRPr="00F13DE3">
              <w:t>tkr</w:t>
            </w:r>
            <w:proofErr w:type="spellEnd"/>
            <w:r w:rsidRPr="00F13DE3">
              <w:t>.</w:t>
            </w:r>
          </w:p>
        </w:tc>
        <w:tc>
          <w:tcPr>
            <w:tcW w:w="3353" w:type="dxa"/>
          </w:tcPr>
          <w:p w:rsidR="0042581F" w:rsidRPr="00F13DE3" w:rsidRDefault="00EB48E4" w:rsidP="00590AA9">
            <w:pPr>
              <w:spacing w:line="240" w:lineRule="auto"/>
              <w:jc w:val="right"/>
            </w:pPr>
            <w:r w:rsidRPr="00F13DE3">
              <w:t>1.912.737</w:t>
            </w:r>
          </w:p>
        </w:tc>
        <w:tc>
          <w:tcPr>
            <w:tcW w:w="3353" w:type="dxa"/>
          </w:tcPr>
          <w:p w:rsidR="0042581F" w:rsidRPr="00F13DE3" w:rsidRDefault="00D1744A" w:rsidP="00590AA9">
            <w:pPr>
              <w:spacing w:line="240" w:lineRule="auto"/>
              <w:jc w:val="right"/>
            </w:pPr>
            <w:r>
              <w:t>370.404</w:t>
            </w:r>
          </w:p>
        </w:tc>
      </w:tr>
      <w:tr w:rsidR="0042581F" w:rsidTr="00BC10D9">
        <w:tc>
          <w:tcPr>
            <w:tcW w:w="2518" w:type="dxa"/>
          </w:tcPr>
          <w:p w:rsidR="0042581F" w:rsidRPr="00F13DE3" w:rsidRDefault="0042581F" w:rsidP="005237A9">
            <w:pPr>
              <w:spacing w:line="240" w:lineRule="auto"/>
              <w:jc w:val="left"/>
            </w:pPr>
            <w:r w:rsidRPr="00F13DE3">
              <w:t>Privat/erhverv</w:t>
            </w:r>
          </w:p>
        </w:tc>
        <w:tc>
          <w:tcPr>
            <w:tcW w:w="3353" w:type="dxa"/>
          </w:tcPr>
          <w:p w:rsidR="0042581F" w:rsidRPr="00F13DE3" w:rsidRDefault="009B4712" w:rsidP="00590AA9">
            <w:pPr>
              <w:spacing w:line="240" w:lineRule="auto"/>
              <w:jc w:val="right"/>
            </w:pPr>
            <w:r w:rsidRPr="00F13DE3">
              <w:t>30/70</w:t>
            </w:r>
          </w:p>
        </w:tc>
        <w:tc>
          <w:tcPr>
            <w:tcW w:w="3353" w:type="dxa"/>
          </w:tcPr>
          <w:p w:rsidR="0042581F" w:rsidRPr="00F13DE3" w:rsidRDefault="009D0FB0" w:rsidP="00590AA9">
            <w:pPr>
              <w:spacing w:line="240" w:lineRule="auto"/>
              <w:jc w:val="right"/>
            </w:pPr>
            <w:r>
              <w:t>25/75</w:t>
            </w:r>
          </w:p>
        </w:tc>
      </w:tr>
      <w:tr w:rsidR="00DA2364" w:rsidTr="00BC10D9">
        <w:tc>
          <w:tcPr>
            <w:tcW w:w="2518" w:type="dxa"/>
          </w:tcPr>
          <w:p w:rsidR="00DA2364" w:rsidRPr="00F13DE3" w:rsidRDefault="00DA2364" w:rsidP="00DA2364">
            <w:pPr>
              <w:spacing w:line="240" w:lineRule="auto"/>
              <w:jc w:val="left"/>
            </w:pPr>
            <w:r w:rsidRPr="00F13DE3">
              <w:t>Antal kunder</w:t>
            </w:r>
          </w:p>
        </w:tc>
        <w:tc>
          <w:tcPr>
            <w:tcW w:w="3353" w:type="dxa"/>
          </w:tcPr>
          <w:p w:rsidR="00DA2364" w:rsidRPr="00F13DE3" w:rsidRDefault="00CE251F" w:rsidP="00590AA9">
            <w:pPr>
              <w:spacing w:line="240" w:lineRule="auto"/>
              <w:jc w:val="right"/>
            </w:pPr>
            <w:r w:rsidRPr="00F13DE3">
              <w:t>Ca. 108.000 stk.</w:t>
            </w:r>
          </w:p>
        </w:tc>
        <w:tc>
          <w:tcPr>
            <w:tcW w:w="3353" w:type="dxa"/>
          </w:tcPr>
          <w:p w:rsidR="00DA2364" w:rsidRPr="00F13DE3" w:rsidRDefault="00721815" w:rsidP="00590AA9">
            <w:pPr>
              <w:spacing w:line="240" w:lineRule="auto"/>
              <w:jc w:val="right"/>
            </w:pPr>
            <w:r>
              <w:t>Ikke oplyst</w:t>
            </w:r>
          </w:p>
        </w:tc>
      </w:tr>
      <w:tr w:rsidR="00DA2364" w:rsidTr="00BC10D9">
        <w:tc>
          <w:tcPr>
            <w:tcW w:w="2518" w:type="dxa"/>
          </w:tcPr>
          <w:p w:rsidR="00DA2364" w:rsidRPr="00F13DE3" w:rsidRDefault="00DA2364" w:rsidP="00DA2364">
            <w:pPr>
              <w:spacing w:line="240" w:lineRule="auto"/>
              <w:jc w:val="left"/>
            </w:pPr>
            <w:r w:rsidRPr="00F13DE3">
              <w:t>Antal garanter</w:t>
            </w:r>
          </w:p>
        </w:tc>
        <w:tc>
          <w:tcPr>
            <w:tcW w:w="3353" w:type="dxa"/>
          </w:tcPr>
          <w:p w:rsidR="00DA2364" w:rsidRPr="00F13DE3" w:rsidRDefault="00DA2364" w:rsidP="00590AA9">
            <w:pPr>
              <w:spacing w:line="240" w:lineRule="auto"/>
              <w:jc w:val="right"/>
            </w:pPr>
            <w:r w:rsidRPr="00F13DE3">
              <w:t xml:space="preserve">Pr. </w:t>
            </w:r>
            <w:proofErr w:type="gramStart"/>
            <w:r w:rsidRPr="00F13DE3">
              <w:t>1/10-2012</w:t>
            </w:r>
            <w:proofErr w:type="gramEnd"/>
            <w:r w:rsidRPr="00F13DE3">
              <w:t>: 25.251 stk.</w:t>
            </w:r>
          </w:p>
        </w:tc>
        <w:tc>
          <w:tcPr>
            <w:tcW w:w="3353" w:type="dxa"/>
          </w:tcPr>
          <w:p w:rsidR="00DA2364" w:rsidRPr="00F13DE3" w:rsidRDefault="00E6297B" w:rsidP="00590AA9">
            <w:pPr>
              <w:spacing w:line="240" w:lineRule="auto"/>
              <w:jc w:val="right"/>
            </w:pPr>
            <w:r w:rsidRPr="00F13DE3">
              <w:t xml:space="preserve">Pr. </w:t>
            </w:r>
            <w:proofErr w:type="gramStart"/>
            <w:r w:rsidRPr="00F13DE3">
              <w:t>31/10-2010</w:t>
            </w:r>
            <w:proofErr w:type="gramEnd"/>
            <w:r w:rsidRPr="00F13DE3">
              <w:t xml:space="preserve">: 6.672 </w:t>
            </w:r>
            <w:proofErr w:type="spellStart"/>
            <w:r w:rsidRPr="00F13DE3">
              <w:t>stk</w:t>
            </w:r>
            <w:proofErr w:type="spellEnd"/>
          </w:p>
        </w:tc>
      </w:tr>
      <w:tr w:rsidR="00DA2364" w:rsidTr="00BC10D9">
        <w:tc>
          <w:tcPr>
            <w:tcW w:w="2518" w:type="dxa"/>
          </w:tcPr>
          <w:p w:rsidR="00DA2364" w:rsidRPr="00F13DE3" w:rsidRDefault="00DA2364" w:rsidP="00DA2364">
            <w:pPr>
              <w:spacing w:line="240" w:lineRule="auto"/>
              <w:jc w:val="left"/>
            </w:pPr>
            <w:r w:rsidRPr="00F13DE3">
              <w:t>Samlet garantkapital</w:t>
            </w:r>
          </w:p>
        </w:tc>
        <w:tc>
          <w:tcPr>
            <w:tcW w:w="3353" w:type="dxa"/>
          </w:tcPr>
          <w:p w:rsidR="00DA2364" w:rsidRPr="00F13DE3" w:rsidRDefault="00CE251F" w:rsidP="00590AA9">
            <w:pPr>
              <w:spacing w:line="240" w:lineRule="auto"/>
              <w:jc w:val="right"/>
            </w:pPr>
            <w:r w:rsidRPr="00F13DE3">
              <w:t xml:space="preserve">Ca. </w:t>
            </w:r>
            <w:proofErr w:type="spellStart"/>
            <w:r w:rsidR="00487C10" w:rsidRPr="00F13DE3">
              <w:t>tkr</w:t>
            </w:r>
            <w:proofErr w:type="spellEnd"/>
            <w:r w:rsidR="00487C10" w:rsidRPr="00F13DE3">
              <w:t xml:space="preserve">. </w:t>
            </w:r>
            <w:r w:rsidRPr="00F13DE3">
              <w:t>874</w:t>
            </w:r>
            <w:r w:rsidR="00487C10" w:rsidRPr="00F13DE3">
              <w:t>.</w:t>
            </w:r>
            <w:r w:rsidRPr="00F13DE3">
              <w:t>100</w:t>
            </w:r>
          </w:p>
        </w:tc>
        <w:tc>
          <w:tcPr>
            <w:tcW w:w="3353" w:type="dxa"/>
          </w:tcPr>
          <w:p w:rsidR="00DA2364" w:rsidRPr="00F13DE3" w:rsidRDefault="00E6297B" w:rsidP="00590AA9">
            <w:pPr>
              <w:spacing w:line="240" w:lineRule="auto"/>
              <w:jc w:val="right"/>
            </w:pPr>
            <w:r w:rsidRPr="00F13DE3">
              <w:t xml:space="preserve">Pr. </w:t>
            </w:r>
            <w:proofErr w:type="gramStart"/>
            <w:r w:rsidRPr="00F13DE3">
              <w:t>31/10-2010</w:t>
            </w:r>
            <w:proofErr w:type="gramEnd"/>
            <w:r w:rsidRPr="00F13DE3">
              <w:t xml:space="preserve">: </w:t>
            </w:r>
            <w:proofErr w:type="spellStart"/>
            <w:r w:rsidRPr="00F13DE3">
              <w:t>tkr</w:t>
            </w:r>
            <w:proofErr w:type="spellEnd"/>
            <w:r w:rsidRPr="00F13DE3">
              <w:t>. 206.831</w:t>
            </w:r>
          </w:p>
        </w:tc>
      </w:tr>
      <w:tr w:rsidR="00DA2364" w:rsidTr="00BC10D9">
        <w:tc>
          <w:tcPr>
            <w:tcW w:w="2518" w:type="dxa"/>
          </w:tcPr>
          <w:p w:rsidR="00DA2364" w:rsidRPr="00F13DE3" w:rsidRDefault="00DA2364" w:rsidP="005237A9">
            <w:pPr>
              <w:spacing w:line="240" w:lineRule="auto"/>
              <w:jc w:val="left"/>
            </w:pPr>
            <w:r w:rsidRPr="00F13DE3">
              <w:t>Antal medarbejdere</w:t>
            </w:r>
          </w:p>
        </w:tc>
        <w:tc>
          <w:tcPr>
            <w:tcW w:w="3353" w:type="dxa"/>
          </w:tcPr>
          <w:p w:rsidR="00DA2364" w:rsidRPr="00F13DE3" w:rsidRDefault="00EB48E4" w:rsidP="00BC10D9">
            <w:pPr>
              <w:spacing w:line="240" w:lineRule="auto"/>
              <w:jc w:val="right"/>
            </w:pPr>
            <w:r w:rsidRPr="00F13DE3">
              <w:t>Omregnet til fuldtidsansatte: 413 stk.</w:t>
            </w:r>
          </w:p>
        </w:tc>
        <w:tc>
          <w:tcPr>
            <w:tcW w:w="3353" w:type="dxa"/>
          </w:tcPr>
          <w:p w:rsidR="00BC10D9" w:rsidRDefault="00D1744A" w:rsidP="00BC10D9">
            <w:pPr>
              <w:spacing w:line="240" w:lineRule="auto"/>
              <w:jc w:val="right"/>
            </w:pPr>
            <w:r w:rsidRPr="00F13DE3">
              <w:t>Omregnet til fuldtidsansatte</w:t>
            </w:r>
            <w:r w:rsidR="00BC10D9">
              <w:t xml:space="preserve">: </w:t>
            </w:r>
          </w:p>
          <w:p w:rsidR="00DA2364" w:rsidRPr="00F13DE3" w:rsidRDefault="00BC10D9" w:rsidP="00BC10D9">
            <w:pPr>
              <w:spacing w:line="240" w:lineRule="auto"/>
              <w:jc w:val="right"/>
            </w:pPr>
            <w:r>
              <w:t>92</w:t>
            </w:r>
            <w:r w:rsidR="00D1744A">
              <w:t xml:space="preserve"> stk</w:t>
            </w:r>
            <w:r w:rsidR="00000BA9">
              <w:t>.</w:t>
            </w:r>
          </w:p>
        </w:tc>
      </w:tr>
      <w:tr w:rsidR="00B33407" w:rsidTr="00BC10D9">
        <w:tc>
          <w:tcPr>
            <w:tcW w:w="2518" w:type="dxa"/>
          </w:tcPr>
          <w:p w:rsidR="00B33407" w:rsidRPr="00F13DE3" w:rsidRDefault="00B33407" w:rsidP="005237A9">
            <w:pPr>
              <w:spacing w:line="240" w:lineRule="auto"/>
              <w:jc w:val="left"/>
            </w:pPr>
            <w:r w:rsidRPr="00F13DE3">
              <w:t xml:space="preserve">Årets resultat </w:t>
            </w:r>
            <w:proofErr w:type="spellStart"/>
            <w:r w:rsidRPr="00F13DE3">
              <w:t>tkr</w:t>
            </w:r>
            <w:proofErr w:type="spellEnd"/>
            <w:r w:rsidRPr="00F13DE3">
              <w:t xml:space="preserve">. </w:t>
            </w:r>
          </w:p>
        </w:tc>
        <w:tc>
          <w:tcPr>
            <w:tcW w:w="3353" w:type="dxa"/>
          </w:tcPr>
          <w:p w:rsidR="00B33407" w:rsidRPr="00F13DE3" w:rsidRDefault="00CE251F" w:rsidP="00590AA9">
            <w:pPr>
              <w:spacing w:line="240" w:lineRule="auto"/>
              <w:jc w:val="right"/>
            </w:pPr>
            <w:r w:rsidRPr="00F13DE3">
              <w:t>76.830</w:t>
            </w:r>
          </w:p>
        </w:tc>
        <w:tc>
          <w:tcPr>
            <w:tcW w:w="3353" w:type="dxa"/>
          </w:tcPr>
          <w:p w:rsidR="00B33407" w:rsidRPr="00F13DE3" w:rsidRDefault="00D1744A" w:rsidP="00590AA9">
            <w:pPr>
              <w:spacing w:line="240" w:lineRule="auto"/>
              <w:jc w:val="right"/>
            </w:pPr>
            <w:r>
              <w:t>10.115</w:t>
            </w:r>
          </w:p>
        </w:tc>
      </w:tr>
      <w:tr w:rsidR="00C318E7" w:rsidTr="00BC10D9">
        <w:tc>
          <w:tcPr>
            <w:tcW w:w="2518" w:type="dxa"/>
          </w:tcPr>
          <w:p w:rsidR="00C318E7" w:rsidRPr="00F13DE3" w:rsidRDefault="00C318E7" w:rsidP="005237A9">
            <w:pPr>
              <w:spacing w:line="240" w:lineRule="auto"/>
              <w:jc w:val="left"/>
            </w:pPr>
            <w:r w:rsidRPr="00F13DE3">
              <w:t xml:space="preserve">Indtjening pr. </w:t>
            </w:r>
            <w:proofErr w:type="spellStart"/>
            <w:r w:rsidRPr="00F13DE3">
              <w:t>medarb</w:t>
            </w:r>
            <w:proofErr w:type="spellEnd"/>
            <w:r w:rsidRPr="00F13DE3">
              <w:t>.</w:t>
            </w:r>
            <w:r w:rsidR="00B33407" w:rsidRPr="00F13DE3">
              <w:t xml:space="preserve"> </w:t>
            </w:r>
            <w:proofErr w:type="spellStart"/>
            <w:r w:rsidR="00E6297B" w:rsidRPr="00F13DE3">
              <w:t>t</w:t>
            </w:r>
            <w:r w:rsidR="00B33407" w:rsidRPr="00F13DE3">
              <w:t>kr</w:t>
            </w:r>
            <w:proofErr w:type="spellEnd"/>
            <w:r w:rsidR="00B33407" w:rsidRPr="00F13DE3">
              <w:t>.</w:t>
            </w:r>
          </w:p>
        </w:tc>
        <w:tc>
          <w:tcPr>
            <w:tcW w:w="3353" w:type="dxa"/>
            <w:vAlign w:val="bottom"/>
          </w:tcPr>
          <w:p w:rsidR="00C318E7" w:rsidRPr="00F13DE3" w:rsidRDefault="00EB48E4" w:rsidP="00BC10D9">
            <w:pPr>
              <w:spacing w:line="240" w:lineRule="auto"/>
              <w:jc w:val="right"/>
            </w:pPr>
            <w:r w:rsidRPr="00F13DE3">
              <w:t>186</w:t>
            </w:r>
          </w:p>
        </w:tc>
        <w:tc>
          <w:tcPr>
            <w:tcW w:w="3353" w:type="dxa"/>
            <w:vAlign w:val="bottom"/>
          </w:tcPr>
          <w:p w:rsidR="00C318E7" w:rsidRPr="00F13DE3" w:rsidRDefault="00D1744A" w:rsidP="00BC10D9">
            <w:pPr>
              <w:spacing w:line="240" w:lineRule="auto"/>
              <w:jc w:val="right"/>
            </w:pPr>
            <w:r>
              <w:t>110</w:t>
            </w:r>
          </w:p>
        </w:tc>
      </w:tr>
    </w:tbl>
    <w:p w:rsidR="006E21B4" w:rsidRDefault="00287435" w:rsidP="00287435">
      <w:pPr>
        <w:spacing w:line="240" w:lineRule="auto"/>
        <w:rPr>
          <w:i/>
          <w:sz w:val="20"/>
        </w:rPr>
      </w:pPr>
      <w:r>
        <w:rPr>
          <w:sz w:val="20"/>
        </w:rPr>
        <w:t xml:space="preserve">Tabel 5: Udvalgte nøgletal og FAQ for begge pengeinstitutter. </w:t>
      </w:r>
      <w:r>
        <w:rPr>
          <w:i/>
          <w:sz w:val="20"/>
        </w:rPr>
        <w:t xml:space="preserve">Kilde: Årsrapporter 2012, samt </w:t>
      </w:r>
      <w:hyperlink r:id="rId24" w:history="1">
        <w:r w:rsidRPr="00287435">
          <w:rPr>
            <w:rStyle w:val="Hyperlink"/>
            <w:i/>
            <w:color w:val="auto"/>
            <w:sz w:val="20"/>
            <w:u w:val="none"/>
          </w:rPr>
          <w:t>www.denjyskesparekasse.dk</w:t>
        </w:r>
      </w:hyperlink>
      <w:r>
        <w:rPr>
          <w:i/>
          <w:sz w:val="20"/>
        </w:rPr>
        <w:t xml:space="preserve"> og </w:t>
      </w:r>
      <w:hyperlink r:id="rId25" w:history="1">
        <w:r w:rsidR="00B84092" w:rsidRPr="00B84092">
          <w:rPr>
            <w:rStyle w:val="Hyperlink"/>
            <w:i/>
            <w:color w:val="auto"/>
            <w:sz w:val="20"/>
            <w:u w:val="none"/>
          </w:rPr>
          <w:t>www.dronspar.dk</w:t>
        </w:r>
      </w:hyperlink>
      <w:r w:rsidRPr="00B84092">
        <w:rPr>
          <w:i/>
          <w:sz w:val="20"/>
        </w:rPr>
        <w:t>.</w:t>
      </w:r>
    </w:p>
    <w:p w:rsidR="00BC10D9" w:rsidRPr="00B84092" w:rsidRDefault="00BC10D9" w:rsidP="00287435">
      <w:pPr>
        <w:spacing w:line="240" w:lineRule="auto"/>
        <w:rPr>
          <w:i/>
          <w:sz w:val="20"/>
        </w:rPr>
      </w:pPr>
    </w:p>
    <w:p w:rsidR="00B84092" w:rsidRPr="00287435" w:rsidRDefault="00B84092" w:rsidP="00287435">
      <w:pPr>
        <w:spacing w:line="240" w:lineRule="auto"/>
        <w:rPr>
          <w:i/>
          <w:sz w:val="20"/>
        </w:rPr>
      </w:pPr>
    </w:p>
    <w:p w:rsidR="00B84092" w:rsidRDefault="00B84092" w:rsidP="00B84092">
      <w:r>
        <w:t>Ud fra ovenstående fremgår det, at Den Jyske er et væsentlig større pengeinstitut end DS og har flere filialer på et</w:t>
      </w:r>
      <w:r w:rsidR="00353142">
        <w:t xml:space="preserve"> langt større geografisk område. Begge pengeinstitutter ønsker </w:t>
      </w:r>
      <w:r>
        <w:t>at øge deres markedsandele regionalt og i de byer, de allerede er i.</w:t>
      </w:r>
      <w:r w:rsidR="00353142">
        <w:t xml:space="preserve"> Ingen af dem har konkrete ønsker at fusionere, men Den Jyske er ikke afvisende. De ønsker at udvide såfremt, deres økonomi er dertil.</w:t>
      </w:r>
    </w:p>
    <w:p w:rsidR="00B84092" w:rsidRDefault="00B84092" w:rsidP="00B84092"/>
    <w:p w:rsidR="00B84092" w:rsidRDefault="00B84092" w:rsidP="00B84092">
      <w:r>
        <w:t xml:space="preserve">Den Jyskes udlån er knap syv gange så stort som DS, mens det samme er gældende for indlånet. Den Jyskes egenkapital er ca. 5 gange større end DS. </w:t>
      </w:r>
    </w:p>
    <w:p w:rsidR="00B84092" w:rsidRDefault="00B84092" w:rsidP="00B84092"/>
    <w:p w:rsidR="00B84092" w:rsidRDefault="00B84092" w:rsidP="00B84092">
      <w:r>
        <w:t xml:space="preserve">Deres kerneværdier er nogenlunde ens, da begge pengeinstitutter gerne vil engagere sig i lokalsamfundet og menneskene omkring dem. De ønsker en tæt relation til kunderne, samt have personlig kontakt, hvor kunden skal have sin egen personlige rådgiver. </w:t>
      </w:r>
    </w:p>
    <w:p w:rsidR="00B84092" w:rsidRPr="006E21B4" w:rsidRDefault="00B84092" w:rsidP="00B84092">
      <w:r>
        <w:lastRenderedPageBreak/>
        <w:t xml:space="preserve">Det ses, at Den Jyske alt andet lige har tjent mere pr. medarbejder i 2012, hvilket </w:t>
      </w:r>
      <w:r w:rsidR="00353142">
        <w:t>indikerer</w:t>
      </w:r>
      <w:r>
        <w:t xml:space="preserve">, at de er mere effektive. Dette skal også ses i lyset af, at der tilkommer flere og flere administrative opgaver uanset pengeinstituttets størrelse. Derfor vil de mindre pengeinstitutter som udgangspunkt altid have svært ved at få et højt indtjening pr. medarbejder, da de som udgangspunkt skal løse de samme administrative opgaver som de store pengeinstitutter. </w:t>
      </w:r>
    </w:p>
    <w:p w:rsidR="00B84092" w:rsidRDefault="00B84092" w:rsidP="00B84092">
      <w:pPr>
        <w:spacing w:line="240" w:lineRule="auto"/>
        <w:jc w:val="left"/>
      </w:pPr>
    </w:p>
    <w:p w:rsidR="00B84092" w:rsidRDefault="00B84092" w:rsidP="00B84092">
      <w:r>
        <w:t>Begge pengeinstitutter har i 2012 formået at skabe et positiv resultat.</w:t>
      </w:r>
    </w:p>
    <w:p w:rsidR="00BC10D9" w:rsidRDefault="00BC10D9" w:rsidP="00B84092"/>
    <w:p w:rsidR="009C46A8" w:rsidRDefault="00707E85" w:rsidP="009C46A8">
      <w:pPr>
        <w:pStyle w:val="Overskrift2"/>
        <w:numPr>
          <w:ilvl w:val="1"/>
          <w:numId w:val="10"/>
        </w:numPr>
      </w:pPr>
      <w:bookmarkStart w:id="123" w:name="_Toc354517427"/>
      <w:r>
        <w:t>Rentabilitet af pengeinstitutterne</w:t>
      </w:r>
      <w:bookmarkEnd w:id="123"/>
    </w:p>
    <w:p w:rsidR="003017E4" w:rsidRDefault="00B84092" w:rsidP="00B84092">
      <w:r>
        <w:t>I nedenstående afsnit vil de økonomiske nøgletal, som er gennemgået i teoriafsnittet, blive gennemgået og beregnet for begge pengeinstitutter. Ud fra disse nøgletal vil jeg skabe overblik over, hvorledes de begge har performet de seneste fem år jf. tal angivet i Årsrapporter</w:t>
      </w:r>
      <w:r w:rsidR="00353142">
        <w:t>ne</w:t>
      </w:r>
      <w:r>
        <w:t>.</w:t>
      </w:r>
    </w:p>
    <w:p w:rsidR="00B84092" w:rsidRDefault="00B84092" w:rsidP="00B84092">
      <w:pPr>
        <w:pStyle w:val="Overskrift3"/>
        <w:numPr>
          <w:ilvl w:val="2"/>
          <w:numId w:val="10"/>
        </w:numPr>
      </w:pPr>
      <w:bookmarkStart w:id="124" w:name="_Toc353437609"/>
      <w:bookmarkStart w:id="125" w:name="_Toc354517428"/>
      <w:r>
        <w:t>Solvens</w:t>
      </w:r>
      <w:bookmarkEnd w:id="124"/>
      <w:bookmarkEnd w:id="125"/>
    </w:p>
    <w:p w:rsidR="00B84092" w:rsidRDefault="00B84092" w:rsidP="00B84092">
      <w:r>
        <w:t xml:space="preserve">Tendensen hos de fleste pengeinstitutter er, at der ønskes en høj solvens. En høj solvens er ofte lig med et robust og solidt pengeinstitut. En høj solvens kan også betyde, at ”pengene ikke kommer ud og arbejder”, men at pengeinstituttet blot konsoliderer sig og gemmer pengene til dårlige tider. De formår ikke at tjene penge på bundlinjen på nyt udlån i den sidste ende.  </w:t>
      </w:r>
    </w:p>
    <w:p w:rsidR="00B84092" w:rsidRDefault="00B84092" w:rsidP="00B84092">
      <w:r>
        <w:t xml:space="preserve">Isoleret set giver det også god mening at have en høj solvens, men dette kan ikke stå alene, når det kommer til en vurdering af, om det er et solidt pengeinstitut eller ej. </w:t>
      </w:r>
    </w:p>
    <w:p w:rsidR="007B0516" w:rsidRDefault="007B0516" w:rsidP="00E84896"/>
    <w:p w:rsidR="00E84896" w:rsidRPr="005626AB" w:rsidRDefault="007B0516" w:rsidP="00E84896">
      <w:r>
        <w:t xml:space="preserve">I nedenstående </w:t>
      </w:r>
      <w:r w:rsidR="00257E1F">
        <w:t xml:space="preserve">tabel ses </w:t>
      </w:r>
      <w:r>
        <w:t>solvensen i Den Jyske</w:t>
      </w:r>
      <w:r w:rsidR="00B84092">
        <w:t xml:space="preserve">. </w:t>
      </w:r>
    </w:p>
    <w:tbl>
      <w:tblPr>
        <w:tblW w:w="9020" w:type="dxa"/>
        <w:tblInd w:w="51" w:type="dxa"/>
        <w:tblCellMar>
          <w:left w:w="70" w:type="dxa"/>
          <w:right w:w="70" w:type="dxa"/>
        </w:tblCellMar>
        <w:tblLook w:val="04A0" w:firstRow="1" w:lastRow="0" w:firstColumn="1" w:lastColumn="0" w:noHBand="0" w:noVBand="1"/>
      </w:tblPr>
      <w:tblGrid>
        <w:gridCol w:w="2460"/>
        <w:gridCol w:w="1360"/>
        <w:gridCol w:w="1220"/>
        <w:gridCol w:w="1340"/>
        <w:gridCol w:w="1340"/>
        <w:gridCol w:w="1340"/>
      </w:tblGrid>
      <w:tr w:rsidR="00E84896" w:rsidRPr="00E84896" w:rsidTr="00F13DE3">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left"/>
              <w:rPr>
                <w:b/>
                <w:bCs/>
              </w:rPr>
            </w:pPr>
            <w:r w:rsidRPr="00E84896">
              <w:rPr>
                <w:b/>
                <w:bCs/>
              </w:rPr>
              <w:t>Den Jyske Sparekasse</w:t>
            </w:r>
          </w:p>
        </w:tc>
        <w:tc>
          <w:tcPr>
            <w:tcW w:w="13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center"/>
              <w:rPr>
                <w:b/>
                <w:bCs/>
              </w:rPr>
            </w:pPr>
            <w:r w:rsidRPr="00E84896">
              <w:rPr>
                <w:b/>
                <w:bCs/>
              </w:rPr>
              <w:t>2012</w:t>
            </w:r>
          </w:p>
        </w:tc>
        <w:tc>
          <w:tcPr>
            <w:tcW w:w="11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center"/>
              <w:rPr>
                <w:b/>
                <w:bCs/>
              </w:rPr>
            </w:pPr>
            <w:r w:rsidRPr="00E84896">
              <w:rPr>
                <w:b/>
                <w:bCs/>
              </w:rPr>
              <w:t>2011</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center"/>
              <w:rPr>
                <w:b/>
                <w:bCs/>
              </w:rPr>
            </w:pPr>
            <w:r w:rsidRPr="00E84896">
              <w:rPr>
                <w:b/>
                <w:bCs/>
              </w:rPr>
              <w:t>2010</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center"/>
              <w:rPr>
                <w:b/>
                <w:bCs/>
              </w:rPr>
            </w:pPr>
            <w:r w:rsidRPr="00E84896">
              <w:rPr>
                <w:b/>
                <w:bCs/>
              </w:rPr>
              <w:t>2009</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84896" w:rsidRPr="00E84896" w:rsidRDefault="00E84896" w:rsidP="00E84896">
            <w:pPr>
              <w:spacing w:line="240" w:lineRule="auto"/>
              <w:jc w:val="center"/>
              <w:rPr>
                <w:b/>
                <w:bCs/>
              </w:rPr>
            </w:pPr>
            <w:r w:rsidRPr="00E84896">
              <w:rPr>
                <w:b/>
                <w:bCs/>
              </w:rPr>
              <w:t>2008</w:t>
            </w:r>
          </w:p>
        </w:tc>
      </w:tr>
      <w:tr w:rsidR="00E84896" w:rsidRPr="00E84896" w:rsidTr="00BC10D9">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84896" w:rsidRPr="00BC10D9" w:rsidRDefault="00E84896" w:rsidP="00E84896">
            <w:pPr>
              <w:spacing w:line="240" w:lineRule="auto"/>
              <w:jc w:val="left"/>
              <w:rPr>
                <w:bCs/>
                <w:color w:val="000000"/>
              </w:rPr>
            </w:pPr>
            <w:r w:rsidRPr="00BC10D9">
              <w:rPr>
                <w:bCs/>
                <w:color w:val="000000"/>
              </w:rPr>
              <w:t>Basiskapital</w:t>
            </w:r>
          </w:p>
        </w:tc>
        <w:tc>
          <w:tcPr>
            <w:tcW w:w="136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2.265.233</w:t>
            </w:r>
          </w:p>
        </w:tc>
        <w:tc>
          <w:tcPr>
            <w:tcW w:w="118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1.782.714</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1.999.858</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1.898.037</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1.579.238</w:t>
            </w:r>
          </w:p>
        </w:tc>
      </w:tr>
      <w:tr w:rsidR="00E84896" w:rsidRPr="00E84896" w:rsidTr="00BC10D9">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84896" w:rsidRPr="00BC10D9" w:rsidRDefault="00E84896" w:rsidP="00E84896">
            <w:pPr>
              <w:spacing w:line="240" w:lineRule="auto"/>
              <w:jc w:val="left"/>
              <w:rPr>
                <w:bCs/>
                <w:color w:val="000000"/>
              </w:rPr>
            </w:pPr>
            <w:r w:rsidRPr="00BC10D9">
              <w:rPr>
                <w:bCs/>
                <w:color w:val="000000"/>
              </w:rPr>
              <w:t>Risikovægtede poster</w:t>
            </w:r>
          </w:p>
        </w:tc>
        <w:tc>
          <w:tcPr>
            <w:tcW w:w="136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16.585.378</w:t>
            </w:r>
          </w:p>
        </w:tc>
        <w:tc>
          <w:tcPr>
            <w:tcW w:w="118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11.932.431</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12.300.157</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11.439.172</w:t>
            </w:r>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11.422.775</w:t>
            </w:r>
          </w:p>
        </w:tc>
      </w:tr>
      <w:tr w:rsidR="00E84896" w:rsidRPr="00E84896" w:rsidTr="00BC10D9">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left"/>
              <w:rPr>
                <w:b/>
                <w:bCs/>
                <w:color w:val="000000"/>
              </w:rPr>
            </w:pPr>
            <w:r w:rsidRPr="00E84896">
              <w:rPr>
                <w:b/>
                <w:bCs/>
                <w:color w:val="000000"/>
              </w:rPr>
              <w:t>Solvens</w:t>
            </w:r>
          </w:p>
        </w:tc>
        <w:tc>
          <w:tcPr>
            <w:tcW w:w="136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13,</w:t>
            </w:r>
            <w:proofErr w:type="gramStart"/>
            <w:r w:rsidRPr="00E84896">
              <w:rPr>
                <w:color w:val="000000"/>
              </w:rPr>
              <w:t>66%</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14,</w:t>
            </w:r>
            <w:proofErr w:type="gramStart"/>
            <w:r w:rsidRPr="00E84896">
              <w:rPr>
                <w:color w:val="000000"/>
              </w:rPr>
              <w:t>94%</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16,</w:t>
            </w:r>
            <w:proofErr w:type="gramStart"/>
            <w:r w:rsidRPr="00E84896">
              <w:rPr>
                <w:color w:val="000000"/>
              </w:rPr>
              <w:t>26%</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16,</w:t>
            </w:r>
            <w:proofErr w:type="gramStart"/>
            <w:r w:rsidRPr="00E84896">
              <w:rPr>
                <w:color w:val="000000"/>
              </w:rPr>
              <w:t>59%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E84896" w:rsidRPr="00E84896" w:rsidRDefault="00E84896" w:rsidP="00E84896">
            <w:pPr>
              <w:spacing w:line="240" w:lineRule="auto"/>
              <w:jc w:val="right"/>
              <w:rPr>
                <w:color w:val="000000"/>
              </w:rPr>
            </w:pPr>
            <w:r w:rsidRPr="00E84896">
              <w:rPr>
                <w:color w:val="000000"/>
              </w:rPr>
              <w:t>13,</w:t>
            </w:r>
            <w:proofErr w:type="gramStart"/>
            <w:r w:rsidRPr="00E84896">
              <w:rPr>
                <w:color w:val="000000"/>
              </w:rPr>
              <w:t>83%</w:t>
            </w:r>
            <w:proofErr w:type="gramEnd"/>
          </w:p>
        </w:tc>
      </w:tr>
    </w:tbl>
    <w:p w:rsidR="007B0516" w:rsidRDefault="003222E9" w:rsidP="003017E4">
      <w:pPr>
        <w:rPr>
          <w:i/>
          <w:sz w:val="20"/>
        </w:rPr>
      </w:pPr>
      <w:r>
        <w:rPr>
          <w:sz w:val="20"/>
        </w:rPr>
        <w:t xml:space="preserve">Tabel </w:t>
      </w:r>
      <w:r w:rsidR="009259C7">
        <w:rPr>
          <w:sz w:val="20"/>
        </w:rPr>
        <w:t xml:space="preserve">6: Solvens for Den Jyske Sparekasse. </w:t>
      </w:r>
      <w:r w:rsidR="009259C7">
        <w:rPr>
          <w:i/>
          <w:sz w:val="20"/>
        </w:rPr>
        <w:t>Kilde: Årsrapporter 2008 – 2012</w:t>
      </w:r>
      <w:r w:rsidR="001625BC">
        <w:rPr>
          <w:i/>
          <w:sz w:val="20"/>
        </w:rPr>
        <w:t>, samt egne udregninger bilag A</w:t>
      </w:r>
      <w:r w:rsidR="009259C7">
        <w:rPr>
          <w:i/>
          <w:sz w:val="20"/>
        </w:rPr>
        <w:t>.</w:t>
      </w:r>
    </w:p>
    <w:p w:rsidR="009259C7" w:rsidRPr="009259C7" w:rsidRDefault="009259C7" w:rsidP="003017E4">
      <w:pPr>
        <w:rPr>
          <w:i/>
          <w:sz w:val="20"/>
        </w:rPr>
      </w:pPr>
    </w:p>
    <w:p w:rsidR="00B84092" w:rsidRDefault="00B84092" w:rsidP="00B84092">
      <w:r>
        <w:t xml:space="preserve">Det ses i ovenstående tabel, at Den Jyske er over de lovbestemte 8 % i hele perioden. Den Jyske har i 2012 en solvens på 13,66 %, hvilket er samme niveau som i 2008 men et fald på knap 9 % ift. 2011. Det ses, at basiskapitalen og de risikovægtede poster specielt er steget fra 2011 til 2012 og må alt andet lige skyldes fusioner/sammenlægninger af tre pengeinstitutter til </w:t>
      </w:r>
      <w:r>
        <w:lastRenderedPageBreak/>
        <w:t>Den Jyske i 2012. Dog har det generelt været en stigende tendens for både basiskapitalen og de risikovægtede poster i hele perioden.</w:t>
      </w:r>
    </w:p>
    <w:p w:rsidR="00B84092" w:rsidRDefault="00B84092" w:rsidP="00B84092"/>
    <w:p w:rsidR="00B84092" w:rsidRDefault="00B84092" w:rsidP="00B84092">
      <w:r>
        <w:t xml:space="preserve">Landbrugssegmentet i Den Jyske udgør i 2012 21 % og må siges at være en stor del af det samlede udlån i erhvervssegmentet. Netop dette segment har de seneste år haft det svært, hvor specielt nedskrivninger og tab har præget segmentet. I værste fald kan det frygtes, at der er stor risiko for, at der vil komme yderligere nedskrivninger og tab, som kan betyde, at solvensen bliver dårligere, og/eller at Den Jyske i fremtiden skal tage højde for at må påregnes en højere individuel solvens.  </w:t>
      </w:r>
    </w:p>
    <w:p w:rsidR="00B84092" w:rsidRDefault="00B84092" w:rsidP="00B84092"/>
    <w:p w:rsidR="00B84092" w:rsidRDefault="00B84092" w:rsidP="00B84092">
      <w:r>
        <w:t xml:space="preserve">Selvom Den Jyske ligger et godt stykke over det lovmæssige krav, afhænger solvenskravet også af, hvilken risikovillighed Den Jyske har. Som tidligere nævnt er det bestyrelsen, der sammen med direktionen, typisk afgør dette. </w:t>
      </w:r>
    </w:p>
    <w:p w:rsidR="00B84092" w:rsidRDefault="00B84092" w:rsidP="00B84092"/>
    <w:p w:rsidR="00B84092" w:rsidRDefault="00B84092" w:rsidP="00B84092">
      <w:r>
        <w:t xml:space="preserve">Den Jyskes individuelle solvenskrav ligger på 10,6 %, og har derved en buffer på 3 %. Jf. deres Årsrapport ønsker den ikke for høj en solvens, da den gerne vil have pengene ud og arbejde, og vil f.eks. gerne bruge penge til opkøb og/eller fusioner.  </w:t>
      </w:r>
    </w:p>
    <w:p w:rsidR="00861628" w:rsidRDefault="00861628" w:rsidP="003017E4"/>
    <w:p w:rsidR="00E84896" w:rsidRDefault="00C8197E" w:rsidP="00E84896">
      <w:r>
        <w:t>I nedenstående tabel ses sol</w:t>
      </w:r>
      <w:r w:rsidR="00B84092">
        <w:t xml:space="preserve">vensen for DS. </w:t>
      </w:r>
    </w:p>
    <w:tbl>
      <w:tblPr>
        <w:tblW w:w="9014" w:type="dxa"/>
        <w:tblInd w:w="51" w:type="dxa"/>
        <w:tblCellMar>
          <w:left w:w="70" w:type="dxa"/>
          <w:right w:w="70" w:type="dxa"/>
        </w:tblCellMar>
        <w:tblLook w:val="04A0" w:firstRow="1" w:lastRow="0" w:firstColumn="1" w:lastColumn="0" w:noHBand="0" w:noVBand="1"/>
      </w:tblPr>
      <w:tblGrid>
        <w:gridCol w:w="2854"/>
        <w:gridCol w:w="1276"/>
        <w:gridCol w:w="1134"/>
        <w:gridCol w:w="1134"/>
        <w:gridCol w:w="1276"/>
        <w:gridCol w:w="1340"/>
      </w:tblGrid>
      <w:tr w:rsidR="00861628" w:rsidRPr="00E84896" w:rsidTr="00BC10D9">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61628" w:rsidRPr="00E84896" w:rsidRDefault="00861628" w:rsidP="00861628">
            <w:pPr>
              <w:spacing w:line="240" w:lineRule="auto"/>
              <w:jc w:val="left"/>
              <w:rPr>
                <w:b/>
                <w:bCs/>
              </w:rPr>
            </w:pPr>
            <w:r w:rsidRPr="00E84896">
              <w:rPr>
                <w:b/>
                <w:bCs/>
              </w:rPr>
              <w:t>D</w:t>
            </w:r>
            <w:r>
              <w:rPr>
                <w:b/>
                <w:bCs/>
              </w:rPr>
              <w:t xml:space="preserve">ronninglund </w:t>
            </w:r>
            <w:r w:rsidRPr="00E84896">
              <w:rPr>
                <w:b/>
                <w:bCs/>
              </w:rPr>
              <w:t>Sparekasse</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61628" w:rsidRPr="00E84896" w:rsidRDefault="00861628" w:rsidP="00D27C7E">
            <w:pPr>
              <w:spacing w:line="240" w:lineRule="auto"/>
              <w:jc w:val="center"/>
              <w:rPr>
                <w:b/>
                <w:bCs/>
              </w:rPr>
            </w:pPr>
            <w:r w:rsidRPr="00E84896">
              <w:rPr>
                <w:b/>
                <w:bCs/>
              </w:rPr>
              <w:t>2012</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61628" w:rsidRPr="00E84896" w:rsidRDefault="00861628" w:rsidP="00D27C7E">
            <w:pPr>
              <w:spacing w:line="240" w:lineRule="auto"/>
              <w:jc w:val="center"/>
              <w:rPr>
                <w:b/>
                <w:bCs/>
              </w:rPr>
            </w:pPr>
            <w:r w:rsidRPr="00E84896">
              <w:rPr>
                <w:b/>
                <w:bCs/>
              </w:rPr>
              <w:t>2011</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61628" w:rsidRPr="00E84896" w:rsidRDefault="00861628" w:rsidP="00D27C7E">
            <w:pPr>
              <w:spacing w:line="240" w:lineRule="auto"/>
              <w:jc w:val="center"/>
              <w:rPr>
                <w:b/>
                <w:bCs/>
              </w:rPr>
            </w:pPr>
            <w:r w:rsidRPr="00E84896">
              <w:rPr>
                <w:b/>
                <w:bCs/>
              </w:rPr>
              <w:t>2010</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61628" w:rsidRPr="00E84896" w:rsidRDefault="00861628" w:rsidP="00D27C7E">
            <w:pPr>
              <w:spacing w:line="240" w:lineRule="auto"/>
              <w:jc w:val="center"/>
              <w:rPr>
                <w:b/>
                <w:bCs/>
              </w:rPr>
            </w:pPr>
            <w:r w:rsidRPr="00E84896">
              <w:rPr>
                <w:b/>
                <w:bCs/>
              </w:rPr>
              <w:t>2009</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61628" w:rsidRPr="00E84896" w:rsidRDefault="00861628" w:rsidP="00D27C7E">
            <w:pPr>
              <w:spacing w:line="240" w:lineRule="auto"/>
              <w:jc w:val="center"/>
              <w:rPr>
                <w:b/>
                <w:bCs/>
              </w:rPr>
            </w:pPr>
            <w:r w:rsidRPr="00E84896">
              <w:rPr>
                <w:b/>
                <w:bCs/>
              </w:rPr>
              <w:t>2008</w:t>
            </w:r>
          </w:p>
        </w:tc>
      </w:tr>
      <w:tr w:rsidR="00861628" w:rsidRPr="00861628" w:rsidTr="00BC10D9">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left"/>
              <w:rPr>
                <w:bCs/>
              </w:rPr>
            </w:pPr>
            <w:r w:rsidRPr="00861628">
              <w:rPr>
                <w:bCs/>
              </w:rPr>
              <w:t>Basiskapital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431.190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473.548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477.261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517.801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508.963</w:t>
            </w:r>
          </w:p>
        </w:tc>
      </w:tr>
      <w:tr w:rsidR="00861628" w:rsidRPr="00861628" w:rsidTr="00BC10D9">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left"/>
              <w:rPr>
                <w:bCs/>
              </w:rPr>
            </w:pPr>
            <w:r w:rsidRPr="00861628">
              <w:rPr>
                <w:bCs/>
              </w:rPr>
              <w:t>Risikovægtede poster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2.363.855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2.497.118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2.537.334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2.621.413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2.510.608</w:t>
            </w:r>
          </w:p>
        </w:tc>
      </w:tr>
      <w:tr w:rsidR="00861628" w:rsidRPr="00861628" w:rsidTr="00BC10D9">
        <w:trPr>
          <w:trHeight w:val="315"/>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628" w:rsidRPr="00BC10D9" w:rsidRDefault="00861628" w:rsidP="00861628">
            <w:pPr>
              <w:spacing w:line="240" w:lineRule="auto"/>
              <w:jc w:val="left"/>
              <w:rPr>
                <w:b/>
                <w:bCs/>
              </w:rPr>
            </w:pPr>
            <w:r w:rsidRPr="00BC10D9">
              <w:rPr>
                <w:b/>
                <w:bCs/>
              </w:rPr>
              <w:t>Solvens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18,</w:t>
            </w:r>
            <w:proofErr w:type="gramStart"/>
            <w:r w:rsidRPr="00861628">
              <w:rPr>
                <w:bCs/>
              </w:rPr>
              <w:t>24%</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18,</w:t>
            </w:r>
            <w:proofErr w:type="gramStart"/>
            <w:r w:rsidRPr="00861628">
              <w:rPr>
                <w:bCs/>
              </w:rPr>
              <w:t>96%</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18,</w:t>
            </w:r>
            <w:proofErr w:type="gramStart"/>
            <w:r w:rsidRPr="00861628">
              <w:rPr>
                <w:bCs/>
              </w:rPr>
              <w:t>81%</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19,</w:t>
            </w:r>
            <w:proofErr w:type="gramStart"/>
            <w:r w:rsidRPr="00861628">
              <w:rPr>
                <w:bCs/>
              </w:rPr>
              <w:t>75%</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1628" w:rsidRPr="00861628" w:rsidRDefault="00861628" w:rsidP="00861628">
            <w:pPr>
              <w:spacing w:line="240" w:lineRule="auto"/>
              <w:jc w:val="center"/>
              <w:rPr>
                <w:bCs/>
              </w:rPr>
            </w:pPr>
            <w:r w:rsidRPr="00861628">
              <w:rPr>
                <w:bCs/>
              </w:rPr>
              <w:t>20,</w:t>
            </w:r>
            <w:proofErr w:type="gramStart"/>
            <w:r w:rsidRPr="00861628">
              <w:rPr>
                <w:bCs/>
              </w:rPr>
              <w:t>27%</w:t>
            </w:r>
            <w:proofErr w:type="gramEnd"/>
          </w:p>
        </w:tc>
      </w:tr>
    </w:tbl>
    <w:p w:rsidR="009259C7" w:rsidRDefault="009259C7" w:rsidP="009259C7">
      <w:pPr>
        <w:rPr>
          <w:i/>
          <w:sz w:val="20"/>
        </w:rPr>
      </w:pPr>
      <w:r>
        <w:rPr>
          <w:sz w:val="20"/>
        </w:rPr>
        <w:t xml:space="preserve">Tabel 7: Solvens for Dronninglund Sparekasse. </w:t>
      </w:r>
      <w:r>
        <w:rPr>
          <w:i/>
          <w:sz w:val="20"/>
        </w:rPr>
        <w:t>Kilde: Årsrapporter 2008 – 2012</w:t>
      </w:r>
      <w:r w:rsidR="001625BC">
        <w:rPr>
          <w:i/>
          <w:sz w:val="20"/>
        </w:rPr>
        <w:t>, samt egne udregninger bilag A</w:t>
      </w:r>
      <w:r>
        <w:rPr>
          <w:i/>
          <w:sz w:val="20"/>
        </w:rPr>
        <w:t>.</w:t>
      </w:r>
    </w:p>
    <w:p w:rsidR="009259C7" w:rsidRDefault="009259C7" w:rsidP="00E84896"/>
    <w:p w:rsidR="00861628" w:rsidRDefault="00861628" w:rsidP="00E84896">
      <w:r>
        <w:t>Det ses, solvensen i DS har været faldende fra 2008 til 2012</w:t>
      </w:r>
      <w:r w:rsidR="008E42DF">
        <w:t>. I 2012 er solvensen</w:t>
      </w:r>
      <w:r>
        <w:t xml:space="preserve"> på 18,24 %</w:t>
      </w:r>
      <w:r w:rsidR="00CD0C91">
        <w:t>, svarende til et fald på 10 %</w:t>
      </w:r>
      <w:r w:rsidR="008E42DF">
        <w:t xml:space="preserve"> fra 2008</w:t>
      </w:r>
      <w:r w:rsidR="00CD0C91">
        <w:t>. A</w:t>
      </w:r>
      <w:r w:rsidR="005F6E84">
        <w:t>lt andet lige</w:t>
      </w:r>
      <w:r w:rsidR="00CD0C91">
        <w:t xml:space="preserve"> ligger solvensen</w:t>
      </w:r>
      <w:r>
        <w:t xml:space="preserve"> noget højere end lovkravet på pt. 8 %. Jf. Årsrapport fra 2012 er deres individuelle solvensbehov opgjort til 9,3 %, hvorfor det kan konkluderes, at hvis man udelukkende ser på solvensen er tegn på, at der er tale om et pengeinstitut, som har en del at stå i mod med i dårlige tider. </w:t>
      </w:r>
    </w:p>
    <w:p w:rsidR="00B82227" w:rsidRDefault="00DD5102" w:rsidP="00E84896">
      <w:r>
        <w:t>Årsagen til at solvensen er faldet skyldes</w:t>
      </w:r>
      <w:r w:rsidR="00B755D3">
        <w:t>,</w:t>
      </w:r>
      <w:r>
        <w:t xml:space="preserve"> at basiskapitalen er faldet mere end de risikovægtede poster, som begge </w:t>
      </w:r>
      <w:r w:rsidR="008E42DF">
        <w:t xml:space="preserve">har haft en faldende tendens </w:t>
      </w:r>
      <w:r>
        <w:t>fra 2008 til 2012.</w:t>
      </w:r>
    </w:p>
    <w:p w:rsidR="00E40029" w:rsidRDefault="00E40029" w:rsidP="00E84896"/>
    <w:p w:rsidR="00E40029" w:rsidRDefault="00E40029" w:rsidP="00E84896">
      <w:r>
        <w:lastRenderedPageBreak/>
        <w:t>Det individuelle solvensbehov i 2012 er opgjort til 9,3 %. DS ligger derved et godt stykke over.</w:t>
      </w:r>
    </w:p>
    <w:p w:rsidR="00B82227" w:rsidRDefault="00B82227" w:rsidP="00E84896"/>
    <w:p w:rsidR="008E42DF" w:rsidRDefault="00B82227" w:rsidP="00E84896">
      <w:r>
        <w:t>DS kan med fordel i fremtiden holde ekstra øje med deres ejendomssegment</w:t>
      </w:r>
      <w:r w:rsidR="009610A9">
        <w:t>. I 20</w:t>
      </w:r>
      <w:r w:rsidR="00D27C7E">
        <w:t>10 udgør udlånet 15 %, mens den i 2012 er steget til 21 %.</w:t>
      </w:r>
      <w:r>
        <w:t xml:space="preserve"> Netop dette segment indgår i Tilsynsdiamanten, </w:t>
      </w:r>
      <w:r w:rsidR="008E42DF">
        <w:t>og der er derfor stor fokus derpå</w:t>
      </w:r>
      <w:r w:rsidR="009610A9">
        <w:t xml:space="preserve">. </w:t>
      </w:r>
    </w:p>
    <w:p w:rsidR="00CD0C91" w:rsidRDefault="00D27C7E" w:rsidP="00E84896">
      <w:r>
        <w:t xml:space="preserve">På den lidt mere positive front ses det, </w:t>
      </w:r>
      <w:r w:rsidR="009610A9">
        <w:t>at landbrugssegment er faldet til 9 % i 2012 mod 11 % i 2010</w:t>
      </w:r>
      <w:r>
        <w:t>.</w:t>
      </w:r>
      <w:r w:rsidR="00B82227">
        <w:t xml:space="preserve"> </w:t>
      </w:r>
      <w:r w:rsidR="00DD5102">
        <w:t xml:space="preserve"> </w:t>
      </w:r>
    </w:p>
    <w:p w:rsidR="003902E0" w:rsidRDefault="009C46A8" w:rsidP="003902E0">
      <w:pPr>
        <w:pStyle w:val="Overskrift3"/>
        <w:numPr>
          <w:ilvl w:val="2"/>
          <w:numId w:val="10"/>
        </w:numPr>
      </w:pPr>
      <w:bookmarkStart w:id="126" w:name="_Toc354517429"/>
      <w:r>
        <w:t>Tilsynsdiamanten</w:t>
      </w:r>
      <w:bookmarkEnd w:id="126"/>
    </w:p>
    <w:p w:rsidR="003902E0" w:rsidRDefault="00AB1B1F" w:rsidP="003902E0">
      <w:r>
        <w:t xml:space="preserve">Fra d. </w:t>
      </w:r>
      <w:proofErr w:type="gramStart"/>
      <w:r>
        <w:t>1/1-2013</w:t>
      </w:r>
      <w:proofErr w:type="gramEnd"/>
      <w:r>
        <w:t xml:space="preserve"> skal alle danske pengeinstitutter overholde grænseværdier, som er angivet af Finanstilsynet i Tilsynsdiamanten. Hvis disse</w:t>
      </w:r>
      <w:r w:rsidR="00B755D3">
        <w:t xml:space="preserve"> grænseværdier ikke overholdes</w:t>
      </w:r>
      <w:r>
        <w:t xml:space="preserve"> påbegynder Finanstilsynet dialog med </w:t>
      </w:r>
      <w:r w:rsidR="00B755D3">
        <w:t>penge</w:t>
      </w:r>
      <w:r>
        <w:t xml:space="preserve">instituttet og evt. påbegyndelse af tilsynsstigen. Tilsynsstigen indeholder påbud, redegørelse og/eller undersøgelser og </w:t>
      </w:r>
      <w:proofErr w:type="spellStart"/>
      <w:r w:rsidR="00353142">
        <w:t>til</w:t>
      </w:r>
      <w:r>
        <w:t>sidst</w:t>
      </w:r>
      <w:proofErr w:type="spellEnd"/>
      <w:r>
        <w:t xml:space="preserve"> skærpet overvågning og overvågning af risikooplysninger</w:t>
      </w:r>
      <w:r>
        <w:rPr>
          <w:rStyle w:val="Fodnotehenvisning"/>
        </w:rPr>
        <w:footnoteReference w:id="18"/>
      </w:r>
      <w:r>
        <w:t>. Netop derfor er det vigtigt, at pengeinstituttet overholder disse.</w:t>
      </w:r>
    </w:p>
    <w:p w:rsidR="009A1873" w:rsidRDefault="009A1873" w:rsidP="003902E0"/>
    <w:p w:rsidR="00AB1B1F" w:rsidRDefault="00AB1B1F" w:rsidP="003902E0">
      <w:r>
        <w:t>I nedenstående vil begge Sparekassers grænseværdier i Tilsynsdiamanten blive gennemgået og kommenteret. Tallene i tabellen er taget fra Årsrapporter 2011 og 2012 for begge pengeinstitutter</w:t>
      </w:r>
      <w:r w:rsidR="00BF260A">
        <w:t>:</w:t>
      </w:r>
    </w:p>
    <w:tbl>
      <w:tblPr>
        <w:tblStyle w:val="Tabel-Gitter"/>
        <w:tblW w:w="9180" w:type="dxa"/>
        <w:tblLayout w:type="fixed"/>
        <w:tblLook w:val="04A0" w:firstRow="1" w:lastRow="0" w:firstColumn="1" w:lastColumn="0" w:noHBand="0" w:noVBand="1"/>
      </w:tblPr>
      <w:tblGrid>
        <w:gridCol w:w="2943"/>
        <w:gridCol w:w="1701"/>
        <w:gridCol w:w="1472"/>
        <w:gridCol w:w="1647"/>
        <w:gridCol w:w="1417"/>
      </w:tblGrid>
      <w:tr w:rsidR="002D08E1" w:rsidRPr="002D08E1" w:rsidTr="00BC10D9">
        <w:tc>
          <w:tcPr>
            <w:tcW w:w="2943" w:type="dxa"/>
            <w:shd w:val="clear" w:color="auto" w:fill="C6D9F1" w:themeFill="text2" w:themeFillTint="33"/>
          </w:tcPr>
          <w:p w:rsidR="00BF260A" w:rsidRPr="00BC10D9" w:rsidRDefault="00BF260A" w:rsidP="004940C0">
            <w:pPr>
              <w:spacing w:line="240" w:lineRule="auto"/>
              <w:jc w:val="left"/>
              <w:rPr>
                <w:b/>
              </w:rPr>
            </w:pPr>
            <w:r w:rsidRPr="00BC10D9">
              <w:rPr>
                <w:b/>
              </w:rPr>
              <w:t>Grænseværdier – Tilsynsdiamant</w:t>
            </w:r>
          </w:p>
        </w:tc>
        <w:tc>
          <w:tcPr>
            <w:tcW w:w="3173" w:type="dxa"/>
            <w:gridSpan w:val="2"/>
            <w:shd w:val="clear" w:color="auto" w:fill="C6D9F1" w:themeFill="text2" w:themeFillTint="33"/>
          </w:tcPr>
          <w:p w:rsidR="002D08E1" w:rsidRPr="00BC10D9" w:rsidRDefault="002D08E1" w:rsidP="002D08E1">
            <w:pPr>
              <w:spacing w:line="240" w:lineRule="auto"/>
              <w:jc w:val="center"/>
              <w:rPr>
                <w:b/>
              </w:rPr>
            </w:pPr>
            <w:r w:rsidRPr="00BC10D9">
              <w:rPr>
                <w:b/>
              </w:rPr>
              <w:t>Den Jyske Sparekasse</w:t>
            </w:r>
          </w:p>
        </w:tc>
        <w:tc>
          <w:tcPr>
            <w:tcW w:w="3064" w:type="dxa"/>
            <w:gridSpan w:val="2"/>
            <w:shd w:val="clear" w:color="auto" w:fill="C6D9F1" w:themeFill="text2" w:themeFillTint="33"/>
          </w:tcPr>
          <w:p w:rsidR="002D08E1" w:rsidRPr="00BC10D9" w:rsidRDefault="002D08E1" w:rsidP="002D08E1">
            <w:pPr>
              <w:spacing w:line="240" w:lineRule="auto"/>
              <w:jc w:val="center"/>
              <w:rPr>
                <w:b/>
              </w:rPr>
            </w:pPr>
            <w:r w:rsidRPr="00BC10D9">
              <w:rPr>
                <w:b/>
              </w:rPr>
              <w:t>Dronninglund Sparekasse</w:t>
            </w:r>
          </w:p>
        </w:tc>
      </w:tr>
      <w:tr w:rsidR="002D08E1" w:rsidRPr="002D08E1" w:rsidTr="00BC10D9">
        <w:tc>
          <w:tcPr>
            <w:tcW w:w="2943" w:type="dxa"/>
            <w:shd w:val="clear" w:color="auto" w:fill="C6D9F1" w:themeFill="text2" w:themeFillTint="33"/>
          </w:tcPr>
          <w:p w:rsidR="00AB1B1F" w:rsidRPr="00BC10D9" w:rsidRDefault="00AB1B1F" w:rsidP="004940C0">
            <w:pPr>
              <w:spacing w:line="240" w:lineRule="auto"/>
              <w:jc w:val="left"/>
              <w:rPr>
                <w:b/>
              </w:rPr>
            </w:pPr>
          </w:p>
        </w:tc>
        <w:tc>
          <w:tcPr>
            <w:tcW w:w="1701" w:type="dxa"/>
            <w:shd w:val="clear" w:color="auto" w:fill="C6D9F1" w:themeFill="text2" w:themeFillTint="33"/>
          </w:tcPr>
          <w:p w:rsidR="00AB1B1F" w:rsidRPr="00BC10D9" w:rsidRDefault="002D08E1" w:rsidP="002D08E1">
            <w:pPr>
              <w:spacing w:line="240" w:lineRule="auto"/>
              <w:jc w:val="center"/>
              <w:rPr>
                <w:b/>
              </w:rPr>
            </w:pPr>
            <w:r w:rsidRPr="00BC10D9">
              <w:rPr>
                <w:b/>
              </w:rPr>
              <w:t>2012</w:t>
            </w:r>
          </w:p>
        </w:tc>
        <w:tc>
          <w:tcPr>
            <w:tcW w:w="1472" w:type="dxa"/>
            <w:shd w:val="clear" w:color="auto" w:fill="C6D9F1" w:themeFill="text2" w:themeFillTint="33"/>
          </w:tcPr>
          <w:p w:rsidR="00AB1B1F" w:rsidRPr="00BC10D9" w:rsidRDefault="002D08E1" w:rsidP="002D08E1">
            <w:pPr>
              <w:spacing w:line="240" w:lineRule="auto"/>
              <w:jc w:val="center"/>
              <w:rPr>
                <w:b/>
              </w:rPr>
            </w:pPr>
            <w:r w:rsidRPr="00BC10D9">
              <w:rPr>
                <w:b/>
              </w:rPr>
              <w:t>2011</w:t>
            </w:r>
          </w:p>
        </w:tc>
        <w:tc>
          <w:tcPr>
            <w:tcW w:w="1647" w:type="dxa"/>
            <w:shd w:val="clear" w:color="auto" w:fill="C6D9F1" w:themeFill="text2" w:themeFillTint="33"/>
          </w:tcPr>
          <w:p w:rsidR="00AB1B1F" w:rsidRPr="00BC10D9" w:rsidRDefault="002D08E1" w:rsidP="002D08E1">
            <w:pPr>
              <w:spacing w:line="240" w:lineRule="auto"/>
              <w:jc w:val="center"/>
              <w:rPr>
                <w:b/>
              </w:rPr>
            </w:pPr>
            <w:r w:rsidRPr="00BC10D9">
              <w:rPr>
                <w:b/>
              </w:rPr>
              <w:t>2012</w:t>
            </w:r>
          </w:p>
        </w:tc>
        <w:tc>
          <w:tcPr>
            <w:tcW w:w="1417" w:type="dxa"/>
            <w:shd w:val="clear" w:color="auto" w:fill="C6D9F1" w:themeFill="text2" w:themeFillTint="33"/>
          </w:tcPr>
          <w:p w:rsidR="00AB1B1F" w:rsidRPr="00BC10D9" w:rsidRDefault="002D08E1" w:rsidP="002D08E1">
            <w:pPr>
              <w:spacing w:line="240" w:lineRule="auto"/>
              <w:jc w:val="center"/>
              <w:rPr>
                <w:b/>
              </w:rPr>
            </w:pPr>
            <w:r w:rsidRPr="00BC10D9">
              <w:rPr>
                <w:b/>
              </w:rPr>
              <w:t>2011</w:t>
            </w:r>
          </w:p>
        </w:tc>
      </w:tr>
      <w:tr w:rsidR="002D08E1" w:rsidRPr="002D08E1" w:rsidTr="00BC10D9">
        <w:tc>
          <w:tcPr>
            <w:tcW w:w="2943" w:type="dxa"/>
          </w:tcPr>
          <w:p w:rsidR="00AB1B1F" w:rsidRPr="002D08E1" w:rsidRDefault="002D08E1" w:rsidP="004940C0">
            <w:pPr>
              <w:spacing w:line="240" w:lineRule="auto"/>
              <w:jc w:val="left"/>
            </w:pPr>
            <w:r w:rsidRPr="002D08E1">
              <w:t>Store engagementer</w:t>
            </w:r>
            <w:r w:rsidR="000C07AE">
              <w:t>, maks. 125 %</w:t>
            </w:r>
          </w:p>
        </w:tc>
        <w:tc>
          <w:tcPr>
            <w:tcW w:w="1701" w:type="dxa"/>
          </w:tcPr>
          <w:p w:rsidR="00AB1B1F" w:rsidRPr="002D08E1" w:rsidRDefault="009A1873" w:rsidP="002D08E1">
            <w:pPr>
              <w:spacing w:line="240" w:lineRule="auto"/>
              <w:jc w:val="right"/>
            </w:pPr>
            <w:r>
              <w:t>0 %</w:t>
            </w:r>
          </w:p>
        </w:tc>
        <w:tc>
          <w:tcPr>
            <w:tcW w:w="1472" w:type="dxa"/>
          </w:tcPr>
          <w:p w:rsidR="00AB1B1F" w:rsidRPr="002D08E1" w:rsidRDefault="000C07AE" w:rsidP="002D08E1">
            <w:pPr>
              <w:spacing w:line="240" w:lineRule="auto"/>
              <w:jc w:val="right"/>
            </w:pPr>
            <w:r>
              <w:t>35,5 %</w:t>
            </w:r>
          </w:p>
        </w:tc>
        <w:tc>
          <w:tcPr>
            <w:tcW w:w="1647" w:type="dxa"/>
          </w:tcPr>
          <w:p w:rsidR="00AB1B1F" w:rsidRPr="002D08E1" w:rsidRDefault="009721A3" w:rsidP="002D08E1">
            <w:pPr>
              <w:spacing w:line="240" w:lineRule="auto"/>
              <w:jc w:val="right"/>
            </w:pPr>
            <w:r>
              <w:t>79,0 %</w:t>
            </w:r>
          </w:p>
        </w:tc>
        <w:tc>
          <w:tcPr>
            <w:tcW w:w="1417" w:type="dxa"/>
          </w:tcPr>
          <w:p w:rsidR="00AB1B1F" w:rsidRPr="002D08E1" w:rsidRDefault="002D08E1" w:rsidP="002D08E1">
            <w:pPr>
              <w:spacing w:line="240" w:lineRule="auto"/>
              <w:jc w:val="right"/>
            </w:pPr>
            <w:r>
              <w:t>45,6 %</w:t>
            </w:r>
          </w:p>
        </w:tc>
      </w:tr>
      <w:tr w:rsidR="002D08E1" w:rsidRPr="002D08E1" w:rsidTr="00BC10D9">
        <w:tc>
          <w:tcPr>
            <w:tcW w:w="2943" w:type="dxa"/>
          </w:tcPr>
          <w:p w:rsidR="00AB1B1F" w:rsidRPr="002D08E1" w:rsidRDefault="002D08E1" w:rsidP="004940C0">
            <w:pPr>
              <w:spacing w:line="240" w:lineRule="auto"/>
              <w:jc w:val="left"/>
            </w:pPr>
            <w:r w:rsidRPr="002D08E1">
              <w:t>Udlånsvækst</w:t>
            </w:r>
            <w:r w:rsidR="000C07AE">
              <w:t>, maks. 20 %</w:t>
            </w:r>
          </w:p>
        </w:tc>
        <w:tc>
          <w:tcPr>
            <w:tcW w:w="1701" w:type="dxa"/>
          </w:tcPr>
          <w:p w:rsidR="00AB1B1F" w:rsidRPr="002D08E1" w:rsidRDefault="009A1873" w:rsidP="002D08E1">
            <w:pPr>
              <w:spacing w:line="240" w:lineRule="auto"/>
              <w:jc w:val="right"/>
            </w:pPr>
            <w:r>
              <w:t>47,4 %</w:t>
            </w:r>
          </w:p>
        </w:tc>
        <w:tc>
          <w:tcPr>
            <w:tcW w:w="1472" w:type="dxa"/>
          </w:tcPr>
          <w:p w:rsidR="00AB1B1F" w:rsidRPr="002D08E1" w:rsidRDefault="000C07AE" w:rsidP="002D08E1">
            <w:pPr>
              <w:spacing w:line="240" w:lineRule="auto"/>
              <w:jc w:val="right"/>
            </w:pPr>
            <w:r>
              <w:t>2,1 %</w:t>
            </w:r>
          </w:p>
        </w:tc>
        <w:tc>
          <w:tcPr>
            <w:tcW w:w="1647" w:type="dxa"/>
          </w:tcPr>
          <w:p w:rsidR="00AB1B1F" w:rsidRPr="002D08E1" w:rsidRDefault="009721A3" w:rsidP="002D08E1">
            <w:pPr>
              <w:spacing w:line="240" w:lineRule="auto"/>
              <w:jc w:val="right"/>
            </w:pPr>
            <w:r>
              <w:t>1,8 %</w:t>
            </w:r>
          </w:p>
        </w:tc>
        <w:tc>
          <w:tcPr>
            <w:tcW w:w="1417" w:type="dxa"/>
          </w:tcPr>
          <w:p w:rsidR="00AB1B1F" w:rsidRPr="002D08E1" w:rsidRDefault="000C07AE" w:rsidP="002D08E1">
            <w:pPr>
              <w:spacing w:line="240" w:lineRule="auto"/>
              <w:jc w:val="right"/>
            </w:pPr>
            <w:r>
              <w:t>1 %</w:t>
            </w:r>
          </w:p>
        </w:tc>
      </w:tr>
      <w:tr w:rsidR="002D08E1" w:rsidRPr="002D08E1" w:rsidTr="00BC10D9">
        <w:tc>
          <w:tcPr>
            <w:tcW w:w="2943" w:type="dxa"/>
          </w:tcPr>
          <w:p w:rsidR="00AB1B1F" w:rsidRPr="002D08E1" w:rsidRDefault="002D08E1" w:rsidP="004940C0">
            <w:pPr>
              <w:spacing w:line="240" w:lineRule="auto"/>
              <w:jc w:val="left"/>
            </w:pPr>
            <w:r w:rsidRPr="002D08E1">
              <w:t>Funding-ratio</w:t>
            </w:r>
            <w:r w:rsidR="000C07AE">
              <w:t>, maks. 1</w:t>
            </w:r>
          </w:p>
        </w:tc>
        <w:tc>
          <w:tcPr>
            <w:tcW w:w="1701" w:type="dxa"/>
          </w:tcPr>
          <w:p w:rsidR="00AB1B1F" w:rsidRPr="002D08E1" w:rsidRDefault="009A1873" w:rsidP="002D08E1">
            <w:pPr>
              <w:spacing w:line="240" w:lineRule="auto"/>
              <w:jc w:val="right"/>
            </w:pPr>
            <w:r>
              <w:t>0,79 %</w:t>
            </w:r>
          </w:p>
        </w:tc>
        <w:tc>
          <w:tcPr>
            <w:tcW w:w="1472" w:type="dxa"/>
          </w:tcPr>
          <w:p w:rsidR="00AB1B1F" w:rsidRPr="002D08E1" w:rsidRDefault="000C07AE" w:rsidP="002D08E1">
            <w:pPr>
              <w:spacing w:line="240" w:lineRule="auto"/>
              <w:jc w:val="right"/>
            </w:pPr>
            <w:r>
              <w:t>0,85</w:t>
            </w:r>
          </w:p>
        </w:tc>
        <w:tc>
          <w:tcPr>
            <w:tcW w:w="1647" w:type="dxa"/>
          </w:tcPr>
          <w:p w:rsidR="00AB1B1F" w:rsidRPr="002D08E1" w:rsidRDefault="009721A3" w:rsidP="002D08E1">
            <w:pPr>
              <w:spacing w:line="240" w:lineRule="auto"/>
              <w:jc w:val="right"/>
            </w:pPr>
            <w:r>
              <w:t>0,77</w:t>
            </w:r>
          </w:p>
        </w:tc>
        <w:tc>
          <w:tcPr>
            <w:tcW w:w="1417" w:type="dxa"/>
          </w:tcPr>
          <w:p w:rsidR="00AB1B1F" w:rsidRPr="002D08E1" w:rsidRDefault="000C07AE" w:rsidP="002D08E1">
            <w:pPr>
              <w:spacing w:line="240" w:lineRule="auto"/>
              <w:jc w:val="right"/>
            </w:pPr>
            <w:r>
              <w:t>0,77</w:t>
            </w:r>
          </w:p>
        </w:tc>
      </w:tr>
      <w:tr w:rsidR="002D08E1" w:rsidRPr="002D08E1" w:rsidTr="00BC10D9">
        <w:tc>
          <w:tcPr>
            <w:tcW w:w="2943" w:type="dxa"/>
          </w:tcPr>
          <w:p w:rsidR="00AB1B1F" w:rsidRPr="002D08E1" w:rsidRDefault="002D08E1" w:rsidP="004940C0">
            <w:pPr>
              <w:spacing w:line="240" w:lineRule="auto"/>
              <w:jc w:val="left"/>
            </w:pPr>
            <w:r w:rsidRPr="002D08E1">
              <w:t>Ejendomseksponering</w:t>
            </w:r>
            <w:r w:rsidR="000C07AE">
              <w:t>, maks. 25 %</w:t>
            </w:r>
          </w:p>
        </w:tc>
        <w:tc>
          <w:tcPr>
            <w:tcW w:w="1701" w:type="dxa"/>
          </w:tcPr>
          <w:p w:rsidR="00AB1B1F" w:rsidRPr="002D08E1" w:rsidRDefault="009A1873" w:rsidP="002D08E1">
            <w:pPr>
              <w:spacing w:line="240" w:lineRule="auto"/>
              <w:jc w:val="right"/>
            </w:pPr>
            <w:r>
              <w:t>16,2 %</w:t>
            </w:r>
          </w:p>
        </w:tc>
        <w:tc>
          <w:tcPr>
            <w:tcW w:w="1472" w:type="dxa"/>
          </w:tcPr>
          <w:p w:rsidR="00AB1B1F" w:rsidRPr="002D08E1" w:rsidRDefault="000C07AE" w:rsidP="002D08E1">
            <w:pPr>
              <w:spacing w:line="240" w:lineRule="auto"/>
              <w:jc w:val="right"/>
            </w:pPr>
            <w:r>
              <w:t>16,7 %</w:t>
            </w:r>
          </w:p>
        </w:tc>
        <w:tc>
          <w:tcPr>
            <w:tcW w:w="1647" w:type="dxa"/>
          </w:tcPr>
          <w:p w:rsidR="00AB1B1F" w:rsidRPr="002D08E1" w:rsidRDefault="009721A3" w:rsidP="002D08E1">
            <w:pPr>
              <w:spacing w:line="240" w:lineRule="auto"/>
              <w:jc w:val="right"/>
            </w:pPr>
            <w:r>
              <w:t>21 %</w:t>
            </w:r>
          </w:p>
        </w:tc>
        <w:tc>
          <w:tcPr>
            <w:tcW w:w="1417" w:type="dxa"/>
          </w:tcPr>
          <w:p w:rsidR="00AB1B1F" w:rsidRPr="002D08E1" w:rsidRDefault="000C07AE" w:rsidP="002D08E1">
            <w:pPr>
              <w:spacing w:line="240" w:lineRule="auto"/>
              <w:jc w:val="right"/>
            </w:pPr>
            <w:r>
              <w:t>19 %</w:t>
            </w:r>
          </w:p>
        </w:tc>
      </w:tr>
      <w:tr w:rsidR="002D08E1" w:rsidRPr="002D08E1" w:rsidTr="00BC10D9">
        <w:tc>
          <w:tcPr>
            <w:tcW w:w="2943" w:type="dxa"/>
          </w:tcPr>
          <w:p w:rsidR="00AB1B1F" w:rsidRPr="002D08E1" w:rsidRDefault="002D08E1" w:rsidP="004940C0">
            <w:pPr>
              <w:spacing w:line="240" w:lineRule="auto"/>
              <w:jc w:val="left"/>
            </w:pPr>
            <w:r w:rsidRPr="002D08E1">
              <w:t>Likvidit</w:t>
            </w:r>
            <w:r w:rsidR="00B84092">
              <w:t>ets</w:t>
            </w:r>
            <w:r w:rsidRPr="002D08E1">
              <w:t>overdækning</w:t>
            </w:r>
            <w:r w:rsidR="000C07AE">
              <w:t>, min.. 50 %</w:t>
            </w:r>
          </w:p>
        </w:tc>
        <w:tc>
          <w:tcPr>
            <w:tcW w:w="1701" w:type="dxa"/>
          </w:tcPr>
          <w:p w:rsidR="00AB1B1F" w:rsidRPr="002D08E1" w:rsidRDefault="009A1873" w:rsidP="002D08E1">
            <w:pPr>
              <w:spacing w:line="240" w:lineRule="auto"/>
              <w:jc w:val="right"/>
            </w:pPr>
            <w:r>
              <w:t>147,2 %</w:t>
            </w:r>
          </w:p>
        </w:tc>
        <w:tc>
          <w:tcPr>
            <w:tcW w:w="1472" w:type="dxa"/>
          </w:tcPr>
          <w:p w:rsidR="00AB1B1F" w:rsidRPr="002D08E1" w:rsidRDefault="000C07AE" w:rsidP="002D08E1">
            <w:pPr>
              <w:spacing w:line="240" w:lineRule="auto"/>
              <w:jc w:val="right"/>
            </w:pPr>
            <w:r>
              <w:t>106,4 %</w:t>
            </w:r>
          </w:p>
        </w:tc>
        <w:tc>
          <w:tcPr>
            <w:tcW w:w="1647" w:type="dxa"/>
          </w:tcPr>
          <w:p w:rsidR="00AB1B1F" w:rsidRPr="002D08E1" w:rsidRDefault="009721A3" w:rsidP="002D08E1">
            <w:pPr>
              <w:spacing w:line="240" w:lineRule="auto"/>
              <w:jc w:val="right"/>
            </w:pPr>
            <w:r>
              <w:t>147,8 %</w:t>
            </w:r>
          </w:p>
        </w:tc>
        <w:tc>
          <w:tcPr>
            <w:tcW w:w="1417" w:type="dxa"/>
          </w:tcPr>
          <w:p w:rsidR="00AB1B1F" w:rsidRPr="002D08E1" w:rsidRDefault="002D08E1" w:rsidP="002D08E1">
            <w:pPr>
              <w:spacing w:line="240" w:lineRule="auto"/>
              <w:jc w:val="right"/>
            </w:pPr>
            <w:r>
              <w:t>142,7 %</w:t>
            </w:r>
          </w:p>
        </w:tc>
      </w:tr>
    </w:tbl>
    <w:p w:rsidR="00AB1B1F" w:rsidRDefault="009259C7" w:rsidP="003902E0">
      <w:pPr>
        <w:rPr>
          <w:i/>
          <w:sz w:val="20"/>
        </w:rPr>
      </w:pPr>
      <w:r>
        <w:rPr>
          <w:sz w:val="20"/>
        </w:rPr>
        <w:t xml:space="preserve">Tabel 7: Grænseværdier for begge pengeinstitutter 2011 og 2012. </w:t>
      </w:r>
      <w:r>
        <w:rPr>
          <w:i/>
          <w:sz w:val="20"/>
        </w:rPr>
        <w:t>Kilde: Årsrapporter 2011 og 2012.</w:t>
      </w:r>
    </w:p>
    <w:p w:rsidR="009259C7" w:rsidRPr="009259C7" w:rsidRDefault="009259C7" w:rsidP="003902E0">
      <w:pPr>
        <w:rPr>
          <w:i/>
          <w:sz w:val="20"/>
        </w:rPr>
      </w:pPr>
    </w:p>
    <w:p w:rsidR="00D3458F" w:rsidRDefault="00D3458F" w:rsidP="003902E0">
      <w:r>
        <w:t>Det ses, at Den Jyske overholder alle grænseværdier i 2011, mens de i 2012 ikke overholder</w:t>
      </w:r>
      <w:r w:rsidR="00E40029">
        <w:t xml:space="preserve"> grænseværdien for</w:t>
      </w:r>
      <w:r>
        <w:t xml:space="preserve"> udlånsvækst. Dette skyldes dog, at Den Jyske er fusioneret med tre pengeinstitutter i 2012, og derigennem øget deres udlånsvækst. Det regnes dog ikke med, at dette vil give anledning til påtegning fra Finanstilsynet, da der </w:t>
      </w:r>
      <w:r w:rsidR="00421BBA">
        <w:t xml:space="preserve">jf. </w:t>
      </w:r>
      <w:r>
        <w:t xml:space="preserve">Årsrapporten </w:t>
      </w:r>
      <w:r w:rsidR="00421BBA">
        <w:t xml:space="preserve">fra 2012 </w:t>
      </w:r>
      <w:r w:rsidR="00474D6A">
        <w:t xml:space="preserve">er </w:t>
      </w:r>
      <w:r w:rsidR="00474D6A">
        <w:lastRenderedPageBreak/>
        <w:t xml:space="preserve">angivet en </w:t>
      </w:r>
      <w:r w:rsidR="00E40029">
        <w:t xml:space="preserve">udlånsvækst på </w:t>
      </w:r>
      <w:r w:rsidR="00474D6A">
        <w:t>-5</w:t>
      </w:r>
      <w:r>
        <w:t>,4 %</w:t>
      </w:r>
      <w:r w:rsidR="00421BBA">
        <w:t>,</w:t>
      </w:r>
      <w:r>
        <w:t xml:space="preserve"> hvis man udelukkende ser på Den Jyske uden de tre ”nye” pengeinstitutter. </w:t>
      </w:r>
    </w:p>
    <w:p w:rsidR="00421BBA" w:rsidRDefault="00421BBA" w:rsidP="003902E0"/>
    <w:p w:rsidR="00421BBA" w:rsidRDefault="00421BBA" w:rsidP="003902E0">
      <w:r>
        <w:t>Det ses endvidere, at Den Jyske ved fusionerne har opnået bedre grænseværdier på samtlige poste</w:t>
      </w:r>
      <w:r w:rsidR="00E40029">
        <w:t>r. Specielt har de et stort lik</w:t>
      </w:r>
      <w:r>
        <w:t>viditetsoverskud</w:t>
      </w:r>
      <w:r w:rsidR="00F80948">
        <w:t xml:space="preserve">, </w:t>
      </w:r>
      <w:r w:rsidR="00B755D3">
        <w:t>dog forventer</w:t>
      </w:r>
      <w:r w:rsidR="00F80948">
        <w:t xml:space="preserve"> Den Jyske at indfri statsgaranteret seniorlån på 1.578 mio</w:t>
      </w:r>
      <w:r w:rsidR="001416AA">
        <w:t>. i lø</w:t>
      </w:r>
      <w:r w:rsidR="00F80948">
        <w:t>bet af 2013</w:t>
      </w:r>
      <w:r>
        <w:t>.</w:t>
      </w:r>
      <w:r w:rsidR="00F80948">
        <w:t xml:space="preserve"> De forventer dog stadig at have et </w:t>
      </w:r>
      <w:r w:rsidR="001416AA">
        <w:t>tilfredsstillende</w:t>
      </w:r>
      <w:r w:rsidR="00F80948">
        <w:t xml:space="preserve"> likviditetsoverskud.</w:t>
      </w:r>
      <w:r>
        <w:t xml:space="preserve"> </w:t>
      </w:r>
    </w:p>
    <w:p w:rsidR="00BA2C73" w:rsidRDefault="00BA2C73" w:rsidP="003902E0">
      <w:pPr>
        <w:rPr>
          <w:color w:val="FF0000"/>
        </w:rPr>
      </w:pPr>
    </w:p>
    <w:p w:rsidR="0018729E" w:rsidRDefault="0018729E" w:rsidP="003902E0">
      <w:r>
        <w:t xml:space="preserve">Det ses, at DS overholder grænseværdier i Tilsynsdiamanten. DS havde i 2011 store engagementer på 45,6 %, mens denne i 2012 er steget til 79 % svarende til en stigning på ca. 73 %. De er fortsat langt fra kravet på 125 %, </w:t>
      </w:r>
      <w:r w:rsidR="001416AA">
        <w:t>og viser blot</w:t>
      </w:r>
      <w:r>
        <w:t>, at de nu er mere følsomme ved deres største engag</w:t>
      </w:r>
      <w:r w:rsidR="00EB1AEC">
        <w:t>e</w:t>
      </w:r>
      <w:r>
        <w:t xml:space="preserve">menter. </w:t>
      </w:r>
    </w:p>
    <w:p w:rsidR="00A6741D" w:rsidRDefault="00A6741D" w:rsidP="003902E0"/>
    <w:p w:rsidR="00A6741D" w:rsidRDefault="005F6E84" w:rsidP="003902E0">
      <w:r>
        <w:t>Det ses, at DS, ligesom Den Jyske,</w:t>
      </w:r>
      <w:r w:rsidR="00A6741D">
        <w:t xml:space="preserve"> har en høj likviditetsoverdækning. Dette skyldes, at DS har </w:t>
      </w:r>
      <w:r w:rsidR="00E73D09">
        <w:t>optaget hybrid kernekapital hos staten</w:t>
      </w:r>
      <w:r w:rsidR="00FE4826">
        <w:t xml:space="preserve"> på 75 mio.</w:t>
      </w:r>
      <w:r w:rsidR="00E73D09">
        <w:t>, som de forventer at blive indfriet i 2014</w:t>
      </w:r>
      <w:r w:rsidR="00FE4826">
        <w:t>, samt en individuel statsgaranti på 20 mio. euro</w:t>
      </w:r>
      <w:r w:rsidR="006872BF">
        <w:t>, som de forventer indfriet i løbet af 2013</w:t>
      </w:r>
      <w:r w:rsidR="00E73D09">
        <w:t xml:space="preserve">. </w:t>
      </w:r>
    </w:p>
    <w:p w:rsidR="0041201A" w:rsidRDefault="0041201A" w:rsidP="003902E0"/>
    <w:p w:rsidR="0041201A" w:rsidRPr="0018729E" w:rsidRDefault="0041201A" w:rsidP="003902E0">
      <w:r>
        <w:t>Det ses</w:t>
      </w:r>
      <w:r w:rsidR="00030196">
        <w:t>,</w:t>
      </w:r>
      <w:r>
        <w:t xml:space="preserve"> at begge pengeinstitutter jf. Tilsynsdiamantens grænseværdier alt andet lige ligger indenfor det tilladte. </w:t>
      </w:r>
    </w:p>
    <w:p w:rsidR="00707E85" w:rsidRDefault="00707E85" w:rsidP="0087410F">
      <w:pPr>
        <w:pStyle w:val="Overskrift3"/>
        <w:numPr>
          <w:ilvl w:val="2"/>
          <w:numId w:val="10"/>
        </w:numPr>
      </w:pPr>
      <w:bookmarkStart w:id="127" w:name="_Toc354517430"/>
      <w:r>
        <w:t>WACC</w:t>
      </w:r>
      <w:bookmarkEnd w:id="127"/>
    </w:p>
    <w:p w:rsidR="00A67DC2" w:rsidRDefault="00A67DC2" w:rsidP="00A67DC2">
      <w:r>
        <w:t xml:space="preserve">I nedenstående vil WACC blive beregnet og kommenteret for begge </w:t>
      </w:r>
      <w:r w:rsidR="00881DC2">
        <w:t>pengeinstitutter</w:t>
      </w:r>
      <w:r>
        <w:t>. Derudover vil WACC for begge pengeinstitutter blive sam</w:t>
      </w:r>
      <w:r w:rsidR="00B364FB">
        <w:t>menholdt med CIBOR</w:t>
      </w:r>
      <w:r>
        <w:t>3 (markedsrenten</w:t>
      </w:r>
      <w:r w:rsidR="00881DC2">
        <w:t>).</w:t>
      </w:r>
    </w:p>
    <w:p w:rsidR="00F501CD" w:rsidRDefault="00F501CD" w:rsidP="00A67DC2"/>
    <w:p w:rsidR="00A67DC2" w:rsidRDefault="00A67DC2" w:rsidP="00A67DC2">
      <w:r>
        <w:t xml:space="preserve">WACC viser, hvad </w:t>
      </w:r>
      <w:r w:rsidR="00422AD4">
        <w:t>pengeinstituttets</w:t>
      </w:r>
      <w:r>
        <w:t xml:space="preserve"> </w:t>
      </w:r>
      <w:proofErr w:type="spellStart"/>
      <w:r>
        <w:t>fundingsomkostninger</w:t>
      </w:r>
      <w:proofErr w:type="spellEnd"/>
      <w:r>
        <w:t xml:space="preserve"> er</w:t>
      </w:r>
      <w:r w:rsidR="00881DC2">
        <w:t>. D</w:t>
      </w:r>
      <w:r>
        <w:t>er er taget udgangspunkt i regnskabstallene fra 2008 – 2012.</w:t>
      </w:r>
    </w:p>
    <w:p w:rsidR="00DE5BBB" w:rsidRDefault="00A67DC2" w:rsidP="00A67DC2">
      <w:r>
        <w:t xml:space="preserve">Som angivet i ovenstående teoriafsnit </w:t>
      </w:r>
      <w:r w:rsidR="00DE5BBB">
        <w:t>anvendes følgende formel til at beregne WACC:</w:t>
      </w:r>
    </w:p>
    <w:p w:rsidR="00DE5BBB" w:rsidRDefault="00DE5BBB" w:rsidP="00A67DC2">
      <w:pPr>
        <w:rPr>
          <w:b/>
        </w:rPr>
      </w:pPr>
      <w:proofErr w:type="spellStart"/>
      <w:r w:rsidRPr="009638C7">
        <w:rPr>
          <w:b/>
        </w:rPr>
        <w:t>K</w:t>
      </w:r>
      <w:r w:rsidRPr="009638C7">
        <w:rPr>
          <w:b/>
          <w:vertAlign w:val="subscript"/>
        </w:rPr>
        <w:t>w</w:t>
      </w:r>
      <w:proofErr w:type="spellEnd"/>
      <w:r w:rsidRPr="009638C7">
        <w:rPr>
          <w:b/>
          <w:vertAlign w:val="subscript"/>
        </w:rPr>
        <w:t xml:space="preserve"> </w:t>
      </w:r>
      <w:r w:rsidRPr="009638C7">
        <w:rPr>
          <w:b/>
        </w:rPr>
        <w:t xml:space="preserve">= </w:t>
      </w:r>
      <w:proofErr w:type="spellStart"/>
      <w:r w:rsidRPr="009638C7">
        <w:rPr>
          <w:b/>
        </w:rPr>
        <w:t>k</w:t>
      </w:r>
      <w:r w:rsidRPr="009638C7">
        <w:rPr>
          <w:b/>
          <w:vertAlign w:val="subscript"/>
        </w:rPr>
        <w:t>d</w:t>
      </w:r>
      <w:proofErr w:type="spellEnd"/>
      <w:r w:rsidRPr="009638C7">
        <w:rPr>
          <w:b/>
        </w:rPr>
        <w:t xml:space="preserve"> (1 – </w:t>
      </w:r>
      <w:proofErr w:type="gramStart"/>
      <w:r w:rsidRPr="009638C7">
        <w:rPr>
          <w:b/>
        </w:rPr>
        <w:t>T)  L</w:t>
      </w:r>
      <w:proofErr w:type="gramEnd"/>
      <w:r w:rsidRPr="009638C7">
        <w:rPr>
          <w:b/>
        </w:rPr>
        <w:t xml:space="preserve"> + </w:t>
      </w:r>
      <w:proofErr w:type="spellStart"/>
      <w:r w:rsidRPr="009638C7">
        <w:rPr>
          <w:b/>
        </w:rPr>
        <w:t>k</w:t>
      </w:r>
      <w:r w:rsidRPr="009638C7">
        <w:rPr>
          <w:b/>
          <w:vertAlign w:val="subscript"/>
        </w:rPr>
        <w:t>e</w:t>
      </w:r>
      <w:proofErr w:type="spellEnd"/>
      <w:r w:rsidRPr="009638C7">
        <w:rPr>
          <w:b/>
        </w:rPr>
        <w:t xml:space="preserve"> (1 – L)</w:t>
      </w:r>
    </w:p>
    <w:p w:rsidR="00DE5BBB" w:rsidRDefault="00DE5BBB" w:rsidP="00A67DC2">
      <w:pPr>
        <w:rPr>
          <w:b/>
        </w:rPr>
      </w:pPr>
    </w:p>
    <w:p w:rsidR="00A67DC2" w:rsidRDefault="00DE5BBB" w:rsidP="00A67DC2">
      <w:r>
        <w:t xml:space="preserve">For at beregne </w:t>
      </w:r>
      <w:proofErr w:type="spellStart"/>
      <w:r>
        <w:t>K</w:t>
      </w:r>
      <w:r>
        <w:rPr>
          <w:vertAlign w:val="subscript"/>
        </w:rPr>
        <w:t>e</w:t>
      </w:r>
      <w:proofErr w:type="spellEnd"/>
      <w:r>
        <w:rPr>
          <w:vertAlign w:val="subscript"/>
        </w:rPr>
        <w:t xml:space="preserve"> </w:t>
      </w:r>
      <w:r>
        <w:t>er følgende anslåede værdier benyttet:</w:t>
      </w:r>
    </w:p>
    <w:p w:rsidR="009A7544" w:rsidRDefault="00881DC2" w:rsidP="00A67DC2">
      <w:pPr>
        <w:rPr>
          <w:lang w:val="en-US"/>
        </w:rPr>
      </w:pPr>
      <w:proofErr w:type="spellStart"/>
      <w:r w:rsidRPr="00881DC2">
        <w:rPr>
          <w:lang w:val="en-US"/>
        </w:rPr>
        <w:t>K</w:t>
      </w:r>
      <w:r w:rsidRPr="00881DC2">
        <w:rPr>
          <w:vertAlign w:val="subscript"/>
          <w:lang w:val="en-US"/>
        </w:rPr>
        <w:t>e</w:t>
      </w:r>
      <w:proofErr w:type="spellEnd"/>
      <w:r w:rsidRPr="00881DC2">
        <w:rPr>
          <w:lang w:val="en-US"/>
        </w:rPr>
        <w:t xml:space="preserve"> = CAPM</w:t>
      </w:r>
      <w:r>
        <w:rPr>
          <w:lang w:val="en-US"/>
        </w:rPr>
        <w:t xml:space="preserve"> </w:t>
      </w:r>
      <w:r w:rsidRPr="00881DC2">
        <w:rPr>
          <w:lang w:val="en-US"/>
        </w:rPr>
        <w:t xml:space="preserve">= </w:t>
      </w:r>
      <w:proofErr w:type="spellStart"/>
      <w:proofErr w:type="gramStart"/>
      <w:r w:rsidRPr="00881DC2">
        <w:rPr>
          <w:lang w:val="en-US"/>
        </w:rPr>
        <w:t>r</w:t>
      </w:r>
      <w:r w:rsidRPr="00881DC2">
        <w:rPr>
          <w:vertAlign w:val="subscript"/>
          <w:lang w:val="en-US"/>
        </w:rPr>
        <w:t>f</w:t>
      </w:r>
      <w:proofErr w:type="spellEnd"/>
      <w:proofErr w:type="gramEnd"/>
      <w:r w:rsidRPr="00881DC2">
        <w:rPr>
          <w:lang w:val="en-US"/>
        </w:rPr>
        <w:t xml:space="preserve"> + </w:t>
      </w:r>
      <w:r>
        <w:t>β</w:t>
      </w:r>
      <w:r w:rsidRPr="00881DC2">
        <w:rPr>
          <w:lang w:val="en-US"/>
        </w:rPr>
        <w:t xml:space="preserve"> (</w:t>
      </w:r>
      <w:proofErr w:type="spellStart"/>
      <w:r w:rsidRPr="00881DC2">
        <w:rPr>
          <w:lang w:val="en-US"/>
        </w:rPr>
        <w:t>r</w:t>
      </w:r>
      <w:r w:rsidRPr="00881DC2">
        <w:rPr>
          <w:vertAlign w:val="subscript"/>
          <w:lang w:val="en-US"/>
        </w:rPr>
        <w:t>m</w:t>
      </w:r>
      <w:proofErr w:type="spellEnd"/>
      <w:r w:rsidRPr="00881DC2">
        <w:rPr>
          <w:lang w:val="en-US"/>
        </w:rPr>
        <w:t xml:space="preserve"> – </w:t>
      </w:r>
      <w:proofErr w:type="spellStart"/>
      <w:r w:rsidRPr="00881DC2">
        <w:rPr>
          <w:lang w:val="en-US"/>
        </w:rPr>
        <w:t>r</w:t>
      </w:r>
      <w:r w:rsidRPr="00881DC2">
        <w:rPr>
          <w:vertAlign w:val="subscript"/>
          <w:lang w:val="en-US"/>
        </w:rPr>
        <w:t>f</w:t>
      </w:r>
      <w:proofErr w:type="spellEnd"/>
      <w:r w:rsidR="009A7544">
        <w:rPr>
          <w:lang w:val="en-US"/>
        </w:rPr>
        <w:t>)</w:t>
      </w:r>
      <w:r w:rsidRPr="00881DC2">
        <w:rPr>
          <w:lang w:val="en-US"/>
        </w:rPr>
        <w:t xml:space="preserve"> </w:t>
      </w:r>
    </w:p>
    <w:p w:rsidR="00DE5BBB" w:rsidRDefault="00DE5BBB" w:rsidP="00A67DC2">
      <w:proofErr w:type="spellStart"/>
      <w:r>
        <w:t>r</w:t>
      </w:r>
      <w:r>
        <w:rPr>
          <w:vertAlign w:val="subscript"/>
        </w:rPr>
        <w:t>f</w:t>
      </w:r>
      <w:proofErr w:type="spellEnd"/>
      <w:r>
        <w:rPr>
          <w:vertAlign w:val="subscript"/>
        </w:rPr>
        <w:t xml:space="preserve"> </w:t>
      </w:r>
      <w:r>
        <w:t>= 4 % (svarende til 1</w:t>
      </w:r>
      <w:r w:rsidR="00CD1D49">
        <w:t>0-årig statsobligation)</w:t>
      </w:r>
      <w:r>
        <w:t xml:space="preserve">  </w:t>
      </w:r>
    </w:p>
    <w:p w:rsidR="00CD1D49" w:rsidRDefault="00CD1D49" w:rsidP="00A67DC2">
      <w:r>
        <w:lastRenderedPageBreak/>
        <w:t>k</w:t>
      </w:r>
      <w:r>
        <w:rPr>
          <w:vertAlign w:val="subscript"/>
        </w:rPr>
        <w:t>m</w:t>
      </w:r>
      <w:r>
        <w:t xml:space="preserve"> = 8 % (svarende til det forventede afkast på aktiemarkedet)</w:t>
      </w:r>
    </w:p>
    <w:p w:rsidR="00D215FC" w:rsidRPr="00A857C6" w:rsidRDefault="00A857C6" w:rsidP="00D215FC">
      <w:r>
        <w:t>β = 1</w:t>
      </w:r>
      <w:proofErr w:type="gramStart"/>
      <w:r>
        <w:t xml:space="preserve"> </w:t>
      </w:r>
      <w:r w:rsidR="00CD1D49" w:rsidRPr="00A857C6">
        <w:t>(</w:t>
      </w:r>
      <w:r>
        <w:t>I denne opgave anslås beta</w:t>
      </w:r>
      <w:r w:rsidR="00D215FC" w:rsidRPr="00A857C6">
        <w:t xml:space="preserve"> </w:t>
      </w:r>
      <w:r>
        <w:t xml:space="preserve">til </w:t>
      </w:r>
      <w:r w:rsidR="00D215FC" w:rsidRPr="00A857C6">
        <w:t xml:space="preserve">1 for begge pengeinstitutter, da der som udgangspunkt er tale om to pengeinstitutter, som overholder lovkrav til solvens, samt grænseværdier i Tilsynsdiamanten, og derved </w:t>
      </w:r>
      <w:r>
        <w:t xml:space="preserve">som udgangspunkt </w:t>
      </w:r>
      <w:r w:rsidR="00D215FC" w:rsidRPr="00A857C6">
        <w:t>solide og robuste pengeinstitutter.</w:t>
      </w:r>
      <w:proofErr w:type="gramEnd"/>
      <w:r w:rsidR="00D215FC" w:rsidRPr="00A857C6">
        <w:t xml:space="preserve"> Dette gør også at sammenligneligheden er bedre.</w:t>
      </w:r>
      <w:r>
        <w:t>)</w:t>
      </w:r>
      <w:r w:rsidR="00D215FC" w:rsidRPr="00A857C6">
        <w:t xml:space="preserve">   </w:t>
      </w:r>
    </w:p>
    <w:p w:rsidR="00CD1D49" w:rsidRDefault="00CD1D49" w:rsidP="00A67DC2"/>
    <w:p w:rsidR="00881DC2" w:rsidRDefault="00881DC2" w:rsidP="00A67DC2">
      <w:r>
        <w:t xml:space="preserve">Derved må </w:t>
      </w:r>
      <w:proofErr w:type="spellStart"/>
      <w:r w:rsidRPr="00881DC2">
        <w:t>K</w:t>
      </w:r>
      <w:r w:rsidRPr="00881DC2">
        <w:rPr>
          <w:vertAlign w:val="subscript"/>
        </w:rPr>
        <w:t>e</w:t>
      </w:r>
      <w:proofErr w:type="spellEnd"/>
      <w:r w:rsidRPr="00881DC2">
        <w:t xml:space="preserve"> blive: </w:t>
      </w:r>
      <w:r w:rsidRPr="00881DC2">
        <w:tab/>
      </w:r>
      <w:proofErr w:type="spellStart"/>
      <w:r w:rsidRPr="00881DC2">
        <w:t>K</w:t>
      </w:r>
      <w:r w:rsidRPr="00881DC2">
        <w:rPr>
          <w:vertAlign w:val="subscript"/>
        </w:rPr>
        <w:t>e</w:t>
      </w:r>
      <w:proofErr w:type="spellEnd"/>
      <w:r w:rsidRPr="00881DC2">
        <w:t xml:space="preserve"> = </w:t>
      </w:r>
      <w:r w:rsidR="00426B9C">
        <w:t>4 %</w:t>
      </w:r>
      <w:r w:rsidR="00F501CD">
        <w:t xml:space="preserve"> + 1 *</w:t>
      </w:r>
      <w:r w:rsidRPr="00881DC2">
        <w:t xml:space="preserve"> (</w:t>
      </w:r>
      <w:r w:rsidR="00426B9C">
        <w:t xml:space="preserve">8 % </w:t>
      </w:r>
      <w:r w:rsidRPr="00881DC2">
        <w:t xml:space="preserve">– </w:t>
      </w:r>
      <w:r w:rsidR="00426B9C">
        <w:t>4 %</w:t>
      </w:r>
      <w:r w:rsidRPr="00881DC2">
        <w:t xml:space="preserve">) = </w:t>
      </w:r>
      <w:r w:rsidR="00426B9C">
        <w:rPr>
          <w:u w:val="single"/>
        </w:rPr>
        <w:t>8 %</w:t>
      </w:r>
    </w:p>
    <w:p w:rsidR="00881DC2" w:rsidRDefault="00881DC2" w:rsidP="00A67DC2"/>
    <w:p w:rsidR="00AD5DD5" w:rsidRDefault="00E50D03" w:rsidP="00A67DC2">
      <w:r>
        <w:t>Formel bliver derfor som følgende jf. teoriafsnit og ovenstående:</w:t>
      </w:r>
    </w:p>
    <w:p w:rsidR="00AD5DD5" w:rsidRDefault="00AD5DD5" w:rsidP="00A67DC2"/>
    <w:p w:rsidR="00CD1D49" w:rsidRPr="00AD5DD5" w:rsidRDefault="00E50D03" w:rsidP="00FD4794">
      <w:pPr>
        <w:rPr>
          <w:sz w:val="20"/>
          <w:szCs w:val="20"/>
          <w:vertAlign w:val="subscript"/>
        </w:rPr>
      </w:pPr>
      <w:r w:rsidRPr="00F90DCD">
        <w:rPr>
          <w:sz w:val="20"/>
          <w:szCs w:val="20"/>
          <w:vertAlign w:val="subscript"/>
        </w:rPr>
        <w:t xml:space="preserve"> </w:t>
      </w:r>
      <m:oMath>
        <m:sSub>
          <m:sSubPr>
            <m:ctrlPr>
              <w:rPr>
                <w:rFonts w:ascii="Cambria Math" w:hAnsi="Cambria Math"/>
                <w:i/>
                <w:sz w:val="20"/>
                <w:szCs w:val="20"/>
                <w:vertAlign w:val="subscript"/>
              </w:rPr>
            </m:ctrlPr>
          </m:sSubPr>
          <m:e>
            <m:r>
              <w:rPr>
                <w:rFonts w:ascii="Cambria Math" w:hAnsi="Cambria Math"/>
                <w:sz w:val="20"/>
                <w:szCs w:val="20"/>
                <w:vertAlign w:val="subscript"/>
              </w:rPr>
              <m:t>k</m:t>
            </m:r>
          </m:e>
          <m:sub>
            <m:r>
              <w:rPr>
                <w:rFonts w:ascii="Cambria Math" w:hAnsi="Cambria Math"/>
                <w:sz w:val="20"/>
                <w:szCs w:val="20"/>
                <w:vertAlign w:val="subscript"/>
              </w:rPr>
              <m:t>w</m:t>
            </m:r>
          </m:sub>
        </m:sSub>
        <m:r>
          <w:rPr>
            <w:rFonts w:ascii="Cambria Math" w:hAnsi="Cambria Math"/>
            <w:sz w:val="20"/>
            <w:szCs w:val="20"/>
            <w:vertAlign w:val="subscript"/>
          </w:rPr>
          <m:t>=</m:t>
        </m:r>
        <m:f>
          <m:fPr>
            <m:ctrlPr>
              <w:rPr>
                <w:rFonts w:ascii="Cambria Math" w:hAnsi="Cambria Math"/>
                <w:i/>
                <w:sz w:val="20"/>
                <w:szCs w:val="20"/>
                <w:vertAlign w:val="subscript"/>
              </w:rPr>
            </m:ctrlPr>
          </m:fPr>
          <m:num>
            <m:r>
              <w:rPr>
                <w:rFonts w:ascii="Cambria Math" w:hAnsi="Cambria Math"/>
                <w:sz w:val="20"/>
                <w:szCs w:val="20"/>
                <w:vertAlign w:val="subscript"/>
              </w:rPr>
              <m:t xml:space="preserve">Renteudgifter </m:t>
            </m:r>
          </m:num>
          <m:den>
            <m:r>
              <w:rPr>
                <w:rFonts w:ascii="Cambria Math" w:hAnsi="Cambria Math"/>
                <w:sz w:val="20"/>
                <w:szCs w:val="20"/>
                <w:vertAlign w:val="subscript"/>
              </w:rPr>
              <m:t xml:space="preserve">Balancesum – EK + GK – Pulje </m:t>
            </m:r>
          </m:den>
        </m:f>
        <m:r>
          <w:rPr>
            <w:rFonts w:ascii="Cambria Math" w:hAnsi="Cambria Math"/>
            <w:sz w:val="20"/>
            <w:szCs w:val="20"/>
            <w:vertAlign w:val="subscript"/>
          </w:rPr>
          <m:t xml:space="preserve"> x </m:t>
        </m:r>
        <m:f>
          <m:fPr>
            <m:ctrlPr>
              <w:rPr>
                <w:rFonts w:ascii="Cambria Math" w:hAnsi="Cambria Math"/>
                <w:i/>
                <w:sz w:val="20"/>
                <w:szCs w:val="20"/>
                <w:vertAlign w:val="subscript"/>
              </w:rPr>
            </m:ctrlPr>
          </m:fPr>
          <m:num>
            <m:r>
              <w:rPr>
                <w:rFonts w:ascii="Cambria Math" w:hAnsi="Cambria Math"/>
                <w:sz w:val="20"/>
                <w:szCs w:val="20"/>
                <w:vertAlign w:val="subscript"/>
              </w:rPr>
              <m:t xml:space="preserve">Balancesum – EK + GK – Pulje </m:t>
            </m:r>
          </m:num>
          <m:den>
            <m:r>
              <w:rPr>
                <w:rFonts w:ascii="Cambria Math" w:hAnsi="Cambria Math"/>
                <w:sz w:val="20"/>
                <w:szCs w:val="20"/>
                <w:vertAlign w:val="subscript"/>
              </w:rPr>
              <m:t>Balancesum</m:t>
            </m:r>
          </m:den>
        </m:f>
        <m:r>
          <w:rPr>
            <w:rFonts w:ascii="Cambria Math" w:hAnsi="Cambria Math"/>
            <w:sz w:val="20"/>
            <w:szCs w:val="20"/>
            <w:vertAlign w:val="subscript"/>
          </w:rPr>
          <m:t xml:space="preserve">+ </m:t>
        </m:r>
        <m:sSub>
          <m:sSubPr>
            <m:ctrlPr>
              <w:rPr>
                <w:rFonts w:ascii="Cambria Math" w:hAnsi="Cambria Math"/>
                <w:i/>
                <w:sz w:val="20"/>
                <w:szCs w:val="20"/>
                <w:vertAlign w:val="subscript"/>
              </w:rPr>
            </m:ctrlPr>
          </m:sSubPr>
          <m:e>
            <m:r>
              <w:rPr>
                <w:rFonts w:ascii="Cambria Math" w:hAnsi="Cambria Math"/>
                <w:sz w:val="20"/>
                <w:szCs w:val="20"/>
                <w:vertAlign w:val="subscript"/>
              </w:rPr>
              <m:t>k</m:t>
            </m:r>
          </m:e>
          <m:sub>
            <m:r>
              <w:rPr>
                <w:rFonts w:ascii="Cambria Math" w:hAnsi="Cambria Math"/>
                <w:sz w:val="20"/>
                <w:szCs w:val="20"/>
                <w:vertAlign w:val="subscript"/>
              </w:rPr>
              <m:t>e</m:t>
            </m:r>
          </m:sub>
        </m:sSub>
        <m:r>
          <w:rPr>
            <w:rFonts w:ascii="Cambria Math" w:hAnsi="Cambria Math"/>
            <w:sz w:val="20"/>
            <w:szCs w:val="20"/>
            <w:vertAlign w:val="subscript"/>
          </w:rPr>
          <m:t xml:space="preserve"> (1-</m:t>
        </m:r>
        <m:f>
          <m:fPr>
            <m:ctrlPr>
              <w:rPr>
                <w:rFonts w:ascii="Cambria Math" w:hAnsi="Cambria Math"/>
                <w:i/>
                <w:sz w:val="20"/>
                <w:szCs w:val="20"/>
                <w:vertAlign w:val="subscript"/>
              </w:rPr>
            </m:ctrlPr>
          </m:fPr>
          <m:num>
            <m:r>
              <w:rPr>
                <w:rFonts w:ascii="Cambria Math" w:hAnsi="Cambria Math"/>
                <w:sz w:val="20"/>
                <w:szCs w:val="20"/>
                <w:vertAlign w:val="subscript"/>
              </w:rPr>
              <m:t>Balancesum-EK+GK-pulje</m:t>
            </m:r>
          </m:num>
          <m:den>
            <m:r>
              <w:rPr>
                <w:rFonts w:ascii="Cambria Math" w:hAnsi="Cambria Math"/>
                <w:sz w:val="20"/>
                <w:szCs w:val="20"/>
                <w:vertAlign w:val="subscript"/>
              </w:rPr>
              <m:t>balancesum</m:t>
            </m:r>
          </m:den>
        </m:f>
        <m:r>
          <w:rPr>
            <w:rFonts w:ascii="Cambria Math" w:hAnsi="Cambria Math"/>
            <w:sz w:val="20"/>
            <w:szCs w:val="20"/>
            <w:vertAlign w:val="subscript"/>
          </w:rPr>
          <m:t xml:space="preserve"> </m:t>
        </m:r>
      </m:oMath>
    </w:p>
    <w:p w:rsidR="00652F70" w:rsidRDefault="00652F70" w:rsidP="00FD4794">
      <w:pPr>
        <w:rPr>
          <w:sz w:val="20"/>
          <w:szCs w:val="20"/>
        </w:rPr>
      </w:pPr>
    </w:p>
    <w:p w:rsidR="00AD5DD5" w:rsidRDefault="00AD5DD5" w:rsidP="00AD5DD5">
      <w:r w:rsidRPr="00AD5DD5">
        <w:t xml:space="preserve">I nedenstående tabel ses WACC </w:t>
      </w:r>
      <w:r w:rsidR="00067525">
        <w:t>for Den Jyske Sparekasse</w:t>
      </w:r>
      <w:r w:rsidRPr="00AD5DD5">
        <w:t>:</w:t>
      </w:r>
    </w:p>
    <w:tbl>
      <w:tblPr>
        <w:tblStyle w:val="Tabel-Gitter"/>
        <w:tblW w:w="9180" w:type="dxa"/>
        <w:tblLayout w:type="fixed"/>
        <w:tblLook w:val="04A0" w:firstRow="1" w:lastRow="0" w:firstColumn="1" w:lastColumn="0" w:noHBand="0" w:noVBand="1"/>
      </w:tblPr>
      <w:tblGrid>
        <w:gridCol w:w="2376"/>
        <w:gridCol w:w="1418"/>
        <w:gridCol w:w="1417"/>
        <w:gridCol w:w="1418"/>
        <w:gridCol w:w="1275"/>
        <w:gridCol w:w="1276"/>
      </w:tblGrid>
      <w:tr w:rsidR="003E37D8" w:rsidTr="00BC10D9">
        <w:tc>
          <w:tcPr>
            <w:tcW w:w="9180" w:type="dxa"/>
            <w:gridSpan w:val="6"/>
            <w:shd w:val="clear" w:color="auto" w:fill="C6D9F1" w:themeFill="text2" w:themeFillTint="33"/>
          </w:tcPr>
          <w:p w:rsidR="003E37D8" w:rsidRPr="00BC10D9" w:rsidRDefault="003E37D8" w:rsidP="003E37D8">
            <w:pPr>
              <w:spacing w:line="240" w:lineRule="auto"/>
              <w:jc w:val="center"/>
              <w:rPr>
                <w:b/>
              </w:rPr>
            </w:pPr>
            <w:r w:rsidRPr="00BC10D9">
              <w:rPr>
                <w:b/>
              </w:rPr>
              <w:t>WACC - Den Jyske Sparekasse</w:t>
            </w:r>
          </w:p>
        </w:tc>
      </w:tr>
      <w:tr w:rsidR="00F52BCA" w:rsidRPr="001A7ADC" w:rsidTr="00BC10D9">
        <w:tc>
          <w:tcPr>
            <w:tcW w:w="2376" w:type="dxa"/>
            <w:shd w:val="clear" w:color="auto" w:fill="C6D9F1" w:themeFill="text2" w:themeFillTint="33"/>
          </w:tcPr>
          <w:p w:rsidR="00F52BCA" w:rsidRPr="00BC10D9" w:rsidRDefault="00F52BCA" w:rsidP="00627873">
            <w:pPr>
              <w:spacing w:line="240" w:lineRule="auto"/>
              <w:jc w:val="center"/>
              <w:rPr>
                <w:b/>
              </w:rPr>
            </w:pPr>
          </w:p>
        </w:tc>
        <w:tc>
          <w:tcPr>
            <w:tcW w:w="1418" w:type="dxa"/>
            <w:shd w:val="clear" w:color="auto" w:fill="C6D9F1" w:themeFill="text2" w:themeFillTint="33"/>
          </w:tcPr>
          <w:p w:rsidR="00F52BCA" w:rsidRPr="00BC10D9" w:rsidRDefault="00F52BCA" w:rsidP="00627873">
            <w:pPr>
              <w:spacing w:line="240" w:lineRule="auto"/>
              <w:jc w:val="center"/>
              <w:rPr>
                <w:b/>
              </w:rPr>
            </w:pPr>
            <w:r w:rsidRPr="00BC10D9">
              <w:rPr>
                <w:b/>
              </w:rPr>
              <w:t>2012</w:t>
            </w:r>
          </w:p>
        </w:tc>
        <w:tc>
          <w:tcPr>
            <w:tcW w:w="1417" w:type="dxa"/>
            <w:shd w:val="clear" w:color="auto" w:fill="C6D9F1" w:themeFill="text2" w:themeFillTint="33"/>
          </w:tcPr>
          <w:p w:rsidR="00F52BCA" w:rsidRPr="00BC10D9" w:rsidRDefault="00F52BCA" w:rsidP="00627873">
            <w:pPr>
              <w:spacing w:line="240" w:lineRule="auto"/>
              <w:jc w:val="center"/>
              <w:rPr>
                <w:b/>
              </w:rPr>
            </w:pPr>
            <w:r w:rsidRPr="00BC10D9">
              <w:rPr>
                <w:b/>
              </w:rPr>
              <w:t>2011</w:t>
            </w:r>
          </w:p>
        </w:tc>
        <w:tc>
          <w:tcPr>
            <w:tcW w:w="1418" w:type="dxa"/>
            <w:shd w:val="clear" w:color="auto" w:fill="C6D9F1" w:themeFill="text2" w:themeFillTint="33"/>
          </w:tcPr>
          <w:p w:rsidR="00F52BCA" w:rsidRPr="00BC10D9" w:rsidRDefault="00F52BCA" w:rsidP="00627873">
            <w:pPr>
              <w:spacing w:line="240" w:lineRule="auto"/>
              <w:jc w:val="center"/>
              <w:rPr>
                <w:b/>
              </w:rPr>
            </w:pPr>
            <w:r w:rsidRPr="00BC10D9">
              <w:rPr>
                <w:b/>
              </w:rPr>
              <w:t>2010</w:t>
            </w:r>
          </w:p>
        </w:tc>
        <w:tc>
          <w:tcPr>
            <w:tcW w:w="1275" w:type="dxa"/>
            <w:shd w:val="clear" w:color="auto" w:fill="C6D9F1" w:themeFill="text2" w:themeFillTint="33"/>
          </w:tcPr>
          <w:p w:rsidR="00F52BCA" w:rsidRPr="00BC10D9" w:rsidRDefault="00F52BCA" w:rsidP="00627873">
            <w:pPr>
              <w:spacing w:line="240" w:lineRule="auto"/>
              <w:jc w:val="center"/>
              <w:rPr>
                <w:b/>
              </w:rPr>
            </w:pPr>
            <w:r w:rsidRPr="00BC10D9">
              <w:rPr>
                <w:b/>
              </w:rPr>
              <w:t>2009</w:t>
            </w:r>
          </w:p>
        </w:tc>
        <w:tc>
          <w:tcPr>
            <w:tcW w:w="1276" w:type="dxa"/>
            <w:shd w:val="clear" w:color="auto" w:fill="C6D9F1" w:themeFill="text2" w:themeFillTint="33"/>
          </w:tcPr>
          <w:p w:rsidR="000F4535" w:rsidRPr="00BC10D9" w:rsidRDefault="00F52BCA" w:rsidP="000F4535">
            <w:pPr>
              <w:spacing w:line="240" w:lineRule="auto"/>
              <w:jc w:val="center"/>
              <w:rPr>
                <w:b/>
              </w:rPr>
            </w:pPr>
            <w:r w:rsidRPr="00BC10D9">
              <w:rPr>
                <w:b/>
              </w:rPr>
              <w:t>2008</w:t>
            </w:r>
          </w:p>
        </w:tc>
      </w:tr>
      <w:tr w:rsidR="00F52BCA" w:rsidRPr="00F52BCA" w:rsidTr="00BC10D9">
        <w:trPr>
          <w:trHeight w:val="300"/>
        </w:trPr>
        <w:tc>
          <w:tcPr>
            <w:tcW w:w="2376" w:type="dxa"/>
            <w:noWrap/>
            <w:hideMark/>
          </w:tcPr>
          <w:p w:rsidR="00F52BCA" w:rsidRPr="005F6E84" w:rsidRDefault="00F52BCA" w:rsidP="00F52BCA">
            <w:pPr>
              <w:spacing w:line="240" w:lineRule="auto"/>
              <w:jc w:val="left"/>
              <w:rPr>
                <w:color w:val="000000"/>
              </w:rPr>
            </w:pPr>
            <w:proofErr w:type="spellStart"/>
            <w:r w:rsidRPr="005F6E84">
              <w:rPr>
                <w:color w:val="000000"/>
              </w:rPr>
              <w:t>Højresiden</w:t>
            </w:r>
            <w:proofErr w:type="spellEnd"/>
            <w:r w:rsidRPr="005F6E84">
              <w:rPr>
                <w:color w:val="000000"/>
              </w:rPr>
              <w:t xml:space="preserve"> </w:t>
            </w:r>
            <w:r w:rsidR="00052422">
              <w:rPr>
                <w:color w:val="000000"/>
              </w:rPr>
              <w:t>–</w:t>
            </w:r>
            <w:r w:rsidRPr="005F6E84">
              <w:rPr>
                <w:color w:val="000000"/>
              </w:rPr>
              <w:t xml:space="preserve"> Egenkapitalen</w:t>
            </w:r>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0,637</w:t>
            </w:r>
          </w:p>
        </w:tc>
        <w:tc>
          <w:tcPr>
            <w:tcW w:w="1417"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0,911</w:t>
            </w:r>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0,655</w:t>
            </w:r>
          </w:p>
        </w:tc>
        <w:tc>
          <w:tcPr>
            <w:tcW w:w="1275"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0,749</w:t>
            </w:r>
          </w:p>
        </w:tc>
        <w:tc>
          <w:tcPr>
            <w:tcW w:w="1276"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0,818</w:t>
            </w:r>
          </w:p>
        </w:tc>
      </w:tr>
      <w:tr w:rsidR="00F52BCA" w:rsidRPr="00F52BCA" w:rsidTr="00BC10D9">
        <w:trPr>
          <w:trHeight w:val="300"/>
        </w:trPr>
        <w:tc>
          <w:tcPr>
            <w:tcW w:w="2376" w:type="dxa"/>
            <w:noWrap/>
            <w:hideMark/>
          </w:tcPr>
          <w:p w:rsidR="00F52BCA" w:rsidRPr="005F6E84" w:rsidRDefault="00F52BCA" w:rsidP="00BC10D9">
            <w:pPr>
              <w:spacing w:line="240" w:lineRule="auto"/>
              <w:jc w:val="left"/>
              <w:rPr>
                <w:color w:val="000000"/>
              </w:rPr>
            </w:pPr>
            <w:r w:rsidRPr="005F6E84">
              <w:rPr>
                <w:color w:val="000000"/>
              </w:rPr>
              <w:t xml:space="preserve">Venstre siden </w:t>
            </w:r>
            <w:proofErr w:type="gramStart"/>
            <w:r w:rsidRPr="005F6E84">
              <w:rPr>
                <w:color w:val="000000"/>
              </w:rPr>
              <w:t>–</w:t>
            </w:r>
            <w:r w:rsidR="00BC10D9">
              <w:rPr>
                <w:color w:val="000000"/>
              </w:rPr>
              <w:t>f</w:t>
            </w:r>
            <w:r w:rsidRPr="005F6E84">
              <w:rPr>
                <w:color w:val="000000"/>
              </w:rPr>
              <w:t>remmedkap</w:t>
            </w:r>
            <w:proofErr w:type="gramEnd"/>
            <w:r w:rsidRPr="005F6E84">
              <w:rPr>
                <w:color w:val="000000"/>
              </w:rPr>
              <w:t>.</w:t>
            </w:r>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1,081</w:t>
            </w:r>
          </w:p>
        </w:tc>
        <w:tc>
          <w:tcPr>
            <w:tcW w:w="1417"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1,337</w:t>
            </w:r>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1,123</w:t>
            </w:r>
          </w:p>
        </w:tc>
        <w:tc>
          <w:tcPr>
            <w:tcW w:w="1275"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1,545</w:t>
            </w:r>
          </w:p>
        </w:tc>
        <w:tc>
          <w:tcPr>
            <w:tcW w:w="1276"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2,165</w:t>
            </w:r>
          </w:p>
        </w:tc>
      </w:tr>
      <w:tr w:rsidR="000F4535" w:rsidRPr="00F52BCA" w:rsidTr="00BC10D9">
        <w:trPr>
          <w:trHeight w:val="300"/>
        </w:trPr>
        <w:tc>
          <w:tcPr>
            <w:tcW w:w="2376" w:type="dxa"/>
            <w:noWrap/>
            <w:hideMark/>
          </w:tcPr>
          <w:p w:rsidR="000F4535" w:rsidRPr="005F6E84" w:rsidRDefault="000F4535" w:rsidP="000F4535">
            <w:pPr>
              <w:jc w:val="left"/>
              <w:rPr>
                <w:color w:val="000000"/>
              </w:rPr>
            </w:pPr>
            <w:proofErr w:type="spellStart"/>
            <w:r w:rsidRPr="005F6E84">
              <w:rPr>
                <w:color w:val="000000"/>
              </w:rPr>
              <w:t>k</w:t>
            </w:r>
            <w:r w:rsidRPr="005F6E84">
              <w:rPr>
                <w:color w:val="000000"/>
                <w:vertAlign w:val="subscript"/>
              </w:rPr>
              <w:t>d</w:t>
            </w:r>
            <w:proofErr w:type="spellEnd"/>
          </w:p>
        </w:tc>
        <w:tc>
          <w:tcPr>
            <w:tcW w:w="1418" w:type="dxa"/>
            <w:noWrap/>
            <w:vAlign w:val="bottom"/>
            <w:hideMark/>
          </w:tcPr>
          <w:p w:rsidR="000F4535" w:rsidRPr="000F4535" w:rsidRDefault="000F4535" w:rsidP="00BC10D9">
            <w:pPr>
              <w:jc w:val="right"/>
              <w:rPr>
                <w:color w:val="000000"/>
              </w:rPr>
            </w:pPr>
            <w:r w:rsidRPr="000F4535">
              <w:rPr>
                <w:color w:val="000000"/>
              </w:rPr>
              <w:t>0,0157</w:t>
            </w:r>
          </w:p>
        </w:tc>
        <w:tc>
          <w:tcPr>
            <w:tcW w:w="1417" w:type="dxa"/>
            <w:noWrap/>
            <w:vAlign w:val="bottom"/>
            <w:hideMark/>
          </w:tcPr>
          <w:p w:rsidR="000F4535" w:rsidRPr="000F4535" w:rsidRDefault="000F4535" w:rsidP="00BC10D9">
            <w:pPr>
              <w:jc w:val="right"/>
              <w:rPr>
                <w:color w:val="000000"/>
              </w:rPr>
            </w:pPr>
            <w:r w:rsidRPr="000F4535">
              <w:rPr>
                <w:color w:val="000000"/>
              </w:rPr>
              <w:t>0,0201</w:t>
            </w:r>
          </w:p>
        </w:tc>
        <w:tc>
          <w:tcPr>
            <w:tcW w:w="1418" w:type="dxa"/>
            <w:noWrap/>
            <w:vAlign w:val="bottom"/>
            <w:hideMark/>
          </w:tcPr>
          <w:p w:rsidR="000F4535" w:rsidRPr="000F4535" w:rsidRDefault="000F4535" w:rsidP="00BC10D9">
            <w:pPr>
              <w:jc w:val="right"/>
              <w:rPr>
                <w:color w:val="000000"/>
              </w:rPr>
            </w:pPr>
            <w:r w:rsidRPr="000F4535">
              <w:rPr>
                <w:color w:val="000000"/>
              </w:rPr>
              <w:t>0,0163</w:t>
            </w:r>
          </w:p>
        </w:tc>
        <w:tc>
          <w:tcPr>
            <w:tcW w:w="1275" w:type="dxa"/>
            <w:noWrap/>
            <w:vAlign w:val="bottom"/>
            <w:hideMark/>
          </w:tcPr>
          <w:p w:rsidR="000F4535" w:rsidRPr="000F4535" w:rsidRDefault="000F4535" w:rsidP="00BC10D9">
            <w:pPr>
              <w:jc w:val="right"/>
              <w:rPr>
                <w:color w:val="000000"/>
              </w:rPr>
            </w:pPr>
            <w:r w:rsidRPr="000F4535">
              <w:rPr>
                <w:color w:val="000000"/>
              </w:rPr>
              <w:t>0,0227</w:t>
            </w:r>
          </w:p>
        </w:tc>
        <w:tc>
          <w:tcPr>
            <w:tcW w:w="1276" w:type="dxa"/>
            <w:noWrap/>
            <w:vAlign w:val="bottom"/>
            <w:hideMark/>
          </w:tcPr>
          <w:p w:rsidR="000F4535" w:rsidRPr="000F4535" w:rsidRDefault="000F4535" w:rsidP="00BC10D9">
            <w:pPr>
              <w:jc w:val="right"/>
              <w:rPr>
                <w:color w:val="000000"/>
              </w:rPr>
            </w:pPr>
            <w:r w:rsidRPr="000F4535">
              <w:rPr>
                <w:color w:val="000000"/>
              </w:rPr>
              <w:t>0,0322</w:t>
            </w:r>
          </w:p>
        </w:tc>
      </w:tr>
      <w:tr w:rsidR="000F4535" w:rsidRPr="00F52BCA" w:rsidTr="00BC10D9">
        <w:trPr>
          <w:trHeight w:val="300"/>
        </w:trPr>
        <w:tc>
          <w:tcPr>
            <w:tcW w:w="2376" w:type="dxa"/>
            <w:noWrap/>
            <w:hideMark/>
          </w:tcPr>
          <w:p w:rsidR="000F4535" w:rsidRPr="005F6E84" w:rsidRDefault="000F4535" w:rsidP="000F4535">
            <w:pPr>
              <w:jc w:val="left"/>
              <w:rPr>
                <w:color w:val="000000"/>
              </w:rPr>
            </w:pPr>
            <w:r w:rsidRPr="005F6E84">
              <w:rPr>
                <w:color w:val="000000"/>
              </w:rPr>
              <w:t>L</w:t>
            </w:r>
          </w:p>
        </w:tc>
        <w:tc>
          <w:tcPr>
            <w:tcW w:w="1418" w:type="dxa"/>
            <w:noWrap/>
            <w:vAlign w:val="bottom"/>
            <w:hideMark/>
          </w:tcPr>
          <w:p w:rsidR="000F4535" w:rsidRPr="000F4535" w:rsidRDefault="000F4535" w:rsidP="00BC10D9">
            <w:pPr>
              <w:jc w:val="right"/>
              <w:rPr>
                <w:color w:val="000000"/>
              </w:rPr>
            </w:pPr>
            <w:r w:rsidRPr="000F4535">
              <w:rPr>
                <w:color w:val="000000"/>
              </w:rPr>
              <w:t>0,9204</w:t>
            </w:r>
          </w:p>
        </w:tc>
        <w:tc>
          <w:tcPr>
            <w:tcW w:w="1417" w:type="dxa"/>
            <w:noWrap/>
            <w:vAlign w:val="bottom"/>
            <w:hideMark/>
          </w:tcPr>
          <w:p w:rsidR="000F4535" w:rsidRPr="000F4535" w:rsidRDefault="000F4535" w:rsidP="00BC10D9">
            <w:pPr>
              <w:jc w:val="right"/>
              <w:rPr>
                <w:color w:val="000000"/>
              </w:rPr>
            </w:pPr>
            <w:r>
              <w:rPr>
                <w:color w:val="000000"/>
              </w:rPr>
              <w:t>0,8861</w:t>
            </w:r>
          </w:p>
        </w:tc>
        <w:tc>
          <w:tcPr>
            <w:tcW w:w="1418" w:type="dxa"/>
            <w:noWrap/>
            <w:vAlign w:val="bottom"/>
            <w:hideMark/>
          </w:tcPr>
          <w:p w:rsidR="000F4535" w:rsidRPr="000F4535" w:rsidRDefault="000F4535" w:rsidP="00BC10D9">
            <w:pPr>
              <w:jc w:val="right"/>
              <w:rPr>
                <w:color w:val="000000"/>
              </w:rPr>
            </w:pPr>
            <w:r>
              <w:rPr>
                <w:color w:val="000000"/>
              </w:rPr>
              <w:t>0,9181</w:t>
            </w:r>
          </w:p>
        </w:tc>
        <w:tc>
          <w:tcPr>
            <w:tcW w:w="1275" w:type="dxa"/>
            <w:noWrap/>
            <w:vAlign w:val="bottom"/>
            <w:hideMark/>
          </w:tcPr>
          <w:p w:rsidR="000F4535" w:rsidRPr="000F4535" w:rsidRDefault="000F4535" w:rsidP="00BC10D9">
            <w:pPr>
              <w:jc w:val="right"/>
              <w:rPr>
                <w:color w:val="000000"/>
              </w:rPr>
            </w:pPr>
            <w:r>
              <w:rPr>
                <w:color w:val="000000"/>
              </w:rPr>
              <w:t>0,9064</w:t>
            </w:r>
          </w:p>
        </w:tc>
        <w:tc>
          <w:tcPr>
            <w:tcW w:w="1276" w:type="dxa"/>
            <w:noWrap/>
            <w:vAlign w:val="bottom"/>
            <w:hideMark/>
          </w:tcPr>
          <w:p w:rsidR="000F4535" w:rsidRPr="000F4535" w:rsidRDefault="000F4535" w:rsidP="00BC10D9">
            <w:pPr>
              <w:jc w:val="right"/>
              <w:rPr>
                <w:color w:val="000000"/>
              </w:rPr>
            </w:pPr>
            <w:r>
              <w:rPr>
                <w:color w:val="000000"/>
              </w:rPr>
              <w:t>0,8977</w:t>
            </w:r>
          </w:p>
        </w:tc>
      </w:tr>
      <w:tr w:rsidR="00F52BCA" w:rsidRPr="00F52BCA" w:rsidTr="00BC10D9">
        <w:trPr>
          <w:trHeight w:val="375"/>
        </w:trPr>
        <w:tc>
          <w:tcPr>
            <w:tcW w:w="2376" w:type="dxa"/>
            <w:noWrap/>
            <w:hideMark/>
          </w:tcPr>
          <w:p w:rsidR="00F52BCA" w:rsidRPr="005F6E84" w:rsidRDefault="00F52BCA" w:rsidP="005F6E84">
            <w:pPr>
              <w:tabs>
                <w:tab w:val="left" w:pos="1735"/>
              </w:tabs>
              <w:spacing w:line="240" w:lineRule="auto"/>
              <w:jc w:val="left"/>
              <w:rPr>
                <w:color w:val="000000"/>
              </w:rPr>
            </w:pPr>
            <w:r w:rsidRPr="005F6E84">
              <w:rPr>
                <w:color w:val="000000"/>
              </w:rPr>
              <w:t>WACC (</w:t>
            </w:r>
            <w:proofErr w:type="spellStart"/>
            <w:r w:rsidRPr="005F6E84">
              <w:rPr>
                <w:color w:val="000000"/>
              </w:rPr>
              <w:t>k</w:t>
            </w:r>
            <w:r w:rsidRPr="005F6E84">
              <w:rPr>
                <w:color w:val="000000"/>
                <w:vertAlign w:val="subscript"/>
              </w:rPr>
              <w:t>w</w:t>
            </w:r>
            <w:proofErr w:type="spellEnd"/>
            <w:r w:rsidRPr="005F6E84">
              <w:rPr>
                <w:color w:val="000000"/>
              </w:rPr>
              <w:t>)</w:t>
            </w:r>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w:t>
            </w:r>
            <w:proofErr w:type="gramStart"/>
            <w:r w:rsidRPr="00F52BCA">
              <w:rPr>
                <w:color w:val="000000"/>
                <w:sz w:val="22"/>
                <w:szCs w:val="22"/>
              </w:rPr>
              <w:t>72%</w:t>
            </w:r>
            <w:proofErr w:type="gramEnd"/>
          </w:p>
        </w:tc>
        <w:tc>
          <w:tcPr>
            <w:tcW w:w="1417"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2,</w:t>
            </w:r>
            <w:proofErr w:type="gramStart"/>
            <w:r w:rsidRPr="00F52BCA">
              <w:rPr>
                <w:color w:val="000000"/>
                <w:sz w:val="22"/>
                <w:szCs w:val="22"/>
              </w:rPr>
              <w:t>25%</w:t>
            </w:r>
            <w:proofErr w:type="gramEnd"/>
          </w:p>
        </w:tc>
        <w:tc>
          <w:tcPr>
            <w:tcW w:w="1418"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1,</w:t>
            </w:r>
            <w:proofErr w:type="gramStart"/>
            <w:r w:rsidRPr="00F52BCA">
              <w:rPr>
                <w:color w:val="000000"/>
                <w:sz w:val="22"/>
                <w:szCs w:val="22"/>
              </w:rPr>
              <w:t>78%</w:t>
            </w:r>
            <w:proofErr w:type="gramEnd"/>
          </w:p>
        </w:tc>
        <w:tc>
          <w:tcPr>
            <w:tcW w:w="1275"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2,</w:t>
            </w:r>
            <w:proofErr w:type="gramStart"/>
            <w:r w:rsidRPr="00F52BCA">
              <w:rPr>
                <w:color w:val="000000"/>
                <w:sz w:val="22"/>
                <w:szCs w:val="22"/>
              </w:rPr>
              <w:t>29%</w:t>
            </w:r>
            <w:proofErr w:type="gramEnd"/>
          </w:p>
        </w:tc>
        <w:tc>
          <w:tcPr>
            <w:tcW w:w="1276" w:type="dxa"/>
            <w:noWrap/>
            <w:vAlign w:val="bottom"/>
            <w:hideMark/>
          </w:tcPr>
          <w:p w:rsidR="00F52BCA" w:rsidRPr="00F52BCA" w:rsidRDefault="00F52BCA" w:rsidP="00BC10D9">
            <w:pPr>
              <w:spacing w:line="240" w:lineRule="auto"/>
              <w:jc w:val="right"/>
              <w:rPr>
                <w:color w:val="000000"/>
                <w:sz w:val="22"/>
                <w:szCs w:val="22"/>
              </w:rPr>
            </w:pPr>
            <w:r w:rsidRPr="00F52BCA">
              <w:rPr>
                <w:color w:val="000000"/>
                <w:sz w:val="22"/>
                <w:szCs w:val="22"/>
              </w:rPr>
              <w:t>2,</w:t>
            </w:r>
            <w:proofErr w:type="gramStart"/>
            <w:r w:rsidRPr="00F52BCA">
              <w:rPr>
                <w:color w:val="000000"/>
                <w:sz w:val="22"/>
                <w:szCs w:val="22"/>
              </w:rPr>
              <w:t>98%</w:t>
            </w:r>
            <w:proofErr w:type="gramEnd"/>
          </w:p>
        </w:tc>
      </w:tr>
    </w:tbl>
    <w:p w:rsidR="00AD5DD5" w:rsidRPr="009259C7" w:rsidRDefault="009259C7" w:rsidP="003E37D8">
      <w:pPr>
        <w:spacing w:line="240" w:lineRule="auto"/>
        <w:rPr>
          <w:i/>
          <w:sz w:val="20"/>
        </w:rPr>
      </w:pPr>
      <w:r>
        <w:rPr>
          <w:sz w:val="20"/>
        </w:rPr>
        <w:t xml:space="preserve">Tabel 8: WACC – Den Jyske Sparekasse. </w:t>
      </w:r>
      <w:r>
        <w:rPr>
          <w:i/>
          <w:sz w:val="20"/>
        </w:rPr>
        <w:t>Kilde: Egne udregninger, se bilag B.</w:t>
      </w:r>
    </w:p>
    <w:p w:rsidR="009259C7" w:rsidRDefault="009259C7" w:rsidP="00BC10D9"/>
    <w:p w:rsidR="00052422" w:rsidRDefault="00052422" w:rsidP="00590AA9">
      <w:r>
        <w:t>Det ses i ovenstående tabel</w:t>
      </w:r>
      <w:r w:rsidR="00590AA9">
        <w:t>, at der er en faldende tendens i WACC for den Jyske. Igennem hele perioden er WACC faldende svarende til et fald på 46,1 % fra 2008 til 2012. Derved kan vi konkludere, at det er blevet bil</w:t>
      </w:r>
      <w:r>
        <w:t>ligere at drive pengeinstitut i</w:t>
      </w:r>
      <w:r w:rsidR="00590AA9">
        <w:t>det</w:t>
      </w:r>
      <w:r w:rsidR="00D90F97">
        <w:t>,</w:t>
      </w:r>
      <w:r w:rsidR="00590AA9">
        <w:t xml:space="preserve"> deres finansieringsomkostninger er faldet. Alt andet lige er deres konkurrenceevne forbedret, hvis konkurrenternes WACC ikke er faldet i samme tempo</w:t>
      </w:r>
      <w:r>
        <w:t xml:space="preserve"> eller niveau</w:t>
      </w:r>
      <w:r w:rsidR="00590AA9">
        <w:t>.</w:t>
      </w:r>
      <w:r w:rsidR="00D60B8D">
        <w:t xml:space="preserve"> </w:t>
      </w:r>
    </w:p>
    <w:p w:rsidR="00D60B8D" w:rsidRDefault="005F2AA6" w:rsidP="00590AA9">
      <w:r>
        <w:t xml:space="preserve">Derudover har de i perioden forbedret deres renteudgifter, og stigningen som ses i 2012 må alt andet lige skyldes de tre fusioner. </w:t>
      </w:r>
    </w:p>
    <w:p w:rsidR="00A52CD5" w:rsidRDefault="00A52CD5" w:rsidP="00590AA9"/>
    <w:p w:rsidR="00590AA9" w:rsidRDefault="00D60B8D" w:rsidP="00590AA9">
      <w:r>
        <w:t xml:space="preserve">Af ovenstående kan man også konkludere, at Den Jyske alt andet lige også har forbedret deres rentemarginal, som også har været en tendens i den danske finansielle sektor. Dette ses i en faldende </w:t>
      </w:r>
      <w:proofErr w:type="spellStart"/>
      <w:r>
        <w:t>k</w:t>
      </w:r>
      <w:r>
        <w:rPr>
          <w:vertAlign w:val="subscript"/>
        </w:rPr>
        <w:t>d</w:t>
      </w:r>
      <w:proofErr w:type="spellEnd"/>
      <w:r>
        <w:t>, og en stigende L.</w:t>
      </w:r>
      <w:r w:rsidR="007A4D3D">
        <w:t xml:space="preserve"> </w:t>
      </w:r>
      <w:r w:rsidR="00A55680">
        <w:t xml:space="preserve"> </w:t>
      </w:r>
      <w:r>
        <w:t xml:space="preserve"> </w:t>
      </w:r>
      <w:r w:rsidR="00590AA9">
        <w:t xml:space="preserve"> </w:t>
      </w:r>
    </w:p>
    <w:p w:rsidR="00A52CD5" w:rsidRDefault="00A52CD5" w:rsidP="00590AA9"/>
    <w:p w:rsidR="00A173D8" w:rsidRDefault="00052422" w:rsidP="00590AA9">
      <w:r>
        <w:lastRenderedPageBreak/>
        <w:t>Det ses endvidere, at der</w:t>
      </w:r>
      <w:r w:rsidR="00A52CD5">
        <w:t xml:space="preserve"> i 2012 er blevet næsten dobbelt så billigt for Den Jyske at hente kapital i markede</w:t>
      </w:r>
      <w:r>
        <w:t>t end i 2008. Derudover</w:t>
      </w:r>
      <w:r w:rsidR="00A52CD5">
        <w:t xml:space="preserve"> har egenkapitalen haft en faldende tendens i perioden – dog steg den i 2011. Den Jyske kan med fordel udnytte, at de betaler mindre for deres egenkapital end for fremmedkapitalen.</w:t>
      </w:r>
    </w:p>
    <w:p w:rsidR="00067525" w:rsidRDefault="00067525" w:rsidP="00590AA9"/>
    <w:p w:rsidR="00067525" w:rsidRPr="00A23792" w:rsidRDefault="00067525" w:rsidP="00590AA9">
      <w:r>
        <w:t>I nedenstående tabel ses WACC for Dronninglund Sparekasse:</w:t>
      </w:r>
    </w:p>
    <w:tbl>
      <w:tblPr>
        <w:tblStyle w:val="Tabel-Gitter"/>
        <w:tblW w:w="9070" w:type="dxa"/>
        <w:tblLook w:val="04A0" w:firstRow="1" w:lastRow="0" w:firstColumn="1" w:lastColumn="0" w:noHBand="0" w:noVBand="1"/>
      </w:tblPr>
      <w:tblGrid>
        <w:gridCol w:w="2093"/>
        <w:gridCol w:w="1417"/>
        <w:gridCol w:w="1418"/>
        <w:gridCol w:w="1417"/>
        <w:gridCol w:w="1276"/>
        <w:gridCol w:w="1417"/>
        <w:gridCol w:w="32"/>
      </w:tblGrid>
      <w:tr w:rsidR="00594C1C" w:rsidRPr="003E37D8" w:rsidTr="00BC10D9">
        <w:tc>
          <w:tcPr>
            <w:tcW w:w="9070" w:type="dxa"/>
            <w:gridSpan w:val="7"/>
            <w:shd w:val="clear" w:color="auto" w:fill="C6D9F1" w:themeFill="text2" w:themeFillTint="33"/>
          </w:tcPr>
          <w:p w:rsidR="00594C1C" w:rsidRPr="00BC10D9" w:rsidRDefault="00594C1C" w:rsidP="00500BB9">
            <w:pPr>
              <w:spacing w:line="240" w:lineRule="auto"/>
              <w:jc w:val="center"/>
              <w:rPr>
                <w:b/>
              </w:rPr>
            </w:pPr>
            <w:r w:rsidRPr="00BC10D9">
              <w:rPr>
                <w:b/>
              </w:rPr>
              <w:t>WACC – Dronninglund Sparekasse</w:t>
            </w:r>
          </w:p>
        </w:tc>
      </w:tr>
      <w:tr w:rsidR="00A23792" w:rsidRPr="00D90F97" w:rsidTr="00BC10D9">
        <w:trPr>
          <w:gridAfter w:val="1"/>
          <w:wAfter w:w="32" w:type="dxa"/>
        </w:trPr>
        <w:tc>
          <w:tcPr>
            <w:tcW w:w="2093" w:type="dxa"/>
            <w:shd w:val="clear" w:color="auto" w:fill="C6D9F1" w:themeFill="text2" w:themeFillTint="33"/>
          </w:tcPr>
          <w:p w:rsidR="00A23792" w:rsidRPr="00BC10D9" w:rsidRDefault="00A23792" w:rsidP="00F8343C">
            <w:pPr>
              <w:spacing w:line="240" w:lineRule="auto"/>
              <w:jc w:val="center"/>
              <w:rPr>
                <w:b/>
              </w:rPr>
            </w:pPr>
          </w:p>
        </w:tc>
        <w:tc>
          <w:tcPr>
            <w:tcW w:w="1417" w:type="dxa"/>
            <w:shd w:val="clear" w:color="auto" w:fill="C6D9F1" w:themeFill="text2" w:themeFillTint="33"/>
          </w:tcPr>
          <w:p w:rsidR="00A23792" w:rsidRPr="00BC10D9" w:rsidRDefault="00A23792" w:rsidP="00F8343C">
            <w:pPr>
              <w:spacing w:line="240" w:lineRule="auto"/>
              <w:jc w:val="center"/>
              <w:rPr>
                <w:b/>
              </w:rPr>
            </w:pPr>
            <w:r w:rsidRPr="00BC10D9">
              <w:rPr>
                <w:b/>
              </w:rPr>
              <w:t>2012</w:t>
            </w:r>
          </w:p>
        </w:tc>
        <w:tc>
          <w:tcPr>
            <w:tcW w:w="1418" w:type="dxa"/>
            <w:shd w:val="clear" w:color="auto" w:fill="C6D9F1" w:themeFill="text2" w:themeFillTint="33"/>
          </w:tcPr>
          <w:p w:rsidR="00A23792" w:rsidRPr="00BC10D9" w:rsidRDefault="00A23792" w:rsidP="00F8343C">
            <w:pPr>
              <w:spacing w:line="240" w:lineRule="auto"/>
              <w:jc w:val="center"/>
              <w:rPr>
                <w:b/>
              </w:rPr>
            </w:pPr>
            <w:r w:rsidRPr="00BC10D9">
              <w:rPr>
                <w:b/>
              </w:rPr>
              <w:t>2011</w:t>
            </w:r>
          </w:p>
        </w:tc>
        <w:tc>
          <w:tcPr>
            <w:tcW w:w="1417" w:type="dxa"/>
            <w:shd w:val="clear" w:color="auto" w:fill="C6D9F1" w:themeFill="text2" w:themeFillTint="33"/>
          </w:tcPr>
          <w:p w:rsidR="00A23792" w:rsidRPr="00BC10D9" w:rsidRDefault="00A23792" w:rsidP="00F8343C">
            <w:pPr>
              <w:spacing w:line="240" w:lineRule="auto"/>
              <w:jc w:val="center"/>
              <w:rPr>
                <w:b/>
              </w:rPr>
            </w:pPr>
            <w:r w:rsidRPr="00BC10D9">
              <w:rPr>
                <w:b/>
              </w:rPr>
              <w:t>2010</w:t>
            </w:r>
          </w:p>
        </w:tc>
        <w:tc>
          <w:tcPr>
            <w:tcW w:w="1276" w:type="dxa"/>
            <w:shd w:val="clear" w:color="auto" w:fill="C6D9F1" w:themeFill="text2" w:themeFillTint="33"/>
          </w:tcPr>
          <w:p w:rsidR="00A23792" w:rsidRPr="00BC10D9" w:rsidRDefault="00A23792" w:rsidP="00F8343C">
            <w:pPr>
              <w:spacing w:line="240" w:lineRule="auto"/>
              <w:jc w:val="center"/>
              <w:rPr>
                <w:b/>
              </w:rPr>
            </w:pPr>
            <w:r w:rsidRPr="00BC10D9">
              <w:rPr>
                <w:b/>
              </w:rPr>
              <w:t>2009</w:t>
            </w:r>
          </w:p>
        </w:tc>
        <w:tc>
          <w:tcPr>
            <w:tcW w:w="1417" w:type="dxa"/>
            <w:shd w:val="clear" w:color="auto" w:fill="C6D9F1" w:themeFill="text2" w:themeFillTint="33"/>
          </w:tcPr>
          <w:p w:rsidR="00A23792" w:rsidRPr="00BC10D9" w:rsidRDefault="00A23792" w:rsidP="00F8343C">
            <w:pPr>
              <w:spacing w:line="240" w:lineRule="auto"/>
              <w:jc w:val="center"/>
              <w:rPr>
                <w:b/>
              </w:rPr>
            </w:pPr>
            <w:r w:rsidRPr="00BC10D9">
              <w:rPr>
                <w:b/>
              </w:rPr>
              <w:t>2008</w:t>
            </w:r>
          </w:p>
        </w:tc>
      </w:tr>
      <w:tr w:rsidR="00A23792" w:rsidRPr="00D90F97" w:rsidTr="00BC10D9">
        <w:trPr>
          <w:gridAfter w:val="1"/>
          <w:wAfter w:w="32" w:type="dxa"/>
          <w:trHeight w:val="300"/>
        </w:trPr>
        <w:tc>
          <w:tcPr>
            <w:tcW w:w="2093" w:type="dxa"/>
            <w:noWrap/>
            <w:hideMark/>
          </w:tcPr>
          <w:p w:rsidR="00A23792" w:rsidRPr="00D90F97" w:rsidRDefault="00A23792" w:rsidP="00A23792">
            <w:pPr>
              <w:spacing w:line="240" w:lineRule="auto"/>
              <w:jc w:val="left"/>
              <w:rPr>
                <w:color w:val="000000"/>
              </w:rPr>
            </w:pPr>
            <w:r w:rsidRPr="00D90F97">
              <w:rPr>
                <w:color w:val="000000"/>
              </w:rPr>
              <w:t> </w:t>
            </w:r>
            <w:proofErr w:type="spellStart"/>
            <w:r w:rsidRPr="00D90F97">
              <w:rPr>
                <w:color w:val="000000"/>
              </w:rPr>
              <w:t>Højresiden</w:t>
            </w:r>
            <w:proofErr w:type="spellEnd"/>
            <w:r w:rsidRPr="00D90F97">
              <w:rPr>
                <w:color w:val="000000"/>
              </w:rPr>
              <w:t xml:space="preserve"> - Egenkapitalen</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0,537</w:t>
            </w:r>
          </w:p>
        </w:tc>
        <w:tc>
          <w:tcPr>
            <w:tcW w:w="1418" w:type="dxa"/>
            <w:noWrap/>
            <w:vAlign w:val="bottom"/>
            <w:hideMark/>
          </w:tcPr>
          <w:p w:rsidR="00A23792" w:rsidRPr="00D90F97" w:rsidRDefault="00A23792" w:rsidP="00BC10D9">
            <w:pPr>
              <w:spacing w:line="240" w:lineRule="auto"/>
              <w:jc w:val="right"/>
              <w:rPr>
                <w:color w:val="000000"/>
              </w:rPr>
            </w:pPr>
            <w:r w:rsidRPr="00D90F97">
              <w:rPr>
                <w:color w:val="000000"/>
              </w:rPr>
              <w:t>0,516</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0,496</w:t>
            </w:r>
          </w:p>
        </w:tc>
        <w:tc>
          <w:tcPr>
            <w:tcW w:w="1276" w:type="dxa"/>
            <w:noWrap/>
            <w:vAlign w:val="bottom"/>
            <w:hideMark/>
          </w:tcPr>
          <w:p w:rsidR="00A23792" w:rsidRPr="00D90F97" w:rsidRDefault="00A23792" w:rsidP="00BC10D9">
            <w:pPr>
              <w:spacing w:line="240" w:lineRule="auto"/>
              <w:jc w:val="right"/>
              <w:rPr>
                <w:color w:val="000000"/>
              </w:rPr>
            </w:pPr>
            <w:r w:rsidRPr="00D90F97">
              <w:rPr>
                <w:color w:val="000000"/>
              </w:rPr>
              <w:t>0,550</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0,598</w:t>
            </w:r>
          </w:p>
        </w:tc>
      </w:tr>
      <w:tr w:rsidR="00A23792" w:rsidRPr="00D90F97" w:rsidTr="00BC10D9">
        <w:trPr>
          <w:gridAfter w:val="1"/>
          <w:wAfter w:w="32" w:type="dxa"/>
          <w:trHeight w:val="300"/>
        </w:trPr>
        <w:tc>
          <w:tcPr>
            <w:tcW w:w="2093" w:type="dxa"/>
            <w:noWrap/>
            <w:hideMark/>
          </w:tcPr>
          <w:p w:rsidR="00A23792" w:rsidRPr="00D90F97" w:rsidRDefault="00A23792" w:rsidP="00A23792">
            <w:pPr>
              <w:spacing w:line="240" w:lineRule="auto"/>
              <w:jc w:val="left"/>
              <w:rPr>
                <w:color w:val="000000"/>
              </w:rPr>
            </w:pPr>
            <w:r w:rsidRPr="00D90F97">
              <w:rPr>
                <w:color w:val="000000"/>
              </w:rPr>
              <w:t> Venstresiden – Fremmedkap.</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1,624</w:t>
            </w:r>
          </w:p>
        </w:tc>
        <w:tc>
          <w:tcPr>
            <w:tcW w:w="1418" w:type="dxa"/>
            <w:noWrap/>
            <w:vAlign w:val="bottom"/>
            <w:hideMark/>
          </w:tcPr>
          <w:p w:rsidR="00A23792" w:rsidRPr="00D90F97" w:rsidRDefault="00A23792" w:rsidP="00BC10D9">
            <w:pPr>
              <w:spacing w:line="240" w:lineRule="auto"/>
              <w:jc w:val="right"/>
              <w:rPr>
                <w:color w:val="000000"/>
              </w:rPr>
            </w:pPr>
            <w:r w:rsidRPr="00D90F97">
              <w:rPr>
                <w:color w:val="000000"/>
              </w:rPr>
              <w:t>1,645</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1,614</w:t>
            </w:r>
          </w:p>
        </w:tc>
        <w:tc>
          <w:tcPr>
            <w:tcW w:w="1276" w:type="dxa"/>
            <w:noWrap/>
            <w:vAlign w:val="bottom"/>
            <w:hideMark/>
          </w:tcPr>
          <w:p w:rsidR="00A23792" w:rsidRPr="00D90F97" w:rsidRDefault="00A23792" w:rsidP="00BC10D9">
            <w:pPr>
              <w:spacing w:line="240" w:lineRule="auto"/>
              <w:jc w:val="right"/>
              <w:rPr>
                <w:color w:val="000000"/>
              </w:rPr>
            </w:pPr>
            <w:r w:rsidRPr="00D90F97">
              <w:rPr>
                <w:color w:val="000000"/>
              </w:rPr>
              <w:t>1,820</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2,895</w:t>
            </w:r>
          </w:p>
        </w:tc>
      </w:tr>
      <w:tr w:rsidR="004765F2" w:rsidRPr="00D90F97" w:rsidTr="00BC10D9">
        <w:trPr>
          <w:gridAfter w:val="1"/>
          <w:wAfter w:w="32" w:type="dxa"/>
          <w:trHeight w:val="300"/>
        </w:trPr>
        <w:tc>
          <w:tcPr>
            <w:tcW w:w="2093" w:type="dxa"/>
            <w:noWrap/>
            <w:hideMark/>
          </w:tcPr>
          <w:p w:rsidR="004765F2" w:rsidRPr="00D90F97" w:rsidRDefault="004765F2" w:rsidP="00A23792">
            <w:pPr>
              <w:spacing w:line="240" w:lineRule="auto"/>
              <w:jc w:val="left"/>
              <w:rPr>
                <w:color w:val="000000"/>
              </w:rPr>
            </w:pPr>
            <w:proofErr w:type="spellStart"/>
            <w:r w:rsidRPr="00D90F97">
              <w:rPr>
                <w:color w:val="000000"/>
              </w:rPr>
              <w:t>k</w:t>
            </w:r>
            <w:r w:rsidRPr="00D90F97">
              <w:rPr>
                <w:color w:val="000000"/>
                <w:vertAlign w:val="subscript"/>
              </w:rPr>
              <w:t>d</w:t>
            </w:r>
            <w:proofErr w:type="spellEnd"/>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0,0232</w:t>
            </w:r>
          </w:p>
        </w:tc>
        <w:tc>
          <w:tcPr>
            <w:tcW w:w="1418" w:type="dxa"/>
            <w:noWrap/>
            <w:vAlign w:val="bottom"/>
            <w:hideMark/>
          </w:tcPr>
          <w:p w:rsidR="004765F2" w:rsidRPr="00D90F97" w:rsidRDefault="004765F2" w:rsidP="00BC10D9">
            <w:pPr>
              <w:spacing w:line="240" w:lineRule="auto"/>
              <w:jc w:val="right"/>
              <w:rPr>
                <w:color w:val="000000"/>
              </w:rPr>
            </w:pPr>
            <w:r w:rsidRPr="00D90F97">
              <w:rPr>
                <w:color w:val="000000"/>
              </w:rPr>
              <w:t>0,0234</w:t>
            </w:r>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0,0229</w:t>
            </w:r>
          </w:p>
        </w:tc>
        <w:tc>
          <w:tcPr>
            <w:tcW w:w="1276" w:type="dxa"/>
            <w:noWrap/>
            <w:vAlign w:val="bottom"/>
            <w:hideMark/>
          </w:tcPr>
          <w:p w:rsidR="004765F2" w:rsidRPr="00D90F97" w:rsidRDefault="004765F2" w:rsidP="00BC10D9">
            <w:pPr>
              <w:spacing w:line="240" w:lineRule="auto"/>
              <w:jc w:val="right"/>
              <w:rPr>
                <w:color w:val="000000"/>
              </w:rPr>
            </w:pPr>
            <w:r w:rsidRPr="00D90F97">
              <w:rPr>
                <w:color w:val="000000"/>
              </w:rPr>
              <w:t>0,0261</w:t>
            </w:r>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0,0417</w:t>
            </w:r>
          </w:p>
        </w:tc>
      </w:tr>
      <w:tr w:rsidR="004765F2" w:rsidRPr="00D90F97" w:rsidTr="00BC10D9">
        <w:trPr>
          <w:gridAfter w:val="1"/>
          <w:wAfter w:w="32" w:type="dxa"/>
          <w:trHeight w:val="300"/>
        </w:trPr>
        <w:tc>
          <w:tcPr>
            <w:tcW w:w="2093" w:type="dxa"/>
            <w:noWrap/>
            <w:hideMark/>
          </w:tcPr>
          <w:p w:rsidR="004765F2" w:rsidRPr="00D90F97" w:rsidRDefault="004765F2" w:rsidP="00A23792">
            <w:pPr>
              <w:spacing w:line="240" w:lineRule="auto"/>
              <w:jc w:val="left"/>
              <w:rPr>
                <w:color w:val="000000"/>
              </w:rPr>
            </w:pPr>
            <w:r w:rsidRPr="00D90F97">
              <w:rPr>
                <w:color w:val="000000"/>
              </w:rPr>
              <w:t>L</w:t>
            </w:r>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0,9328</w:t>
            </w:r>
          </w:p>
        </w:tc>
        <w:tc>
          <w:tcPr>
            <w:tcW w:w="1418" w:type="dxa"/>
            <w:noWrap/>
            <w:vAlign w:val="bottom"/>
            <w:hideMark/>
          </w:tcPr>
          <w:p w:rsidR="004765F2" w:rsidRPr="00D90F97" w:rsidRDefault="004765F2" w:rsidP="00BC10D9">
            <w:pPr>
              <w:spacing w:line="240" w:lineRule="auto"/>
              <w:jc w:val="right"/>
              <w:rPr>
                <w:color w:val="000000"/>
              </w:rPr>
            </w:pPr>
            <w:r w:rsidRPr="00D90F97">
              <w:rPr>
                <w:color w:val="000000"/>
              </w:rPr>
              <w:t>0,9355</w:t>
            </w:r>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0,9380</w:t>
            </w:r>
          </w:p>
        </w:tc>
        <w:tc>
          <w:tcPr>
            <w:tcW w:w="1276" w:type="dxa"/>
            <w:noWrap/>
            <w:vAlign w:val="bottom"/>
            <w:hideMark/>
          </w:tcPr>
          <w:p w:rsidR="004765F2" w:rsidRPr="00D90F97" w:rsidRDefault="004765F2" w:rsidP="00BC10D9">
            <w:pPr>
              <w:spacing w:line="240" w:lineRule="auto"/>
              <w:jc w:val="right"/>
              <w:rPr>
                <w:color w:val="000000"/>
              </w:rPr>
            </w:pPr>
            <w:r w:rsidRPr="00D90F97">
              <w:rPr>
                <w:color w:val="000000"/>
              </w:rPr>
              <w:t>0,9313</w:t>
            </w:r>
          </w:p>
        </w:tc>
        <w:tc>
          <w:tcPr>
            <w:tcW w:w="1417" w:type="dxa"/>
            <w:noWrap/>
            <w:vAlign w:val="bottom"/>
            <w:hideMark/>
          </w:tcPr>
          <w:p w:rsidR="004765F2" w:rsidRPr="00D90F97" w:rsidRDefault="004765F2" w:rsidP="00BC10D9">
            <w:pPr>
              <w:spacing w:line="240" w:lineRule="auto"/>
              <w:jc w:val="right"/>
              <w:rPr>
                <w:color w:val="000000"/>
              </w:rPr>
            </w:pPr>
            <w:r w:rsidRPr="00D90F97">
              <w:rPr>
                <w:color w:val="000000"/>
              </w:rPr>
              <w:t>0,9253</w:t>
            </w:r>
          </w:p>
        </w:tc>
      </w:tr>
      <w:tr w:rsidR="00A23792" w:rsidRPr="00D90F97" w:rsidTr="00BC10D9">
        <w:trPr>
          <w:gridAfter w:val="1"/>
          <w:wAfter w:w="32" w:type="dxa"/>
          <w:trHeight w:val="375"/>
        </w:trPr>
        <w:tc>
          <w:tcPr>
            <w:tcW w:w="2093" w:type="dxa"/>
            <w:noWrap/>
            <w:hideMark/>
          </w:tcPr>
          <w:p w:rsidR="00A23792" w:rsidRPr="00D90F97" w:rsidRDefault="00A23792" w:rsidP="00A23792">
            <w:pPr>
              <w:spacing w:line="240" w:lineRule="auto"/>
              <w:jc w:val="left"/>
              <w:rPr>
                <w:color w:val="000000"/>
              </w:rPr>
            </w:pPr>
            <w:r w:rsidRPr="00D90F97">
              <w:rPr>
                <w:color w:val="000000"/>
              </w:rPr>
              <w:t> WACC</w:t>
            </w:r>
            <w:r w:rsidR="00F52BCA" w:rsidRPr="00D90F97">
              <w:rPr>
                <w:color w:val="000000"/>
              </w:rPr>
              <w:t xml:space="preserve"> (</w:t>
            </w:r>
            <w:proofErr w:type="spellStart"/>
            <w:r w:rsidR="00F52BCA" w:rsidRPr="00D90F97">
              <w:rPr>
                <w:color w:val="000000"/>
              </w:rPr>
              <w:t>k</w:t>
            </w:r>
            <w:r w:rsidR="00F52BCA" w:rsidRPr="00D90F97">
              <w:rPr>
                <w:color w:val="000000"/>
                <w:vertAlign w:val="subscript"/>
              </w:rPr>
              <w:t>w</w:t>
            </w:r>
            <w:proofErr w:type="spellEnd"/>
            <w:r w:rsidR="00F52BCA" w:rsidRPr="00D90F97">
              <w:rPr>
                <w:color w:val="000000"/>
              </w:rPr>
              <w:t>)</w:t>
            </w:r>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2,</w:t>
            </w:r>
            <w:proofErr w:type="gramStart"/>
            <w:r w:rsidRPr="00D90F97">
              <w:rPr>
                <w:color w:val="000000"/>
              </w:rPr>
              <w:t>16%</w:t>
            </w:r>
            <w:proofErr w:type="gramEnd"/>
          </w:p>
        </w:tc>
        <w:tc>
          <w:tcPr>
            <w:tcW w:w="1418" w:type="dxa"/>
            <w:noWrap/>
            <w:vAlign w:val="bottom"/>
            <w:hideMark/>
          </w:tcPr>
          <w:p w:rsidR="00A23792" w:rsidRPr="00D90F97" w:rsidRDefault="00A23792" w:rsidP="00BC10D9">
            <w:pPr>
              <w:spacing w:line="240" w:lineRule="auto"/>
              <w:jc w:val="right"/>
              <w:rPr>
                <w:color w:val="000000"/>
              </w:rPr>
            </w:pPr>
            <w:r w:rsidRPr="00D90F97">
              <w:rPr>
                <w:color w:val="000000"/>
              </w:rPr>
              <w:t>2,</w:t>
            </w:r>
            <w:proofErr w:type="gramStart"/>
            <w:r w:rsidRPr="00D90F97">
              <w:rPr>
                <w:color w:val="000000"/>
              </w:rPr>
              <w:t>16%</w:t>
            </w:r>
            <w:proofErr w:type="gramEnd"/>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2,</w:t>
            </w:r>
            <w:proofErr w:type="gramStart"/>
            <w:r w:rsidRPr="00D90F97">
              <w:rPr>
                <w:color w:val="000000"/>
              </w:rPr>
              <w:t>11%</w:t>
            </w:r>
            <w:proofErr w:type="gramEnd"/>
          </w:p>
        </w:tc>
        <w:tc>
          <w:tcPr>
            <w:tcW w:w="1276" w:type="dxa"/>
            <w:noWrap/>
            <w:vAlign w:val="bottom"/>
            <w:hideMark/>
          </w:tcPr>
          <w:p w:rsidR="00A23792" w:rsidRPr="00D90F97" w:rsidRDefault="00A23792" w:rsidP="00BC10D9">
            <w:pPr>
              <w:spacing w:line="240" w:lineRule="auto"/>
              <w:jc w:val="right"/>
              <w:rPr>
                <w:color w:val="000000"/>
              </w:rPr>
            </w:pPr>
            <w:r w:rsidRPr="00D90F97">
              <w:rPr>
                <w:color w:val="000000"/>
              </w:rPr>
              <w:t>2,</w:t>
            </w:r>
            <w:proofErr w:type="gramStart"/>
            <w:r w:rsidRPr="00D90F97">
              <w:rPr>
                <w:color w:val="000000"/>
              </w:rPr>
              <w:t>37%</w:t>
            </w:r>
            <w:proofErr w:type="gramEnd"/>
          </w:p>
        </w:tc>
        <w:tc>
          <w:tcPr>
            <w:tcW w:w="1417" w:type="dxa"/>
            <w:noWrap/>
            <w:vAlign w:val="bottom"/>
            <w:hideMark/>
          </w:tcPr>
          <w:p w:rsidR="00A23792" w:rsidRPr="00D90F97" w:rsidRDefault="00A23792" w:rsidP="00BC10D9">
            <w:pPr>
              <w:spacing w:line="240" w:lineRule="auto"/>
              <w:jc w:val="right"/>
              <w:rPr>
                <w:color w:val="000000"/>
              </w:rPr>
            </w:pPr>
            <w:r w:rsidRPr="00D90F97">
              <w:rPr>
                <w:color w:val="000000"/>
              </w:rPr>
              <w:t>3,</w:t>
            </w:r>
            <w:proofErr w:type="gramStart"/>
            <w:r w:rsidRPr="00D90F97">
              <w:rPr>
                <w:color w:val="000000"/>
              </w:rPr>
              <w:t>49%</w:t>
            </w:r>
            <w:proofErr w:type="gramEnd"/>
          </w:p>
        </w:tc>
      </w:tr>
    </w:tbl>
    <w:p w:rsidR="009259C7" w:rsidRPr="009259C7" w:rsidRDefault="009259C7" w:rsidP="009259C7">
      <w:pPr>
        <w:spacing w:line="240" w:lineRule="auto"/>
        <w:rPr>
          <w:i/>
          <w:sz w:val="20"/>
        </w:rPr>
      </w:pPr>
      <w:r>
        <w:rPr>
          <w:sz w:val="20"/>
        </w:rPr>
        <w:t xml:space="preserve">Tabel 9: WACC – Dronninglund Sparekasse. </w:t>
      </w:r>
      <w:r>
        <w:rPr>
          <w:i/>
          <w:sz w:val="20"/>
        </w:rPr>
        <w:t>Kilde: Egne udregninger, se bilag B.</w:t>
      </w:r>
    </w:p>
    <w:p w:rsidR="00594C1C" w:rsidRDefault="00594C1C" w:rsidP="00590AA9">
      <w:pPr>
        <w:rPr>
          <w:color w:val="FF0000"/>
        </w:rPr>
      </w:pPr>
    </w:p>
    <w:p w:rsidR="005C1BF5" w:rsidRDefault="005C1BF5" w:rsidP="00590AA9">
      <w:r>
        <w:t>WACC er generelt forbedret i perioden</w:t>
      </w:r>
      <w:r w:rsidR="00FE3AFF">
        <w:t xml:space="preserve">, og endte i 2,16 % i 2012. Dette skyldes bl.a., at de har </w:t>
      </w:r>
      <w:r>
        <w:t xml:space="preserve">forbedret deres renteudgifter væsentligt. </w:t>
      </w:r>
    </w:p>
    <w:p w:rsidR="00F16063" w:rsidRDefault="00F8343C" w:rsidP="00590AA9">
      <w:r>
        <w:t>Grunden til</w:t>
      </w:r>
      <w:r w:rsidR="00D33217">
        <w:t>,</w:t>
      </w:r>
      <w:r>
        <w:t xml:space="preserve"> at deres renteudgifter er faldet er, at deres </w:t>
      </w:r>
      <w:r w:rsidR="00335B56">
        <w:t xml:space="preserve">garantkapital </w:t>
      </w:r>
      <w:r>
        <w:t>er faldet</w:t>
      </w:r>
      <w:r w:rsidR="00335B56">
        <w:t xml:space="preserve">. Faldet i garantkapitalen har gjort, at </w:t>
      </w:r>
      <w:proofErr w:type="spellStart"/>
      <w:r w:rsidR="00B84092">
        <w:t>DS’s</w:t>
      </w:r>
      <w:proofErr w:type="spellEnd"/>
      <w:r w:rsidR="00B84092">
        <w:t xml:space="preserve"> </w:t>
      </w:r>
      <w:r w:rsidR="00335B56">
        <w:t xml:space="preserve">indlån ligeledes er faldet. Alt dette har gjort, at DS har </w:t>
      </w:r>
      <w:r>
        <w:t>forbedret</w:t>
      </w:r>
      <w:r w:rsidR="005C1BF5">
        <w:t xml:space="preserve"> </w:t>
      </w:r>
      <w:r w:rsidR="00335B56">
        <w:t xml:space="preserve">sin </w:t>
      </w:r>
      <w:r w:rsidR="005C1BF5">
        <w:t xml:space="preserve">WACC. </w:t>
      </w:r>
    </w:p>
    <w:p w:rsidR="00335B56" w:rsidRDefault="00335B56" w:rsidP="00590AA9"/>
    <w:p w:rsidR="00F8343C" w:rsidRDefault="00052422" w:rsidP="00590AA9">
      <w:r>
        <w:t>Det</w:t>
      </w:r>
      <w:r w:rsidR="00335B56">
        <w:t xml:space="preserve"> er b</w:t>
      </w:r>
      <w:r w:rsidR="00F16063">
        <w:t xml:space="preserve">levet billigere at hente kapital i markedet, og udgiften til egenkapitalen har ligget på næsten samme niveau. </w:t>
      </w:r>
      <w:r w:rsidR="005C1BF5">
        <w:t xml:space="preserve"> </w:t>
      </w:r>
      <w:r w:rsidR="00F16063">
        <w:t>DS kan med fordel udnytte, at de betaler mindre for deres egenkapital end for fremmedkapitalen</w:t>
      </w:r>
      <w:r w:rsidR="00473495">
        <w:t xml:space="preserve">, og kan derfor overveje, hvordan de f.eks. ønsker at finansiere deres </w:t>
      </w:r>
      <w:proofErr w:type="spellStart"/>
      <w:r w:rsidR="00473495">
        <w:t>nyudlån</w:t>
      </w:r>
      <w:proofErr w:type="spellEnd"/>
      <w:r w:rsidR="00F16063">
        <w:t>.</w:t>
      </w:r>
      <w:r w:rsidR="00473495">
        <w:t xml:space="preserve"> De kan, hvis de har midler dertil, selv f</w:t>
      </w:r>
      <w:r w:rsidR="00D33217">
        <w:t xml:space="preserve">inansiere deres </w:t>
      </w:r>
      <w:proofErr w:type="spellStart"/>
      <w:r w:rsidR="00D33217">
        <w:t>nyudlån</w:t>
      </w:r>
      <w:proofErr w:type="spellEnd"/>
      <w:r w:rsidR="00D33217">
        <w:t xml:space="preserve"> med eget</w:t>
      </w:r>
      <w:r w:rsidR="00473495">
        <w:t xml:space="preserve"> indlån. DS har endvidere et likviditetsoverskud, som de dog ønsker at anvende til indfrielse af statslig hybrid kernekapital, så det er usikkert, hvor meget de egentligt har til </w:t>
      </w:r>
      <w:proofErr w:type="spellStart"/>
      <w:r w:rsidR="00473495">
        <w:t>nyudlån</w:t>
      </w:r>
      <w:proofErr w:type="spellEnd"/>
      <w:r w:rsidR="00473495">
        <w:t xml:space="preserve">. </w:t>
      </w:r>
    </w:p>
    <w:p w:rsidR="004765F2" w:rsidRDefault="004765F2" w:rsidP="00590AA9"/>
    <w:p w:rsidR="004765F2" w:rsidRPr="004765F2" w:rsidRDefault="004765F2" w:rsidP="00590AA9">
      <w:r>
        <w:t xml:space="preserve">Det ses også, at DS har forbedret deres rentemarginal en smule. </w:t>
      </w:r>
      <w:proofErr w:type="spellStart"/>
      <w:r>
        <w:t>K</w:t>
      </w:r>
      <w:r>
        <w:rPr>
          <w:vertAlign w:val="subscript"/>
        </w:rPr>
        <w:t>d</w:t>
      </w:r>
      <w:proofErr w:type="spellEnd"/>
      <w:r>
        <w:t xml:space="preserve"> har i perioden været faldende, men L har ligget på samme niveau. </w:t>
      </w:r>
    </w:p>
    <w:p w:rsidR="00C57E3B" w:rsidRDefault="00C57E3B" w:rsidP="00590AA9">
      <w:pPr>
        <w:rPr>
          <w:color w:val="FF0000"/>
        </w:rPr>
      </w:pPr>
    </w:p>
    <w:p w:rsidR="009543A3" w:rsidRDefault="00BB2C09" w:rsidP="00590AA9">
      <w:r>
        <w:t>For begge pengeinstitutter gælder det, at de ikke har formået at få sin WACC til at falde tilsvarende markedsrenten</w:t>
      </w:r>
      <w:r w:rsidR="004765F2">
        <w:t xml:space="preserve"> (CIBOR3</w:t>
      </w:r>
      <w:r w:rsidR="00D12D6E">
        <w:rPr>
          <w:rStyle w:val="Fodnotehenvisning"/>
        </w:rPr>
        <w:footnoteReference w:id="19"/>
      </w:r>
      <w:r w:rsidR="004765F2">
        <w:t>)</w:t>
      </w:r>
      <w:r>
        <w:t xml:space="preserve">, hvilket kan ses i nedenstående figur. </w:t>
      </w:r>
      <w:r w:rsidR="009543A3">
        <w:t xml:space="preserve">Det ses at indtil </w:t>
      </w:r>
      <w:r w:rsidR="009543A3">
        <w:lastRenderedPageBreak/>
        <w:t>2009, har begge pe</w:t>
      </w:r>
      <w:r w:rsidR="00052422">
        <w:t>ngeinstitutter formået at ligge</w:t>
      </w:r>
      <w:r w:rsidR="009543A3">
        <w:t xml:space="preserve"> under markedsrenten, og herefter ligger begge pengeinstitutter over markedsrenten. </w:t>
      </w:r>
    </w:p>
    <w:p w:rsidR="00BB2C09" w:rsidRDefault="00BB2C09" w:rsidP="00590AA9">
      <w:r>
        <w:t>Markedsrenten har i hele perioden været faldende – det har begge pengeinstitutter</w:t>
      </w:r>
      <w:r w:rsidR="004765F2">
        <w:t>s WACC</w:t>
      </w:r>
      <w:r>
        <w:t xml:space="preserve"> også, men ikke nok. For at aflønne deres garanter skal de som udgangspunkt ligge under markedsrenten, da det groft sagt bedre kan betale at sælge alle sine aktiver og lukke.</w:t>
      </w:r>
    </w:p>
    <w:p w:rsidR="00BB2C09" w:rsidRDefault="00BB2C09" w:rsidP="00590AA9">
      <w:r>
        <w:t>For at få deres WACC til at falde yderligere kan de enten øge balancen, nedbringe deres egenkapital (</w:t>
      </w:r>
      <w:proofErr w:type="spellStart"/>
      <w:r>
        <w:t>nyudlån</w:t>
      </w:r>
      <w:proofErr w:type="spellEnd"/>
      <w:r>
        <w:t xml:space="preserve">) eller få deres renteudgifter til at falde. </w:t>
      </w:r>
    </w:p>
    <w:p w:rsidR="004B586B" w:rsidRDefault="004B586B" w:rsidP="00590AA9"/>
    <w:p w:rsidR="00BB2C09" w:rsidRDefault="00556714" w:rsidP="009543A3">
      <w:pPr>
        <w:jc w:val="center"/>
      </w:pPr>
      <w:r w:rsidRPr="00556714">
        <w:rPr>
          <w:noProof/>
        </w:rPr>
        <w:drawing>
          <wp:inline distT="0" distB="0" distL="0" distR="0">
            <wp:extent cx="4572000" cy="1981200"/>
            <wp:effectExtent l="19050" t="0" r="19050" b="0"/>
            <wp:docPr id="8"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0483" w:rsidRDefault="009259C7" w:rsidP="009259C7">
      <w:pPr>
        <w:spacing w:line="240" w:lineRule="auto"/>
        <w:jc w:val="center"/>
        <w:rPr>
          <w:i/>
          <w:sz w:val="20"/>
        </w:rPr>
      </w:pPr>
      <w:r w:rsidRPr="009259C7">
        <w:rPr>
          <w:sz w:val="20"/>
        </w:rPr>
        <w:t>Figur 8: CIBOR3 vs. WACC for begge penge</w:t>
      </w:r>
      <w:r>
        <w:rPr>
          <w:sz w:val="20"/>
        </w:rPr>
        <w:t xml:space="preserve">institutter 2008 – 2012. </w:t>
      </w:r>
      <w:r>
        <w:rPr>
          <w:i/>
          <w:sz w:val="20"/>
        </w:rPr>
        <w:t xml:space="preserve">Kilde: Egne udregninger, se bilag B, samt </w:t>
      </w:r>
      <w:hyperlink r:id="rId27" w:history="1">
        <w:r w:rsidRPr="009259C7">
          <w:rPr>
            <w:rStyle w:val="Hyperlink"/>
            <w:i/>
            <w:color w:val="auto"/>
            <w:sz w:val="20"/>
            <w:u w:val="none"/>
          </w:rPr>
          <w:t>www.dst.dk</w:t>
        </w:r>
      </w:hyperlink>
    </w:p>
    <w:p w:rsidR="009259C7" w:rsidRPr="009259C7" w:rsidRDefault="009259C7" w:rsidP="007F096C">
      <w:pPr>
        <w:jc w:val="center"/>
        <w:rPr>
          <w:i/>
          <w:sz w:val="20"/>
        </w:rPr>
      </w:pPr>
    </w:p>
    <w:p w:rsidR="00BB2C09" w:rsidRPr="00BB2C09" w:rsidRDefault="00BB2C09" w:rsidP="00590AA9">
      <w:r>
        <w:t>Begge pengeinstitutter har jf. Årsrapporter 2012 til hensigt at indfri deres statslige hybrid</w:t>
      </w:r>
      <w:r w:rsidR="00CD0C4C">
        <w:t>e</w:t>
      </w:r>
      <w:r>
        <w:t xml:space="preserve"> kernekapital, hvilket vil betyde, at de forbedrer deres WACC i 2013 og 2014.</w:t>
      </w:r>
    </w:p>
    <w:p w:rsidR="00707E85" w:rsidRDefault="00707E85" w:rsidP="0087410F">
      <w:pPr>
        <w:pStyle w:val="Overskrift3"/>
        <w:numPr>
          <w:ilvl w:val="2"/>
          <w:numId w:val="10"/>
        </w:numPr>
      </w:pPr>
      <w:bookmarkStart w:id="128" w:name="_Toc354517431"/>
      <w:r>
        <w:t>ICGR</w:t>
      </w:r>
      <w:bookmarkEnd w:id="128"/>
    </w:p>
    <w:p w:rsidR="00A553A3" w:rsidRPr="00A553A3" w:rsidRDefault="00A553A3" w:rsidP="00A553A3">
      <w:r>
        <w:t xml:space="preserve">I nedenstående vil ICGR blive beregnet og gennemgået for begge pengeinstitutter. </w:t>
      </w:r>
    </w:p>
    <w:p w:rsidR="00B30483" w:rsidRDefault="00A553A3" w:rsidP="005310B0">
      <w:r>
        <w:t>Som tidligere gennemgået i teoriafsnittet viser ICGR</w:t>
      </w:r>
      <w:r w:rsidR="00336F22">
        <w:t xml:space="preserve">, hvor meget man kan udvide balancen ved at fastholde samme solvens givet vi har det samme </w:t>
      </w:r>
      <w:proofErr w:type="spellStart"/>
      <w:r w:rsidR="00336F22">
        <w:t>vægtningsmix</w:t>
      </w:r>
      <w:proofErr w:type="spellEnd"/>
      <w:r w:rsidR="00336F22">
        <w:t>.</w:t>
      </w:r>
    </w:p>
    <w:p w:rsidR="005310B0" w:rsidRDefault="00793AF4" w:rsidP="005310B0">
      <w:r>
        <w:t xml:space="preserve"> </w:t>
      </w:r>
    </w:p>
    <w:p w:rsidR="00F972C2" w:rsidRDefault="005310B0" w:rsidP="006B14EE">
      <w:r>
        <w:t xml:space="preserve">Til udregning af ICGR er formel, som er angivet i teoriafsnit </w:t>
      </w:r>
      <w:r w:rsidR="001625BC">
        <w:t>anvendt</w:t>
      </w:r>
      <w:r>
        <w:t xml:space="preserve">. </w:t>
      </w:r>
    </w:p>
    <w:p w:rsidR="001625BC" w:rsidRDefault="001625BC" w:rsidP="006B14EE"/>
    <w:tbl>
      <w:tblPr>
        <w:tblStyle w:val="Tabel-Gitter"/>
        <w:tblW w:w="9180" w:type="dxa"/>
        <w:tblLayout w:type="fixed"/>
        <w:tblLook w:val="04A0" w:firstRow="1" w:lastRow="0" w:firstColumn="1" w:lastColumn="0" w:noHBand="0" w:noVBand="1"/>
      </w:tblPr>
      <w:tblGrid>
        <w:gridCol w:w="1668"/>
        <w:gridCol w:w="1548"/>
        <w:gridCol w:w="1548"/>
        <w:gridCol w:w="1548"/>
        <w:gridCol w:w="1451"/>
        <w:gridCol w:w="1417"/>
      </w:tblGrid>
      <w:tr w:rsidR="00FB3B23" w:rsidRPr="001A7ADC" w:rsidTr="00BC10D9">
        <w:tc>
          <w:tcPr>
            <w:tcW w:w="9180" w:type="dxa"/>
            <w:gridSpan w:val="6"/>
            <w:shd w:val="clear" w:color="auto" w:fill="C6D9F1" w:themeFill="text2" w:themeFillTint="33"/>
          </w:tcPr>
          <w:p w:rsidR="00FB3B23" w:rsidRPr="00BC10D9" w:rsidRDefault="00FB3B23" w:rsidP="0061050D">
            <w:pPr>
              <w:spacing w:line="240" w:lineRule="auto"/>
              <w:jc w:val="center"/>
              <w:rPr>
                <w:b/>
              </w:rPr>
            </w:pPr>
            <w:r w:rsidRPr="00BC10D9">
              <w:rPr>
                <w:b/>
              </w:rPr>
              <w:t>ICGR - Den Jyske Sparekasse</w:t>
            </w:r>
          </w:p>
        </w:tc>
      </w:tr>
      <w:tr w:rsidR="00FB3B23" w:rsidRPr="001A7ADC" w:rsidTr="00BC10D9">
        <w:tc>
          <w:tcPr>
            <w:tcW w:w="1668" w:type="dxa"/>
            <w:shd w:val="clear" w:color="auto" w:fill="C6D9F1" w:themeFill="text2" w:themeFillTint="33"/>
          </w:tcPr>
          <w:p w:rsidR="00FB3B23" w:rsidRPr="00BC10D9" w:rsidRDefault="00FB3B23" w:rsidP="0061050D">
            <w:pPr>
              <w:spacing w:line="240" w:lineRule="auto"/>
              <w:jc w:val="center"/>
              <w:rPr>
                <w:b/>
              </w:rPr>
            </w:pPr>
          </w:p>
        </w:tc>
        <w:tc>
          <w:tcPr>
            <w:tcW w:w="1548" w:type="dxa"/>
            <w:shd w:val="clear" w:color="auto" w:fill="C6D9F1" w:themeFill="text2" w:themeFillTint="33"/>
          </w:tcPr>
          <w:p w:rsidR="00FB3B23" w:rsidRPr="00BC10D9" w:rsidRDefault="00FB3B23" w:rsidP="0061050D">
            <w:pPr>
              <w:spacing w:line="240" w:lineRule="auto"/>
              <w:jc w:val="center"/>
              <w:rPr>
                <w:b/>
              </w:rPr>
            </w:pPr>
            <w:r w:rsidRPr="00BC10D9">
              <w:rPr>
                <w:b/>
              </w:rPr>
              <w:t>2012</w:t>
            </w:r>
          </w:p>
        </w:tc>
        <w:tc>
          <w:tcPr>
            <w:tcW w:w="1548" w:type="dxa"/>
            <w:shd w:val="clear" w:color="auto" w:fill="C6D9F1" w:themeFill="text2" w:themeFillTint="33"/>
          </w:tcPr>
          <w:p w:rsidR="00FB3B23" w:rsidRPr="00BC10D9" w:rsidRDefault="00FB3B23" w:rsidP="0061050D">
            <w:pPr>
              <w:spacing w:line="240" w:lineRule="auto"/>
              <w:jc w:val="center"/>
              <w:rPr>
                <w:b/>
              </w:rPr>
            </w:pPr>
            <w:r w:rsidRPr="00BC10D9">
              <w:rPr>
                <w:b/>
              </w:rPr>
              <w:t>2011</w:t>
            </w:r>
          </w:p>
        </w:tc>
        <w:tc>
          <w:tcPr>
            <w:tcW w:w="1548" w:type="dxa"/>
            <w:shd w:val="clear" w:color="auto" w:fill="C6D9F1" w:themeFill="text2" w:themeFillTint="33"/>
          </w:tcPr>
          <w:p w:rsidR="00FB3B23" w:rsidRPr="00BC10D9" w:rsidRDefault="00FB3B23" w:rsidP="0061050D">
            <w:pPr>
              <w:spacing w:line="240" w:lineRule="auto"/>
              <w:jc w:val="center"/>
              <w:rPr>
                <w:b/>
              </w:rPr>
            </w:pPr>
            <w:r w:rsidRPr="00BC10D9">
              <w:rPr>
                <w:b/>
              </w:rPr>
              <w:t>2010</w:t>
            </w:r>
          </w:p>
        </w:tc>
        <w:tc>
          <w:tcPr>
            <w:tcW w:w="1451" w:type="dxa"/>
            <w:shd w:val="clear" w:color="auto" w:fill="C6D9F1" w:themeFill="text2" w:themeFillTint="33"/>
          </w:tcPr>
          <w:p w:rsidR="00FB3B23" w:rsidRPr="00BC10D9" w:rsidRDefault="00FB3B23" w:rsidP="0061050D">
            <w:pPr>
              <w:spacing w:line="240" w:lineRule="auto"/>
              <w:jc w:val="center"/>
              <w:rPr>
                <w:b/>
              </w:rPr>
            </w:pPr>
            <w:r w:rsidRPr="00BC10D9">
              <w:rPr>
                <w:b/>
              </w:rPr>
              <w:t>2009</w:t>
            </w:r>
          </w:p>
        </w:tc>
        <w:tc>
          <w:tcPr>
            <w:tcW w:w="1417" w:type="dxa"/>
            <w:shd w:val="clear" w:color="auto" w:fill="C6D9F1" w:themeFill="text2" w:themeFillTint="33"/>
          </w:tcPr>
          <w:p w:rsidR="00FB3B23" w:rsidRPr="00BC10D9" w:rsidRDefault="00FB3B23" w:rsidP="0061050D">
            <w:pPr>
              <w:spacing w:line="240" w:lineRule="auto"/>
              <w:jc w:val="center"/>
              <w:rPr>
                <w:b/>
              </w:rPr>
            </w:pPr>
            <w:r w:rsidRPr="00BC10D9">
              <w:rPr>
                <w:b/>
              </w:rPr>
              <w:t>2008</w:t>
            </w:r>
          </w:p>
        </w:tc>
      </w:tr>
      <w:tr w:rsidR="00F52BCA" w:rsidRPr="00F52BCA" w:rsidTr="00BC10D9">
        <w:trPr>
          <w:trHeight w:val="300"/>
        </w:trPr>
        <w:tc>
          <w:tcPr>
            <w:tcW w:w="1668" w:type="dxa"/>
            <w:noWrap/>
            <w:hideMark/>
          </w:tcPr>
          <w:p w:rsidR="00F52BCA" w:rsidRPr="00F52BCA" w:rsidRDefault="00F52BCA" w:rsidP="00F52BCA">
            <w:pPr>
              <w:shd w:val="clear" w:color="auto" w:fill="FFFFFF" w:themeFill="background1"/>
              <w:spacing w:line="240" w:lineRule="auto"/>
              <w:jc w:val="left"/>
              <w:rPr>
                <w:color w:val="000000"/>
              </w:rPr>
            </w:pPr>
            <w:r w:rsidRPr="00F52BCA">
              <w:rPr>
                <w:color w:val="000000"/>
              </w:rPr>
              <w:t>Capital Ratio</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0,0955</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0,1267</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0,1263</w:t>
            </w:r>
          </w:p>
        </w:tc>
        <w:tc>
          <w:tcPr>
            <w:tcW w:w="1451"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0,1396</w:t>
            </w:r>
          </w:p>
        </w:tc>
        <w:tc>
          <w:tcPr>
            <w:tcW w:w="1417"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0,1573</w:t>
            </w:r>
          </w:p>
        </w:tc>
      </w:tr>
      <w:tr w:rsidR="00F52BCA" w:rsidRPr="00F52BCA" w:rsidTr="00BC10D9">
        <w:trPr>
          <w:trHeight w:val="300"/>
        </w:trPr>
        <w:tc>
          <w:tcPr>
            <w:tcW w:w="1668" w:type="dxa"/>
            <w:noWrap/>
            <w:hideMark/>
          </w:tcPr>
          <w:p w:rsidR="00F52BCA" w:rsidRPr="00F52BCA" w:rsidRDefault="00F52BCA" w:rsidP="00F52BCA">
            <w:pPr>
              <w:shd w:val="clear" w:color="auto" w:fill="FFFFFF" w:themeFill="background1"/>
              <w:spacing w:line="240" w:lineRule="auto"/>
              <w:jc w:val="left"/>
              <w:rPr>
                <w:color w:val="000000"/>
              </w:rPr>
            </w:pPr>
            <w:r w:rsidRPr="00F52BCA">
              <w:rPr>
                <w:color w:val="000000"/>
              </w:rPr>
              <w:t>ROA</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0,3836</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-1,1059</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0,0805</w:t>
            </w:r>
          </w:p>
        </w:tc>
        <w:tc>
          <w:tcPr>
            <w:tcW w:w="1451"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-0,4070</w:t>
            </w:r>
          </w:p>
        </w:tc>
        <w:tc>
          <w:tcPr>
            <w:tcW w:w="1417"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-0,4599</w:t>
            </w:r>
          </w:p>
        </w:tc>
      </w:tr>
      <w:tr w:rsidR="00F52BCA" w:rsidRPr="00F52BCA" w:rsidTr="00BC10D9">
        <w:trPr>
          <w:trHeight w:val="300"/>
        </w:trPr>
        <w:tc>
          <w:tcPr>
            <w:tcW w:w="1668" w:type="dxa"/>
            <w:noWrap/>
            <w:hideMark/>
          </w:tcPr>
          <w:p w:rsidR="00F52BCA" w:rsidRPr="00F52BCA" w:rsidRDefault="00F52BCA" w:rsidP="00F52BCA">
            <w:pPr>
              <w:shd w:val="clear" w:color="auto" w:fill="FFFFFF" w:themeFill="background1"/>
              <w:spacing w:line="240" w:lineRule="auto"/>
              <w:jc w:val="left"/>
              <w:rPr>
                <w:color w:val="000000"/>
              </w:rPr>
            </w:pPr>
            <w:r w:rsidRPr="00F52BCA">
              <w:rPr>
                <w:color w:val="000000"/>
              </w:rPr>
              <w:t>ERR</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Pr>
                <w:color w:val="000000"/>
              </w:rPr>
              <w:t>1</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Pr>
                <w:color w:val="000000"/>
              </w:rPr>
              <w:t>1</w:t>
            </w:r>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Pr>
                <w:color w:val="000000"/>
              </w:rPr>
              <w:t>1</w:t>
            </w:r>
          </w:p>
        </w:tc>
        <w:tc>
          <w:tcPr>
            <w:tcW w:w="1451" w:type="dxa"/>
            <w:noWrap/>
            <w:hideMark/>
          </w:tcPr>
          <w:p w:rsidR="00F52BCA" w:rsidRPr="00F52BCA" w:rsidRDefault="00F52BCA" w:rsidP="00F52BCA">
            <w:pPr>
              <w:shd w:val="clear" w:color="auto" w:fill="FFFFFF" w:themeFill="background1"/>
              <w:spacing w:line="240" w:lineRule="auto"/>
              <w:jc w:val="right"/>
              <w:rPr>
                <w:color w:val="000000"/>
              </w:rPr>
            </w:pPr>
            <w:r>
              <w:rPr>
                <w:color w:val="000000"/>
              </w:rPr>
              <w:t>1</w:t>
            </w:r>
          </w:p>
        </w:tc>
        <w:tc>
          <w:tcPr>
            <w:tcW w:w="1417" w:type="dxa"/>
            <w:noWrap/>
            <w:hideMark/>
          </w:tcPr>
          <w:p w:rsidR="00F52BCA" w:rsidRPr="00F52BCA" w:rsidRDefault="00F52BCA" w:rsidP="00F52BCA">
            <w:pPr>
              <w:shd w:val="clear" w:color="auto" w:fill="FFFFFF" w:themeFill="background1"/>
              <w:spacing w:line="240" w:lineRule="auto"/>
              <w:jc w:val="right"/>
              <w:rPr>
                <w:color w:val="000000"/>
              </w:rPr>
            </w:pPr>
            <w:r>
              <w:rPr>
                <w:color w:val="000000"/>
              </w:rPr>
              <w:t>1</w:t>
            </w:r>
            <w:r w:rsidRPr="00F52BCA">
              <w:rPr>
                <w:color w:val="000000"/>
              </w:rPr>
              <w:t xml:space="preserve">                       </w:t>
            </w:r>
          </w:p>
        </w:tc>
      </w:tr>
      <w:tr w:rsidR="00F52BCA" w:rsidRPr="00F52BCA" w:rsidTr="00BC10D9">
        <w:trPr>
          <w:trHeight w:val="300"/>
        </w:trPr>
        <w:tc>
          <w:tcPr>
            <w:tcW w:w="1668" w:type="dxa"/>
            <w:noWrap/>
            <w:hideMark/>
          </w:tcPr>
          <w:p w:rsidR="00F52BCA" w:rsidRPr="00F52BCA" w:rsidRDefault="00F52BCA" w:rsidP="00F52BCA">
            <w:pPr>
              <w:shd w:val="clear" w:color="auto" w:fill="FFFFFF" w:themeFill="background1"/>
              <w:spacing w:line="240" w:lineRule="auto"/>
              <w:jc w:val="left"/>
              <w:rPr>
                <w:color w:val="000000"/>
              </w:rPr>
            </w:pPr>
            <w:r w:rsidRPr="00F52BCA">
              <w:rPr>
                <w:color w:val="000000"/>
              </w:rPr>
              <w:t>ICGR</w:t>
            </w:r>
          </w:p>
        </w:tc>
        <w:tc>
          <w:tcPr>
            <w:tcW w:w="1548" w:type="dxa"/>
            <w:noWrap/>
            <w:hideMark/>
          </w:tcPr>
          <w:p w:rsidR="00F52BCA" w:rsidRPr="00F52BCA" w:rsidRDefault="00D94E90" w:rsidP="00F52BCA">
            <w:pPr>
              <w:shd w:val="clear" w:color="auto" w:fill="FFFFFF" w:themeFill="background1"/>
              <w:spacing w:line="240" w:lineRule="auto"/>
              <w:jc w:val="right"/>
              <w:rPr>
                <w:color w:val="000000"/>
              </w:rPr>
            </w:pPr>
            <w:r>
              <w:rPr>
                <w:color w:val="000000"/>
              </w:rPr>
              <w:t>4,</w:t>
            </w:r>
            <w:proofErr w:type="gramStart"/>
            <w:r>
              <w:rPr>
                <w:color w:val="000000"/>
              </w:rPr>
              <w:t>02</w:t>
            </w:r>
            <w:r w:rsidR="00F52BCA" w:rsidRPr="00F52BCA">
              <w:rPr>
                <w:color w:val="000000"/>
              </w:rPr>
              <w:t>%</w:t>
            </w:r>
            <w:proofErr w:type="gramEnd"/>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-8,</w:t>
            </w:r>
            <w:proofErr w:type="gramStart"/>
            <w:r w:rsidRPr="00F52BCA">
              <w:rPr>
                <w:color w:val="000000"/>
              </w:rPr>
              <w:t>73%</w:t>
            </w:r>
            <w:proofErr w:type="gramEnd"/>
          </w:p>
        </w:tc>
        <w:tc>
          <w:tcPr>
            <w:tcW w:w="1548"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0,</w:t>
            </w:r>
            <w:proofErr w:type="gramStart"/>
            <w:r w:rsidRPr="00F52BCA">
              <w:rPr>
                <w:color w:val="000000"/>
              </w:rPr>
              <w:t>64%</w:t>
            </w:r>
            <w:proofErr w:type="gramEnd"/>
          </w:p>
        </w:tc>
        <w:tc>
          <w:tcPr>
            <w:tcW w:w="1451"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-2,</w:t>
            </w:r>
            <w:proofErr w:type="gramStart"/>
            <w:r w:rsidRPr="00F52BCA">
              <w:rPr>
                <w:color w:val="000000"/>
              </w:rPr>
              <w:t>92%</w:t>
            </w:r>
            <w:proofErr w:type="gramEnd"/>
          </w:p>
        </w:tc>
        <w:tc>
          <w:tcPr>
            <w:tcW w:w="1417" w:type="dxa"/>
            <w:noWrap/>
            <w:hideMark/>
          </w:tcPr>
          <w:p w:rsidR="00F52BCA" w:rsidRPr="00F52BCA" w:rsidRDefault="00F52BCA" w:rsidP="00F52BCA">
            <w:pPr>
              <w:shd w:val="clear" w:color="auto" w:fill="FFFFFF" w:themeFill="background1"/>
              <w:spacing w:line="240" w:lineRule="auto"/>
              <w:jc w:val="right"/>
              <w:rPr>
                <w:color w:val="000000"/>
              </w:rPr>
            </w:pPr>
            <w:r w:rsidRPr="00F52BCA">
              <w:rPr>
                <w:color w:val="000000"/>
              </w:rPr>
              <w:t>-2,</w:t>
            </w:r>
            <w:proofErr w:type="gramStart"/>
            <w:r w:rsidRPr="00F52BCA">
              <w:rPr>
                <w:color w:val="000000"/>
              </w:rPr>
              <w:t>92%</w:t>
            </w:r>
            <w:proofErr w:type="gramEnd"/>
          </w:p>
        </w:tc>
      </w:tr>
    </w:tbl>
    <w:p w:rsidR="00C36E73" w:rsidRPr="009259C7" w:rsidRDefault="00C36E73" w:rsidP="00C36E73">
      <w:pPr>
        <w:spacing w:line="240" w:lineRule="auto"/>
        <w:rPr>
          <w:i/>
          <w:sz w:val="20"/>
        </w:rPr>
      </w:pPr>
      <w:r>
        <w:rPr>
          <w:sz w:val="20"/>
        </w:rPr>
        <w:t>Tabel 10:</w:t>
      </w:r>
      <w:r w:rsidRPr="00C36E73">
        <w:rPr>
          <w:sz w:val="20"/>
        </w:rPr>
        <w:t xml:space="preserve"> </w:t>
      </w:r>
      <w:r>
        <w:rPr>
          <w:sz w:val="20"/>
        </w:rPr>
        <w:t xml:space="preserve">Den Jyske Sparekasse. </w:t>
      </w:r>
      <w:r>
        <w:rPr>
          <w:i/>
          <w:sz w:val="20"/>
        </w:rPr>
        <w:t>Kilde: Egne udregninger, se bilag C.</w:t>
      </w:r>
    </w:p>
    <w:p w:rsidR="00F52BCA" w:rsidRPr="00C36E73" w:rsidRDefault="00C36E73" w:rsidP="00C36E73">
      <w:pPr>
        <w:shd w:val="clear" w:color="auto" w:fill="FFFFFF" w:themeFill="background1"/>
        <w:spacing w:line="240" w:lineRule="auto"/>
        <w:rPr>
          <w:sz w:val="20"/>
        </w:rPr>
      </w:pPr>
      <w:r>
        <w:rPr>
          <w:sz w:val="20"/>
        </w:rPr>
        <w:t xml:space="preserve"> </w:t>
      </w:r>
    </w:p>
    <w:p w:rsidR="00F501CD" w:rsidRDefault="00F501CD" w:rsidP="006B14EE">
      <w:r>
        <w:lastRenderedPageBreak/>
        <w:t>Af ovenstående tabel ses det</w:t>
      </w:r>
      <w:r w:rsidR="00F972C2">
        <w:t xml:space="preserve">, at Den Jyskes ICGR har været negativ i </w:t>
      </w:r>
      <w:r w:rsidR="00793AF4">
        <w:t xml:space="preserve">perioden </w:t>
      </w:r>
      <w:r w:rsidR="00F972C2">
        <w:t>2008 –</w:t>
      </w:r>
      <w:r w:rsidR="00756483">
        <w:t xml:space="preserve"> 2009, og igen i 20</w:t>
      </w:r>
      <w:r w:rsidR="00F972C2">
        <w:t>1</w:t>
      </w:r>
      <w:r w:rsidR="00756483">
        <w:t>1</w:t>
      </w:r>
      <w:r w:rsidR="00F972C2">
        <w:t xml:space="preserve">. Den har kun lige været over nul i 2010 </w:t>
      </w:r>
      <w:r w:rsidR="00793AF4">
        <w:t>med 0,64 %</w:t>
      </w:r>
      <w:r w:rsidR="00756483">
        <w:t>, mens ICGR i</w:t>
      </w:r>
      <w:r w:rsidR="00F972C2">
        <w:t xml:space="preserve"> 2012 </w:t>
      </w:r>
      <w:r w:rsidR="00756483">
        <w:t>var</w:t>
      </w:r>
      <w:r w:rsidR="00FC1C9E">
        <w:t xml:space="preserve"> 4,02 %, hvilket er en stigning på 146 % ift. 2011</w:t>
      </w:r>
      <w:r w:rsidR="00793AF4">
        <w:t>.</w:t>
      </w:r>
      <w:r w:rsidR="00FC1C9E">
        <w:t xml:space="preserve"> </w:t>
      </w:r>
    </w:p>
    <w:p w:rsidR="00793AF4" w:rsidRDefault="00FC1C9E" w:rsidP="006B14EE">
      <w:r>
        <w:t xml:space="preserve">Når ICGR er negativ </w:t>
      </w:r>
      <w:r w:rsidR="00756483">
        <w:t xml:space="preserve">har de været dårlige til </w:t>
      </w:r>
      <w:r>
        <w:t xml:space="preserve">at tjene penge, </w:t>
      </w:r>
      <w:r w:rsidR="00756483">
        <w:t xml:space="preserve">hvilket er gået ud over </w:t>
      </w:r>
      <w:r w:rsidR="00793AF4">
        <w:t xml:space="preserve">egenkapitalen. </w:t>
      </w:r>
      <w:r>
        <w:t>I de negative perioder skal der</w:t>
      </w:r>
      <w:r w:rsidR="00793AF4">
        <w:t xml:space="preserve"> hentes yderligere kapital eller nedbringelse af balancen for at opretholde solvensen</w:t>
      </w:r>
      <w:r w:rsidR="00FD7D27">
        <w:t>.</w:t>
      </w:r>
    </w:p>
    <w:p w:rsidR="00D543CD" w:rsidRDefault="00D543CD" w:rsidP="006B14EE"/>
    <w:p w:rsidR="00E84896" w:rsidRDefault="00FC1C9E" w:rsidP="006B14EE">
      <w:r>
        <w:t>Derudove</w:t>
      </w:r>
      <w:r w:rsidR="003C3D92">
        <w:t>r viser en ICGR på 4,02 %, at D</w:t>
      </w:r>
      <w:r>
        <w:t>en Jyske kan udvide deres aktiver med dette uden</w:t>
      </w:r>
      <w:r w:rsidR="00CD0C4C">
        <w:t>,</w:t>
      </w:r>
      <w:r>
        <w:t xml:space="preserve"> at det vil påvirke deres solvens – dog med den forudsætnin</w:t>
      </w:r>
      <w:r w:rsidR="00756483">
        <w:t>g, at indtjeningen er den samme</w:t>
      </w:r>
      <w:r>
        <w:t xml:space="preserve"> af sidst tjente krone. De foregående år, hvor Den Jyske har haft negativ ICGR eller svag positiv</w:t>
      </w:r>
      <w:r w:rsidR="00F501CD">
        <w:t>,</w:t>
      </w:r>
      <w:r>
        <w:t xml:space="preserve"> har</w:t>
      </w:r>
      <w:r w:rsidR="00E84896">
        <w:t xml:space="preserve"> de</w:t>
      </w:r>
      <w:r>
        <w:t xml:space="preserve"> haft svære betingelser for at </w:t>
      </w:r>
      <w:r w:rsidR="00DC4DFB">
        <w:t xml:space="preserve">ekspandere </w:t>
      </w:r>
      <w:r>
        <w:t xml:space="preserve">og skabe overskud på </w:t>
      </w:r>
      <w:proofErr w:type="spellStart"/>
      <w:r>
        <w:t>bundlinien</w:t>
      </w:r>
      <w:proofErr w:type="spellEnd"/>
      <w:r>
        <w:t>.</w:t>
      </w:r>
      <w:r w:rsidR="00E84896">
        <w:t xml:space="preserve"> Den negative ICGR skyldes primært det negative resultat, der har været i 2008, 2009 og 2011. </w:t>
      </w:r>
    </w:p>
    <w:p w:rsidR="00D543CD" w:rsidRDefault="00D543CD" w:rsidP="006B14EE"/>
    <w:p w:rsidR="00394778" w:rsidRDefault="00394778" w:rsidP="006B14EE">
      <w:r>
        <w:t xml:space="preserve">Det ses, at </w:t>
      </w:r>
      <w:r w:rsidR="00E258C1">
        <w:t>når ROA er negativ er ICGR ligeledes negativ, og omvendt. Det ses derfor, at jo højere ROA er</w:t>
      </w:r>
      <w:r w:rsidR="003F7E63">
        <w:t>,</w:t>
      </w:r>
      <w:r w:rsidR="00E258C1">
        <w:t xml:space="preserve"> jo højere ICGR, og derved </w:t>
      </w:r>
      <w:r w:rsidR="003F7E63">
        <w:t xml:space="preserve">har Den Jyske </w:t>
      </w:r>
      <w:r w:rsidR="00E258C1">
        <w:t>en god mulighed for at udvide balancen.</w:t>
      </w:r>
      <w:r w:rsidR="00A65196">
        <w:t xml:space="preserve"> </w:t>
      </w:r>
      <w:r w:rsidR="00E258C1">
        <w:t xml:space="preserve"> </w:t>
      </w:r>
    </w:p>
    <w:p w:rsidR="00394778" w:rsidRDefault="00394778" w:rsidP="006B14EE"/>
    <w:p w:rsidR="00E84896" w:rsidRDefault="00E51A6E" w:rsidP="006B14EE">
      <w:r>
        <w:t>Trods negativt ICG</w:t>
      </w:r>
      <w:r w:rsidR="0060791F">
        <w:t>R har de formået at konsolidere</w:t>
      </w:r>
      <w:r>
        <w:t xml:space="preserve"> sig og forbedre deres egenkapital med ca. 20 % fra 2008 til 2012. </w:t>
      </w:r>
      <w:r w:rsidR="0060791F">
        <w:t xml:space="preserve">Da ROE og ICGR jf. teoriafsnit </w:t>
      </w:r>
      <w:r w:rsidR="00A65196">
        <w:t xml:space="preserve">begge viser egenkapitalens forrentning viser det endvidere også, Den Jyske har formået at forbedre deres egenkapitalforrentning. </w:t>
      </w:r>
      <w:r w:rsidR="00E84896">
        <w:t xml:space="preserve"> </w:t>
      </w:r>
    </w:p>
    <w:p w:rsidR="00594C1C" w:rsidRDefault="00594C1C" w:rsidP="006B14EE"/>
    <w:p w:rsidR="00E13FC4" w:rsidRDefault="00E13FC4" w:rsidP="006B14EE">
      <w:r>
        <w:t>I nedenstående tabel ses ICGR for DS</w:t>
      </w:r>
      <w:r w:rsidR="00C36E73">
        <w:t xml:space="preserve">. </w:t>
      </w:r>
    </w:p>
    <w:tbl>
      <w:tblPr>
        <w:tblStyle w:val="Tabel-Gitter"/>
        <w:tblW w:w="9180" w:type="dxa"/>
        <w:tblLayout w:type="fixed"/>
        <w:tblLook w:val="04A0" w:firstRow="1" w:lastRow="0" w:firstColumn="1" w:lastColumn="0" w:noHBand="0" w:noVBand="1"/>
      </w:tblPr>
      <w:tblGrid>
        <w:gridCol w:w="1668"/>
        <w:gridCol w:w="1548"/>
        <w:gridCol w:w="1548"/>
        <w:gridCol w:w="1548"/>
        <w:gridCol w:w="1451"/>
        <w:gridCol w:w="1417"/>
      </w:tblGrid>
      <w:tr w:rsidR="00E25FEE" w:rsidRPr="001A7ADC" w:rsidTr="00BC10D9">
        <w:tc>
          <w:tcPr>
            <w:tcW w:w="9180" w:type="dxa"/>
            <w:gridSpan w:val="6"/>
            <w:shd w:val="clear" w:color="auto" w:fill="C6D9F1" w:themeFill="text2" w:themeFillTint="33"/>
          </w:tcPr>
          <w:p w:rsidR="00E25FEE" w:rsidRPr="00BC10D9" w:rsidRDefault="00E25FEE" w:rsidP="00E25FEE">
            <w:pPr>
              <w:spacing w:line="240" w:lineRule="auto"/>
              <w:jc w:val="center"/>
              <w:rPr>
                <w:b/>
              </w:rPr>
            </w:pPr>
            <w:r w:rsidRPr="00BC10D9">
              <w:rPr>
                <w:b/>
              </w:rPr>
              <w:t>ICGR – Dronninglund Sparekasse</w:t>
            </w:r>
          </w:p>
        </w:tc>
      </w:tr>
      <w:tr w:rsidR="00E25FEE" w:rsidRPr="001A7ADC" w:rsidTr="00BC10D9">
        <w:tc>
          <w:tcPr>
            <w:tcW w:w="1668" w:type="dxa"/>
            <w:shd w:val="clear" w:color="auto" w:fill="C6D9F1" w:themeFill="text2" w:themeFillTint="33"/>
          </w:tcPr>
          <w:p w:rsidR="00E25FEE" w:rsidRPr="00BC10D9" w:rsidRDefault="00E25FEE" w:rsidP="00E25FEE">
            <w:pPr>
              <w:spacing w:line="240" w:lineRule="auto"/>
              <w:jc w:val="center"/>
              <w:rPr>
                <w:b/>
              </w:rPr>
            </w:pPr>
          </w:p>
        </w:tc>
        <w:tc>
          <w:tcPr>
            <w:tcW w:w="1548" w:type="dxa"/>
            <w:shd w:val="clear" w:color="auto" w:fill="C6D9F1" w:themeFill="text2" w:themeFillTint="33"/>
          </w:tcPr>
          <w:p w:rsidR="00E25FEE" w:rsidRPr="00BC10D9" w:rsidRDefault="00E25FEE" w:rsidP="00E25FEE">
            <w:pPr>
              <w:spacing w:line="240" w:lineRule="auto"/>
              <w:jc w:val="center"/>
              <w:rPr>
                <w:b/>
              </w:rPr>
            </w:pPr>
            <w:r w:rsidRPr="00BC10D9">
              <w:rPr>
                <w:b/>
              </w:rPr>
              <w:t>2012</w:t>
            </w:r>
          </w:p>
        </w:tc>
        <w:tc>
          <w:tcPr>
            <w:tcW w:w="1548" w:type="dxa"/>
            <w:shd w:val="clear" w:color="auto" w:fill="C6D9F1" w:themeFill="text2" w:themeFillTint="33"/>
          </w:tcPr>
          <w:p w:rsidR="00E25FEE" w:rsidRPr="00BC10D9" w:rsidRDefault="00E25FEE" w:rsidP="00E25FEE">
            <w:pPr>
              <w:spacing w:line="240" w:lineRule="auto"/>
              <w:jc w:val="center"/>
              <w:rPr>
                <w:b/>
              </w:rPr>
            </w:pPr>
            <w:r w:rsidRPr="00BC10D9">
              <w:rPr>
                <w:b/>
              </w:rPr>
              <w:t>2011</w:t>
            </w:r>
          </w:p>
        </w:tc>
        <w:tc>
          <w:tcPr>
            <w:tcW w:w="1548" w:type="dxa"/>
            <w:shd w:val="clear" w:color="auto" w:fill="C6D9F1" w:themeFill="text2" w:themeFillTint="33"/>
          </w:tcPr>
          <w:p w:rsidR="00E25FEE" w:rsidRPr="00BC10D9" w:rsidRDefault="00E25FEE" w:rsidP="00E25FEE">
            <w:pPr>
              <w:spacing w:line="240" w:lineRule="auto"/>
              <w:jc w:val="center"/>
              <w:rPr>
                <w:b/>
              </w:rPr>
            </w:pPr>
            <w:r w:rsidRPr="00BC10D9">
              <w:rPr>
                <w:b/>
              </w:rPr>
              <w:t>2010</w:t>
            </w:r>
          </w:p>
        </w:tc>
        <w:tc>
          <w:tcPr>
            <w:tcW w:w="1451" w:type="dxa"/>
            <w:shd w:val="clear" w:color="auto" w:fill="C6D9F1" w:themeFill="text2" w:themeFillTint="33"/>
          </w:tcPr>
          <w:p w:rsidR="00E25FEE" w:rsidRPr="00BC10D9" w:rsidRDefault="00E25FEE" w:rsidP="00E25FEE">
            <w:pPr>
              <w:spacing w:line="240" w:lineRule="auto"/>
              <w:jc w:val="center"/>
              <w:rPr>
                <w:b/>
              </w:rPr>
            </w:pPr>
            <w:r w:rsidRPr="00BC10D9">
              <w:rPr>
                <w:b/>
              </w:rPr>
              <w:t>2009</w:t>
            </w:r>
          </w:p>
        </w:tc>
        <w:tc>
          <w:tcPr>
            <w:tcW w:w="1417" w:type="dxa"/>
            <w:shd w:val="clear" w:color="auto" w:fill="C6D9F1" w:themeFill="text2" w:themeFillTint="33"/>
          </w:tcPr>
          <w:p w:rsidR="00E25FEE" w:rsidRPr="00BC10D9" w:rsidRDefault="00E25FEE" w:rsidP="00E25FEE">
            <w:pPr>
              <w:spacing w:line="240" w:lineRule="auto"/>
              <w:jc w:val="center"/>
              <w:rPr>
                <w:b/>
              </w:rPr>
            </w:pPr>
            <w:r w:rsidRPr="00BC10D9">
              <w:rPr>
                <w:b/>
              </w:rPr>
              <w:t>2008</w:t>
            </w:r>
          </w:p>
        </w:tc>
      </w:tr>
      <w:tr w:rsidR="00E25FEE" w:rsidRPr="00F52BCA" w:rsidTr="00BC10D9">
        <w:trPr>
          <w:trHeight w:val="300"/>
        </w:trPr>
        <w:tc>
          <w:tcPr>
            <w:tcW w:w="1668" w:type="dxa"/>
            <w:noWrap/>
            <w:hideMark/>
          </w:tcPr>
          <w:p w:rsidR="00E25FEE" w:rsidRPr="00F52BCA" w:rsidRDefault="00E25FEE" w:rsidP="00F52BCA">
            <w:pPr>
              <w:spacing w:line="240" w:lineRule="auto"/>
              <w:jc w:val="left"/>
              <w:rPr>
                <w:color w:val="000000"/>
              </w:rPr>
            </w:pPr>
            <w:r w:rsidRPr="00F52BCA">
              <w:rPr>
                <w:color w:val="000000"/>
              </w:rPr>
              <w:t>Capital Ratio</w:t>
            </w:r>
          </w:p>
        </w:tc>
        <w:tc>
          <w:tcPr>
            <w:tcW w:w="1548" w:type="dxa"/>
            <w:noWrap/>
            <w:hideMark/>
          </w:tcPr>
          <w:p w:rsidR="00E25FEE" w:rsidRPr="00F52BCA" w:rsidRDefault="00E25FEE" w:rsidP="00F52BCA">
            <w:pPr>
              <w:spacing w:line="240" w:lineRule="auto"/>
              <w:jc w:val="right"/>
              <w:rPr>
                <w:color w:val="000000"/>
              </w:rPr>
            </w:pPr>
            <w:r w:rsidRPr="00F52BCA">
              <w:rPr>
                <w:color w:val="000000"/>
              </w:rPr>
              <w:t>0,1419</w:t>
            </w:r>
          </w:p>
        </w:tc>
        <w:tc>
          <w:tcPr>
            <w:tcW w:w="1548" w:type="dxa"/>
            <w:noWrap/>
            <w:hideMark/>
          </w:tcPr>
          <w:p w:rsidR="00E25FEE" w:rsidRPr="00F52BCA" w:rsidRDefault="00E25FEE" w:rsidP="00F52BCA">
            <w:pPr>
              <w:spacing w:line="240" w:lineRule="auto"/>
              <w:jc w:val="right"/>
              <w:rPr>
                <w:color w:val="000000"/>
              </w:rPr>
            </w:pPr>
            <w:r w:rsidRPr="00F52BCA">
              <w:rPr>
                <w:color w:val="000000"/>
              </w:rPr>
              <w:t>0,1429</w:t>
            </w:r>
          </w:p>
        </w:tc>
        <w:tc>
          <w:tcPr>
            <w:tcW w:w="1548" w:type="dxa"/>
            <w:noWrap/>
            <w:hideMark/>
          </w:tcPr>
          <w:p w:rsidR="00E25FEE" w:rsidRPr="00F52BCA" w:rsidRDefault="00E25FEE" w:rsidP="00F52BCA">
            <w:pPr>
              <w:spacing w:line="240" w:lineRule="auto"/>
              <w:jc w:val="right"/>
              <w:rPr>
                <w:color w:val="000000"/>
              </w:rPr>
            </w:pPr>
            <w:r w:rsidRPr="00F52BCA">
              <w:rPr>
                <w:color w:val="000000"/>
              </w:rPr>
              <w:t>0,1427</w:t>
            </w:r>
          </w:p>
        </w:tc>
        <w:tc>
          <w:tcPr>
            <w:tcW w:w="1451" w:type="dxa"/>
            <w:noWrap/>
            <w:hideMark/>
          </w:tcPr>
          <w:p w:rsidR="00E25FEE" w:rsidRPr="00F52BCA" w:rsidRDefault="00E25FEE" w:rsidP="00F52BCA">
            <w:pPr>
              <w:spacing w:line="240" w:lineRule="auto"/>
              <w:jc w:val="right"/>
              <w:rPr>
                <w:color w:val="000000"/>
              </w:rPr>
            </w:pPr>
            <w:r w:rsidRPr="00F52BCA">
              <w:rPr>
                <w:color w:val="000000"/>
              </w:rPr>
              <w:t>0,1666</w:t>
            </w:r>
          </w:p>
        </w:tc>
        <w:tc>
          <w:tcPr>
            <w:tcW w:w="1417" w:type="dxa"/>
            <w:noWrap/>
            <w:hideMark/>
          </w:tcPr>
          <w:p w:rsidR="00E25FEE" w:rsidRPr="00F52BCA" w:rsidRDefault="00E25FEE" w:rsidP="00F52BCA">
            <w:pPr>
              <w:spacing w:line="240" w:lineRule="auto"/>
              <w:jc w:val="right"/>
              <w:rPr>
                <w:color w:val="000000"/>
              </w:rPr>
            </w:pPr>
            <w:r w:rsidRPr="00F52BCA">
              <w:rPr>
                <w:color w:val="000000"/>
              </w:rPr>
              <w:t>0,2176</w:t>
            </w:r>
          </w:p>
        </w:tc>
      </w:tr>
      <w:tr w:rsidR="00E25FEE" w:rsidRPr="00F52BCA" w:rsidTr="00BC10D9">
        <w:trPr>
          <w:trHeight w:val="300"/>
        </w:trPr>
        <w:tc>
          <w:tcPr>
            <w:tcW w:w="1668" w:type="dxa"/>
            <w:noWrap/>
            <w:hideMark/>
          </w:tcPr>
          <w:p w:rsidR="00E25FEE" w:rsidRPr="00F52BCA" w:rsidRDefault="00E25FEE" w:rsidP="00F52BCA">
            <w:pPr>
              <w:spacing w:line="240" w:lineRule="auto"/>
              <w:jc w:val="left"/>
              <w:rPr>
                <w:color w:val="000000"/>
              </w:rPr>
            </w:pPr>
            <w:r w:rsidRPr="00F52BCA">
              <w:rPr>
                <w:color w:val="000000"/>
              </w:rPr>
              <w:t>ROA</w:t>
            </w:r>
          </w:p>
        </w:tc>
        <w:tc>
          <w:tcPr>
            <w:tcW w:w="1548" w:type="dxa"/>
            <w:noWrap/>
            <w:hideMark/>
          </w:tcPr>
          <w:p w:rsidR="00E25FEE" w:rsidRPr="00F52BCA" w:rsidRDefault="00E25FEE" w:rsidP="00F52BCA">
            <w:pPr>
              <w:spacing w:line="240" w:lineRule="auto"/>
              <w:jc w:val="right"/>
              <w:rPr>
                <w:color w:val="000000"/>
              </w:rPr>
            </w:pPr>
            <w:r w:rsidRPr="00F52BCA">
              <w:rPr>
                <w:color w:val="000000"/>
              </w:rPr>
              <w:t>0,3876</w:t>
            </w:r>
          </w:p>
        </w:tc>
        <w:tc>
          <w:tcPr>
            <w:tcW w:w="1548" w:type="dxa"/>
            <w:noWrap/>
            <w:hideMark/>
          </w:tcPr>
          <w:p w:rsidR="00E25FEE" w:rsidRPr="00F52BCA" w:rsidRDefault="00E25FEE" w:rsidP="00F52BCA">
            <w:pPr>
              <w:spacing w:line="240" w:lineRule="auto"/>
              <w:jc w:val="right"/>
              <w:rPr>
                <w:color w:val="000000"/>
              </w:rPr>
            </w:pPr>
            <w:r w:rsidRPr="00F52BCA">
              <w:rPr>
                <w:color w:val="000000"/>
              </w:rPr>
              <w:t>0,3218</w:t>
            </w:r>
          </w:p>
        </w:tc>
        <w:tc>
          <w:tcPr>
            <w:tcW w:w="1548" w:type="dxa"/>
            <w:noWrap/>
            <w:hideMark/>
          </w:tcPr>
          <w:p w:rsidR="00E25FEE" w:rsidRPr="00F52BCA" w:rsidRDefault="00E25FEE" w:rsidP="00F52BCA">
            <w:pPr>
              <w:spacing w:line="240" w:lineRule="auto"/>
              <w:jc w:val="right"/>
              <w:rPr>
                <w:color w:val="000000"/>
              </w:rPr>
            </w:pPr>
            <w:r w:rsidRPr="00F52BCA">
              <w:rPr>
                <w:color w:val="000000"/>
              </w:rPr>
              <w:t>-0,3235</w:t>
            </w:r>
          </w:p>
        </w:tc>
        <w:tc>
          <w:tcPr>
            <w:tcW w:w="1451" w:type="dxa"/>
            <w:noWrap/>
            <w:hideMark/>
          </w:tcPr>
          <w:p w:rsidR="00E25FEE" w:rsidRPr="00F52BCA" w:rsidRDefault="00E25FEE" w:rsidP="00F52BCA">
            <w:pPr>
              <w:spacing w:line="240" w:lineRule="auto"/>
              <w:jc w:val="right"/>
              <w:rPr>
                <w:color w:val="000000"/>
              </w:rPr>
            </w:pPr>
            <w:r w:rsidRPr="00F52BCA">
              <w:rPr>
                <w:color w:val="000000"/>
              </w:rPr>
              <w:t>0,1976</w:t>
            </w:r>
          </w:p>
        </w:tc>
        <w:tc>
          <w:tcPr>
            <w:tcW w:w="1417" w:type="dxa"/>
            <w:noWrap/>
            <w:hideMark/>
          </w:tcPr>
          <w:p w:rsidR="00E25FEE" w:rsidRPr="00F52BCA" w:rsidRDefault="00E25FEE" w:rsidP="00F52BCA">
            <w:pPr>
              <w:spacing w:line="240" w:lineRule="auto"/>
              <w:jc w:val="right"/>
              <w:rPr>
                <w:color w:val="000000"/>
              </w:rPr>
            </w:pPr>
            <w:r w:rsidRPr="00F52BCA">
              <w:rPr>
                <w:color w:val="000000"/>
              </w:rPr>
              <w:t>0,2044</w:t>
            </w:r>
          </w:p>
        </w:tc>
      </w:tr>
      <w:tr w:rsidR="00E25FEE" w:rsidRPr="00F52BCA" w:rsidTr="00BC10D9">
        <w:trPr>
          <w:trHeight w:val="300"/>
        </w:trPr>
        <w:tc>
          <w:tcPr>
            <w:tcW w:w="1668" w:type="dxa"/>
            <w:noWrap/>
            <w:hideMark/>
          </w:tcPr>
          <w:p w:rsidR="00E25FEE" w:rsidRPr="00F52BCA" w:rsidRDefault="00E25FEE" w:rsidP="00F52BCA">
            <w:pPr>
              <w:spacing w:line="240" w:lineRule="auto"/>
              <w:jc w:val="left"/>
              <w:rPr>
                <w:color w:val="000000"/>
              </w:rPr>
            </w:pPr>
            <w:r w:rsidRPr="00F52BCA">
              <w:rPr>
                <w:color w:val="000000"/>
              </w:rPr>
              <w:t>ERR</w:t>
            </w:r>
          </w:p>
        </w:tc>
        <w:tc>
          <w:tcPr>
            <w:tcW w:w="1548" w:type="dxa"/>
            <w:noWrap/>
            <w:hideMark/>
          </w:tcPr>
          <w:p w:rsidR="00E25FEE" w:rsidRPr="00F52BCA" w:rsidRDefault="00F52BCA" w:rsidP="00F52BCA">
            <w:pPr>
              <w:spacing w:line="240" w:lineRule="auto"/>
              <w:jc w:val="right"/>
              <w:rPr>
                <w:color w:val="000000"/>
              </w:rPr>
            </w:pPr>
            <w:r>
              <w:rPr>
                <w:color w:val="000000"/>
              </w:rPr>
              <w:t>1</w:t>
            </w:r>
          </w:p>
        </w:tc>
        <w:tc>
          <w:tcPr>
            <w:tcW w:w="1548" w:type="dxa"/>
            <w:noWrap/>
            <w:hideMark/>
          </w:tcPr>
          <w:p w:rsidR="00E25FEE" w:rsidRPr="00F52BCA" w:rsidRDefault="00F52BCA" w:rsidP="00F52BCA">
            <w:pPr>
              <w:spacing w:line="240" w:lineRule="auto"/>
              <w:jc w:val="right"/>
              <w:rPr>
                <w:color w:val="000000"/>
              </w:rPr>
            </w:pPr>
            <w:r>
              <w:rPr>
                <w:color w:val="000000"/>
              </w:rPr>
              <w:t>1</w:t>
            </w:r>
          </w:p>
        </w:tc>
        <w:tc>
          <w:tcPr>
            <w:tcW w:w="1548" w:type="dxa"/>
            <w:noWrap/>
            <w:hideMark/>
          </w:tcPr>
          <w:p w:rsidR="00E25FEE" w:rsidRPr="00F52BCA" w:rsidRDefault="00F52BCA" w:rsidP="00F52BCA">
            <w:pPr>
              <w:spacing w:line="240" w:lineRule="auto"/>
              <w:jc w:val="right"/>
              <w:rPr>
                <w:color w:val="000000"/>
              </w:rPr>
            </w:pPr>
            <w:r>
              <w:rPr>
                <w:color w:val="000000"/>
              </w:rPr>
              <w:t>1</w:t>
            </w:r>
          </w:p>
        </w:tc>
        <w:tc>
          <w:tcPr>
            <w:tcW w:w="1451" w:type="dxa"/>
            <w:noWrap/>
            <w:hideMark/>
          </w:tcPr>
          <w:p w:rsidR="00E25FEE" w:rsidRPr="00F52BCA" w:rsidRDefault="00F52BCA" w:rsidP="00F52BCA">
            <w:pPr>
              <w:spacing w:line="240" w:lineRule="auto"/>
              <w:jc w:val="right"/>
              <w:rPr>
                <w:color w:val="000000"/>
              </w:rPr>
            </w:pPr>
            <w:r>
              <w:rPr>
                <w:color w:val="000000"/>
              </w:rPr>
              <w:t>1</w:t>
            </w:r>
          </w:p>
        </w:tc>
        <w:tc>
          <w:tcPr>
            <w:tcW w:w="1417" w:type="dxa"/>
            <w:noWrap/>
            <w:hideMark/>
          </w:tcPr>
          <w:p w:rsidR="00E25FEE" w:rsidRPr="00F52BCA" w:rsidRDefault="00F52BCA" w:rsidP="00F52BCA">
            <w:pPr>
              <w:spacing w:line="240" w:lineRule="auto"/>
              <w:jc w:val="right"/>
              <w:rPr>
                <w:color w:val="000000"/>
              </w:rPr>
            </w:pPr>
            <w:r>
              <w:rPr>
                <w:color w:val="000000"/>
              </w:rPr>
              <w:t>1</w:t>
            </w:r>
          </w:p>
        </w:tc>
      </w:tr>
      <w:tr w:rsidR="00E25FEE" w:rsidRPr="00F52BCA" w:rsidTr="00BC10D9">
        <w:trPr>
          <w:trHeight w:val="300"/>
        </w:trPr>
        <w:tc>
          <w:tcPr>
            <w:tcW w:w="1668" w:type="dxa"/>
            <w:noWrap/>
            <w:hideMark/>
          </w:tcPr>
          <w:p w:rsidR="00E25FEE" w:rsidRPr="00F52BCA" w:rsidRDefault="00E25FEE" w:rsidP="00F52BCA">
            <w:pPr>
              <w:spacing w:line="240" w:lineRule="auto"/>
              <w:jc w:val="left"/>
              <w:rPr>
                <w:color w:val="000000"/>
              </w:rPr>
            </w:pPr>
            <w:r w:rsidRPr="00F52BCA">
              <w:rPr>
                <w:color w:val="000000"/>
              </w:rPr>
              <w:t>ICGR</w:t>
            </w:r>
          </w:p>
        </w:tc>
        <w:tc>
          <w:tcPr>
            <w:tcW w:w="1548" w:type="dxa"/>
            <w:noWrap/>
            <w:hideMark/>
          </w:tcPr>
          <w:p w:rsidR="00E25FEE" w:rsidRPr="00F52BCA" w:rsidRDefault="00E25FEE" w:rsidP="00F52BCA">
            <w:pPr>
              <w:spacing w:line="240" w:lineRule="auto"/>
              <w:jc w:val="right"/>
              <w:rPr>
                <w:color w:val="000000"/>
              </w:rPr>
            </w:pPr>
            <w:r w:rsidRPr="00F52BCA">
              <w:rPr>
                <w:color w:val="000000"/>
              </w:rPr>
              <w:t>2,</w:t>
            </w:r>
            <w:proofErr w:type="gramStart"/>
            <w:r w:rsidRPr="00F52BCA">
              <w:rPr>
                <w:color w:val="000000"/>
              </w:rPr>
              <w:t>73%</w:t>
            </w:r>
            <w:proofErr w:type="gramEnd"/>
          </w:p>
        </w:tc>
        <w:tc>
          <w:tcPr>
            <w:tcW w:w="1548" w:type="dxa"/>
            <w:noWrap/>
            <w:hideMark/>
          </w:tcPr>
          <w:p w:rsidR="00E25FEE" w:rsidRPr="00F52BCA" w:rsidRDefault="00E25FEE" w:rsidP="00F52BCA">
            <w:pPr>
              <w:spacing w:line="240" w:lineRule="auto"/>
              <w:jc w:val="right"/>
              <w:rPr>
                <w:color w:val="000000"/>
              </w:rPr>
            </w:pPr>
            <w:r w:rsidRPr="00F52BCA">
              <w:rPr>
                <w:color w:val="000000"/>
              </w:rPr>
              <w:t>2,</w:t>
            </w:r>
            <w:proofErr w:type="gramStart"/>
            <w:r w:rsidRPr="00F52BCA">
              <w:rPr>
                <w:color w:val="000000"/>
              </w:rPr>
              <w:t>25%</w:t>
            </w:r>
            <w:proofErr w:type="gramEnd"/>
          </w:p>
        </w:tc>
        <w:tc>
          <w:tcPr>
            <w:tcW w:w="1548" w:type="dxa"/>
            <w:noWrap/>
            <w:hideMark/>
          </w:tcPr>
          <w:p w:rsidR="00E25FEE" w:rsidRPr="00F52BCA" w:rsidRDefault="00E25FEE" w:rsidP="00F52BCA">
            <w:pPr>
              <w:spacing w:line="240" w:lineRule="auto"/>
              <w:jc w:val="right"/>
              <w:rPr>
                <w:color w:val="000000"/>
              </w:rPr>
            </w:pPr>
            <w:r w:rsidRPr="00F52BCA">
              <w:rPr>
                <w:color w:val="000000"/>
              </w:rPr>
              <w:t>-2,</w:t>
            </w:r>
            <w:proofErr w:type="gramStart"/>
            <w:r w:rsidRPr="00F52BCA">
              <w:rPr>
                <w:color w:val="000000"/>
              </w:rPr>
              <w:t>27%</w:t>
            </w:r>
            <w:proofErr w:type="gramEnd"/>
          </w:p>
        </w:tc>
        <w:tc>
          <w:tcPr>
            <w:tcW w:w="1451" w:type="dxa"/>
            <w:noWrap/>
            <w:hideMark/>
          </w:tcPr>
          <w:p w:rsidR="00E25FEE" w:rsidRPr="00F52BCA" w:rsidRDefault="00E25FEE" w:rsidP="00F52BCA">
            <w:pPr>
              <w:spacing w:line="240" w:lineRule="auto"/>
              <w:jc w:val="right"/>
              <w:rPr>
                <w:color w:val="000000"/>
              </w:rPr>
            </w:pPr>
            <w:r w:rsidRPr="00F52BCA">
              <w:rPr>
                <w:color w:val="000000"/>
              </w:rPr>
              <w:t>1,</w:t>
            </w:r>
            <w:proofErr w:type="gramStart"/>
            <w:r w:rsidRPr="00F52BCA">
              <w:rPr>
                <w:color w:val="000000"/>
              </w:rPr>
              <w:t>19%</w:t>
            </w:r>
            <w:proofErr w:type="gramEnd"/>
          </w:p>
        </w:tc>
        <w:tc>
          <w:tcPr>
            <w:tcW w:w="1417" w:type="dxa"/>
            <w:noWrap/>
            <w:hideMark/>
          </w:tcPr>
          <w:p w:rsidR="00E25FEE" w:rsidRPr="00F52BCA" w:rsidRDefault="00E25FEE" w:rsidP="00F52BCA">
            <w:pPr>
              <w:spacing w:line="240" w:lineRule="auto"/>
              <w:jc w:val="right"/>
              <w:rPr>
                <w:color w:val="000000"/>
              </w:rPr>
            </w:pPr>
            <w:r w:rsidRPr="00F52BCA">
              <w:rPr>
                <w:color w:val="000000"/>
              </w:rPr>
              <w:t>0,</w:t>
            </w:r>
            <w:proofErr w:type="gramStart"/>
            <w:r w:rsidRPr="00F52BCA">
              <w:rPr>
                <w:color w:val="000000"/>
              </w:rPr>
              <w:t>94%</w:t>
            </w:r>
            <w:proofErr w:type="gramEnd"/>
          </w:p>
        </w:tc>
      </w:tr>
    </w:tbl>
    <w:p w:rsidR="00C36E73" w:rsidRPr="009259C7" w:rsidRDefault="00C36E73" w:rsidP="00C36E73">
      <w:pPr>
        <w:spacing w:line="240" w:lineRule="auto"/>
        <w:rPr>
          <w:i/>
          <w:sz w:val="20"/>
        </w:rPr>
      </w:pPr>
      <w:r>
        <w:rPr>
          <w:sz w:val="20"/>
        </w:rPr>
        <w:t>Tabel 11:</w:t>
      </w:r>
      <w:r w:rsidR="00FD4EC0">
        <w:rPr>
          <w:sz w:val="20"/>
        </w:rPr>
        <w:t xml:space="preserve"> ICGR -</w:t>
      </w:r>
      <w:r w:rsidRPr="00C36E73">
        <w:rPr>
          <w:sz w:val="20"/>
        </w:rPr>
        <w:t xml:space="preserve"> </w:t>
      </w:r>
      <w:r>
        <w:rPr>
          <w:sz w:val="20"/>
        </w:rPr>
        <w:t xml:space="preserve">Dronninglund Sparekasse. </w:t>
      </w:r>
      <w:r>
        <w:rPr>
          <w:i/>
          <w:sz w:val="20"/>
        </w:rPr>
        <w:t>Kilde: Egne udregninger, se bilag C.</w:t>
      </w:r>
    </w:p>
    <w:p w:rsidR="00047E5E" w:rsidRPr="00F52BCA" w:rsidRDefault="00047E5E" w:rsidP="00BC10D9"/>
    <w:p w:rsidR="00047E5E" w:rsidRDefault="00047E5E" w:rsidP="006B14EE">
      <w:r>
        <w:t xml:space="preserve">DS har i alle årene på nær 2010 formået at have en positiv ICGR. </w:t>
      </w:r>
      <w:r w:rsidR="0008230A">
        <w:t>De har f</w:t>
      </w:r>
      <w:r w:rsidR="00C52CBD">
        <w:t>orbedret deres ICGR gennem årene</w:t>
      </w:r>
      <w:r w:rsidR="00C66937">
        <w:t>, og havde en ICGR på 2,73 % i 2012 mod 0,94 % i 2008</w:t>
      </w:r>
      <w:r w:rsidR="00C52CBD">
        <w:t>.</w:t>
      </w:r>
      <w:r w:rsidR="00C66937">
        <w:t xml:space="preserve"> De h</w:t>
      </w:r>
      <w:r w:rsidR="00C52CBD">
        <w:t xml:space="preserve">ar formået at forbedre deres årsresultat, hvilket også påvirker deres ICGR positivt. </w:t>
      </w:r>
    </w:p>
    <w:p w:rsidR="00C66937" w:rsidRDefault="00C66937" w:rsidP="006B14EE"/>
    <w:p w:rsidR="00047E5E" w:rsidRDefault="00C66937" w:rsidP="006B14EE">
      <w:r>
        <w:lastRenderedPageBreak/>
        <w:t>DS k</w:t>
      </w:r>
      <w:r w:rsidR="00047E5E">
        <w:t>an</w:t>
      </w:r>
      <w:r w:rsidR="0008230A">
        <w:t>,</w:t>
      </w:r>
      <w:r w:rsidR="00047E5E">
        <w:t xml:space="preserve"> </w:t>
      </w:r>
      <w:r w:rsidR="0008230A">
        <w:t xml:space="preserve">i 2012, </w:t>
      </w:r>
      <w:r w:rsidR="00047E5E">
        <w:t>øge deres aktiver med 2,73 % uden</w:t>
      </w:r>
      <w:r w:rsidR="00A907CC">
        <w:t>,</w:t>
      </w:r>
      <w:r w:rsidR="00047E5E">
        <w:t xml:space="preserve"> at det går ud over deres solvens</w:t>
      </w:r>
      <w:r>
        <w:t>, såfremt at indtjeningen er den samme af sidst tjente krone</w:t>
      </w:r>
      <w:r w:rsidR="00047E5E">
        <w:t xml:space="preserve">. Det ses i ovenstående, at </w:t>
      </w:r>
      <w:r w:rsidR="00C52CBD">
        <w:t xml:space="preserve">et forbedret ROA giver et bedre resultat, da egenkapitalen, som primært påvirker Capital Ratio, ikke har ændret sig betydeligt. </w:t>
      </w:r>
    </w:p>
    <w:p w:rsidR="00452347" w:rsidRDefault="00452347" w:rsidP="006B14EE">
      <w:r>
        <w:t xml:space="preserve">DS har dog ”spist” af deres egenkapital, som i 2008 var på </w:t>
      </w:r>
      <w:proofErr w:type="spellStart"/>
      <w:r>
        <w:t>tkr</w:t>
      </w:r>
      <w:proofErr w:type="spellEnd"/>
      <w:r>
        <w:t xml:space="preserve">. 462.341 og på </w:t>
      </w:r>
      <w:proofErr w:type="spellStart"/>
      <w:r>
        <w:t>tkr</w:t>
      </w:r>
      <w:proofErr w:type="spellEnd"/>
      <w:r>
        <w:t xml:space="preserve">. 370.404 svarende til et fald på ca. 20 %. </w:t>
      </w:r>
    </w:p>
    <w:p w:rsidR="003B1104" w:rsidRDefault="003B1104" w:rsidP="006B14EE"/>
    <w:p w:rsidR="00A907CC" w:rsidRDefault="003B1104" w:rsidP="006B14EE">
      <w:r>
        <w:t>ICGR skal som udgangspunkt kunne indeholde inflation og årlig rentetilskrivning. Inflationen har i Danmark i 2012 ligget i intervallet mellem 2,75 % til 1,4</w:t>
      </w:r>
      <w:proofErr w:type="gramStart"/>
      <w:r>
        <w:t xml:space="preserve"> %</w:t>
      </w:r>
      <w:r>
        <w:rPr>
          <w:rStyle w:val="Fodnotehenvisning"/>
        </w:rPr>
        <w:footnoteReference w:id="20"/>
      </w:r>
      <w:proofErr w:type="gramEnd"/>
      <w:r>
        <w:t xml:space="preserve">. </w:t>
      </w:r>
      <w:r w:rsidR="00C66937">
        <w:t>Derved har begge pengeinstitutter flere år haft udfordringer med at indeholde inflationen</w:t>
      </w:r>
      <w:r w:rsidR="00A907CC">
        <w:t>, og derfor har de begge spist af deres egenkapital</w:t>
      </w:r>
      <w:r w:rsidR="00C66937">
        <w:t xml:space="preserve">. </w:t>
      </w:r>
    </w:p>
    <w:p w:rsidR="00C52CBD" w:rsidRDefault="00C66937" w:rsidP="006B14EE">
      <w:r>
        <w:t xml:space="preserve">Når pengeinstituttet præsterer et negativt ICGR skyldes det ofte, at de har haft et negativt resultat. </w:t>
      </w:r>
    </w:p>
    <w:p w:rsidR="00707E85" w:rsidRDefault="00707E85" w:rsidP="0087410F">
      <w:pPr>
        <w:pStyle w:val="Overskrift3"/>
        <w:numPr>
          <w:ilvl w:val="2"/>
          <w:numId w:val="10"/>
        </w:numPr>
      </w:pPr>
      <w:bookmarkStart w:id="129" w:name="_Toc354517432"/>
      <w:r>
        <w:t>GAP</w:t>
      </w:r>
      <w:bookmarkEnd w:id="129"/>
    </w:p>
    <w:p w:rsidR="00D779A9" w:rsidRDefault="00D779A9" w:rsidP="00D779A9">
      <w:r>
        <w:t>Det næste nøgletal</w:t>
      </w:r>
      <w:r w:rsidR="008320DE">
        <w:t>,</w:t>
      </w:r>
      <w:r>
        <w:t xml:space="preserve"> GAP, som skal analys</w:t>
      </w:r>
      <w:r w:rsidR="00BA2C73">
        <w:t>e</w:t>
      </w:r>
      <w:r>
        <w:t xml:space="preserve">res indeholder flere nøgletal, men alle tre </w:t>
      </w:r>
      <w:r w:rsidR="001A7ADC">
        <w:t xml:space="preserve">vedrører </w:t>
      </w:r>
      <w:r>
        <w:t>rentefølsomheden i pengeinstituttet.</w:t>
      </w:r>
      <w:r w:rsidR="001A7ADC">
        <w:t xml:space="preserve"> Det er vigtigt</w:t>
      </w:r>
      <w:r w:rsidR="008320DE">
        <w:t>,</w:t>
      </w:r>
      <w:r w:rsidR="001A7ADC">
        <w:t xml:space="preserve"> at pengeinstitutterne forholder sig til, hvilke risici</w:t>
      </w:r>
      <w:r w:rsidR="008320DE">
        <w:t>,</w:t>
      </w:r>
      <w:r w:rsidR="001A7ADC">
        <w:t xml:space="preserve"> der er </w:t>
      </w:r>
      <w:r w:rsidR="003C3D92">
        <w:t>i forhold</w:t>
      </w:r>
      <w:r w:rsidR="001A7ADC">
        <w:t xml:space="preserve"> til renten, således at de får mulighed for </w:t>
      </w:r>
      <w:r w:rsidR="0008230A">
        <w:t>at identificere</w:t>
      </w:r>
      <w:r w:rsidR="001A7ADC">
        <w:t xml:space="preserve"> og minimere renterisikoen. Netop ved denne GAP-analyse indgår de rentefø</w:t>
      </w:r>
      <w:r w:rsidR="008320DE">
        <w:t>lsomme aktiver og passiver, som viser rentefølsomheden</w:t>
      </w:r>
      <w:r w:rsidR="001A7ADC">
        <w:t xml:space="preserve">. </w:t>
      </w:r>
    </w:p>
    <w:p w:rsidR="00C56529" w:rsidRDefault="00C56529" w:rsidP="00D779A9"/>
    <w:p w:rsidR="00846916" w:rsidRDefault="00846916" w:rsidP="00D779A9">
      <w:r>
        <w:t>For overskuelighedens skyld ses alle tr</w:t>
      </w:r>
      <w:r w:rsidR="00CB0A5E">
        <w:t xml:space="preserve">e nøgletal i nedenstående tabel. Beregninger ses i </w:t>
      </w:r>
      <w:r w:rsidR="00C36E73">
        <w:t>bilag D</w:t>
      </w:r>
      <w:r w:rsidR="00CB0A5E">
        <w:t>, og alle tre</w:t>
      </w:r>
      <w:r w:rsidR="00DC4DFB">
        <w:t xml:space="preserve"> formler ses i teoriafsnittet.</w:t>
      </w:r>
    </w:p>
    <w:p w:rsidR="001A7ADC" w:rsidRDefault="001A7ADC" w:rsidP="00D779A9"/>
    <w:p w:rsidR="0008230A" w:rsidRDefault="0008230A" w:rsidP="00D779A9">
      <w:r>
        <w:t>I nedenstående tabel ses GAP for den Jyske:</w:t>
      </w:r>
    </w:p>
    <w:tbl>
      <w:tblPr>
        <w:tblStyle w:val="Tabel-Gitter"/>
        <w:tblW w:w="9180" w:type="dxa"/>
        <w:tblLayout w:type="fixed"/>
        <w:tblLook w:val="04A0" w:firstRow="1" w:lastRow="0" w:firstColumn="1" w:lastColumn="0" w:noHBand="0" w:noVBand="1"/>
      </w:tblPr>
      <w:tblGrid>
        <w:gridCol w:w="1668"/>
        <w:gridCol w:w="1548"/>
        <w:gridCol w:w="1548"/>
        <w:gridCol w:w="1548"/>
        <w:gridCol w:w="1451"/>
        <w:gridCol w:w="1417"/>
      </w:tblGrid>
      <w:tr w:rsidR="001A7ADC" w:rsidRPr="003E37D8" w:rsidTr="00BC10D9">
        <w:tc>
          <w:tcPr>
            <w:tcW w:w="9180" w:type="dxa"/>
            <w:gridSpan w:val="6"/>
            <w:shd w:val="clear" w:color="auto" w:fill="C6D9F1" w:themeFill="text2" w:themeFillTint="33"/>
          </w:tcPr>
          <w:p w:rsidR="001A7ADC" w:rsidRPr="00BC10D9" w:rsidRDefault="001A7ADC" w:rsidP="00CB0A5E">
            <w:pPr>
              <w:spacing w:line="240" w:lineRule="auto"/>
              <w:jc w:val="center"/>
              <w:rPr>
                <w:b/>
              </w:rPr>
            </w:pPr>
            <w:r w:rsidRPr="00BC10D9">
              <w:rPr>
                <w:b/>
              </w:rPr>
              <w:t>GAP - Den Jyske Sparekasse</w:t>
            </w:r>
          </w:p>
        </w:tc>
      </w:tr>
      <w:tr w:rsidR="001A7ADC" w:rsidRPr="003E37D8" w:rsidTr="00BC10D9">
        <w:tc>
          <w:tcPr>
            <w:tcW w:w="1668" w:type="dxa"/>
            <w:shd w:val="clear" w:color="auto" w:fill="C6D9F1" w:themeFill="text2" w:themeFillTint="33"/>
          </w:tcPr>
          <w:p w:rsidR="001A7ADC" w:rsidRPr="00BC10D9" w:rsidRDefault="001A7ADC" w:rsidP="00CB0A5E">
            <w:pPr>
              <w:spacing w:line="240" w:lineRule="auto"/>
              <w:jc w:val="center"/>
              <w:rPr>
                <w:b/>
              </w:rPr>
            </w:pPr>
          </w:p>
        </w:tc>
        <w:tc>
          <w:tcPr>
            <w:tcW w:w="1548" w:type="dxa"/>
            <w:shd w:val="clear" w:color="auto" w:fill="C6D9F1" w:themeFill="text2" w:themeFillTint="33"/>
          </w:tcPr>
          <w:p w:rsidR="001A7ADC" w:rsidRPr="00BC10D9" w:rsidRDefault="001A7ADC" w:rsidP="00CB0A5E">
            <w:pPr>
              <w:spacing w:line="240" w:lineRule="auto"/>
              <w:jc w:val="center"/>
              <w:rPr>
                <w:b/>
              </w:rPr>
            </w:pPr>
            <w:r w:rsidRPr="00BC10D9">
              <w:rPr>
                <w:b/>
              </w:rPr>
              <w:t>2012</w:t>
            </w:r>
          </w:p>
        </w:tc>
        <w:tc>
          <w:tcPr>
            <w:tcW w:w="1548" w:type="dxa"/>
            <w:shd w:val="clear" w:color="auto" w:fill="C6D9F1" w:themeFill="text2" w:themeFillTint="33"/>
          </w:tcPr>
          <w:p w:rsidR="001A7ADC" w:rsidRPr="00BC10D9" w:rsidRDefault="001A7ADC" w:rsidP="00CB0A5E">
            <w:pPr>
              <w:spacing w:line="240" w:lineRule="auto"/>
              <w:jc w:val="center"/>
              <w:rPr>
                <w:b/>
              </w:rPr>
            </w:pPr>
            <w:r w:rsidRPr="00BC10D9">
              <w:rPr>
                <w:b/>
              </w:rPr>
              <w:t>2011</w:t>
            </w:r>
          </w:p>
        </w:tc>
        <w:tc>
          <w:tcPr>
            <w:tcW w:w="1548" w:type="dxa"/>
            <w:shd w:val="clear" w:color="auto" w:fill="C6D9F1" w:themeFill="text2" w:themeFillTint="33"/>
          </w:tcPr>
          <w:p w:rsidR="001A7ADC" w:rsidRPr="00BC10D9" w:rsidRDefault="001A7ADC" w:rsidP="00CB0A5E">
            <w:pPr>
              <w:spacing w:line="240" w:lineRule="auto"/>
              <w:jc w:val="center"/>
              <w:rPr>
                <w:b/>
              </w:rPr>
            </w:pPr>
            <w:r w:rsidRPr="00BC10D9">
              <w:rPr>
                <w:b/>
              </w:rPr>
              <w:t>2010</w:t>
            </w:r>
          </w:p>
        </w:tc>
        <w:tc>
          <w:tcPr>
            <w:tcW w:w="1451" w:type="dxa"/>
            <w:shd w:val="clear" w:color="auto" w:fill="C6D9F1" w:themeFill="text2" w:themeFillTint="33"/>
          </w:tcPr>
          <w:p w:rsidR="001A7ADC" w:rsidRPr="00BC10D9" w:rsidRDefault="001A7ADC" w:rsidP="00CB0A5E">
            <w:pPr>
              <w:spacing w:line="240" w:lineRule="auto"/>
              <w:jc w:val="center"/>
              <w:rPr>
                <w:b/>
              </w:rPr>
            </w:pPr>
            <w:r w:rsidRPr="00BC10D9">
              <w:rPr>
                <w:b/>
              </w:rPr>
              <w:t>2009</w:t>
            </w:r>
          </w:p>
        </w:tc>
        <w:tc>
          <w:tcPr>
            <w:tcW w:w="1417" w:type="dxa"/>
            <w:shd w:val="clear" w:color="auto" w:fill="C6D9F1" w:themeFill="text2" w:themeFillTint="33"/>
          </w:tcPr>
          <w:p w:rsidR="001A7ADC" w:rsidRPr="00BC10D9" w:rsidRDefault="001A7ADC" w:rsidP="00CB0A5E">
            <w:pPr>
              <w:spacing w:line="240" w:lineRule="auto"/>
              <w:jc w:val="center"/>
              <w:rPr>
                <w:b/>
              </w:rPr>
            </w:pPr>
            <w:r w:rsidRPr="00BC10D9">
              <w:rPr>
                <w:b/>
              </w:rPr>
              <w:t>2008</w:t>
            </w:r>
          </w:p>
        </w:tc>
      </w:tr>
      <w:tr w:rsidR="00F52BCA" w:rsidRPr="00F52BCA" w:rsidTr="00BC10D9">
        <w:trPr>
          <w:trHeight w:val="300"/>
        </w:trPr>
        <w:tc>
          <w:tcPr>
            <w:tcW w:w="1668" w:type="dxa"/>
            <w:noWrap/>
            <w:hideMark/>
          </w:tcPr>
          <w:p w:rsidR="00F52BCA" w:rsidRPr="00F52BCA" w:rsidRDefault="00F52BCA" w:rsidP="00107511">
            <w:pPr>
              <w:spacing w:line="240" w:lineRule="auto"/>
              <w:jc w:val="left"/>
              <w:rPr>
                <w:color w:val="000000"/>
              </w:rPr>
            </w:pPr>
            <w:r w:rsidRPr="00F52BCA">
              <w:rPr>
                <w:color w:val="000000"/>
              </w:rPr>
              <w:t>ISR</w:t>
            </w:r>
          </w:p>
        </w:tc>
        <w:tc>
          <w:tcPr>
            <w:tcW w:w="1548" w:type="dxa"/>
            <w:noWrap/>
            <w:hideMark/>
          </w:tcPr>
          <w:p w:rsidR="00F52BCA" w:rsidRPr="00F52BCA" w:rsidRDefault="00F52BCA" w:rsidP="00107511">
            <w:pPr>
              <w:spacing w:line="240" w:lineRule="auto"/>
              <w:jc w:val="right"/>
              <w:rPr>
                <w:color w:val="000000"/>
              </w:rPr>
            </w:pPr>
            <w:r w:rsidRPr="00F52BCA">
              <w:rPr>
                <w:color w:val="000000"/>
              </w:rPr>
              <w:t>1,02812</w:t>
            </w:r>
          </w:p>
        </w:tc>
        <w:tc>
          <w:tcPr>
            <w:tcW w:w="1548" w:type="dxa"/>
            <w:noWrap/>
            <w:hideMark/>
          </w:tcPr>
          <w:p w:rsidR="00F52BCA" w:rsidRPr="00F52BCA" w:rsidRDefault="00F52BCA" w:rsidP="00107511">
            <w:pPr>
              <w:spacing w:line="240" w:lineRule="auto"/>
              <w:jc w:val="right"/>
              <w:rPr>
                <w:color w:val="000000"/>
              </w:rPr>
            </w:pPr>
            <w:r w:rsidRPr="00F52BCA">
              <w:rPr>
                <w:color w:val="000000"/>
              </w:rPr>
              <w:t>1,07892</w:t>
            </w:r>
          </w:p>
        </w:tc>
        <w:tc>
          <w:tcPr>
            <w:tcW w:w="1548" w:type="dxa"/>
            <w:noWrap/>
            <w:hideMark/>
          </w:tcPr>
          <w:p w:rsidR="00F52BCA" w:rsidRPr="00F52BCA" w:rsidRDefault="00F52BCA" w:rsidP="00107511">
            <w:pPr>
              <w:spacing w:line="240" w:lineRule="auto"/>
              <w:jc w:val="right"/>
              <w:rPr>
                <w:color w:val="000000"/>
              </w:rPr>
            </w:pPr>
            <w:r w:rsidRPr="00F52BCA">
              <w:rPr>
                <w:color w:val="000000"/>
              </w:rPr>
              <w:t>1,09677</w:t>
            </w:r>
          </w:p>
        </w:tc>
        <w:tc>
          <w:tcPr>
            <w:tcW w:w="1451" w:type="dxa"/>
            <w:noWrap/>
            <w:hideMark/>
          </w:tcPr>
          <w:p w:rsidR="00F52BCA" w:rsidRPr="00F52BCA" w:rsidRDefault="00F52BCA" w:rsidP="00107511">
            <w:pPr>
              <w:spacing w:line="240" w:lineRule="auto"/>
              <w:jc w:val="right"/>
              <w:rPr>
                <w:color w:val="000000"/>
              </w:rPr>
            </w:pPr>
            <w:r w:rsidRPr="00F52BCA">
              <w:rPr>
                <w:color w:val="000000"/>
              </w:rPr>
              <w:t>1,08850</w:t>
            </w:r>
          </w:p>
        </w:tc>
        <w:tc>
          <w:tcPr>
            <w:tcW w:w="1417" w:type="dxa"/>
            <w:noWrap/>
            <w:hideMark/>
          </w:tcPr>
          <w:p w:rsidR="00F52BCA" w:rsidRPr="00F52BCA" w:rsidRDefault="00F52BCA" w:rsidP="00107511">
            <w:pPr>
              <w:spacing w:line="240" w:lineRule="auto"/>
              <w:jc w:val="right"/>
              <w:rPr>
                <w:color w:val="000000"/>
              </w:rPr>
            </w:pPr>
            <w:r w:rsidRPr="00F52BCA">
              <w:rPr>
                <w:color w:val="000000"/>
              </w:rPr>
              <w:t>1,10832</w:t>
            </w:r>
          </w:p>
        </w:tc>
      </w:tr>
      <w:tr w:rsidR="00F52BCA" w:rsidRPr="00F52BCA" w:rsidTr="00BC10D9">
        <w:trPr>
          <w:trHeight w:val="300"/>
        </w:trPr>
        <w:tc>
          <w:tcPr>
            <w:tcW w:w="1668" w:type="dxa"/>
            <w:noWrap/>
            <w:hideMark/>
          </w:tcPr>
          <w:p w:rsidR="00F52BCA" w:rsidRPr="00F52BCA" w:rsidRDefault="00F52BCA" w:rsidP="00107511">
            <w:pPr>
              <w:spacing w:line="240" w:lineRule="auto"/>
              <w:jc w:val="left"/>
              <w:rPr>
                <w:color w:val="000000"/>
              </w:rPr>
            </w:pPr>
            <w:r w:rsidRPr="00F52BCA">
              <w:rPr>
                <w:color w:val="000000"/>
              </w:rPr>
              <w:t>GAP</w:t>
            </w:r>
          </w:p>
        </w:tc>
        <w:tc>
          <w:tcPr>
            <w:tcW w:w="1548" w:type="dxa"/>
            <w:noWrap/>
            <w:hideMark/>
          </w:tcPr>
          <w:p w:rsidR="00F52BCA" w:rsidRPr="00F52BCA" w:rsidRDefault="00F52BCA" w:rsidP="00107511">
            <w:pPr>
              <w:spacing w:line="240" w:lineRule="auto"/>
              <w:jc w:val="right"/>
              <w:rPr>
                <w:color w:val="000000"/>
              </w:rPr>
            </w:pPr>
            <w:r w:rsidRPr="00F52BCA">
              <w:rPr>
                <w:color w:val="000000"/>
              </w:rPr>
              <w:t>472.850</w:t>
            </w:r>
          </w:p>
        </w:tc>
        <w:tc>
          <w:tcPr>
            <w:tcW w:w="1548" w:type="dxa"/>
            <w:noWrap/>
            <w:hideMark/>
          </w:tcPr>
          <w:p w:rsidR="00F52BCA" w:rsidRPr="00F52BCA" w:rsidRDefault="00F52BCA" w:rsidP="00107511">
            <w:pPr>
              <w:spacing w:line="240" w:lineRule="auto"/>
              <w:jc w:val="right"/>
              <w:rPr>
                <w:color w:val="000000"/>
              </w:rPr>
            </w:pPr>
            <w:r w:rsidRPr="00F52BCA">
              <w:rPr>
                <w:color w:val="000000"/>
              </w:rPr>
              <w:t xml:space="preserve">773.746 </w:t>
            </w:r>
          </w:p>
        </w:tc>
        <w:tc>
          <w:tcPr>
            <w:tcW w:w="1548" w:type="dxa"/>
            <w:noWrap/>
            <w:hideMark/>
          </w:tcPr>
          <w:p w:rsidR="00F52BCA" w:rsidRPr="00F52BCA" w:rsidRDefault="00F52BCA" w:rsidP="00107511">
            <w:pPr>
              <w:spacing w:line="240" w:lineRule="auto"/>
              <w:jc w:val="right"/>
              <w:rPr>
                <w:color w:val="000000"/>
              </w:rPr>
            </w:pPr>
            <w:r w:rsidRPr="00F52BCA">
              <w:rPr>
                <w:color w:val="000000"/>
              </w:rPr>
              <w:t xml:space="preserve">1.059.061 </w:t>
            </w:r>
          </w:p>
        </w:tc>
        <w:tc>
          <w:tcPr>
            <w:tcW w:w="1451" w:type="dxa"/>
            <w:noWrap/>
            <w:hideMark/>
          </w:tcPr>
          <w:p w:rsidR="00F52BCA" w:rsidRPr="00F52BCA" w:rsidRDefault="00F52BCA" w:rsidP="00107511">
            <w:pPr>
              <w:spacing w:line="240" w:lineRule="auto"/>
              <w:jc w:val="right"/>
              <w:rPr>
                <w:color w:val="000000"/>
              </w:rPr>
            </w:pPr>
            <w:r w:rsidRPr="00F52BCA">
              <w:rPr>
                <w:color w:val="000000"/>
              </w:rPr>
              <w:t xml:space="preserve">855.717 </w:t>
            </w:r>
          </w:p>
        </w:tc>
        <w:tc>
          <w:tcPr>
            <w:tcW w:w="1417" w:type="dxa"/>
            <w:noWrap/>
            <w:hideMark/>
          </w:tcPr>
          <w:p w:rsidR="00F52BCA" w:rsidRPr="00F52BCA" w:rsidRDefault="00F52BCA" w:rsidP="00107511">
            <w:pPr>
              <w:spacing w:line="240" w:lineRule="auto"/>
              <w:jc w:val="right"/>
              <w:rPr>
                <w:color w:val="000000"/>
              </w:rPr>
            </w:pPr>
            <w:r w:rsidRPr="00F52BCA">
              <w:rPr>
                <w:color w:val="000000"/>
              </w:rPr>
              <w:t xml:space="preserve">891.357 </w:t>
            </w:r>
          </w:p>
        </w:tc>
      </w:tr>
      <w:tr w:rsidR="00F52BCA" w:rsidRPr="00F52BCA" w:rsidTr="00BC10D9">
        <w:trPr>
          <w:trHeight w:val="300"/>
        </w:trPr>
        <w:tc>
          <w:tcPr>
            <w:tcW w:w="1668" w:type="dxa"/>
            <w:noWrap/>
            <w:hideMark/>
          </w:tcPr>
          <w:p w:rsidR="00F52BCA" w:rsidRPr="00F52BCA" w:rsidRDefault="00F52BCA" w:rsidP="00107511">
            <w:pPr>
              <w:spacing w:line="240" w:lineRule="auto"/>
              <w:jc w:val="left"/>
              <w:rPr>
                <w:color w:val="000000"/>
              </w:rPr>
            </w:pPr>
            <w:r w:rsidRPr="00F52BCA">
              <w:rPr>
                <w:color w:val="000000"/>
              </w:rPr>
              <w:t>Relative GAP</w:t>
            </w:r>
          </w:p>
        </w:tc>
        <w:tc>
          <w:tcPr>
            <w:tcW w:w="1548" w:type="dxa"/>
            <w:noWrap/>
            <w:hideMark/>
          </w:tcPr>
          <w:p w:rsidR="00F52BCA" w:rsidRPr="00F52BCA" w:rsidRDefault="00F52BCA" w:rsidP="00107511">
            <w:pPr>
              <w:spacing w:line="240" w:lineRule="auto"/>
              <w:jc w:val="right"/>
              <w:rPr>
                <w:color w:val="000000"/>
              </w:rPr>
            </w:pPr>
            <w:r w:rsidRPr="00F52BCA">
              <w:rPr>
                <w:color w:val="000000"/>
              </w:rPr>
              <w:t>2,</w:t>
            </w:r>
            <w:proofErr w:type="gramStart"/>
            <w:r w:rsidRPr="00F52BCA">
              <w:rPr>
                <w:color w:val="000000"/>
              </w:rPr>
              <w:t>36%</w:t>
            </w:r>
            <w:proofErr w:type="gramEnd"/>
          </w:p>
        </w:tc>
        <w:tc>
          <w:tcPr>
            <w:tcW w:w="1548" w:type="dxa"/>
            <w:noWrap/>
            <w:hideMark/>
          </w:tcPr>
          <w:p w:rsidR="00F52BCA" w:rsidRPr="00F52BCA" w:rsidRDefault="00F52BCA" w:rsidP="00107511">
            <w:pPr>
              <w:spacing w:line="240" w:lineRule="auto"/>
              <w:jc w:val="right"/>
              <w:rPr>
                <w:color w:val="000000"/>
              </w:rPr>
            </w:pPr>
            <w:r w:rsidRPr="00F52BCA">
              <w:rPr>
                <w:color w:val="000000"/>
              </w:rPr>
              <w:t>6,</w:t>
            </w:r>
            <w:proofErr w:type="gramStart"/>
            <w:r w:rsidRPr="00F52BCA">
              <w:rPr>
                <w:color w:val="000000"/>
              </w:rPr>
              <w:t>28%</w:t>
            </w:r>
            <w:proofErr w:type="gramEnd"/>
          </w:p>
        </w:tc>
        <w:tc>
          <w:tcPr>
            <w:tcW w:w="1548" w:type="dxa"/>
            <w:noWrap/>
            <w:hideMark/>
          </w:tcPr>
          <w:p w:rsidR="00F52BCA" w:rsidRPr="00F52BCA" w:rsidRDefault="00F52BCA" w:rsidP="00107511">
            <w:pPr>
              <w:spacing w:line="240" w:lineRule="auto"/>
              <w:jc w:val="right"/>
              <w:rPr>
                <w:color w:val="000000"/>
              </w:rPr>
            </w:pPr>
            <w:r w:rsidRPr="00F52BCA">
              <w:rPr>
                <w:color w:val="000000"/>
              </w:rPr>
              <w:t>7,</w:t>
            </w:r>
            <w:proofErr w:type="gramStart"/>
            <w:r w:rsidRPr="00F52BCA">
              <w:rPr>
                <w:color w:val="000000"/>
              </w:rPr>
              <w:t>83%</w:t>
            </w:r>
            <w:proofErr w:type="gramEnd"/>
          </w:p>
        </w:tc>
        <w:tc>
          <w:tcPr>
            <w:tcW w:w="1451" w:type="dxa"/>
            <w:noWrap/>
            <w:hideMark/>
          </w:tcPr>
          <w:p w:rsidR="00F52BCA" w:rsidRPr="00F52BCA" w:rsidRDefault="00F52BCA" w:rsidP="00107511">
            <w:pPr>
              <w:spacing w:line="240" w:lineRule="auto"/>
              <w:jc w:val="right"/>
              <w:rPr>
                <w:color w:val="000000"/>
              </w:rPr>
            </w:pPr>
            <w:r w:rsidRPr="00F52BCA">
              <w:rPr>
                <w:color w:val="000000"/>
              </w:rPr>
              <w:t>7,</w:t>
            </w:r>
            <w:proofErr w:type="gramStart"/>
            <w:r w:rsidRPr="00F52BCA">
              <w:rPr>
                <w:color w:val="000000"/>
              </w:rPr>
              <w:t>30%</w:t>
            </w:r>
            <w:proofErr w:type="gramEnd"/>
          </w:p>
        </w:tc>
        <w:tc>
          <w:tcPr>
            <w:tcW w:w="1417" w:type="dxa"/>
            <w:noWrap/>
            <w:hideMark/>
          </w:tcPr>
          <w:p w:rsidR="00F52BCA" w:rsidRPr="00F52BCA" w:rsidRDefault="00F52BCA" w:rsidP="00107511">
            <w:pPr>
              <w:spacing w:line="240" w:lineRule="auto"/>
              <w:jc w:val="right"/>
              <w:rPr>
                <w:color w:val="000000"/>
              </w:rPr>
            </w:pPr>
            <w:r w:rsidRPr="00F52BCA">
              <w:rPr>
                <w:color w:val="000000"/>
              </w:rPr>
              <w:t>8,</w:t>
            </w:r>
            <w:proofErr w:type="gramStart"/>
            <w:r w:rsidRPr="00F52BCA">
              <w:rPr>
                <w:color w:val="000000"/>
              </w:rPr>
              <w:t>84%</w:t>
            </w:r>
            <w:proofErr w:type="gramEnd"/>
          </w:p>
        </w:tc>
      </w:tr>
    </w:tbl>
    <w:p w:rsidR="00C36E73" w:rsidRPr="009259C7" w:rsidRDefault="00C36E73" w:rsidP="00C36E73">
      <w:pPr>
        <w:spacing w:line="240" w:lineRule="auto"/>
        <w:rPr>
          <w:i/>
          <w:sz w:val="20"/>
        </w:rPr>
      </w:pPr>
      <w:r>
        <w:rPr>
          <w:sz w:val="20"/>
        </w:rPr>
        <w:t>Tabel 12:</w:t>
      </w:r>
      <w:r w:rsidRPr="00C36E73">
        <w:rPr>
          <w:sz w:val="20"/>
        </w:rPr>
        <w:t xml:space="preserve"> </w:t>
      </w:r>
      <w:r>
        <w:rPr>
          <w:sz w:val="20"/>
        </w:rPr>
        <w:t xml:space="preserve">GAP - Den Jyske Sparekasse. </w:t>
      </w:r>
      <w:r>
        <w:rPr>
          <w:i/>
          <w:sz w:val="20"/>
        </w:rPr>
        <w:t>Kilde: Egne udregninger, se bilag D.</w:t>
      </w:r>
    </w:p>
    <w:p w:rsidR="00BE22CD" w:rsidRDefault="00F0542C" w:rsidP="00515C4C">
      <w:r>
        <w:tab/>
      </w:r>
    </w:p>
    <w:p w:rsidR="00BE22CD" w:rsidRDefault="0008230A" w:rsidP="00515C4C">
      <w:r>
        <w:t>Det ses, at d</w:t>
      </w:r>
      <w:r w:rsidR="00CB0A5E">
        <w:t xml:space="preserve">en Jyske gennem hele perioden har et </w:t>
      </w:r>
      <w:r w:rsidR="000C4141">
        <w:t xml:space="preserve">positivt </w:t>
      </w:r>
      <w:r w:rsidR="00CB0A5E">
        <w:t xml:space="preserve">GAP, hvilket viser, at de har </w:t>
      </w:r>
      <w:r w:rsidR="00BE22CD">
        <w:t>f</w:t>
      </w:r>
      <w:r w:rsidR="00CB0A5E">
        <w:t xml:space="preserve">lere rentefølsomme </w:t>
      </w:r>
      <w:r w:rsidR="00BE22CD">
        <w:t>aktiver</w:t>
      </w:r>
      <w:r w:rsidR="000C4141">
        <w:t xml:space="preserve"> end passiver</w:t>
      </w:r>
      <w:r w:rsidR="00CB0A5E">
        <w:t xml:space="preserve">. </w:t>
      </w:r>
    </w:p>
    <w:p w:rsidR="00BF11EE" w:rsidRDefault="00BF11EE" w:rsidP="00515C4C"/>
    <w:p w:rsidR="00BE22CD" w:rsidRPr="006D6FD9" w:rsidRDefault="00515C4C" w:rsidP="00515C4C">
      <w:r w:rsidRPr="006D6FD9">
        <w:lastRenderedPageBreak/>
        <w:t>Det ses, at der i hele perioden har været et faldende renteniveau (jf. CIBOR3 – se afsnit 4.2.3</w:t>
      </w:r>
      <w:r w:rsidR="003C3D92">
        <w:t xml:space="preserve">, </w:t>
      </w:r>
      <w:r w:rsidR="003C3D92" w:rsidRPr="007F096C">
        <w:t>side</w:t>
      </w:r>
      <w:r w:rsidR="003C3D92">
        <w:t xml:space="preserve"> </w:t>
      </w:r>
      <w:r w:rsidR="00196534">
        <w:t>39</w:t>
      </w:r>
      <w:r w:rsidRPr="006D6FD9">
        <w:t xml:space="preserve">). Når vi sammenholder det faldende renteniveau med et </w:t>
      </w:r>
      <w:r w:rsidR="006D6FD9" w:rsidRPr="006D6FD9">
        <w:t>pos</w:t>
      </w:r>
      <w:r w:rsidR="0008230A">
        <w:t>i</w:t>
      </w:r>
      <w:r w:rsidR="006D6FD9" w:rsidRPr="006D6FD9">
        <w:t>tivt</w:t>
      </w:r>
      <w:r w:rsidR="00BE22CD" w:rsidRPr="006D6FD9">
        <w:t xml:space="preserve"> </w:t>
      </w:r>
      <w:r w:rsidRPr="006D6FD9">
        <w:t xml:space="preserve">GAP, ses det i </w:t>
      </w:r>
      <w:r w:rsidR="00C36E73">
        <w:t xml:space="preserve">tabel 2 </w:t>
      </w:r>
      <w:r w:rsidRPr="006D6FD9">
        <w:t>i afsnit 3.2.3</w:t>
      </w:r>
      <w:r w:rsidR="00196534">
        <w:t>, side 22</w:t>
      </w:r>
      <w:r w:rsidRPr="006D6FD9">
        <w:t xml:space="preserve">, at et </w:t>
      </w:r>
      <w:r w:rsidR="006D6FD9" w:rsidRPr="006D6FD9">
        <w:t>positivt</w:t>
      </w:r>
      <w:r w:rsidRPr="006D6FD9">
        <w:t xml:space="preserve"> GAP i et faldende renteniveau vil give et </w:t>
      </w:r>
      <w:r w:rsidR="006D6FD9" w:rsidRPr="006D6FD9">
        <w:t>faldende</w:t>
      </w:r>
      <w:r w:rsidR="00BE22CD" w:rsidRPr="006D6FD9">
        <w:t xml:space="preserve"> </w:t>
      </w:r>
      <w:r w:rsidRPr="006D6FD9">
        <w:t>resultat.</w:t>
      </w:r>
      <w:r w:rsidR="00536539" w:rsidRPr="006D6FD9">
        <w:t xml:space="preserve"> Dette er også virkeligheden i</w:t>
      </w:r>
      <w:r w:rsidRPr="006D6FD9">
        <w:t xml:space="preserve"> 3 ud 5 år</w:t>
      </w:r>
      <w:r w:rsidR="00BE22CD" w:rsidRPr="006D6FD9">
        <w:t xml:space="preserve">, hvor Den Jyske performer </w:t>
      </w:r>
      <w:r w:rsidR="0008230A">
        <w:t>et negativt resultat på bundlinj</w:t>
      </w:r>
      <w:r w:rsidR="00BE22CD" w:rsidRPr="006D6FD9">
        <w:t>en</w:t>
      </w:r>
      <w:r w:rsidRPr="006D6FD9">
        <w:t xml:space="preserve">. </w:t>
      </w:r>
    </w:p>
    <w:p w:rsidR="0025600B" w:rsidRPr="006D6FD9" w:rsidRDefault="0008230A" w:rsidP="00D779A9">
      <w:r>
        <w:t>Alt andet lige er</w:t>
      </w:r>
      <w:r w:rsidR="00515C4C" w:rsidRPr="006D6FD9">
        <w:t xml:space="preserve"> det bedre jf. teorien at have et negativt GAP i et faldende renteniveau</w:t>
      </w:r>
      <w:r>
        <w:t>, hvorfor d</w:t>
      </w:r>
      <w:r w:rsidR="00536539" w:rsidRPr="006D6FD9">
        <w:t>en Jyske som udgangspunkt har øget deres indtjening</w:t>
      </w:r>
      <w:r w:rsidR="00515C4C" w:rsidRPr="006D6FD9">
        <w:t xml:space="preserve">. </w:t>
      </w:r>
      <w:r>
        <w:t>Det betyder også for d</w:t>
      </w:r>
      <w:r w:rsidR="0025600B" w:rsidRPr="006D6FD9">
        <w:t xml:space="preserve">en Jyske, at et stigende renteniveau vil øge renteindtægterne pga. øget </w:t>
      </w:r>
      <w:r w:rsidR="001C29BE">
        <w:t>renteomkostninger til indlån i forhold til</w:t>
      </w:r>
      <w:r w:rsidR="0025600B" w:rsidRPr="006D6FD9">
        <w:t xml:space="preserve"> renteindtægter på udlån. Det omvendte er naturligvis tilfældet ved et faldende renteniveau.</w:t>
      </w:r>
    </w:p>
    <w:p w:rsidR="00A94160" w:rsidRDefault="00A94160" w:rsidP="00A94160">
      <w:pPr>
        <w:rPr>
          <w:color w:val="FF0000"/>
        </w:rPr>
      </w:pPr>
    </w:p>
    <w:p w:rsidR="001A7ADC" w:rsidRPr="00184482" w:rsidRDefault="00A94160" w:rsidP="00D779A9">
      <w:r w:rsidRPr="00184482">
        <w:t>Det ses også, at deres relative GAP er positivt i hele perioden,</w:t>
      </w:r>
      <w:r w:rsidR="0008230A">
        <w:t xml:space="preserve"> og er i 2012 nede på</w:t>
      </w:r>
      <w:r w:rsidRPr="00184482">
        <w:t xml:space="preserve"> 2,36 %, og som ISR også viser er de rimelig rentefølsomme. De har i hele perioden haft en faldende tendens, og måske de har ført en mere aktiv politik på renten, da de er blevet mere og mere renteneutrale.  </w:t>
      </w:r>
    </w:p>
    <w:p w:rsidR="00A94160" w:rsidRPr="000C4141" w:rsidRDefault="00A94160" w:rsidP="00D779A9">
      <w:pPr>
        <w:rPr>
          <w:color w:val="FF0000"/>
        </w:rPr>
      </w:pPr>
    </w:p>
    <w:p w:rsidR="00A94160" w:rsidRPr="003A72E7" w:rsidRDefault="00515C4C" w:rsidP="00D779A9">
      <w:r w:rsidRPr="003A72E7">
        <w:t>Det ses</w:t>
      </w:r>
      <w:r w:rsidR="00EC5BF8" w:rsidRPr="003A72E7">
        <w:t>,</w:t>
      </w:r>
      <w:r w:rsidR="0008230A">
        <w:t xml:space="preserve"> at d</w:t>
      </w:r>
      <w:r w:rsidRPr="003A72E7">
        <w:t>en Jyske har et faldende ISR</w:t>
      </w:r>
      <w:r w:rsidR="00EC5BF8" w:rsidRPr="003A72E7">
        <w:t xml:space="preserve">, </w:t>
      </w:r>
      <w:r w:rsidR="00BE22CD" w:rsidRPr="003A72E7">
        <w:t xml:space="preserve">og bevæger sig </w:t>
      </w:r>
      <w:r w:rsidR="006D6FD9" w:rsidRPr="003A72E7">
        <w:t>tættere på 1</w:t>
      </w:r>
      <w:r w:rsidR="00BE22CD" w:rsidRPr="003A72E7">
        <w:t>, som er det optimal</w:t>
      </w:r>
      <w:r w:rsidR="0063420D" w:rsidRPr="003A72E7">
        <w:t>e</w:t>
      </w:r>
      <w:r w:rsidR="00BE22CD" w:rsidRPr="003A72E7">
        <w:t xml:space="preserve">, hvis man </w:t>
      </w:r>
      <w:r w:rsidR="00C70557" w:rsidRPr="003A72E7">
        <w:t>ønsker at være renteneutrale</w:t>
      </w:r>
      <w:r w:rsidR="00EC5BF8" w:rsidRPr="003A72E7">
        <w:t>.</w:t>
      </w:r>
      <w:r w:rsidR="00536539" w:rsidRPr="003A72E7">
        <w:t xml:space="preserve"> </w:t>
      </w:r>
      <w:r w:rsidR="0008230A">
        <w:t>Det ses, at d</w:t>
      </w:r>
      <w:r w:rsidR="006F6E1C" w:rsidRPr="003A72E7">
        <w:t>en Jyske har et ISR over 1 i hele perioden, hvorfor pengeinstitutter vil tjene mere ve</w:t>
      </w:r>
      <w:r w:rsidR="0008230A">
        <w:t>d en rentestigning. Derved kan d</w:t>
      </w:r>
      <w:r w:rsidR="006F6E1C" w:rsidRPr="003A72E7">
        <w:t xml:space="preserve">en Jyske alt andet lige vælge at forsøge at komme under 1, hvis de forventer at renten forsat vil falde, eller forblive i nuværende niveau, hvis renten stiger. </w:t>
      </w:r>
    </w:p>
    <w:p w:rsidR="00536539" w:rsidRPr="000C4141" w:rsidRDefault="00536539" w:rsidP="00D779A9">
      <w:pPr>
        <w:rPr>
          <w:color w:val="FF0000"/>
        </w:rPr>
      </w:pPr>
    </w:p>
    <w:p w:rsidR="00887AB7" w:rsidRPr="00A94160" w:rsidRDefault="00BE22CD" w:rsidP="00D779A9">
      <w:r w:rsidRPr="00A94160">
        <w:t>De</w:t>
      </w:r>
      <w:r w:rsidR="0008230A">
        <w:t>t kan være svært at vurdere om d</w:t>
      </w:r>
      <w:r w:rsidRPr="00A94160">
        <w:t>en Jyske har ført en aktiv politik på renten, og da de i 2012 har fusioneret med tre pengeinstitutter og derved ikke umiddelbart selv har kunnet styre aktiver og passiver</w:t>
      </w:r>
      <w:r w:rsidR="00887AB7" w:rsidRPr="00A94160">
        <w:t>, og måske har haft fokus på</w:t>
      </w:r>
      <w:r w:rsidR="00BF11EE" w:rsidRPr="00A94160">
        <w:t xml:space="preserve"> en lang række</w:t>
      </w:r>
      <w:r w:rsidR="00887AB7" w:rsidRPr="00A94160">
        <w:t xml:space="preserve"> andre områder</w:t>
      </w:r>
      <w:r w:rsidRPr="00A94160">
        <w:t>.</w:t>
      </w:r>
      <w:r w:rsidR="00536539" w:rsidRPr="00A94160">
        <w:t xml:space="preserve"> </w:t>
      </w:r>
    </w:p>
    <w:p w:rsidR="0063420D" w:rsidRPr="00A94160" w:rsidRDefault="00536539" w:rsidP="00D779A9">
      <w:r w:rsidRPr="00A94160">
        <w:t xml:space="preserve">Det kan dog konkluderes, at de som udgangspunkt </w:t>
      </w:r>
      <w:r w:rsidR="006D6FD9" w:rsidRPr="00A94160">
        <w:t xml:space="preserve">fortsat </w:t>
      </w:r>
      <w:r w:rsidRPr="00A94160">
        <w:t xml:space="preserve">er </w:t>
      </w:r>
      <w:r w:rsidR="006D6FD9" w:rsidRPr="00A94160">
        <w:t xml:space="preserve">rimelig </w:t>
      </w:r>
      <w:r w:rsidRPr="00A94160">
        <w:t>rentefølsomme, og bør minimere denne</w:t>
      </w:r>
      <w:r w:rsidR="006D6FD9" w:rsidRPr="00A94160">
        <w:t xml:space="preserve"> yderligere</w:t>
      </w:r>
      <w:r w:rsidR="0008230A">
        <w:t>, hvis de ønsker at være rentene</w:t>
      </w:r>
      <w:r w:rsidR="006D6FD9" w:rsidRPr="00A94160">
        <w:t xml:space="preserve">utrale. </w:t>
      </w:r>
      <w:r w:rsidRPr="00A94160">
        <w:t>Den Jyske er et mindre pengeinstitut</w:t>
      </w:r>
      <w:r w:rsidR="006D6FD9" w:rsidRPr="00A94160">
        <w:t xml:space="preserve">, og kan med fordel </w:t>
      </w:r>
      <w:r w:rsidR="00BE54CE" w:rsidRPr="00A94160">
        <w:t>forsøge at diversificere sine risici</w:t>
      </w:r>
      <w:r w:rsidR="006D6FD9" w:rsidRPr="00A94160">
        <w:t xml:space="preserve"> på renten</w:t>
      </w:r>
      <w:r w:rsidR="00BE54CE" w:rsidRPr="00A94160">
        <w:t xml:space="preserve"> så meget som muligt</w:t>
      </w:r>
      <w:r w:rsidR="00887AB7" w:rsidRPr="00A94160">
        <w:t xml:space="preserve">. </w:t>
      </w:r>
      <w:r w:rsidRPr="00A94160">
        <w:t xml:space="preserve"> </w:t>
      </w:r>
    </w:p>
    <w:p w:rsidR="00BE22CD" w:rsidRPr="000C4141" w:rsidRDefault="00BE22CD" w:rsidP="00D779A9">
      <w:pPr>
        <w:rPr>
          <w:color w:val="FF0000"/>
        </w:rPr>
      </w:pPr>
      <w:r w:rsidRPr="000C4141">
        <w:rPr>
          <w:color w:val="FF0000"/>
        </w:rPr>
        <w:t xml:space="preserve"> </w:t>
      </w:r>
    </w:p>
    <w:p w:rsidR="00284193" w:rsidRPr="00A12E4C" w:rsidRDefault="00EC5BF8" w:rsidP="00D779A9">
      <w:r w:rsidRPr="00A94160">
        <w:t>Det kan dog være svært at vurdere, hvorvidt Den Jyske rammes hårdt af rentestigninger eller fald da deres passiver primært består af indlån</w:t>
      </w:r>
      <w:r w:rsidR="00BF11EE" w:rsidRPr="00A94160">
        <w:t>,</w:t>
      </w:r>
      <w:r w:rsidRPr="00A94160">
        <w:t xml:space="preserve"> </w:t>
      </w:r>
      <w:r w:rsidR="00C70557" w:rsidRPr="00A94160">
        <w:t xml:space="preserve">og derved bestemmer </w:t>
      </w:r>
      <w:r w:rsidR="00BE54CE" w:rsidRPr="00A94160">
        <w:t xml:space="preserve">de selv </w:t>
      </w:r>
      <w:r w:rsidR="00C70557" w:rsidRPr="00A94160">
        <w:t xml:space="preserve">prisen på indlån. Dog er virkeligheden en anden, da </w:t>
      </w:r>
      <w:r w:rsidR="00DC4DFB">
        <w:t>de små og mindre pengeinstitutter</w:t>
      </w:r>
      <w:r w:rsidR="00C70557" w:rsidRPr="00A94160">
        <w:t xml:space="preserve"> følger ”de store” pengeinstitut</w:t>
      </w:r>
      <w:r w:rsidR="0008230A">
        <w:t>ter, som Danske Bank og Nordea. D</w:t>
      </w:r>
      <w:r w:rsidR="00C70557" w:rsidRPr="00A94160">
        <w:t xml:space="preserve">e sætter </w:t>
      </w:r>
      <w:r w:rsidR="00BF11EE" w:rsidRPr="00A94160">
        <w:t xml:space="preserve">som regel </w:t>
      </w:r>
      <w:r w:rsidR="00C70557" w:rsidRPr="00A94160">
        <w:t>dagsordenen i markedet.</w:t>
      </w:r>
      <w:r w:rsidR="00BA780F" w:rsidRPr="00A94160">
        <w:t xml:space="preserve"> </w:t>
      </w:r>
      <w:r w:rsidR="00BA780F" w:rsidRPr="00A94160">
        <w:lastRenderedPageBreak/>
        <w:t>For ikke at miste markedsandele vil de mindre og små pengeinstitutter følge de store.</w:t>
      </w:r>
      <w:r w:rsidR="00867983" w:rsidRPr="00A94160">
        <w:t xml:space="preserve"> I nogle tilfælde vil de min</w:t>
      </w:r>
      <w:r w:rsidR="00DC4DFB">
        <w:t>dre pengeinstitutter også byde</w:t>
      </w:r>
      <w:r w:rsidR="00867983" w:rsidRPr="00A94160">
        <w:t xml:space="preserve"> over for at skaffe nye kunder/indlån/udlån.</w:t>
      </w:r>
      <w:r w:rsidR="00BA780F" w:rsidRPr="00A94160">
        <w:t xml:space="preserve"> </w:t>
      </w:r>
    </w:p>
    <w:p w:rsidR="006D7D4A" w:rsidRDefault="006D7D4A" w:rsidP="00D779A9"/>
    <w:p w:rsidR="0008230A" w:rsidRDefault="0008230A" w:rsidP="00D779A9">
      <w:r>
        <w:t>I nedenstående ses GAP for DS:</w:t>
      </w:r>
    </w:p>
    <w:tbl>
      <w:tblPr>
        <w:tblStyle w:val="Tabel-Gitter"/>
        <w:tblW w:w="9321" w:type="dxa"/>
        <w:tblLayout w:type="fixed"/>
        <w:tblLook w:val="04A0" w:firstRow="1" w:lastRow="0" w:firstColumn="1" w:lastColumn="0" w:noHBand="0" w:noVBand="1"/>
      </w:tblPr>
      <w:tblGrid>
        <w:gridCol w:w="1809"/>
        <w:gridCol w:w="1548"/>
        <w:gridCol w:w="1548"/>
        <w:gridCol w:w="1548"/>
        <w:gridCol w:w="1451"/>
        <w:gridCol w:w="1417"/>
      </w:tblGrid>
      <w:tr w:rsidR="006D7D4A" w:rsidRPr="001A7ADC" w:rsidTr="00F65A5F">
        <w:tc>
          <w:tcPr>
            <w:tcW w:w="9321" w:type="dxa"/>
            <w:gridSpan w:val="6"/>
            <w:shd w:val="clear" w:color="auto" w:fill="C6D9F1" w:themeFill="text2" w:themeFillTint="33"/>
          </w:tcPr>
          <w:p w:rsidR="006D7D4A" w:rsidRPr="00F65A5F" w:rsidRDefault="006D7D4A" w:rsidP="006D7D4A">
            <w:pPr>
              <w:spacing w:line="240" w:lineRule="auto"/>
              <w:jc w:val="center"/>
              <w:rPr>
                <w:b/>
              </w:rPr>
            </w:pPr>
            <w:r w:rsidRPr="00F65A5F">
              <w:rPr>
                <w:b/>
              </w:rPr>
              <w:t>GAP – Dronninglund Sparekasse</w:t>
            </w:r>
          </w:p>
        </w:tc>
      </w:tr>
      <w:tr w:rsidR="006D7D4A" w:rsidRPr="001A7ADC" w:rsidTr="00F65A5F">
        <w:tc>
          <w:tcPr>
            <w:tcW w:w="1809" w:type="dxa"/>
            <w:shd w:val="clear" w:color="auto" w:fill="C6D9F1" w:themeFill="text2" w:themeFillTint="33"/>
          </w:tcPr>
          <w:p w:rsidR="006D7D4A" w:rsidRPr="00F65A5F" w:rsidRDefault="006D7D4A" w:rsidP="00500BB9">
            <w:pPr>
              <w:spacing w:line="240" w:lineRule="auto"/>
              <w:jc w:val="center"/>
              <w:rPr>
                <w:b/>
              </w:rPr>
            </w:pPr>
          </w:p>
        </w:tc>
        <w:tc>
          <w:tcPr>
            <w:tcW w:w="1548" w:type="dxa"/>
            <w:shd w:val="clear" w:color="auto" w:fill="C6D9F1" w:themeFill="text2" w:themeFillTint="33"/>
          </w:tcPr>
          <w:p w:rsidR="006D7D4A" w:rsidRPr="00F65A5F" w:rsidRDefault="006D7D4A" w:rsidP="00500BB9">
            <w:pPr>
              <w:spacing w:line="240" w:lineRule="auto"/>
              <w:jc w:val="center"/>
              <w:rPr>
                <w:b/>
              </w:rPr>
            </w:pPr>
            <w:r w:rsidRPr="00F65A5F">
              <w:rPr>
                <w:b/>
              </w:rPr>
              <w:t>2012</w:t>
            </w:r>
          </w:p>
        </w:tc>
        <w:tc>
          <w:tcPr>
            <w:tcW w:w="1548" w:type="dxa"/>
            <w:shd w:val="clear" w:color="auto" w:fill="C6D9F1" w:themeFill="text2" w:themeFillTint="33"/>
          </w:tcPr>
          <w:p w:rsidR="006D7D4A" w:rsidRPr="00F65A5F" w:rsidRDefault="006D7D4A" w:rsidP="00500BB9">
            <w:pPr>
              <w:spacing w:line="240" w:lineRule="auto"/>
              <w:jc w:val="center"/>
              <w:rPr>
                <w:b/>
              </w:rPr>
            </w:pPr>
            <w:r w:rsidRPr="00F65A5F">
              <w:rPr>
                <w:b/>
              </w:rPr>
              <w:t>2011</w:t>
            </w:r>
          </w:p>
        </w:tc>
        <w:tc>
          <w:tcPr>
            <w:tcW w:w="1548" w:type="dxa"/>
            <w:shd w:val="clear" w:color="auto" w:fill="C6D9F1" w:themeFill="text2" w:themeFillTint="33"/>
          </w:tcPr>
          <w:p w:rsidR="006D7D4A" w:rsidRPr="00F65A5F" w:rsidRDefault="006D7D4A" w:rsidP="00500BB9">
            <w:pPr>
              <w:spacing w:line="240" w:lineRule="auto"/>
              <w:jc w:val="center"/>
              <w:rPr>
                <w:b/>
              </w:rPr>
            </w:pPr>
            <w:r w:rsidRPr="00F65A5F">
              <w:rPr>
                <w:b/>
              </w:rPr>
              <w:t>2010</w:t>
            </w:r>
          </w:p>
        </w:tc>
        <w:tc>
          <w:tcPr>
            <w:tcW w:w="1451" w:type="dxa"/>
            <w:shd w:val="clear" w:color="auto" w:fill="C6D9F1" w:themeFill="text2" w:themeFillTint="33"/>
          </w:tcPr>
          <w:p w:rsidR="006D7D4A" w:rsidRPr="00F65A5F" w:rsidRDefault="006D7D4A" w:rsidP="00500BB9">
            <w:pPr>
              <w:spacing w:line="240" w:lineRule="auto"/>
              <w:jc w:val="center"/>
              <w:rPr>
                <w:b/>
              </w:rPr>
            </w:pPr>
            <w:r w:rsidRPr="00F65A5F">
              <w:rPr>
                <w:b/>
              </w:rPr>
              <w:t>2009</w:t>
            </w:r>
          </w:p>
        </w:tc>
        <w:tc>
          <w:tcPr>
            <w:tcW w:w="1417" w:type="dxa"/>
            <w:shd w:val="clear" w:color="auto" w:fill="C6D9F1" w:themeFill="text2" w:themeFillTint="33"/>
          </w:tcPr>
          <w:p w:rsidR="006D7D4A" w:rsidRPr="00F65A5F" w:rsidRDefault="006D7D4A" w:rsidP="00500BB9">
            <w:pPr>
              <w:spacing w:line="240" w:lineRule="auto"/>
              <w:jc w:val="center"/>
              <w:rPr>
                <w:b/>
              </w:rPr>
            </w:pPr>
            <w:r w:rsidRPr="00F65A5F">
              <w:rPr>
                <w:b/>
              </w:rPr>
              <w:t>2008</w:t>
            </w:r>
          </w:p>
        </w:tc>
      </w:tr>
      <w:tr w:rsidR="00A115DC" w:rsidRPr="000C4141" w:rsidTr="00F65A5F">
        <w:trPr>
          <w:trHeight w:val="300"/>
        </w:trPr>
        <w:tc>
          <w:tcPr>
            <w:tcW w:w="1809" w:type="dxa"/>
            <w:noWrap/>
            <w:hideMark/>
          </w:tcPr>
          <w:p w:rsidR="00A115DC" w:rsidRPr="000C4141" w:rsidRDefault="00A115DC" w:rsidP="00A115DC">
            <w:pPr>
              <w:spacing w:line="240" w:lineRule="auto"/>
              <w:jc w:val="left"/>
              <w:rPr>
                <w:color w:val="000000"/>
              </w:rPr>
            </w:pPr>
            <w:r w:rsidRPr="000C4141">
              <w:rPr>
                <w:color w:val="000000"/>
              </w:rPr>
              <w:t>ISR</w:t>
            </w:r>
          </w:p>
        </w:tc>
        <w:tc>
          <w:tcPr>
            <w:tcW w:w="1548" w:type="dxa"/>
            <w:noWrap/>
            <w:hideMark/>
          </w:tcPr>
          <w:p w:rsidR="00A115DC" w:rsidRPr="000C4141" w:rsidRDefault="00A115DC" w:rsidP="000C4141">
            <w:pPr>
              <w:spacing w:line="240" w:lineRule="auto"/>
              <w:jc w:val="right"/>
              <w:rPr>
                <w:color w:val="000000"/>
              </w:rPr>
            </w:pPr>
            <w:r w:rsidRPr="000C4141">
              <w:rPr>
                <w:color w:val="000000"/>
              </w:rPr>
              <w:t>0,91</w:t>
            </w:r>
          </w:p>
        </w:tc>
        <w:tc>
          <w:tcPr>
            <w:tcW w:w="1548" w:type="dxa"/>
            <w:noWrap/>
            <w:hideMark/>
          </w:tcPr>
          <w:p w:rsidR="00A115DC" w:rsidRPr="000C4141" w:rsidRDefault="00A115DC" w:rsidP="000C4141">
            <w:pPr>
              <w:spacing w:line="240" w:lineRule="auto"/>
              <w:jc w:val="right"/>
              <w:rPr>
                <w:color w:val="000000"/>
              </w:rPr>
            </w:pPr>
            <w:r w:rsidRPr="000C4141">
              <w:rPr>
                <w:color w:val="000000"/>
              </w:rPr>
              <w:t>0,92</w:t>
            </w:r>
          </w:p>
        </w:tc>
        <w:tc>
          <w:tcPr>
            <w:tcW w:w="1548" w:type="dxa"/>
            <w:noWrap/>
            <w:hideMark/>
          </w:tcPr>
          <w:p w:rsidR="00A115DC" w:rsidRPr="000C4141" w:rsidRDefault="00A115DC" w:rsidP="000C4141">
            <w:pPr>
              <w:spacing w:line="240" w:lineRule="auto"/>
              <w:jc w:val="right"/>
              <w:rPr>
                <w:color w:val="000000"/>
              </w:rPr>
            </w:pPr>
            <w:r w:rsidRPr="000C4141">
              <w:rPr>
                <w:color w:val="000000"/>
              </w:rPr>
              <w:t>0,96</w:t>
            </w:r>
          </w:p>
        </w:tc>
        <w:tc>
          <w:tcPr>
            <w:tcW w:w="1451" w:type="dxa"/>
            <w:noWrap/>
            <w:hideMark/>
          </w:tcPr>
          <w:p w:rsidR="00A115DC" w:rsidRPr="000C4141" w:rsidRDefault="00A115DC" w:rsidP="000C4141">
            <w:pPr>
              <w:spacing w:line="240" w:lineRule="auto"/>
              <w:jc w:val="right"/>
              <w:rPr>
                <w:color w:val="000000"/>
              </w:rPr>
            </w:pPr>
            <w:r w:rsidRPr="000C4141">
              <w:rPr>
                <w:color w:val="000000"/>
              </w:rPr>
              <w:t>1,06</w:t>
            </w:r>
          </w:p>
        </w:tc>
        <w:tc>
          <w:tcPr>
            <w:tcW w:w="1417" w:type="dxa"/>
            <w:noWrap/>
            <w:hideMark/>
          </w:tcPr>
          <w:p w:rsidR="00A115DC" w:rsidRPr="000C4141" w:rsidRDefault="00A115DC" w:rsidP="000C4141">
            <w:pPr>
              <w:spacing w:line="240" w:lineRule="auto"/>
              <w:jc w:val="right"/>
              <w:rPr>
                <w:color w:val="000000"/>
              </w:rPr>
            </w:pPr>
            <w:r w:rsidRPr="000C4141">
              <w:rPr>
                <w:color w:val="000000"/>
              </w:rPr>
              <w:t>1,09</w:t>
            </w:r>
          </w:p>
        </w:tc>
      </w:tr>
      <w:tr w:rsidR="00A115DC" w:rsidRPr="000C4141" w:rsidTr="00F65A5F">
        <w:trPr>
          <w:trHeight w:val="300"/>
        </w:trPr>
        <w:tc>
          <w:tcPr>
            <w:tcW w:w="1809" w:type="dxa"/>
            <w:noWrap/>
            <w:hideMark/>
          </w:tcPr>
          <w:p w:rsidR="00A115DC" w:rsidRPr="000C4141" w:rsidRDefault="00A115DC" w:rsidP="00A115DC">
            <w:pPr>
              <w:spacing w:line="240" w:lineRule="auto"/>
              <w:jc w:val="left"/>
              <w:rPr>
                <w:color w:val="000000"/>
              </w:rPr>
            </w:pPr>
            <w:r w:rsidRPr="000C4141">
              <w:rPr>
                <w:color w:val="000000"/>
              </w:rPr>
              <w:t xml:space="preserve"> GAP </w:t>
            </w:r>
          </w:p>
        </w:tc>
        <w:tc>
          <w:tcPr>
            <w:tcW w:w="1548" w:type="dxa"/>
            <w:noWrap/>
            <w:hideMark/>
          </w:tcPr>
          <w:p w:rsidR="00A115DC" w:rsidRPr="000C4141" w:rsidRDefault="00A115DC" w:rsidP="000C4141">
            <w:pPr>
              <w:spacing w:line="240" w:lineRule="auto"/>
              <w:jc w:val="right"/>
              <w:rPr>
                <w:color w:val="000000"/>
              </w:rPr>
            </w:pPr>
            <w:r w:rsidRPr="000C4141">
              <w:rPr>
                <w:color w:val="000000"/>
              </w:rPr>
              <w:t xml:space="preserve">-187.003 </w:t>
            </w:r>
          </w:p>
        </w:tc>
        <w:tc>
          <w:tcPr>
            <w:tcW w:w="1548" w:type="dxa"/>
            <w:noWrap/>
            <w:hideMark/>
          </w:tcPr>
          <w:p w:rsidR="00A115DC" w:rsidRPr="000C4141" w:rsidRDefault="000C4141" w:rsidP="000C4141">
            <w:pPr>
              <w:spacing w:line="240" w:lineRule="auto"/>
              <w:jc w:val="right"/>
              <w:rPr>
                <w:color w:val="000000"/>
              </w:rPr>
            </w:pPr>
            <w:r>
              <w:rPr>
                <w:color w:val="000000"/>
              </w:rPr>
              <w:t>-</w:t>
            </w:r>
            <w:r w:rsidR="00A115DC" w:rsidRPr="000C4141">
              <w:rPr>
                <w:color w:val="000000"/>
              </w:rPr>
              <w:t xml:space="preserve">175.590 </w:t>
            </w:r>
          </w:p>
        </w:tc>
        <w:tc>
          <w:tcPr>
            <w:tcW w:w="1548" w:type="dxa"/>
            <w:noWrap/>
            <w:hideMark/>
          </w:tcPr>
          <w:p w:rsidR="00A115DC" w:rsidRPr="000C4141" w:rsidRDefault="00A115DC" w:rsidP="000C4141">
            <w:pPr>
              <w:spacing w:line="240" w:lineRule="auto"/>
              <w:jc w:val="right"/>
              <w:rPr>
                <w:color w:val="000000"/>
              </w:rPr>
            </w:pPr>
            <w:r w:rsidRPr="000C4141">
              <w:rPr>
                <w:color w:val="000000"/>
              </w:rPr>
              <w:t xml:space="preserve">-84.951 </w:t>
            </w:r>
          </w:p>
        </w:tc>
        <w:tc>
          <w:tcPr>
            <w:tcW w:w="1451" w:type="dxa"/>
            <w:noWrap/>
            <w:hideMark/>
          </w:tcPr>
          <w:p w:rsidR="00A115DC" w:rsidRPr="000C4141" w:rsidRDefault="00A115DC" w:rsidP="000C4141">
            <w:pPr>
              <w:spacing w:line="240" w:lineRule="auto"/>
              <w:jc w:val="right"/>
              <w:rPr>
                <w:color w:val="000000"/>
              </w:rPr>
            </w:pPr>
            <w:r w:rsidRPr="000C4141">
              <w:rPr>
                <w:color w:val="000000"/>
              </w:rPr>
              <w:t xml:space="preserve">124.348 </w:t>
            </w:r>
          </w:p>
        </w:tc>
        <w:tc>
          <w:tcPr>
            <w:tcW w:w="1417" w:type="dxa"/>
            <w:noWrap/>
            <w:hideMark/>
          </w:tcPr>
          <w:p w:rsidR="00A115DC" w:rsidRPr="000C4141" w:rsidRDefault="00A115DC" w:rsidP="000C4141">
            <w:pPr>
              <w:spacing w:line="240" w:lineRule="auto"/>
              <w:jc w:val="right"/>
              <w:rPr>
                <w:color w:val="000000"/>
              </w:rPr>
            </w:pPr>
            <w:r w:rsidRPr="000C4141">
              <w:rPr>
                <w:color w:val="000000"/>
              </w:rPr>
              <w:t xml:space="preserve">148.472 </w:t>
            </w:r>
          </w:p>
        </w:tc>
      </w:tr>
      <w:tr w:rsidR="00A115DC" w:rsidRPr="000C4141" w:rsidTr="00F65A5F">
        <w:trPr>
          <w:trHeight w:val="300"/>
        </w:trPr>
        <w:tc>
          <w:tcPr>
            <w:tcW w:w="1809" w:type="dxa"/>
            <w:noWrap/>
            <w:hideMark/>
          </w:tcPr>
          <w:p w:rsidR="00A115DC" w:rsidRPr="000C4141" w:rsidRDefault="00A115DC" w:rsidP="00A115DC">
            <w:pPr>
              <w:spacing w:line="240" w:lineRule="auto"/>
              <w:jc w:val="left"/>
              <w:rPr>
                <w:color w:val="000000"/>
              </w:rPr>
            </w:pPr>
            <w:r w:rsidRPr="000C4141">
              <w:rPr>
                <w:color w:val="000000"/>
              </w:rPr>
              <w:t xml:space="preserve"> Relative GAP </w:t>
            </w:r>
          </w:p>
        </w:tc>
        <w:tc>
          <w:tcPr>
            <w:tcW w:w="1548" w:type="dxa"/>
            <w:noWrap/>
            <w:hideMark/>
          </w:tcPr>
          <w:p w:rsidR="00A115DC" w:rsidRPr="000C4141" w:rsidRDefault="00A115DC" w:rsidP="000C4141">
            <w:pPr>
              <w:spacing w:line="240" w:lineRule="auto"/>
              <w:jc w:val="right"/>
              <w:rPr>
                <w:color w:val="000000"/>
              </w:rPr>
            </w:pPr>
            <w:r w:rsidRPr="000C4141">
              <w:rPr>
                <w:color w:val="000000"/>
              </w:rPr>
              <w:t>-7,</w:t>
            </w:r>
            <w:proofErr w:type="gramStart"/>
            <w:r w:rsidRPr="000C4141">
              <w:rPr>
                <w:color w:val="000000"/>
              </w:rPr>
              <w:t>17%</w:t>
            </w:r>
            <w:proofErr w:type="gramEnd"/>
          </w:p>
        </w:tc>
        <w:tc>
          <w:tcPr>
            <w:tcW w:w="1548" w:type="dxa"/>
            <w:noWrap/>
            <w:hideMark/>
          </w:tcPr>
          <w:p w:rsidR="00A115DC" w:rsidRPr="000C4141" w:rsidRDefault="00A115DC" w:rsidP="000C4141">
            <w:pPr>
              <w:spacing w:line="240" w:lineRule="auto"/>
              <w:jc w:val="right"/>
              <w:rPr>
                <w:color w:val="000000"/>
              </w:rPr>
            </w:pPr>
            <w:r w:rsidRPr="000C4141">
              <w:rPr>
                <w:color w:val="000000"/>
              </w:rPr>
              <w:t>-6,</w:t>
            </w:r>
            <w:proofErr w:type="gramStart"/>
            <w:r w:rsidRPr="000C4141">
              <w:rPr>
                <w:color w:val="000000"/>
              </w:rPr>
              <w:t>87%</w:t>
            </w:r>
            <w:proofErr w:type="gramEnd"/>
          </w:p>
        </w:tc>
        <w:tc>
          <w:tcPr>
            <w:tcW w:w="1548" w:type="dxa"/>
            <w:noWrap/>
            <w:hideMark/>
          </w:tcPr>
          <w:p w:rsidR="00A115DC" w:rsidRPr="000C4141" w:rsidRDefault="00A115DC" w:rsidP="000C4141">
            <w:pPr>
              <w:spacing w:line="240" w:lineRule="auto"/>
              <w:jc w:val="right"/>
              <w:rPr>
                <w:color w:val="000000"/>
              </w:rPr>
            </w:pPr>
            <w:r w:rsidRPr="000C4141">
              <w:rPr>
                <w:color w:val="000000"/>
              </w:rPr>
              <w:t>-3,</w:t>
            </w:r>
            <w:proofErr w:type="gramStart"/>
            <w:r w:rsidRPr="000C4141">
              <w:rPr>
                <w:color w:val="000000"/>
              </w:rPr>
              <w:t>37%</w:t>
            </w:r>
            <w:proofErr w:type="gramEnd"/>
          </w:p>
        </w:tc>
        <w:tc>
          <w:tcPr>
            <w:tcW w:w="1451" w:type="dxa"/>
            <w:noWrap/>
            <w:hideMark/>
          </w:tcPr>
          <w:p w:rsidR="00A115DC" w:rsidRPr="000C4141" w:rsidRDefault="00A115DC" w:rsidP="000C4141">
            <w:pPr>
              <w:spacing w:line="240" w:lineRule="auto"/>
              <w:jc w:val="right"/>
              <w:rPr>
                <w:color w:val="000000"/>
              </w:rPr>
            </w:pPr>
            <w:r w:rsidRPr="000C4141">
              <w:rPr>
                <w:color w:val="000000"/>
              </w:rPr>
              <w:t>5,</w:t>
            </w:r>
            <w:proofErr w:type="gramStart"/>
            <w:r w:rsidRPr="000C4141">
              <w:rPr>
                <w:color w:val="000000"/>
              </w:rPr>
              <w:t>22%</w:t>
            </w:r>
            <w:proofErr w:type="gramEnd"/>
          </w:p>
        </w:tc>
        <w:tc>
          <w:tcPr>
            <w:tcW w:w="1417" w:type="dxa"/>
            <w:noWrap/>
            <w:hideMark/>
          </w:tcPr>
          <w:p w:rsidR="00A115DC" w:rsidRPr="000C4141" w:rsidRDefault="00A115DC" w:rsidP="000C4141">
            <w:pPr>
              <w:spacing w:line="240" w:lineRule="auto"/>
              <w:jc w:val="right"/>
              <w:rPr>
                <w:color w:val="000000"/>
              </w:rPr>
            </w:pPr>
            <w:r w:rsidRPr="000C4141">
              <w:rPr>
                <w:color w:val="000000"/>
              </w:rPr>
              <w:t>6,</w:t>
            </w:r>
            <w:proofErr w:type="gramStart"/>
            <w:r w:rsidRPr="000C4141">
              <w:rPr>
                <w:color w:val="000000"/>
              </w:rPr>
              <w:t>99%</w:t>
            </w:r>
            <w:proofErr w:type="gramEnd"/>
          </w:p>
        </w:tc>
      </w:tr>
    </w:tbl>
    <w:p w:rsidR="00FD4EC0" w:rsidRPr="009259C7" w:rsidRDefault="00FD4EC0" w:rsidP="00FD4EC0">
      <w:pPr>
        <w:spacing w:line="240" w:lineRule="auto"/>
        <w:rPr>
          <w:i/>
          <w:sz w:val="20"/>
        </w:rPr>
      </w:pPr>
      <w:r>
        <w:rPr>
          <w:sz w:val="20"/>
        </w:rPr>
        <w:t>Tabel 13:</w:t>
      </w:r>
      <w:r w:rsidRPr="00C36E73">
        <w:rPr>
          <w:sz w:val="20"/>
        </w:rPr>
        <w:t xml:space="preserve"> </w:t>
      </w:r>
      <w:r>
        <w:rPr>
          <w:sz w:val="20"/>
        </w:rPr>
        <w:t xml:space="preserve">GAP – Dronninglund Sparekasse. </w:t>
      </w:r>
      <w:r>
        <w:rPr>
          <w:i/>
          <w:sz w:val="20"/>
        </w:rPr>
        <w:t>Kilde: Egne udregninger, se bilag D.</w:t>
      </w:r>
    </w:p>
    <w:p w:rsidR="006D7D4A" w:rsidRPr="000C4141" w:rsidRDefault="006D7D4A" w:rsidP="00D779A9"/>
    <w:p w:rsidR="00CD74FE" w:rsidRDefault="002429F5" w:rsidP="00D779A9">
      <w:r>
        <w:t xml:space="preserve">Det ses, at DS i 2008 og 2009 har flere rentefølsomme </w:t>
      </w:r>
      <w:r w:rsidR="00184482">
        <w:t xml:space="preserve">aktiver </w:t>
      </w:r>
      <w:r>
        <w:t xml:space="preserve">end </w:t>
      </w:r>
      <w:r w:rsidR="00184482">
        <w:t>passiver</w:t>
      </w:r>
      <w:r w:rsidR="0047317C">
        <w:t>, og derved et positivt GAP</w:t>
      </w:r>
      <w:r>
        <w:t xml:space="preserve">. Det modsatte er tilfældet i resten af perioden, hvor de har et negativt </w:t>
      </w:r>
      <w:r w:rsidR="0047317C">
        <w:t>GAP</w:t>
      </w:r>
      <w:r>
        <w:t xml:space="preserve">, og derved flere rentefølsomme </w:t>
      </w:r>
      <w:r w:rsidR="00184482">
        <w:t xml:space="preserve">passiver </w:t>
      </w:r>
      <w:r>
        <w:t xml:space="preserve">end </w:t>
      </w:r>
      <w:r w:rsidR="00184482">
        <w:t>aktiver</w:t>
      </w:r>
      <w:r>
        <w:t xml:space="preserve">. </w:t>
      </w:r>
    </w:p>
    <w:p w:rsidR="002429F5" w:rsidRDefault="002429F5" w:rsidP="00D779A9">
      <w:r>
        <w:t>Det ses, at de rentefølsomme aktiver ligger i nogenlunde samme niveau i hele perioden, mens de rentefølsomme passiver har ændret sig. Det er specielt gæld til kreditinstitutter og centralbanker der er faldet, samt indlån og anden gæld</w:t>
      </w:r>
      <w:r w:rsidR="0047317C">
        <w:t>,</w:t>
      </w:r>
      <w:r>
        <w:t xml:space="preserve"> </w:t>
      </w:r>
      <w:r w:rsidR="00184482">
        <w:t>der</w:t>
      </w:r>
      <w:r>
        <w:t xml:space="preserve"> er steget. </w:t>
      </w:r>
    </w:p>
    <w:p w:rsidR="00867983" w:rsidRDefault="00867983" w:rsidP="00D779A9"/>
    <w:p w:rsidR="00867983" w:rsidRPr="003C3D92" w:rsidRDefault="0047317C" w:rsidP="00D779A9">
      <w:r w:rsidRPr="003C3D92">
        <w:t>Som tidligere nævnt har der</w:t>
      </w:r>
      <w:r w:rsidR="00867983" w:rsidRPr="003C3D92">
        <w:t xml:space="preserve"> i perioden været i et faldende renteniveau, hvor CIBOR3 har været faldende</w:t>
      </w:r>
      <w:r w:rsidR="003C3D92" w:rsidRPr="003C3D92">
        <w:t>, hvorfor det</w:t>
      </w:r>
      <w:r w:rsidR="00184482" w:rsidRPr="003C3D92">
        <w:t xml:space="preserve"> jf. teoriafsnit er bedre at have et negativt GAP i et faldende renteniveau</w:t>
      </w:r>
      <w:r w:rsidR="00577B43" w:rsidRPr="003C3D92">
        <w:t>, da det vil give et stigende resultat</w:t>
      </w:r>
      <w:r w:rsidR="00184482" w:rsidRPr="003C3D92">
        <w:t>.</w:t>
      </w:r>
      <w:r w:rsidR="00577B43" w:rsidRPr="003C3D92">
        <w:t xml:space="preserve"> Det er også tilfældet i 2011 og 2012, hvorfor teorien her må passe. I 2010 formåede DS at lave et negativt resultat i et faldende renteniveau med negativt GAP, hvilket må skyldes</w:t>
      </w:r>
      <w:r w:rsidR="003C3D92" w:rsidRPr="003C3D92">
        <w:t>,</w:t>
      </w:r>
      <w:r w:rsidR="00577B43" w:rsidRPr="003C3D92">
        <w:t xml:space="preserve"> </w:t>
      </w:r>
      <w:r w:rsidR="003C3D92" w:rsidRPr="003C3D92">
        <w:t xml:space="preserve">at deres rentefølsomme passiver er steget, og som primært består af indlån og anden gæld. </w:t>
      </w:r>
    </w:p>
    <w:p w:rsidR="00D56C8F" w:rsidRDefault="00D56C8F" w:rsidP="00D779A9">
      <w:pPr>
        <w:rPr>
          <w:color w:val="FF0000"/>
        </w:rPr>
      </w:pPr>
    </w:p>
    <w:p w:rsidR="00D56C8F" w:rsidRDefault="00D56C8F" w:rsidP="00D779A9">
      <w:r>
        <w:t>Det vil være optimalt for DS at have et ISR så tæt på 1, da de så vil være så renteneutrale.</w:t>
      </w:r>
      <w:r w:rsidR="00577B43">
        <w:t xml:space="preserve"> Dog vil de i et faldende rente</w:t>
      </w:r>
      <w:r>
        <w:t>marked øge deres indtjening, når ISR er under 1, hvilket også afspejler sig i et positivt resultat i 2011 og 2012. Det negative resultat i 2010 kan skyldes, at det var v</w:t>
      </w:r>
      <w:r w:rsidR="00A33232">
        <w:t>endepunktet for DS</w:t>
      </w:r>
      <w:r>
        <w:t xml:space="preserve">, hvor de ændrede deres politik, således at de ville tjene penge i et faldende marked </w:t>
      </w:r>
      <w:r w:rsidR="001625BC">
        <w:t>i forhold til</w:t>
      </w:r>
      <w:r>
        <w:t xml:space="preserve"> at have et ISR større end 1 i et faldende renteniveau, som var tilfældet i 2008 og 2009. </w:t>
      </w:r>
    </w:p>
    <w:p w:rsidR="005B1F33" w:rsidRDefault="005B1F33">
      <w:pPr>
        <w:spacing w:line="240" w:lineRule="auto"/>
        <w:jc w:val="left"/>
        <w:rPr>
          <w:rFonts w:ascii="Verdana" w:eastAsiaTheme="majorEastAsia" w:hAnsi="Verdana" w:cstheme="majorBidi"/>
          <w:b/>
          <w:bCs/>
          <w:sz w:val="20"/>
        </w:rPr>
      </w:pPr>
      <w:r>
        <w:br w:type="page"/>
      </w:r>
    </w:p>
    <w:p w:rsidR="00C03584" w:rsidRDefault="00C03584" w:rsidP="0087410F">
      <w:pPr>
        <w:pStyle w:val="Overskrift3"/>
        <w:numPr>
          <w:ilvl w:val="2"/>
          <w:numId w:val="10"/>
        </w:numPr>
      </w:pPr>
      <w:bookmarkStart w:id="130" w:name="_Toc354517433"/>
      <w:r>
        <w:lastRenderedPageBreak/>
        <w:t>Loan Ratio</w:t>
      </w:r>
      <w:bookmarkEnd w:id="130"/>
    </w:p>
    <w:p w:rsidR="00C03584" w:rsidRDefault="00C03584" w:rsidP="00C03584">
      <w:r>
        <w:t>Som gennemgået i teoridelen viser Loan Ratio, hvor god pengeinstituttet er til at udnytte deres aktiver.</w:t>
      </w:r>
    </w:p>
    <w:p w:rsidR="00196534" w:rsidRDefault="00196534" w:rsidP="00C03584"/>
    <w:p w:rsidR="00073A6D" w:rsidRDefault="008106AD" w:rsidP="00594C1C">
      <w:r>
        <w:t>I nedenstående tabel ses Loan Ratio for Den Jyske</w:t>
      </w:r>
      <w:r w:rsidR="003E26E5">
        <w:t xml:space="preserve">. </w:t>
      </w:r>
    </w:p>
    <w:tbl>
      <w:tblPr>
        <w:tblStyle w:val="Tabel-Gitter"/>
        <w:tblW w:w="0" w:type="auto"/>
        <w:tblLook w:val="04A0" w:firstRow="1" w:lastRow="0" w:firstColumn="1" w:lastColumn="0" w:noHBand="0" w:noVBand="1"/>
      </w:tblPr>
      <w:tblGrid>
        <w:gridCol w:w="1842"/>
        <w:gridCol w:w="1842"/>
        <w:gridCol w:w="1842"/>
        <w:gridCol w:w="1843"/>
        <w:gridCol w:w="1843"/>
      </w:tblGrid>
      <w:tr w:rsidR="00A12935" w:rsidRPr="003E37D8" w:rsidTr="001625BC">
        <w:tc>
          <w:tcPr>
            <w:tcW w:w="9212" w:type="dxa"/>
            <w:gridSpan w:val="5"/>
            <w:shd w:val="clear" w:color="auto" w:fill="C6D9F1" w:themeFill="text2" w:themeFillTint="33"/>
          </w:tcPr>
          <w:p w:rsidR="00A12935" w:rsidRPr="00F65A5F" w:rsidRDefault="00A12935" w:rsidP="00A12935">
            <w:pPr>
              <w:spacing w:line="240" w:lineRule="auto"/>
              <w:jc w:val="center"/>
              <w:rPr>
                <w:b/>
              </w:rPr>
            </w:pPr>
            <w:r w:rsidRPr="00F65A5F">
              <w:rPr>
                <w:b/>
              </w:rPr>
              <w:t>Loan Ratio – Den Jyske Sparekasse</w:t>
            </w:r>
          </w:p>
        </w:tc>
      </w:tr>
      <w:tr w:rsidR="00A12935" w:rsidRPr="003E37D8" w:rsidTr="001625BC">
        <w:tc>
          <w:tcPr>
            <w:tcW w:w="1842" w:type="dxa"/>
            <w:shd w:val="clear" w:color="auto" w:fill="C6D9F1" w:themeFill="text2" w:themeFillTint="33"/>
          </w:tcPr>
          <w:p w:rsidR="00A12935" w:rsidRPr="00F65A5F" w:rsidRDefault="00A12935" w:rsidP="007A4E41">
            <w:pPr>
              <w:spacing w:line="240" w:lineRule="auto"/>
              <w:jc w:val="center"/>
              <w:rPr>
                <w:b/>
              </w:rPr>
            </w:pPr>
            <w:r w:rsidRPr="00F65A5F">
              <w:rPr>
                <w:b/>
              </w:rPr>
              <w:t>2012</w:t>
            </w:r>
          </w:p>
        </w:tc>
        <w:tc>
          <w:tcPr>
            <w:tcW w:w="1842" w:type="dxa"/>
            <w:shd w:val="clear" w:color="auto" w:fill="C6D9F1" w:themeFill="text2" w:themeFillTint="33"/>
          </w:tcPr>
          <w:p w:rsidR="00A12935" w:rsidRPr="00F65A5F" w:rsidRDefault="00A12935" w:rsidP="007A4E41">
            <w:pPr>
              <w:spacing w:line="240" w:lineRule="auto"/>
              <w:jc w:val="center"/>
              <w:rPr>
                <w:b/>
              </w:rPr>
            </w:pPr>
            <w:r w:rsidRPr="00F65A5F">
              <w:rPr>
                <w:b/>
              </w:rPr>
              <w:t>2011</w:t>
            </w:r>
          </w:p>
        </w:tc>
        <w:tc>
          <w:tcPr>
            <w:tcW w:w="1842" w:type="dxa"/>
            <w:shd w:val="clear" w:color="auto" w:fill="C6D9F1" w:themeFill="text2" w:themeFillTint="33"/>
          </w:tcPr>
          <w:p w:rsidR="00A12935" w:rsidRPr="00F65A5F" w:rsidRDefault="00A12935" w:rsidP="007A4E41">
            <w:pPr>
              <w:spacing w:line="240" w:lineRule="auto"/>
              <w:jc w:val="center"/>
              <w:rPr>
                <w:b/>
              </w:rPr>
            </w:pPr>
            <w:r w:rsidRPr="00F65A5F">
              <w:rPr>
                <w:b/>
              </w:rPr>
              <w:t>2010</w:t>
            </w:r>
          </w:p>
        </w:tc>
        <w:tc>
          <w:tcPr>
            <w:tcW w:w="1843" w:type="dxa"/>
            <w:shd w:val="clear" w:color="auto" w:fill="C6D9F1" w:themeFill="text2" w:themeFillTint="33"/>
          </w:tcPr>
          <w:p w:rsidR="00A12935" w:rsidRPr="00F65A5F" w:rsidRDefault="00A12935" w:rsidP="007A4E41">
            <w:pPr>
              <w:spacing w:line="240" w:lineRule="auto"/>
              <w:jc w:val="center"/>
              <w:rPr>
                <w:b/>
              </w:rPr>
            </w:pPr>
            <w:r w:rsidRPr="00F65A5F">
              <w:rPr>
                <w:b/>
              </w:rPr>
              <w:t>2009</w:t>
            </w:r>
          </w:p>
        </w:tc>
        <w:tc>
          <w:tcPr>
            <w:tcW w:w="1843" w:type="dxa"/>
            <w:shd w:val="clear" w:color="auto" w:fill="C6D9F1" w:themeFill="text2" w:themeFillTint="33"/>
          </w:tcPr>
          <w:p w:rsidR="00A12935" w:rsidRPr="00F65A5F" w:rsidRDefault="00A12935" w:rsidP="007A4E41">
            <w:pPr>
              <w:spacing w:line="240" w:lineRule="auto"/>
              <w:jc w:val="center"/>
              <w:rPr>
                <w:b/>
              </w:rPr>
            </w:pPr>
            <w:r w:rsidRPr="00F65A5F">
              <w:rPr>
                <w:b/>
              </w:rPr>
              <w:t>2008</w:t>
            </w:r>
          </w:p>
        </w:tc>
      </w:tr>
      <w:tr w:rsidR="00A12935" w:rsidRPr="00A12935" w:rsidTr="00F65A5F">
        <w:trPr>
          <w:trHeight w:val="300"/>
        </w:trPr>
        <w:tc>
          <w:tcPr>
            <w:tcW w:w="1842" w:type="dxa"/>
            <w:noWrap/>
            <w:hideMark/>
          </w:tcPr>
          <w:p w:rsidR="00A12935" w:rsidRPr="00A12935" w:rsidRDefault="00A12935" w:rsidP="00A12935">
            <w:pPr>
              <w:spacing w:line="240" w:lineRule="auto"/>
              <w:jc w:val="right"/>
              <w:rPr>
                <w:color w:val="000000"/>
              </w:rPr>
            </w:pPr>
            <w:r w:rsidRPr="00A12935">
              <w:rPr>
                <w:color w:val="000000"/>
              </w:rPr>
              <w:t>63,</w:t>
            </w:r>
            <w:proofErr w:type="gramStart"/>
            <w:r w:rsidRPr="00A12935">
              <w:rPr>
                <w:color w:val="000000"/>
              </w:rPr>
              <w:t>01%</w:t>
            </w:r>
            <w:proofErr w:type="gramEnd"/>
          </w:p>
        </w:tc>
        <w:tc>
          <w:tcPr>
            <w:tcW w:w="1842" w:type="dxa"/>
            <w:noWrap/>
            <w:hideMark/>
          </w:tcPr>
          <w:p w:rsidR="00A12935" w:rsidRPr="00A12935" w:rsidRDefault="00A12935" w:rsidP="00A12935">
            <w:pPr>
              <w:spacing w:line="240" w:lineRule="auto"/>
              <w:jc w:val="right"/>
              <w:rPr>
                <w:color w:val="000000"/>
              </w:rPr>
            </w:pPr>
            <w:r w:rsidRPr="00A12935">
              <w:rPr>
                <w:color w:val="000000"/>
              </w:rPr>
              <w:t>69,</w:t>
            </w:r>
            <w:proofErr w:type="gramStart"/>
            <w:r w:rsidRPr="00A12935">
              <w:rPr>
                <w:color w:val="000000"/>
              </w:rPr>
              <w:t>24%</w:t>
            </w:r>
            <w:proofErr w:type="gramEnd"/>
          </w:p>
        </w:tc>
        <w:tc>
          <w:tcPr>
            <w:tcW w:w="1842" w:type="dxa"/>
            <w:noWrap/>
            <w:hideMark/>
          </w:tcPr>
          <w:p w:rsidR="00A12935" w:rsidRPr="00A12935" w:rsidRDefault="00A12935" w:rsidP="00A12935">
            <w:pPr>
              <w:spacing w:line="240" w:lineRule="auto"/>
              <w:jc w:val="right"/>
              <w:rPr>
                <w:color w:val="000000"/>
              </w:rPr>
            </w:pPr>
            <w:r w:rsidRPr="00A12935">
              <w:rPr>
                <w:color w:val="000000"/>
              </w:rPr>
              <w:t>61,</w:t>
            </w:r>
            <w:proofErr w:type="gramStart"/>
            <w:r w:rsidRPr="00A12935">
              <w:rPr>
                <w:color w:val="000000"/>
              </w:rPr>
              <w:t>75%</w:t>
            </w:r>
            <w:proofErr w:type="gramEnd"/>
          </w:p>
        </w:tc>
        <w:tc>
          <w:tcPr>
            <w:tcW w:w="1843" w:type="dxa"/>
            <w:noWrap/>
            <w:hideMark/>
          </w:tcPr>
          <w:p w:rsidR="00A12935" w:rsidRPr="00A12935" w:rsidRDefault="00A12935" w:rsidP="00A12935">
            <w:pPr>
              <w:spacing w:line="240" w:lineRule="auto"/>
              <w:jc w:val="right"/>
              <w:rPr>
                <w:color w:val="000000"/>
              </w:rPr>
            </w:pPr>
            <w:r w:rsidRPr="00A12935">
              <w:rPr>
                <w:color w:val="000000"/>
              </w:rPr>
              <w:t>68,</w:t>
            </w:r>
            <w:proofErr w:type="gramStart"/>
            <w:r w:rsidRPr="00A12935">
              <w:rPr>
                <w:color w:val="000000"/>
              </w:rPr>
              <w:t>46%</w:t>
            </w:r>
            <w:proofErr w:type="gramEnd"/>
          </w:p>
        </w:tc>
        <w:tc>
          <w:tcPr>
            <w:tcW w:w="1843" w:type="dxa"/>
            <w:noWrap/>
            <w:hideMark/>
          </w:tcPr>
          <w:p w:rsidR="00A12935" w:rsidRPr="00A12935" w:rsidRDefault="00A12935" w:rsidP="00A12935">
            <w:pPr>
              <w:spacing w:line="240" w:lineRule="auto"/>
              <w:jc w:val="right"/>
              <w:rPr>
                <w:color w:val="000000"/>
              </w:rPr>
            </w:pPr>
            <w:r w:rsidRPr="00A12935">
              <w:rPr>
                <w:color w:val="000000"/>
              </w:rPr>
              <w:t>71,</w:t>
            </w:r>
            <w:proofErr w:type="gramStart"/>
            <w:r w:rsidRPr="00A12935">
              <w:rPr>
                <w:color w:val="000000"/>
              </w:rPr>
              <w:t>86%</w:t>
            </w:r>
            <w:proofErr w:type="gramEnd"/>
          </w:p>
        </w:tc>
      </w:tr>
    </w:tbl>
    <w:p w:rsidR="00FD4EC0" w:rsidRPr="009259C7" w:rsidRDefault="00FD4EC0" w:rsidP="00FD4EC0">
      <w:pPr>
        <w:spacing w:line="240" w:lineRule="auto"/>
        <w:rPr>
          <w:i/>
          <w:sz w:val="20"/>
        </w:rPr>
      </w:pPr>
      <w:r>
        <w:rPr>
          <w:sz w:val="20"/>
        </w:rPr>
        <w:t>Tabel 14:</w:t>
      </w:r>
      <w:r w:rsidRPr="00C36E73">
        <w:rPr>
          <w:sz w:val="20"/>
        </w:rPr>
        <w:t xml:space="preserve"> </w:t>
      </w:r>
      <w:r>
        <w:rPr>
          <w:sz w:val="20"/>
        </w:rPr>
        <w:t xml:space="preserve">Loan Ratio - Den Jyske Sparekasse. </w:t>
      </w:r>
      <w:r>
        <w:rPr>
          <w:i/>
          <w:sz w:val="20"/>
        </w:rPr>
        <w:t xml:space="preserve">Kilde: Egne udregninger, se bilag </w:t>
      </w:r>
      <w:r w:rsidR="003E26E5">
        <w:rPr>
          <w:i/>
          <w:sz w:val="20"/>
        </w:rPr>
        <w:t>E</w:t>
      </w:r>
      <w:r>
        <w:rPr>
          <w:i/>
          <w:sz w:val="20"/>
        </w:rPr>
        <w:t>.</w:t>
      </w:r>
    </w:p>
    <w:p w:rsidR="00FD4EC0" w:rsidRDefault="00FD4EC0" w:rsidP="00594C1C"/>
    <w:p w:rsidR="00A12935" w:rsidRDefault="00A12935" w:rsidP="00594C1C">
      <w:r>
        <w:t xml:space="preserve">Det ses af ovenstående, at </w:t>
      </w:r>
      <w:r w:rsidR="0047317C">
        <w:t>d</w:t>
      </w:r>
      <w:r>
        <w:t xml:space="preserve">en Jyske de seneste 5 år </w:t>
      </w:r>
      <w:r w:rsidR="00C77DE4">
        <w:t>har haft et</w:t>
      </w:r>
      <w:r w:rsidR="0047317C">
        <w:t xml:space="preserve"> svingende Loan R</w:t>
      </w:r>
      <w:r w:rsidR="001D54C6">
        <w:t xml:space="preserve">atio. </w:t>
      </w:r>
      <w:r w:rsidR="004C0C08">
        <w:t>Det ses, at der sket en forringelse på 12 % fra 2008 til 2012</w:t>
      </w:r>
      <w:r w:rsidR="001D54C6">
        <w:t>.</w:t>
      </w:r>
      <w:r w:rsidR="004C0C08">
        <w:t xml:space="preserve"> </w:t>
      </w:r>
      <w:r w:rsidR="008106AD">
        <w:t>Der har i hele perioden været en stigende udlånsmasse, som er ste</w:t>
      </w:r>
      <w:r w:rsidR="00452249">
        <w:t>g</w:t>
      </w:r>
      <w:r w:rsidR="008106AD">
        <w:t xml:space="preserve">et med </w:t>
      </w:r>
      <w:r w:rsidR="00452249">
        <w:t xml:space="preserve">74 %, hvorfor en forringelse må skyldes aktivmassen er faldet ift. udlånsmassen. </w:t>
      </w:r>
      <w:r w:rsidR="00BE54CE">
        <w:t xml:space="preserve">Som tidligere nævnt må den relativt høje vækst i den samlede udlånsmasse skyldes de tre fusioner.  </w:t>
      </w:r>
      <w:r w:rsidR="00452249">
        <w:t xml:space="preserve"> </w:t>
      </w:r>
    </w:p>
    <w:p w:rsidR="00636012" w:rsidRDefault="00636012" w:rsidP="00594C1C"/>
    <w:p w:rsidR="00636012" w:rsidRDefault="00636012" w:rsidP="00594C1C">
      <w:r>
        <w:t>Den Jyske har i hele perioden haft stigende udlån, men har stadig forringet deres Loan Ratio, hvilket skyldes</w:t>
      </w:r>
      <w:r w:rsidR="00021694">
        <w:t>,</w:t>
      </w:r>
      <w:r>
        <w:t xml:space="preserve"> at deres aktiver ikke er steget tilsvarende. </w:t>
      </w:r>
    </w:p>
    <w:p w:rsidR="00636012" w:rsidRDefault="00636012" w:rsidP="00594C1C"/>
    <w:p w:rsidR="00CC425A" w:rsidRDefault="005D4787" w:rsidP="00594C1C">
      <w:r>
        <w:t>Jf. årsrapporter ses det, at d</w:t>
      </w:r>
      <w:r w:rsidR="00CC425A">
        <w:t>en Jyske har en beholdning af domicil</w:t>
      </w:r>
      <w:r w:rsidR="009D3332">
        <w:t xml:space="preserve">ejendomme på </w:t>
      </w:r>
      <w:proofErr w:type="spellStart"/>
      <w:r w:rsidR="009D3332">
        <w:t>tkr</w:t>
      </w:r>
      <w:proofErr w:type="spellEnd"/>
      <w:r w:rsidR="009D3332">
        <w:t xml:space="preserve">. 83.906 i 2012, </w:t>
      </w:r>
      <w:r w:rsidR="002E15AA">
        <w:t>som</w:t>
      </w:r>
      <w:r w:rsidR="009D3332">
        <w:t xml:space="preserve"> udgør </w:t>
      </w:r>
      <w:r w:rsidR="002E15AA">
        <w:t xml:space="preserve">knap 0,5 % </w:t>
      </w:r>
      <w:r w:rsidR="009D3332">
        <w:t>af de samlede aktiver</w:t>
      </w:r>
      <w:proofErr w:type="gramStart"/>
      <w:r w:rsidR="0059054F">
        <w:t xml:space="preserve"> (</w:t>
      </w:r>
      <w:proofErr w:type="spellStart"/>
      <w:r w:rsidR="0059054F">
        <w:t>tkr</w:t>
      </w:r>
      <w:proofErr w:type="spellEnd"/>
      <w:r w:rsidR="0059054F">
        <w:t>.</w:t>
      </w:r>
      <w:proofErr w:type="gramEnd"/>
      <w:r w:rsidR="0059054F">
        <w:t xml:space="preserve"> 20.029.074)</w:t>
      </w:r>
      <w:r w:rsidR="009D3332">
        <w:t xml:space="preserve">. </w:t>
      </w:r>
      <w:r w:rsidR="002E15AA">
        <w:t xml:space="preserve">Derfor </w:t>
      </w:r>
      <w:r w:rsidR="001625BC">
        <w:t>vil det ikke have den store betydning af Loan Ratio</w:t>
      </w:r>
      <w:r w:rsidR="002E15AA">
        <w:t xml:space="preserve">, </w:t>
      </w:r>
      <w:r w:rsidR="00F64309">
        <w:t xml:space="preserve">men det vil forbedre Loan Ratio en smule.  </w:t>
      </w:r>
    </w:p>
    <w:p w:rsidR="00B3498B" w:rsidRDefault="00B3498B" w:rsidP="00594C1C"/>
    <w:p w:rsidR="00726ED4" w:rsidRDefault="003E5395" w:rsidP="00594C1C">
      <w:r>
        <w:t>I nedenstående tabel ses Loan Ratio for DS</w:t>
      </w:r>
      <w:r w:rsidR="003E26E5">
        <w:t xml:space="preserve">. </w:t>
      </w:r>
    </w:p>
    <w:tbl>
      <w:tblPr>
        <w:tblStyle w:val="Tabel-Gitter"/>
        <w:tblW w:w="0" w:type="auto"/>
        <w:tblLook w:val="04A0" w:firstRow="1" w:lastRow="0" w:firstColumn="1" w:lastColumn="0" w:noHBand="0" w:noVBand="1"/>
      </w:tblPr>
      <w:tblGrid>
        <w:gridCol w:w="1842"/>
        <w:gridCol w:w="1842"/>
        <w:gridCol w:w="1842"/>
        <w:gridCol w:w="1843"/>
        <w:gridCol w:w="1843"/>
      </w:tblGrid>
      <w:tr w:rsidR="00F055E5" w:rsidRPr="00F65A5F" w:rsidTr="00F65A5F">
        <w:tc>
          <w:tcPr>
            <w:tcW w:w="9212" w:type="dxa"/>
            <w:gridSpan w:val="5"/>
            <w:shd w:val="clear" w:color="auto" w:fill="C6D9F1" w:themeFill="text2" w:themeFillTint="33"/>
          </w:tcPr>
          <w:p w:rsidR="00F055E5" w:rsidRPr="00F65A5F" w:rsidRDefault="00F055E5" w:rsidP="00F055E5">
            <w:pPr>
              <w:spacing w:line="240" w:lineRule="auto"/>
              <w:jc w:val="center"/>
              <w:rPr>
                <w:b/>
              </w:rPr>
            </w:pPr>
            <w:r w:rsidRPr="00F65A5F">
              <w:rPr>
                <w:b/>
              </w:rPr>
              <w:t>Loan Ratio – Dronninglund Sparekasse</w:t>
            </w:r>
          </w:p>
        </w:tc>
      </w:tr>
      <w:tr w:rsidR="00F055E5" w:rsidRPr="00F65A5F" w:rsidTr="00F65A5F">
        <w:tc>
          <w:tcPr>
            <w:tcW w:w="1842" w:type="dxa"/>
            <w:shd w:val="clear" w:color="auto" w:fill="C6D9F1" w:themeFill="text2" w:themeFillTint="33"/>
          </w:tcPr>
          <w:p w:rsidR="00F055E5" w:rsidRPr="00F65A5F" w:rsidRDefault="00F055E5" w:rsidP="007A4E41">
            <w:pPr>
              <w:spacing w:line="240" w:lineRule="auto"/>
              <w:jc w:val="center"/>
              <w:rPr>
                <w:b/>
              </w:rPr>
            </w:pPr>
            <w:r w:rsidRPr="00F65A5F">
              <w:rPr>
                <w:b/>
              </w:rPr>
              <w:t>2012</w:t>
            </w:r>
          </w:p>
        </w:tc>
        <w:tc>
          <w:tcPr>
            <w:tcW w:w="1842" w:type="dxa"/>
            <w:shd w:val="clear" w:color="auto" w:fill="C6D9F1" w:themeFill="text2" w:themeFillTint="33"/>
          </w:tcPr>
          <w:p w:rsidR="00F055E5" w:rsidRPr="00F65A5F" w:rsidRDefault="00F055E5" w:rsidP="007A4E41">
            <w:pPr>
              <w:spacing w:line="240" w:lineRule="auto"/>
              <w:jc w:val="center"/>
              <w:rPr>
                <w:b/>
              </w:rPr>
            </w:pPr>
            <w:r w:rsidRPr="00F65A5F">
              <w:rPr>
                <w:b/>
              </w:rPr>
              <w:t>2011</w:t>
            </w:r>
          </w:p>
        </w:tc>
        <w:tc>
          <w:tcPr>
            <w:tcW w:w="1842" w:type="dxa"/>
            <w:shd w:val="clear" w:color="auto" w:fill="C6D9F1" w:themeFill="text2" w:themeFillTint="33"/>
          </w:tcPr>
          <w:p w:rsidR="00F055E5" w:rsidRPr="00F65A5F" w:rsidRDefault="00F055E5" w:rsidP="007A4E41">
            <w:pPr>
              <w:spacing w:line="240" w:lineRule="auto"/>
              <w:jc w:val="center"/>
              <w:rPr>
                <w:b/>
              </w:rPr>
            </w:pPr>
            <w:r w:rsidRPr="00F65A5F">
              <w:rPr>
                <w:b/>
              </w:rPr>
              <w:t>2010</w:t>
            </w:r>
          </w:p>
        </w:tc>
        <w:tc>
          <w:tcPr>
            <w:tcW w:w="1843" w:type="dxa"/>
            <w:shd w:val="clear" w:color="auto" w:fill="C6D9F1" w:themeFill="text2" w:themeFillTint="33"/>
          </w:tcPr>
          <w:p w:rsidR="00F055E5" w:rsidRPr="00F65A5F" w:rsidRDefault="00F055E5" w:rsidP="007A4E41">
            <w:pPr>
              <w:spacing w:line="240" w:lineRule="auto"/>
              <w:jc w:val="center"/>
              <w:rPr>
                <w:b/>
              </w:rPr>
            </w:pPr>
            <w:r w:rsidRPr="00F65A5F">
              <w:rPr>
                <w:b/>
              </w:rPr>
              <w:t>2009</w:t>
            </w:r>
          </w:p>
        </w:tc>
        <w:tc>
          <w:tcPr>
            <w:tcW w:w="1843" w:type="dxa"/>
            <w:shd w:val="clear" w:color="auto" w:fill="C6D9F1" w:themeFill="text2" w:themeFillTint="33"/>
          </w:tcPr>
          <w:p w:rsidR="00F055E5" w:rsidRPr="00F65A5F" w:rsidRDefault="00F055E5" w:rsidP="007A4E41">
            <w:pPr>
              <w:spacing w:line="240" w:lineRule="auto"/>
              <w:jc w:val="center"/>
              <w:rPr>
                <w:b/>
              </w:rPr>
            </w:pPr>
            <w:r w:rsidRPr="00F65A5F">
              <w:rPr>
                <w:b/>
              </w:rPr>
              <w:t>2008</w:t>
            </w:r>
          </w:p>
        </w:tc>
      </w:tr>
      <w:tr w:rsidR="00CD4F4C" w:rsidRPr="005D4787" w:rsidTr="00F65A5F">
        <w:trPr>
          <w:trHeight w:val="300"/>
        </w:trPr>
        <w:tc>
          <w:tcPr>
            <w:tcW w:w="1842" w:type="dxa"/>
            <w:noWrap/>
            <w:hideMark/>
          </w:tcPr>
          <w:p w:rsidR="00CD4F4C" w:rsidRPr="005D4787" w:rsidRDefault="00CD4F4C" w:rsidP="00CD4F4C">
            <w:pPr>
              <w:spacing w:line="240" w:lineRule="auto"/>
              <w:jc w:val="right"/>
              <w:rPr>
                <w:b/>
                <w:color w:val="000000"/>
              </w:rPr>
            </w:pPr>
            <w:r w:rsidRPr="005D4787">
              <w:rPr>
                <w:color w:val="000000"/>
              </w:rPr>
              <w:t>71,</w:t>
            </w:r>
            <w:proofErr w:type="gramStart"/>
            <w:r w:rsidRPr="005D4787">
              <w:rPr>
                <w:color w:val="000000"/>
              </w:rPr>
              <w:t>11%</w:t>
            </w:r>
            <w:proofErr w:type="gramEnd"/>
          </w:p>
        </w:tc>
        <w:tc>
          <w:tcPr>
            <w:tcW w:w="1842" w:type="dxa"/>
            <w:noWrap/>
            <w:hideMark/>
          </w:tcPr>
          <w:p w:rsidR="00CD4F4C" w:rsidRPr="005D4787" w:rsidRDefault="00CD4F4C" w:rsidP="00CD4F4C">
            <w:pPr>
              <w:spacing w:line="240" w:lineRule="auto"/>
              <w:jc w:val="right"/>
              <w:rPr>
                <w:color w:val="000000"/>
              </w:rPr>
            </w:pPr>
            <w:r w:rsidRPr="005D4787">
              <w:rPr>
                <w:color w:val="000000"/>
              </w:rPr>
              <w:t>71,</w:t>
            </w:r>
            <w:proofErr w:type="gramStart"/>
            <w:r w:rsidRPr="005D4787">
              <w:rPr>
                <w:color w:val="000000"/>
              </w:rPr>
              <w:t>33%</w:t>
            </w:r>
            <w:proofErr w:type="gramEnd"/>
          </w:p>
        </w:tc>
        <w:tc>
          <w:tcPr>
            <w:tcW w:w="1842" w:type="dxa"/>
            <w:noWrap/>
            <w:hideMark/>
          </w:tcPr>
          <w:p w:rsidR="00CD4F4C" w:rsidRPr="005D4787" w:rsidRDefault="00CD4F4C" w:rsidP="00CD4F4C">
            <w:pPr>
              <w:spacing w:line="240" w:lineRule="auto"/>
              <w:jc w:val="right"/>
              <w:rPr>
                <w:color w:val="000000"/>
              </w:rPr>
            </w:pPr>
            <w:r w:rsidRPr="005D4787">
              <w:rPr>
                <w:color w:val="000000"/>
              </w:rPr>
              <w:t>71,</w:t>
            </w:r>
            <w:proofErr w:type="gramStart"/>
            <w:r w:rsidRPr="005D4787">
              <w:rPr>
                <w:color w:val="000000"/>
              </w:rPr>
              <w:t>63%</w:t>
            </w:r>
            <w:proofErr w:type="gramEnd"/>
          </w:p>
        </w:tc>
        <w:tc>
          <w:tcPr>
            <w:tcW w:w="1843" w:type="dxa"/>
            <w:noWrap/>
            <w:hideMark/>
          </w:tcPr>
          <w:p w:rsidR="00CD4F4C" w:rsidRPr="005D4787" w:rsidRDefault="00CD4F4C" w:rsidP="00CD4F4C">
            <w:pPr>
              <w:spacing w:line="240" w:lineRule="auto"/>
              <w:jc w:val="right"/>
              <w:rPr>
                <w:color w:val="000000"/>
              </w:rPr>
            </w:pPr>
            <w:r w:rsidRPr="005D4787">
              <w:rPr>
                <w:color w:val="000000"/>
              </w:rPr>
              <w:t>79,</w:t>
            </w:r>
            <w:proofErr w:type="gramStart"/>
            <w:r w:rsidRPr="005D4787">
              <w:rPr>
                <w:color w:val="000000"/>
              </w:rPr>
              <w:t>57%</w:t>
            </w:r>
            <w:proofErr w:type="gramEnd"/>
          </w:p>
        </w:tc>
        <w:tc>
          <w:tcPr>
            <w:tcW w:w="1843" w:type="dxa"/>
            <w:noWrap/>
            <w:hideMark/>
          </w:tcPr>
          <w:p w:rsidR="00CD4F4C" w:rsidRPr="005D4787" w:rsidRDefault="00CD4F4C" w:rsidP="00CD4F4C">
            <w:pPr>
              <w:spacing w:line="240" w:lineRule="auto"/>
              <w:jc w:val="right"/>
              <w:rPr>
                <w:color w:val="000000"/>
              </w:rPr>
            </w:pPr>
            <w:r w:rsidRPr="005D4787">
              <w:rPr>
                <w:color w:val="000000"/>
              </w:rPr>
              <w:t>82,</w:t>
            </w:r>
            <w:proofErr w:type="gramStart"/>
            <w:r w:rsidRPr="005D4787">
              <w:rPr>
                <w:color w:val="000000"/>
              </w:rPr>
              <w:t>03%</w:t>
            </w:r>
            <w:proofErr w:type="gramEnd"/>
          </w:p>
        </w:tc>
      </w:tr>
    </w:tbl>
    <w:p w:rsidR="003E26E5" w:rsidRPr="009259C7" w:rsidRDefault="003E26E5" w:rsidP="003E26E5">
      <w:pPr>
        <w:spacing w:line="240" w:lineRule="auto"/>
        <w:rPr>
          <w:i/>
          <w:sz w:val="20"/>
        </w:rPr>
      </w:pPr>
      <w:r>
        <w:rPr>
          <w:sz w:val="20"/>
        </w:rPr>
        <w:t>Tabel 15:</w:t>
      </w:r>
      <w:r w:rsidRPr="00C36E73">
        <w:rPr>
          <w:sz w:val="20"/>
        </w:rPr>
        <w:t xml:space="preserve"> </w:t>
      </w:r>
      <w:r>
        <w:rPr>
          <w:sz w:val="20"/>
        </w:rPr>
        <w:t xml:space="preserve">Loan Ratio – Dronning Sparekasse. </w:t>
      </w:r>
      <w:r>
        <w:rPr>
          <w:i/>
          <w:sz w:val="20"/>
        </w:rPr>
        <w:t>Kilde: Egne udregninger, se bilag E.</w:t>
      </w:r>
    </w:p>
    <w:p w:rsidR="00CC425A" w:rsidRDefault="00CC425A" w:rsidP="00594C1C"/>
    <w:p w:rsidR="005D4787" w:rsidRDefault="00B3498B" w:rsidP="00594C1C">
      <w:r>
        <w:t xml:space="preserve">Det ses i ovenstående tabel, at DS er blevet dårligere til at udnytte deres aktiver, </w:t>
      </w:r>
      <w:r w:rsidR="005D4787">
        <w:t>og</w:t>
      </w:r>
      <w:r>
        <w:t xml:space="preserve"> svarer til et fald på ca. 13 %</w:t>
      </w:r>
      <w:r w:rsidR="005D4787">
        <w:t xml:space="preserve"> fra 2008 til 2012</w:t>
      </w:r>
      <w:r>
        <w:t>. Udlånsmassen har været rimelig stabil i hele perioden, men dog med stigende tendens, hvis vi tager udgangspunkt fra 2008.</w:t>
      </w:r>
      <w:r w:rsidR="00C67A4E">
        <w:t xml:space="preserve"> </w:t>
      </w:r>
    </w:p>
    <w:p w:rsidR="00286109" w:rsidRDefault="00C67A4E" w:rsidP="00594C1C">
      <w:r>
        <w:t xml:space="preserve">Domicilejendomme udgør i alt </w:t>
      </w:r>
      <w:proofErr w:type="spellStart"/>
      <w:r>
        <w:t>tkr</w:t>
      </w:r>
      <w:proofErr w:type="spellEnd"/>
      <w:r>
        <w:t xml:space="preserve">. </w:t>
      </w:r>
      <w:r w:rsidR="0059054F">
        <w:t>28</w:t>
      </w:r>
      <w:r>
        <w:t>.</w:t>
      </w:r>
      <w:r w:rsidR="0059054F">
        <w:t>590</w:t>
      </w:r>
      <w:r>
        <w:t>, som udgør</w:t>
      </w:r>
      <w:r w:rsidR="00650D5E">
        <w:t xml:space="preserve"> </w:t>
      </w:r>
      <w:r w:rsidR="00BF7B05">
        <w:t>1,3 %</w:t>
      </w:r>
      <w:r w:rsidR="00650D5E">
        <w:t xml:space="preserve"> af de samlede aktiver. </w:t>
      </w:r>
      <w:r w:rsidR="00BC2BBB">
        <w:t>Hvis de formår at sælge deres d</w:t>
      </w:r>
      <w:r w:rsidR="005D4787">
        <w:t>omicilejendomme, vil de udover</w:t>
      </w:r>
      <w:r w:rsidR="00BC2BBB">
        <w:t xml:space="preserve"> forbedre deres Loan Ration</w:t>
      </w:r>
      <w:r w:rsidR="005D4787">
        <w:t>,</w:t>
      </w:r>
      <w:r w:rsidR="00B33C8C">
        <w:t xml:space="preserve"> men</w:t>
      </w:r>
      <w:r w:rsidR="00BC2BBB">
        <w:t xml:space="preserve"> også få kontanter ind for salget</w:t>
      </w:r>
      <w:r w:rsidR="00B33C8C">
        <w:t xml:space="preserve">. De vil få en huslejeforpligtelse, men vil formentlig også miste </w:t>
      </w:r>
      <w:r w:rsidR="00B33C8C">
        <w:lastRenderedPageBreak/>
        <w:t>vedligeholdelsesforpligtelser udvendigt</w:t>
      </w:r>
      <w:r w:rsidR="00BC2BBB">
        <w:t xml:space="preserve">. </w:t>
      </w:r>
      <w:r w:rsidR="00780FC0">
        <w:t>Hvis de har optaget gæld i deres domicilejendomme vil de endvidere også kunne forbedre deres renteudgifter.</w:t>
      </w:r>
    </w:p>
    <w:p w:rsidR="00286109" w:rsidRDefault="00286109" w:rsidP="00594C1C"/>
    <w:p w:rsidR="00B3498B" w:rsidRDefault="00286109" w:rsidP="00594C1C">
      <w:r>
        <w:t>DS har i hele perioden forbedret deres udlån, og faldet i Loan Ratio skyldes, at deres aktivmasse ikke er steget tilsvarende deres udlån.</w:t>
      </w:r>
      <w:r w:rsidR="00C67A4E">
        <w:t xml:space="preserve"> </w:t>
      </w:r>
    </w:p>
    <w:p w:rsidR="00E54586" w:rsidRDefault="00E54586" w:rsidP="00594C1C"/>
    <w:p w:rsidR="00216816" w:rsidRPr="00594C1C" w:rsidRDefault="00E54586" w:rsidP="00594C1C">
      <w:r>
        <w:t>Det ses, at DS har v</w:t>
      </w:r>
      <w:r w:rsidR="00090C8B">
        <w:t>æret bedre i alle perioder end D</w:t>
      </w:r>
      <w:r>
        <w:t>en Jyske</w:t>
      </w:r>
      <w:r w:rsidR="00090C8B">
        <w:t xml:space="preserve">. </w:t>
      </w:r>
      <w:r w:rsidR="00551727">
        <w:t>F</w:t>
      </w:r>
      <w:r w:rsidR="004378EE">
        <w:t>or begge gælder det, at de med fordel kan sælge deres domicilejendomme, og få kontant afregning deraf, og derved få pengene derfra ud og arbejde</w:t>
      </w:r>
      <w:r w:rsidR="005D4787">
        <w:t>.</w:t>
      </w:r>
      <w:r w:rsidR="00090C8B">
        <w:t xml:space="preserve"> </w:t>
      </w:r>
      <w:r w:rsidR="00551727">
        <w:t>I stedet vil de</w:t>
      </w:r>
      <w:r w:rsidR="00090C8B">
        <w:t xml:space="preserve"> få en huslejeforpligtelse. </w:t>
      </w:r>
      <w:r w:rsidR="004378EE">
        <w:t xml:space="preserve"> </w:t>
      </w:r>
    </w:p>
    <w:p w:rsidR="00707E85" w:rsidRDefault="00707E85" w:rsidP="0087410F">
      <w:pPr>
        <w:pStyle w:val="Overskrift3"/>
        <w:numPr>
          <w:ilvl w:val="2"/>
          <w:numId w:val="10"/>
        </w:numPr>
      </w:pPr>
      <w:bookmarkStart w:id="131" w:name="_Toc354517434"/>
      <w:r>
        <w:t>Delkonklusion/opsamling</w:t>
      </w:r>
      <w:bookmarkEnd w:id="131"/>
    </w:p>
    <w:p w:rsidR="00422AD4" w:rsidRDefault="009543A3" w:rsidP="00422AD4">
      <w:r>
        <w:t>Den Jyske og DS har begge formået at opfylde solvens lovkravet på 8 %</w:t>
      </w:r>
      <w:r w:rsidR="00422AD4">
        <w:t xml:space="preserve">, hvor den Jyske har formået at holde samme niveau som i 2008, og DS har haft en faldende tildens </w:t>
      </w:r>
      <w:proofErr w:type="gramStart"/>
      <w:r w:rsidR="00422AD4">
        <w:t>siden</w:t>
      </w:r>
      <w:proofErr w:type="gramEnd"/>
      <w:r w:rsidR="00422AD4">
        <w:t xml:space="preserve"> 2008. Deres individuelle solvenskrav er for hhv. opgjort til 10,6 % og 9,3 %, hvorfor de også begge har en</w:t>
      </w:r>
      <w:r w:rsidR="005D4787">
        <w:t xml:space="preserve"> rimelig solid</w:t>
      </w:r>
      <w:r w:rsidR="00422AD4">
        <w:t xml:space="preserve"> buffer. </w:t>
      </w:r>
    </w:p>
    <w:p w:rsidR="00422AD4" w:rsidRDefault="00422AD4" w:rsidP="00422AD4"/>
    <w:p w:rsidR="00422AD4" w:rsidRDefault="00422AD4" w:rsidP="00422AD4">
      <w:r>
        <w:t xml:space="preserve">Begge pengeinstitutter opfylder også de </w:t>
      </w:r>
      <w:proofErr w:type="gramStart"/>
      <w:r>
        <w:t>grænseværdier</w:t>
      </w:r>
      <w:r w:rsidR="00551727">
        <w:t>ne</w:t>
      </w:r>
      <w:proofErr w:type="gramEnd"/>
      <w:r>
        <w:t xml:space="preserve"> i Tilsynsdiamanten, hvis vi ser bort fra den Jyskes udlånsvækst</w:t>
      </w:r>
      <w:r w:rsidR="005D4787">
        <w:t>,</w:t>
      </w:r>
      <w:r>
        <w:t xml:space="preserve"> som skyldes opkøb og fusioner i 2012. DS skal være opmærksomme på deres ejendomseksponering, da denne er steget til 21 % i 2012 mod 19 % i 2011.</w:t>
      </w:r>
    </w:p>
    <w:p w:rsidR="00422AD4" w:rsidRDefault="00422AD4" w:rsidP="00422AD4"/>
    <w:p w:rsidR="00A907CC" w:rsidRDefault="00422AD4" w:rsidP="00422AD4">
      <w:r>
        <w:t>Det ses, at begge pengeinstitutter begge har haft en faldende WACC. Den Jyske har haft en WACC på 1,72 % i 2012, mens DS ligger på 2,16 %. DS betaler derfor mere</w:t>
      </w:r>
      <w:r w:rsidR="009C153D">
        <w:t xml:space="preserve"> for deres </w:t>
      </w:r>
      <w:r w:rsidR="00551727">
        <w:t>fremmed</w:t>
      </w:r>
      <w:r w:rsidR="009C153D">
        <w:t xml:space="preserve">kapital end den Jyske. </w:t>
      </w:r>
      <w:r w:rsidR="00A907CC">
        <w:t>Begge ligger over markedsrenten, og kan med fordel i fremtiden forsøge at komme under markedsrenten.</w:t>
      </w:r>
    </w:p>
    <w:p w:rsidR="00A907CC" w:rsidRDefault="00A907CC" w:rsidP="00422AD4"/>
    <w:p w:rsidR="00694902" w:rsidRDefault="004E1DD8" w:rsidP="00422AD4">
      <w:r>
        <w:t xml:space="preserve">Begge pengeinstitutter har </w:t>
      </w:r>
      <w:r w:rsidR="009A1B9F">
        <w:t>i 2012 haft mulighed for at udvide deres balance uden</w:t>
      </w:r>
      <w:r w:rsidR="00D215FC">
        <w:t>,</w:t>
      </w:r>
      <w:r w:rsidR="009A1B9F">
        <w:t xml:space="preserve"> at det påvirker deres solvens, da deres ICGR har været positiv. Den Jyske havde en ICGR på 4,02 %, mens DS har haft en ICGR på 2,73 %, hvilket betyder, at de hhv. kan udvide deres balance med 4,02 % og 2,73 %</w:t>
      </w:r>
      <w:r w:rsidR="00D215FC">
        <w:t xml:space="preserve"> uden</w:t>
      </w:r>
      <w:r w:rsidR="00965FDF">
        <w:t>,</w:t>
      </w:r>
      <w:r w:rsidR="00D215FC">
        <w:t xml:space="preserve"> at det påvirker deres solvens</w:t>
      </w:r>
      <w:r w:rsidR="009A1B9F">
        <w:t xml:space="preserve">. </w:t>
      </w:r>
      <w:r w:rsidR="00694902">
        <w:t>Den Jyske har præsteret bedre end DS.</w:t>
      </w:r>
    </w:p>
    <w:p w:rsidR="009A1B9F" w:rsidRDefault="009A1B9F" w:rsidP="00422AD4"/>
    <w:p w:rsidR="00A33232" w:rsidRDefault="00B26BC3" w:rsidP="00422AD4">
      <w:r>
        <w:t xml:space="preserve">For at være renteneutrale skal man have et GAP, så tæt på 0, </w:t>
      </w:r>
      <w:r w:rsidR="00A33232">
        <w:t>og/</w:t>
      </w:r>
      <w:r>
        <w:t xml:space="preserve">eller et ISR så tæt på 1. </w:t>
      </w:r>
      <w:r w:rsidR="00857CE0">
        <w:t xml:space="preserve">Det ses, at den Jyskes GAP er positivt </w:t>
      </w:r>
      <w:r w:rsidR="00FF459D">
        <w:t xml:space="preserve">i hele perioden, og i 2012 ligger deres GAP på 2,36 </w:t>
      </w:r>
      <w:r w:rsidR="00A33232">
        <w:t xml:space="preserve">% </w:t>
      </w:r>
      <w:r w:rsidR="00FF459D">
        <w:t xml:space="preserve">og </w:t>
      </w:r>
      <w:r w:rsidR="00FF459D">
        <w:lastRenderedPageBreak/>
        <w:t>en ISR på</w:t>
      </w:r>
      <w:r w:rsidR="00420E37">
        <w:t xml:space="preserve"> 1,028.</w:t>
      </w:r>
      <w:r w:rsidR="00A33232">
        <w:t xml:space="preserve"> Deres GAP og ISR er forbedret ift. at være renteneutrale, men er fortsat noget følsomme overfor renteændringer.</w:t>
      </w:r>
    </w:p>
    <w:p w:rsidR="00A33232" w:rsidRDefault="00A33232" w:rsidP="00422AD4">
      <w:r>
        <w:t>DS har</w:t>
      </w:r>
      <w:r w:rsidR="0095276C">
        <w:t>,</w:t>
      </w:r>
      <w:r>
        <w:t xml:space="preserve"> modsat den Jyske</w:t>
      </w:r>
      <w:r w:rsidR="0095276C">
        <w:t>, haft</w:t>
      </w:r>
      <w:r>
        <w:t xml:space="preserve"> tre år med negativt GAP, og ender i 2012 ud med GAP på -7,17 %, og en ISR på 0,91. </w:t>
      </w:r>
    </w:p>
    <w:p w:rsidR="009A1B9F" w:rsidRDefault="00A33232" w:rsidP="00422AD4">
      <w:r>
        <w:t xml:space="preserve">Derved vil en stigende rente </w:t>
      </w:r>
      <w:r w:rsidR="00D96500">
        <w:t xml:space="preserve">for den Jyske betyde, at de </w:t>
      </w:r>
      <w:r>
        <w:t xml:space="preserve">øge </w:t>
      </w:r>
      <w:r w:rsidR="00D96500">
        <w:t>deres indtjening, mens det omvendte er tilfældet for DS.</w:t>
      </w:r>
      <w:r w:rsidR="0095276C">
        <w:t xml:space="preserve"> Den Jyske er mindre rentefølsom end DS.</w:t>
      </w:r>
    </w:p>
    <w:p w:rsidR="006029A1" w:rsidRDefault="006029A1" w:rsidP="00422AD4"/>
    <w:p w:rsidR="006029A1" w:rsidRDefault="006029A1" w:rsidP="00422AD4">
      <w:r>
        <w:t xml:space="preserve">Det sidste nøgletal jeg har set på er Loan Ratio, som viser, hvor gode </w:t>
      </w:r>
      <w:r w:rsidR="00C77DE4">
        <w:t xml:space="preserve">pengeinstituttet </w:t>
      </w:r>
      <w:r>
        <w:t xml:space="preserve">er til at udnytte deres aktiver. For begge pengeinstitutter gælder det, at de er blevet dårligere til at udnytte deres aktiver. </w:t>
      </w:r>
      <w:r w:rsidR="00635AA7">
        <w:t xml:space="preserve">Den Jyske ender ud med en Loan Ratio på 63 %, og DS har en Loan Ratio på 71 %. Derved er DS bedre til at udnytte deres aktiver end den Jyske.  </w:t>
      </w:r>
    </w:p>
    <w:p w:rsidR="00666D7A" w:rsidRDefault="00666D7A" w:rsidP="00422AD4">
      <w:pPr>
        <w:rPr>
          <w:rFonts w:ascii="Verdana" w:eastAsiaTheme="majorEastAsia" w:hAnsi="Verdana" w:cstheme="majorBidi"/>
          <w:b/>
          <w:bCs/>
          <w:kern w:val="32"/>
          <w:sz w:val="28"/>
          <w:szCs w:val="32"/>
        </w:rPr>
      </w:pPr>
      <w:r>
        <w:br w:type="page"/>
      </w:r>
    </w:p>
    <w:p w:rsidR="007A419F" w:rsidRDefault="007A419F" w:rsidP="0087410F">
      <w:pPr>
        <w:pStyle w:val="Overskrift1"/>
        <w:numPr>
          <w:ilvl w:val="0"/>
          <w:numId w:val="10"/>
        </w:numPr>
      </w:pPr>
      <w:bookmarkStart w:id="132" w:name="_Toc354517435"/>
      <w:r>
        <w:lastRenderedPageBreak/>
        <w:t>Fusion</w:t>
      </w:r>
      <w:bookmarkEnd w:id="132"/>
    </w:p>
    <w:p w:rsidR="003D5890" w:rsidRDefault="00CA066F" w:rsidP="003D5890">
      <w:r>
        <w:t>Efter, at vi i ovenstående har gennemgået de historiske nøgletal, skal vi nu se på, hvad en fusion er, og hvordan tendensen og trenden er i den finansielle sektor</w:t>
      </w:r>
      <w:r w:rsidR="009B0F00">
        <w:t xml:space="preserve"> i Danmark</w:t>
      </w:r>
      <w:r>
        <w:t xml:space="preserve">.  </w:t>
      </w:r>
    </w:p>
    <w:p w:rsidR="00F65A5F" w:rsidRPr="003D5890" w:rsidRDefault="00F65A5F" w:rsidP="003D5890"/>
    <w:p w:rsidR="00B958E7" w:rsidRPr="00B958E7" w:rsidRDefault="00B958E7" w:rsidP="00B958E7">
      <w:pPr>
        <w:pStyle w:val="Listeafsnit"/>
        <w:keepNext/>
        <w:keepLines/>
        <w:numPr>
          <w:ilvl w:val="0"/>
          <w:numId w:val="26"/>
        </w:numPr>
        <w:spacing w:before="200"/>
        <w:contextualSpacing w:val="0"/>
        <w:outlineLvl w:val="1"/>
        <w:rPr>
          <w:rFonts w:ascii="Verdana" w:eastAsiaTheme="majorEastAsia" w:hAnsi="Verdana" w:cstheme="majorBidi"/>
          <w:b/>
          <w:bCs/>
          <w:i/>
          <w:vanish/>
          <w:szCs w:val="26"/>
        </w:rPr>
      </w:pPr>
      <w:bookmarkStart w:id="133" w:name="_Toc350754431"/>
      <w:bookmarkStart w:id="134" w:name="_Toc350777739"/>
      <w:bookmarkStart w:id="135" w:name="_Toc352337830"/>
      <w:bookmarkStart w:id="136" w:name="_Toc352494387"/>
      <w:bookmarkStart w:id="137" w:name="_Toc352573073"/>
      <w:bookmarkStart w:id="138" w:name="_Toc352998041"/>
      <w:bookmarkStart w:id="139" w:name="_Toc353025953"/>
      <w:bookmarkStart w:id="140" w:name="_Toc353026014"/>
      <w:bookmarkStart w:id="141" w:name="_Toc353437556"/>
      <w:bookmarkStart w:id="142" w:name="_Toc353437617"/>
      <w:bookmarkStart w:id="143" w:name="_Toc354139139"/>
      <w:bookmarkStart w:id="144" w:name="_Toc354141329"/>
      <w:bookmarkStart w:id="145" w:name="_Toc354141444"/>
      <w:bookmarkStart w:id="146" w:name="_Toc354489024"/>
      <w:bookmarkStart w:id="147" w:name="_Toc354489091"/>
      <w:bookmarkStart w:id="148" w:name="_Toc35451743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958E7" w:rsidRPr="00B958E7" w:rsidRDefault="00B958E7" w:rsidP="00B958E7">
      <w:pPr>
        <w:pStyle w:val="Listeafsnit"/>
        <w:keepNext/>
        <w:keepLines/>
        <w:numPr>
          <w:ilvl w:val="0"/>
          <w:numId w:val="26"/>
        </w:numPr>
        <w:spacing w:before="200"/>
        <w:contextualSpacing w:val="0"/>
        <w:outlineLvl w:val="1"/>
        <w:rPr>
          <w:rFonts w:ascii="Verdana" w:eastAsiaTheme="majorEastAsia" w:hAnsi="Verdana" w:cstheme="majorBidi"/>
          <w:b/>
          <w:bCs/>
          <w:i/>
          <w:vanish/>
          <w:szCs w:val="26"/>
        </w:rPr>
      </w:pPr>
      <w:bookmarkStart w:id="149" w:name="_Toc350754432"/>
      <w:bookmarkStart w:id="150" w:name="_Toc350777740"/>
      <w:bookmarkStart w:id="151" w:name="_Toc352337831"/>
      <w:bookmarkStart w:id="152" w:name="_Toc352494388"/>
      <w:bookmarkStart w:id="153" w:name="_Toc352573074"/>
      <w:bookmarkStart w:id="154" w:name="_Toc352998042"/>
      <w:bookmarkStart w:id="155" w:name="_Toc353025954"/>
      <w:bookmarkStart w:id="156" w:name="_Toc353026015"/>
      <w:bookmarkStart w:id="157" w:name="_Toc353437557"/>
      <w:bookmarkStart w:id="158" w:name="_Toc353437618"/>
      <w:bookmarkStart w:id="159" w:name="_Toc354139140"/>
      <w:bookmarkStart w:id="160" w:name="_Toc354141330"/>
      <w:bookmarkStart w:id="161" w:name="_Toc354141445"/>
      <w:bookmarkStart w:id="162" w:name="_Toc354489025"/>
      <w:bookmarkStart w:id="163" w:name="_Toc354489092"/>
      <w:bookmarkStart w:id="164" w:name="_Toc354517437"/>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7A419F" w:rsidRDefault="00A87E88" w:rsidP="00B958E7">
      <w:pPr>
        <w:pStyle w:val="Overskrift2"/>
        <w:numPr>
          <w:ilvl w:val="1"/>
          <w:numId w:val="26"/>
        </w:numPr>
      </w:pPr>
      <w:bookmarkStart w:id="165" w:name="_Toc354517438"/>
      <w:r>
        <w:t>Fusion</w:t>
      </w:r>
      <w:bookmarkEnd w:id="165"/>
    </w:p>
    <w:p w:rsidR="00356EC3" w:rsidRDefault="00C77DE4" w:rsidP="00B958E7">
      <w:r>
        <w:t xml:space="preserve">En fusion er to pengeinstitutter, der bliver enige om at drive pengeinstitut sammen i et fremtidigt samarbejde bestående af ét pengeinstitut med ét navn. </w:t>
      </w:r>
      <w:r w:rsidR="007230F5">
        <w:t>Derudover kendetegner en fusion også, at der vil ske en betaling af aktier</w:t>
      </w:r>
      <w:r w:rsidR="006471CF">
        <w:t xml:space="preserve">/kontanter </w:t>
      </w:r>
      <w:r w:rsidR="007230F5">
        <w:t>af det overtagne pengeinstitut</w:t>
      </w:r>
      <w:r w:rsidR="003F56A9">
        <w:t xml:space="preserve"> til de ”gamle” garanter/aktionærer</w:t>
      </w:r>
      <w:r w:rsidR="007230F5">
        <w:t>.</w:t>
      </w:r>
      <w:r w:rsidR="000A3614">
        <w:t xml:space="preserve"> </w:t>
      </w:r>
      <w:r>
        <w:t>Det fortsættende pengeinstitut føres videre</w:t>
      </w:r>
      <w:r w:rsidR="007230F5">
        <w:t>, og</w:t>
      </w:r>
      <w:r w:rsidR="00DD741B">
        <w:t xml:space="preserve"> samler </w:t>
      </w:r>
      <w:r w:rsidR="004836CF">
        <w:t xml:space="preserve">typisk </w:t>
      </w:r>
      <w:r w:rsidR="00DD741B">
        <w:t xml:space="preserve">alt i </w:t>
      </w:r>
      <w:r w:rsidR="004836CF">
        <w:t>d</w:t>
      </w:r>
      <w:r w:rsidR="00DD741B">
        <w:t>et</w:t>
      </w:r>
      <w:r w:rsidR="004836CF">
        <w:t xml:space="preserve"> </w:t>
      </w:r>
      <w:r>
        <w:t>fortsættende</w:t>
      </w:r>
      <w:r w:rsidR="004836CF">
        <w:t xml:space="preserve"> pengeinstituts</w:t>
      </w:r>
      <w:r w:rsidR="00DD741B">
        <w:t xml:space="preserve"> hovedsæde, </w:t>
      </w:r>
      <w:r w:rsidR="004836CF">
        <w:t>samler en ny direktion, kigger på det nye filialnet mv.</w:t>
      </w:r>
      <w:r w:rsidR="00DD741B">
        <w:t>.</w:t>
      </w:r>
      <w:r w:rsidR="003F56A9">
        <w:t xml:space="preserve"> </w:t>
      </w:r>
    </w:p>
    <w:p w:rsidR="001B19AA" w:rsidRDefault="003F56A9" w:rsidP="00B958E7">
      <w:r>
        <w:t xml:space="preserve">Fusionen </w:t>
      </w:r>
      <w:r w:rsidR="005D2D48">
        <w:t>skal</w:t>
      </w:r>
      <w:r>
        <w:t xml:space="preserve"> </w:t>
      </w:r>
      <w:r w:rsidR="00551727">
        <w:t xml:space="preserve">godkendes </w:t>
      </w:r>
      <w:r>
        <w:t>på en generalforsamling,</w:t>
      </w:r>
      <w:r w:rsidR="006471CF">
        <w:t xml:space="preserve"> men skal</w:t>
      </w:r>
      <w:r w:rsidR="00356EC3">
        <w:t xml:space="preserve"> forinden</w:t>
      </w:r>
      <w:r w:rsidR="006471CF">
        <w:t xml:space="preserve"> </w:t>
      </w:r>
      <w:r w:rsidR="00537C8E">
        <w:t>også godkendes af Erhv</w:t>
      </w:r>
      <w:r w:rsidR="00551727">
        <w:t>ervs- og vækstministeren jf. LO</w:t>
      </w:r>
      <w:r w:rsidR="00537C8E">
        <w:t>F</w:t>
      </w:r>
      <w:r w:rsidR="00551727">
        <w:t>V</w:t>
      </w:r>
      <w:r w:rsidR="00537C8E">
        <w:t xml:space="preserve"> § 204. </w:t>
      </w:r>
      <w:r w:rsidR="00043AD8">
        <w:t>De øvrige love for sammenlægni</w:t>
      </w:r>
      <w:r w:rsidR="00551727">
        <w:t>ng af pengeinstitutter ses i LO</w:t>
      </w:r>
      <w:r w:rsidR="00043AD8">
        <w:t>F</w:t>
      </w:r>
      <w:r w:rsidR="00551727">
        <w:t>V</w:t>
      </w:r>
      <w:r w:rsidR="00043AD8">
        <w:t xml:space="preserve"> §§ 204 – 213, hvor det bl.a. ses, at man jf. § 207 skal oprette en fond ved sammenlægning. </w:t>
      </w:r>
      <w:r>
        <w:t xml:space="preserve"> </w:t>
      </w:r>
    </w:p>
    <w:p w:rsidR="00B958E7" w:rsidRDefault="00B958E7" w:rsidP="00B958E7"/>
    <w:p w:rsidR="00D05CB6" w:rsidRDefault="00D05CB6" w:rsidP="00B958E7">
      <w:r>
        <w:t xml:space="preserve">Når </w:t>
      </w:r>
      <w:r w:rsidR="005D2D48">
        <w:t>et pengeinstitut</w:t>
      </w:r>
      <w:r>
        <w:t xml:space="preserve"> vælger at fusionere med et andet pengeinstitut kan det have flere årsager. </w:t>
      </w:r>
    </w:p>
    <w:p w:rsidR="00251D0C" w:rsidRDefault="00D05CB6" w:rsidP="00B958E7">
      <w:r>
        <w:t xml:space="preserve">Først og fremmest </w:t>
      </w:r>
      <w:r w:rsidR="00566D8E">
        <w:t xml:space="preserve">finder flere pengeinstitutter det fordelagtigt at samle kræfterne, og derved opnå synergieffekter som f.eks., stordriftsfordele, bedre priser på </w:t>
      </w:r>
      <w:proofErr w:type="spellStart"/>
      <w:r w:rsidR="00566D8E">
        <w:t>Interbankmarkedet</w:t>
      </w:r>
      <w:proofErr w:type="spellEnd"/>
      <w:r w:rsidR="00566D8E">
        <w:t xml:space="preserve">, bedre muligheder for at </w:t>
      </w:r>
      <w:r w:rsidR="005D2D48">
        <w:t>ekspandere</w:t>
      </w:r>
      <w:r w:rsidR="006471CF">
        <w:t>,</w:t>
      </w:r>
      <w:r w:rsidR="00694902">
        <w:t xml:space="preserve"> og</w:t>
      </w:r>
      <w:r w:rsidR="00566D8E">
        <w:t xml:space="preserve"> </w:t>
      </w:r>
      <w:r w:rsidR="00551727">
        <w:t xml:space="preserve">dermed eller i sidste ende </w:t>
      </w:r>
      <w:r w:rsidR="00694902">
        <w:t xml:space="preserve">bedre muligheder for at </w:t>
      </w:r>
      <w:r w:rsidR="00566D8E">
        <w:t xml:space="preserve">øge deres indtjening osv.. </w:t>
      </w:r>
    </w:p>
    <w:p w:rsidR="00D05CB6" w:rsidRDefault="00251D0C" w:rsidP="00B958E7">
      <w:r>
        <w:t>Organisationen vokser automatisk – du får et afdelin</w:t>
      </w:r>
      <w:r w:rsidR="00694902">
        <w:t>gsnet, medarbejdere, kunder mv..</w:t>
      </w:r>
      <w:r>
        <w:t xml:space="preserve"> </w:t>
      </w:r>
      <w:r w:rsidR="005D2D48">
        <w:t xml:space="preserve">Pengeinstituttet </w:t>
      </w:r>
      <w:r>
        <w:t xml:space="preserve">skal ikke ud købe og headhunte nye medarbejdere, </w:t>
      </w:r>
      <w:r w:rsidR="00551727">
        <w:t xml:space="preserve">og </w:t>
      </w:r>
      <w:r>
        <w:t>åbne hel</w:t>
      </w:r>
      <w:r w:rsidR="00551727">
        <w:t>t nye afdelinger fra bunden</w:t>
      </w:r>
      <w:r>
        <w:t>. De</w:t>
      </w:r>
      <w:r w:rsidR="00551727">
        <w:t>r</w:t>
      </w:r>
      <w:r>
        <w:t xml:space="preserve"> er </w:t>
      </w:r>
      <w:r w:rsidR="00694902">
        <w:t xml:space="preserve">derfor </w:t>
      </w:r>
      <w:r w:rsidR="00551727">
        <w:t>en bred opfattelse</w:t>
      </w:r>
      <w:r>
        <w:t>, a</w:t>
      </w:r>
      <w:r w:rsidR="00551727">
        <w:t>t det er en bedre investering at</w:t>
      </w:r>
      <w:r>
        <w:t xml:space="preserve"> fusionere end at </w:t>
      </w:r>
      <w:r w:rsidR="00551727">
        <w:t>organisationen vokser over tid, hvilket er meget mere tidskrævende</w:t>
      </w:r>
      <w:r>
        <w:t xml:space="preserve">. </w:t>
      </w:r>
      <w:r w:rsidR="00551727">
        <w:t>Forudsætter</w:t>
      </w:r>
      <w:r w:rsidR="00E371CE">
        <w:t xml:space="preserve"> dog, at der er tale om en fusion, hvor tingene går op i en højere enhed</w:t>
      </w:r>
      <w:r w:rsidR="000A73DF">
        <w:t>,</w:t>
      </w:r>
      <w:r w:rsidR="00E371CE">
        <w:t xml:space="preserve"> og man formår at udnytte de nye ressou</w:t>
      </w:r>
      <w:r w:rsidR="00694902">
        <w:t>r</w:t>
      </w:r>
      <w:r w:rsidR="00E371CE">
        <w:t xml:space="preserve">cer på bedste vis. </w:t>
      </w:r>
    </w:p>
    <w:p w:rsidR="00566D8E" w:rsidRDefault="00566D8E" w:rsidP="00B958E7"/>
    <w:p w:rsidR="00566D8E" w:rsidRDefault="00566D8E" w:rsidP="00B958E7">
      <w:r>
        <w:t>En anden mulighed, som</w:t>
      </w:r>
      <w:r w:rsidR="00356EC3">
        <w:t xml:space="preserve"> for mange</w:t>
      </w:r>
      <w:r>
        <w:t xml:space="preserve"> pt. er temmelig aktuel</w:t>
      </w:r>
      <w:r w:rsidR="00694902">
        <w:t>,</w:t>
      </w:r>
      <w:r>
        <w:t xml:space="preserve"> er, at der er flere pengeinstitutter, </w:t>
      </w:r>
      <w:r w:rsidR="00DD741B">
        <w:t>som har svært ved at dri</w:t>
      </w:r>
      <w:r w:rsidR="00046A51">
        <w:t xml:space="preserve">ve </w:t>
      </w:r>
      <w:r w:rsidR="00356EC3">
        <w:t xml:space="preserve">deres </w:t>
      </w:r>
      <w:r w:rsidR="00046A51">
        <w:t>pengeinstitut</w:t>
      </w:r>
      <w:r w:rsidR="00694902">
        <w:t xml:space="preserve"> og lave sorte tal på bundlinj</w:t>
      </w:r>
      <w:r w:rsidR="00A12E4C">
        <w:t>en</w:t>
      </w:r>
      <w:r w:rsidR="00046A51">
        <w:t>. De som pt. har</w:t>
      </w:r>
      <w:r w:rsidR="00DD741B">
        <w:t xml:space="preserve"> det svært</w:t>
      </w:r>
      <w:r w:rsidR="00046A51">
        <w:t>,</w:t>
      </w:r>
      <w:r w:rsidR="00DD741B">
        <w:t xml:space="preserve"> søger derfor et pengeinstitut til at overtage</w:t>
      </w:r>
      <w:r w:rsidR="00356EC3">
        <w:t xml:space="preserve"> eller fusionere sammen med</w:t>
      </w:r>
      <w:r w:rsidR="00DD741B">
        <w:t xml:space="preserve">, således at garanter/aktionærer og kunder </w:t>
      </w:r>
      <w:r w:rsidR="00A12E4C">
        <w:t>er</w:t>
      </w:r>
      <w:r w:rsidR="00DD741B">
        <w:t xml:space="preserve"> sikret.</w:t>
      </w:r>
      <w:r w:rsidR="00551727">
        <w:t xml:space="preserve"> Derved mindskes risikoen for at lande i Finansiel Stabilitet.</w:t>
      </w:r>
      <w:r w:rsidR="00DD741B">
        <w:t xml:space="preserve"> </w:t>
      </w:r>
    </w:p>
    <w:p w:rsidR="0015645B" w:rsidRDefault="0015645B" w:rsidP="00B958E7"/>
    <w:p w:rsidR="00694902" w:rsidRDefault="0015645B" w:rsidP="00B958E7">
      <w:r>
        <w:t xml:space="preserve">Selvom der er mange fordele ved fusioner/sammenlægninger kan det også medføre uhensigtsmæssigheder med sig. De største udfordringer må </w:t>
      </w:r>
      <w:r w:rsidR="00A12E4C">
        <w:t>være kulturen, kreditpolitik og</w:t>
      </w:r>
      <w:r>
        <w:t xml:space="preserve"> IT. Kulturen er en svær ting at definere, og derfor kan det være svært at afgøre inden </w:t>
      </w:r>
      <w:r w:rsidR="00A12E4C">
        <w:t xml:space="preserve">en fusion, hvorvidt fusionen </w:t>
      </w:r>
      <w:r>
        <w:t>vil blive en succes</w:t>
      </w:r>
      <w:r w:rsidR="00694902">
        <w:t xml:space="preserve"> eller ej</w:t>
      </w:r>
      <w:r>
        <w:t>.</w:t>
      </w:r>
    </w:p>
    <w:p w:rsidR="00A12E4C" w:rsidRDefault="0015645B" w:rsidP="00B958E7">
      <w:r>
        <w:t xml:space="preserve"> </w:t>
      </w:r>
    </w:p>
    <w:p w:rsidR="00A12E4C" w:rsidRDefault="0015645B" w:rsidP="00B958E7">
      <w:r>
        <w:t>Kreditpolitikken kan også være en stor udfordring – både rådgiver og kunder kan have svært ved at for</w:t>
      </w:r>
      <w:r w:rsidR="00A12E4C">
        <w:t>stå, hvis de ikke har de samme muligheder og rammer</w:t>
      </w:r>
      <w:r w:rsidR="00551727">
        <w:t xml:space="preserve"> at handle ud fra</w:t>
      </w:r>
      <w:r w:rsidR="00A12E4C">
        <w:t>.</w:t>
      </w:r>
      <w:r w:rsidR="00551727">
        <w:t xml:space="preserve"> Det kan også være selve udførelsen i praksis af kreditpolitikken.</w:t>
      </w:r>
      <w:r w:rsidR="00A12E4C">
        <w:t xml:space="preserve"> </w:t>
      </w:r>
    </w:p>
    <w:p w:rsidR="00694902" w:rsidRDefault="00694902" w:rsidP="00B958E7"/>
    <w:p w:rsidR="00904D03" w:rsidRDefault="0015645B" w:rsidP="00B958E7">
      <w:r>
        <w:t>Den sidste faktor er IT. Der</w:t>
      </w:r>
      <w:r w:rsidR="00694902">
        <w:t xml:space="preserve"> er</w:t>
      </w:r>
      <w:r>
        <w:t xml:space="preserve"> ikke de store problemer, hvis </w:t>
      </w:r>
      <w:r w:rsidR="005D2D48">
        <w:t>pengeinstitutterne</w:t>
      </w:r>
      <w:r>
        <w:t xml:space="preserve"> har de samme systemer</w:t>
      </w:r>
      <w:r w:rsidR="0020153D">
        <w:t>. D</w:t>
      </w:r>
      <w:r>
        <w:t>et kan kræve store omkostninger at få uddannet medarbejderne i nyt system, samt tiden indtil man er oppe på samme effektivitet igen. Derudover er der også en del data</w:t>
      </w:r>
      <w:r w:rsidR="00A12E4C">
        <w:t>,</w:t>
      </w:r>
      <w:r>
        <w:t xml:space="preserve"> som skal konverteres i nyt system</w:t>
      </w:r>
      <w:r w:rsidR="00551727">
        <w:t>, hvilket er særdeles omkostningstungt, og dette alene kan tale imod en fusion</w:t>
      </w:r>
      <w:r>
        <w:t>.</w:t>
      </w:r>
    </w:p>
    <w:p w:rsidR="00694902" w:rsidRDefault="00694902" w:rsidP="00B958E7"/>
    <w:p w:rsidR="00904D03" w:rsidRDefault="00904D03" w:rsidP="00B958E7">
      <w:r>
        <w:t>Som det ses er det ikke nødvendigvis en god ide at fusione</w:t>
      </w:r>
      <w:r w:rsidR="001918D0">
        <w:t>re</w:t>
      </w:r>
      <w:r>
        <w:t xml:space="preserve"> med et andet pengeinstitut blot fordi geografien</w:t>
      </w:r>
      <w:r w:rsidR="00694902">
        <w:t>, porteføljerne</w:t>
      </w:r>
      <w:r>
        <w:t xml:space="preserve"> og/eller regnskabet et interessant. Man skal i høj grad også </w:t>
      </w:r>
      <w:r w:rsidR="00C63EEE">
        <w:t>forholde sig til</w:t>
      </w:r>
      <w:r>
        <w:t xml:space="preserve"> kultur, kreditpolitik og IT. </w:t>
      </w:r>
    </w:p>
    <w:p w:rsidR="00904D03" w:rsidRDefault="00904D03" w:rsidP="00B958E7"/>
    <w:p w:rsidR="007230F5" w:rsidRDefault="001B19AA" w:rsidP="00B958E7">
      <w:r>
        <w:t>Det ses også</w:t>
      </w:r>
      <w:r w:rsidR="00DA5D44">
        <w:t>,</w:t>
      </w:r>
      <w:r>
        <w:t xml:space="preserve"> at der i det seneste årti har været mange bankfusioner i den danske finansielle sektor</w:t>
      </w:r>
      <w:r w:rsidR="00DA5D44">
        <w:t xml:space="preserve">, og at tendensen </w:t>
      </w:r>
      <w:r w:rsidR="00A12E4C">
        <w:t>med</w:t>
      </w:r>
      <w:r w:rsidR="00DA5D44">
        <w:t xml:space="preserve"> at konsolidere sig fortsætter</w:t>
      </w:r>
      <w:r>
        <w:t>.</w:t>
      </w:r>
      <w:r w:rsidR="000A7B74">
        <w:t xml:space="preserve"> Der bliver fremsat flere og flere lovreguleringer, som alt andet lige gør, at de administrative opgaver ikke bliver mindre. </w:t>
      </w:r>
      <w:r w:rsidR="00C63EEE">
        <w:t>K</w:t>
      </w:r>
      <w:r w:rsidR="000A7B74">
        <w:t>ravene til medarbejderne skærpes</w:t>
      </w:r>
      <w:r w:rsidR="00C63EEE">
        <w:t xml:space="preserve"> også, </w:t>
      </w:r>
      <w:r w:rsidR="000A7B74">
        <w:t xml:space="preserve">da der nu kræves certificering – både til de almindelige rådgivere, men også de som sidder i Markets-afdelingerne/specialafdelingerne. Disse skærpede krav vil alt andet lige gøre </w:t>
      </w:r>
      <w:r w:rsidR="00C63EEE">
        <w:t>det</w:t>
      </w:r>
      <w:r w:rsidR="000A7B74">
        <w:t xml:space="preserve"> sværere for de mindre pengeinstitutter, </w:t>
      </w:r>
      <w:r w:rsidR="00C63EEE">
        <w:t>at drive en rentabel forretning.</w:t>
      </w:r>
    </w:p>
    <w:p w:rsidR="000A7B74" w:rsidRDefault="000A7B74" w:rsidP="00B958E7"/>
    <w:p w:rsidR="001B19AA" w:rsidRDefault="005D2D48" w:rsidP="00B958E7">
      <w:r>
        <w:t>Eksperter, forskere, medierne mv.</w:t>
      </w:r>
      <w:r w:rsidR="00341C02">
        <w:t xml:space="preserve"> mener</w:t>
      </w:r>
      <w:r w:rsidR="007230F5">
        <w:t xml:space="preserve">, at der de næste år vil ske yderligere konsolidering i den danske finansielle sektor. I dag er der omkring 100 pengeinstitutter, men det menes, at der i 2020 vil være et sted mellem 40 og 50 pengeinstitutter, og resten derved enten </w:t>
      </w:r>
      <w:r w:rsidR="00341C02">
        <w:t>er fusioneret eller bukket under</w:t>
      </w:r>
      <w:r>
        <w:t xml:space="preserve"> </w:t>
      </w:r>
      <w:r w:rsidR="00C63EEE">
        <w:t>i følge</w:t>
      </w:r>
      <w:r>
        <w:t xml:space="preserve"> Direktør i Niro Invest, Nicholas Rohde</w:t>
      </w:r>
      <w:r w:rsidR="00341C02">
        <w:rPr>
          <w:rStyle w:val="Fodnotehenvisning"/>
        </w:rPr>
        <w:footnoteReference w:id="21"/>
      </w:r>
      <w:r w:rsidR="007230F5">
        <w:t xml:space="preserve">. </w:t>
      </w:r>
      <w:r w:rsidR="001B19AA">
        <w:t xml:space="preserve"> </w:t>
      </w:r>
    </w:p>
    <w:p w:rsidR="00336CA1" w:rsidRDefault="00341C02" w:rsidP="00B958E7">
      <w:r>
        <w:lastRenderedPageBreak/>
        <w:t>Derudover er der næsten daglige artikler vedrørende spekulationer og rygter på nye opkøb og fusioner, eller pengeinstitutte</w:t>
      </w:r>
      <w:r w:rsidR="00C93CDB">
        <w:t>r, som er fusioneret</w:t>
      </w:r>
      <w:r w:rsidR="00DF3B3B">
        <w:t xml:space="preserve"> eller søger nye samarbejdspartnere. </w:t>
      </w:r>
    </w:p>
    <w:p w:rsidR="006A30C8" w:rsidRDefault="006A30C8" w:rsidP="00B958E7"/>
    <w:p w:rsidR="00225167" w:rsidRDefault="00225167" w:rsidP="00225167">
      <w:pPr>
        <w:pStyle w:val="Overskrift2"/>
        <w:numPr>
          <w:ilvl w:val="1"/>
          <w:numId w:val="26"/>
        </w:numPr>
      </w:pPr>
      <w:bookmarkStart w:id="166" w:name="_Toc354517439"/>
      <w:r>
        <w:t>Finansiering - fusion</w:t>
      </w:r>
      <w:bookmarkEnd w:id="166"/>
    </w:p>
    <w:p w:rsidR="00A577F6" w:rsidRDefault="00A577F6" w:rsidP="00A577F6">
      <w:r>
        <w:t xml:space="preserve">For at kunne finansiere en fusion er der flere muligheder. </w:t>
      </w:r>
      <w:r w:rsidR="005D2D48">
        <w:t>Pengeinstituttet</w:t>
      </w:r>
      <w:r>
        <w:t xml:space="preserve"> kan købe kontant, lave en aktieudvidelse, bruge kreditlines, udstedelse af obligationer eller nedbringe balancen (salg af aktiver). </w:t>
      </w:r>
    </w:p>
    <w:p w:rsidR="00A577F6" w:rsidRDefault="00A577F6" w:rsidP="00225167"/>
    <w:p w:rsidR="00225167" w:rsidRDefault="00225167" w:rsidP="00225167">
      <w:r w:rsidRPr="00043AD8">
        <w:t>Når et pengeinstitut skal prisfastsættes er hovedreglen som udgangspunkt</w:t>
      </w:r>
      <w:r>
        <w:t>,</w:t>
      </w:r>
      <w:r w:rsidRPr="00043AD8">
        <w:t xml:space="preserve"> at prisen er summen på egenkapitalen. Dog afhænger prisen bl.a. også af</w:t>
      </w:r>
      <w:r>
        <w:t>,</w:t>
      </w:r>
      <w:r w:rsidRPr="00043AD8">
        <w:t xml:space="preserve"> hvorda</w:t>
      </w:r>
      <w:r>
        <w:t>n kundeporteføljerne performer</w:t>
      </w:r>
      <w:r w:rsidRPr="00043AD8">
        <w:t>, medarbejdere, ejendomme, goodwill mv.</w:t>
      </w:r>
      <w:r>
        <w:t xml:space="preserve"> og prisen på egenkapitalen kan derfor</w:t>
      </w:r>
      <w:r w:rsidR="00A85245">
        <w:t xml:space="preserve"> </w:t>
      </w:r>
      <w:r w:rsidR="00A577F6">
        <w:t>aldrig</w:t>
      </w:r>
      <w:r w:rsidR="00A85245">
        <w:t xml:space="preserve"> stå alene</w:t>
      </w:r>
      <w:r w:rsidR="00DD4833">
        <w:t>.</w:t>
      </w:r>
      <w:r w:rsidR="00A577F6">
        <w:t xml:space="preserve"> Der er nærmest uendelig mange faktorer, som afgør prisen og hvorledes aktiver, medarbejdere mv. prisfastsættes. </w:t>
      </w:r>
    </w:p>
    <w:p w:rsidR="00DD4833" w:rsidRDefault="00DD4833" w:rsidP="00225167"/>
    <w:p w:rsidR="00A577F6" w:rsidRDefault="00A577F6" w:rsidP="00225167">
      <w:r>
        <w:t>Den mindst pristunge løsning er som udgangspunkt at købe kontant</w:t>
      </w:r>
      <w:r w:rsidR="004B3124">
        <w:t xml:space="preserve">. </w:t>
      </w:r>
      <w:r w:rsidR="00E95354">
        <w:t>Pengeinstituttet</w:t>
      </w:r>
      <w:r w:rsidR="004B3124">
        <w:t xml:space="preserve"> kan selv vælge</w:t>
      </w:r>
      <w:r>
        <w:t>,</w:t>
      </w:r>
      <w:r w:rsidR="004B3124">
        <w:t xml:space="preserve"> hvor man tager pengene fra, men naturligvis mest oplagt at hæve den nødvendige kapital, der hvor man får mindst i renteindtægter. Selvom renteindtægterne alt andet lige formindskes vil man forhåbentligt øge sine indtægter andre steder </w:t>
      </w:r>
      <w:r w:rsidR="00C63EEE">
        <w:t>i forbindelse</w:t>
      </w:r>
      <w:r w:rsidR="004B3124">
        <w:t xml:space="preserve"> med fusionen.</w:t>
      </w:r>
      <w:r w:rsidR="00103674">
        <w:t xml:space="preserve"> </w:t>
      </w:r>
    </w:p>
    <w:p w:rsidR="00F1397E" w:rsidRDefault="00103674" w:rsidP="00225167">
      <w:r>
        <w:t>Ovenstående løsning ville som udgangspunkt også være oplagt i denne fusion, hvis lovkrav vedrørende solvensen overholdes. Det er en simpel og enkel løsning, og hvis parterne kan blive enige om en pris, og den Jyske (trods tre andre fusioner i 2012) har den fornødne kapital</w:t>
      </w:r>
      <w:r w:rsidR="00F1397E">
        <w:t>.</w:t>
      </w:r>
    </w:p>
    <w:p w:rsidR="006A30C8" w:rsidRDefault="006A30C8" w:rsidP="00225167"/>
    <w:p w:rsidR="005B1F33" w:rsidRDefault="005B1F33">
      <w:pPr>
        <w:spacing w:line="240" w:lineRule="auto"/>
        <w:jc w:val="left"/>
        <w:rPr>
          <w:rFonts w:ascii="Verdana" w:eastAsiaTheme="majorEastAsia" w:hAnsi="Verdana" w:cstheme="majorBidi"/>
          <w:b/>
          <w:bCs/>
          <w:i/>
          <w:szCs w:val="26"/>
        </w:rPr>
      </w:pPr>
      <w:r>
        <w:br w:type="page"/>
      </w:r>
    </w:p>
    <w:p w:rsidR="00A87E88" w:rsidRDefault="00A87E88" w:rsidP="00867AB8">
      <w:pPr>
        <w:pStyle w:val="Overskrift2"/>
        <w:numPr>
          <w:ilvl w:val="1"/>
          <w:numId w:val="26"/>
        </w:numPr>
      </w:pPr>
      <w:bookmarkStart w:id="167" w:name="_Toc354517440"/>
      <w:r>
        <w:lastRenderedPageBreak/>
        <w:t>Rationalisering ved Fusion af Den Jyske Sparekasse og Dronninglund Sparekasse</w:t>
      </w:r>
      <w:bookmarkEnd w:id="167"/>
    </w:p>
    <w:p w:rsidR="005B5AA0" w:rsidRDefault="001546BB" w:rsidP="001546BB">
      <w:r>
        <w:t>I nedenstående vil jeg komme ind på, hvilke besparelser og rationaliseringer</w:t>
      </w:r>
      <w:r w:rsidR="00A12E4C">
        <w:t>,</w:t>
      </w:r>
      <w:r>
        <w:t xml:space="preserve"> der vil være ved en fusion af de to pengeinstitutter.</w:t>
      </w:r>
      <w:r w:rsidR="0034077C">
        <w:t xml:space="preserve"> </w:t>
      </w:r>
    </w:p>
    <w:p w:rsidR="0034077C" w:rsidRDefault="0034077C" w:rsidP="001546BB"/>
    <w:p w:rsidR="005B5AA0" w:rsidRDefault="005916B5" w:rsidP="001546BB">
      <w:r>
        <w:t>Jeg har valgt at lade</w:t>
      </w:r>
      <w:r w:rsidR="00F0108F">
        <w:t xml:space="preserve"> d</w:t>
      </w:r>
      <w:r>
        <w:t>en Jyske være det fortsættende pengeinstitut, da de alt andet lige er de største, men også dem</w:t>
      </w:r>
      <w:r w:rsidR="00D01C7E">
        <w:t>,</w:t>
      </w:r>
      <w:r>
        <w:t xml:space="preserve"> som har </w:t>
      </w:r>
      <w:r w:rsidR="00D01C7E">
        <w:t xml:space="preserve">størst </w:t>
      </w:r>
      <w:r>
        <w:t xml:space="preserve">erfaring med fusioner. </w:t>
      </w:r>
      <w:r w:rsidR="00D01C7E">
        <w:t>DS banklicens vil derfor blive annulleret, og aktivite</w:t>
      </w:r>
      <w:r w:rsidR="005B5AA0">
        <w:t>te</w:t>
      </w:r>
      <w:r w:rsidR="00F0108F">
        <w:t>rne flyttes over til d</w:t>
      </w:r>
      <w:r w:rsidR="00D01C7E">
        <w:t xml:space="preserve">en Jyske. </w:t>
      </w:r>
    </w:p>
    <w:p w:rsidR="005B5AA0" w:rsidRDefault="005B5AA0" w:rsidP="001546BB"/>
    <w:p w:rsidR="001546BB" w:rsidRDefault="005B5AA0" w:rsidP="001546BB">
      <w:r>
        <w:t>Der</w:t>
      </w:r>
      <w:r w:rsidR="0034077C">
        <w:t xml:space="preserve"> hvor man oftest ser på rationaliseringer og besparelser er i medarbejderstaben. Det er alt andet lige lønomkostninger, der er den største omkostning i et pengeinstitut</w:t>
      </w:r>
      <w:r>
        <w:t xml:space="preserve">, da medarbejderne er det </w:t>
      </w:r>
      <w:r w:rsidR="003E0AA5">
        <w:t>pengeinstituttet</w:t>
      </w:r>
      <w:r>
        <w:t xml:space="preserve"> lever af</w:t>
      </w:r>
      <w:r w:rsidR="001B16FB">
        <w:t>, og er eneste ”aktiver”</w:t>
      </w:r>
      <w:r>
        <w:t xml:space="preserve">. </w:t>
      </w:r>
    </w:p>
    <w:p w:rsidR="005B5AA0" w:rsidRDefault="005B5AA0" w:rsidP="00A87E88"/>
    <w:p w:rsidR="0034077C" w:rsidRDefault="005B5AA0" w:rsidP="00A87E88">
      <w:r>
        <w:t xml:space="preserve">Ved en fusion af to pengeinstitutter vil der ofte komme medarbejdere til overs, da der nu er dobbelt op på stabsfunktioner. Derfor vil man </w:t>
      </w:r>
      <w:r w:rsidR="00F0108F">
        <w:t xml:space="preserve">ofte </w:t>
      </w:r>
      <w:r>
        <w:t xml:space="preserve">kunne finde besparelser indenfor økonomi, HR, kredit, IT, salg/marketing mv. </w:t>
      </w:r>
    </w:p>
    <w:p w:rsidR="00F0108F" w:rsidRDefault="00F0108F" w:rsidP="00A87E88"/>
    <w:p w:rsidR="00F0108F" w:rsidRDefault="00C63EEE" w:rsidP="00A87E88">
      <w:r>
        <w:t>I dette tilfælde er der</w:t>
      </w:r>
      <w:r w:rsidR="00D00C03">
        <w:t xml:space="preserve"> 14 medarbejdere i DS, som er beskæftiget i hhv. markedsførings- og administrationsafdeling jf. deres hjemmeside, mens der i Den Jyske jf. </w:t>
      </w:r>
      <w:r w:rsidR="00F0108F">
        <w:t xml:space="preserve">deres </w:t>
      </w:r>
      <w:r w:rsidR="00D00C03">
        <w:t xml:space="preserve">hjemmeside er lidt uklart, hvilke medarbejder, der hører </w:t>
      </w:r>
      <w:r w:rsidR="00BF4695">
        <w:t xml:space="preserve">til </w:t>
      </w:r>
      <w:r w:rsidR="00F0108F">
        <w:t xml:space="preserve">i </w:t>
      </w:r>
      <w:r w:rsidR="00D00C03">
        <w:t>stabsfunktione</w:t>
      </w:r>
      <w:r w:rsidR="00BF4695">
        <w:t>r</w:t>
      </w:r>
      <w:r w:rsidR="00D00C03">
        <w:t xml:space="preserve">. På bedste vis har jeg talt sammen til 70 medarbejdere. </w:t>
      </w:r>
    </w:p>
    <w:p w:rsidR="008B6298" w:rsidRDefault="00B34D70" w:rsidP="00A87E88">
      <w:r>
        <w:t>Dvs., at i D</w:t>
      </w:r>
      <w:r w:rsidR="00BF4695">
        <w:t xml:space="preserve">en nye </w:t>
      </w:r>
      <w:r w:rsidR="001B16FB">
        <w:t xml:space="preserve">Jyske </w:t>
      </w:r>
      <w:r w:rsidR="00BF4695">
        <w:t xml:space="preserve">er 84 medarbejdere beskæftiget i stabsfunktioner ud af </w:t>
      </w:r>
      <w:r w:rsidR="000A73DF">
        <w:t xml:space="preserve">en samlet medarbejder stab på </w:t>
      </w:r>
      <w:r w:rsidR="00BF4695">
        <w:t>505</w:t>
      </w:r>
      <w:r w:rsidR="000A73DF">
        <w:t xml:space="preserve"> ansatte</w:t>
      </w:r>
      <w:r w:rsidR="00BF4695">
        <w:t>. Af disse har jeg vurderet, at der</w:t>
      </w:r>
      <w:r w:rsidR="001B16FB">
        <w:t xml:space="preserve"> skal </w:t>
      </w:r>
      <w:r w:rsidR="00BF4695">
        <w:t xml:space="preserve">spares 10 medarbejdere, svarende til lønreduktion på </w:t>
      </w:r>
      <w:proofErr w:type="spellStart"/>
      <w:r w:rsidR="00BF4695">
        <w:t>tkr</w:t>
      </w:r>
      <w:proofErr w:type="spellEnd"/>
      <w:r w:rsidR="00BF4695">
        <w:t xml:space="preserve">. </w:t>
      </w:r>
      <w:r w:rsidR="00935CAD">
        <w:t xml:space="preserve">5.938 </w:t>
      </w:r>
      <w:r w:rsidR="00C210FB">
        <w:t>(se udregninger i bilag</w:t>
      </w:r>
      <w:r w:rsidR="00935CAD">
        <w:t xml:space="preserve"> F</w:t>
      </w:r>
      <w:r w:rsidR="00C210FB">
        <w:t>)</w:t>
      </w:r>
      <w:r w:rsidR="00BF4695">
        <w:t>.</w:t>
      </w:r>
      <w:r>
        <w:t xml:space="preserve"> Derved vil der </w:t>
      </w:r>
      <w:r w:rsidR="000A73DF">
        <w:t xml:space="preserve">efter fusionen </w:t>
      </w:r>
      <w:r>
        <w:t>være 495 medarbejdere</w:t>
      </w:r>
      <w:r w:rsidR="000A73DF">
        <w:t xml:space="preserve"> i Den Jyske</w:t>
      </w:r>
      <w:r>
        <w:t>.</w:t>
      </w:r>
    </w:p>
    <w:p w:rsidR="00F35C2A" w:rsidRDefault="00F35C2A" w:rsidP="00A87E88"/>
    <w:p w:rsidR="005B5AA0" w:rsidRDefault="005B5AA0" w:rsidP="00A87E88">
      <w:r>
        <w:t>Hvis der var tale om et pengeinstitut, hvor man havde byer med flere filialer kunne man sandsynligvis også med fordel ligge disse sammen</w:t>
      </w:r>
      <w:r w:rsidR="001B16FB">
        <w:t>,</w:t>
      </w:r>
      <w:r>
        <w:t xml:space="preserve"> og derved spare husleje</w:t>
      </w:r>
      <w:r w:rsidR="000303AD">
        <w:t>. Derudover vil der også være en domicilejendom for meget</w:t>
      </w:r>
      <w:r>
        <w:t xml:space="preserve">. </w:t>
      </w:r>
    </w:p>
    <w:p w:rsidR="008B6298" w:rsidRDefault="008B6298" w:rsidP="00A87E88">
      <w:r>
        <w:t xml:space="preserve">Ved denne fusion vil </w:t>
      </w:r>
      <w:r w:rsidR="00E95354">
        <w:t>der ikke forekomme</w:t>
      </w:r>
      <w:r>
        <w:t xml:space="preserve"> dobbeltfilialer, og vil derfor ikke umiddelbart have mulighed for at finde besparelser ved lukning og sammenlægning af filialer.</w:t>
      </w:r>
    </w:p>
    <w:p w:rsidR="00CC6E2A" w:rsidRDefault="00CC6E2A" w:rsidP="00A87E88">
      <w:r>
        <w:t>Derudover har DS deres hovedsæde i Dronninglund, hvor der ligeledes også findes</w:t>
      </w:r>
      <w:r w:rsidR="00F0108F">
        <w:t xml:space="preserve"> deres</w:t>
      </w:r>
      <w:r>
        <w:t xml:space="preserve"> </w:t>
      </w:r>
      <w:r w:rsidR="00CC7E86">
        <w:t>”almindelige” afdeling,</w:t>
      </w:r>
      <w:r w:rsidR="00F0108F">
        <w:t xml:space="preserve"> samt</w:t>
      </w:r>
      <w:r w:rsidR="00CC7E86">
        <w:t xml:space="preserve"> deres markeds- og administration</w:t>
      </w:r>
      <w:r w:rsidR="001B16FB">
        <w:t>safdeling</w:t>
      </w:r>
      <w:r w:rsidR="00CC7E86">
        <w:t xml:space="preserve">. </w:t>
      </w:r>
      <w:r w:rsidR="00C63EEE">
        <w:t xml:space="preserve">Det kan </w:t>
      </w:r>
      <w:r w:rsidR="00CC7E86">
        <w:t xml:space="preserve">umiddelbart </w:t>
      </w:r>
      <w:r w:rsidR="00CC7E86">
        <w:lastRenderedPageBreak/>
        <w:t>være svært</w:t>
      </w:r>
      <w:r w:rsidR="00C63EEE">
        <w:t xml:space="preserve"> at vurdere om der kan spares omkostninger ved et salg pga. omsætteligheden</w:t>
      </w:r>
      <w:r w:rsidR="00CC7E86">
        <w:t>.</w:t>
      </w:r>
      <w:r w:rsidR="001908F1">
        <w:t xml:space="preserve"> Ud fra </w:t>
      </w:r>
      <w:r w:rsidR="00F0108F">
        <w:t xml:space="preserve">givne oplysninger </w:t>
      </w:r>
      <w:r w:rsidR="001908F1">
        <w:t>kan det være svært at afgøre, hvorvidt det er muligt at sælge, og evt. finde nye lokaler, hvor der er plads og opfylder krav og behov.</w:t>
      </w:r>
      <w:r w:rsidR="00CC7E86">
        <w:t xml:space="preserve"> </w:t>
      </w:r>
      <w:r w:rsidR="00E7696B">
        <w:t>Jeg vil derfor vurd</w:t>
      </w:r>
      <w:r w:rsidR="00F0108F">
        <w:t>ere, at det ikke kan betale sig</w:t>
      </w:r>
      <w:r w:rsidR="00E7696B">
        <w:t xml:space="preserve"> at sælge domicilejendommen i DS</w:t>
      </w:r>
      <w:r w:rsidR="00282794">
        <w:t xml:space="preserve"> i første omgang</w:t>
      </w:r>
      <w:r w:rsidR="001B16FB">
        <w:t>, da den rummer produktionsafdeling, privat- og erhvervsafdeling</w:t>
      </w:r>
      <w:r w:rsidR="00E7696B">
        <w:t>.</w:t>
      </w:r>
    </w:p>
    <w:p w:rsidR="008B6298" w:rsidRDefault="008B6298" w:rsidP="00A87E88"/>
    <w:p w:rsidR="005B5AA0" w:rsidRDefault="005B5AA0" w:rsidP="00A87E88">
      <w:r>
        <w:t>Et andet sted, der ville være gode muligheder i at optimere omkostningerne, er, at direktørlønningen og lønninger til bestyrelsen vil falde væk.</w:t>
      </w:r>
    </w:p>
    <w:p w:rsidR="007A5653" w:rsidRDefault="009A73F8" w:rsidP="00A87E88">
      <w:r>
        <w:t xml:space="preserve">Som udgangspunkt </w:t>
      </w:r>
      <w:r w:rsidR="00BA2304">
        <w:t xml:space="preserve">vil en direktørlønning </w:t>
      </w:r>
      <w:r w:rsidR="00857B24">
        <w:t xml:space="preserve">allerede </w:t>
      </w:r>
      <w:r w:rsidR="00BA2304">
        <w:t>blive sparet væk i 2013, da en af direktørerne i DS går på pension</w:t>
      </w:r>
      <w:r w:rsidR="007A5653">
        <w:t xml:space="preserve">, og derved giver en besparelse på </w:t>
      </w:r>
      <w:proofErr w:type="spellStart"/>
      <w:r w:rsidR="007A5653">
        <w:t>tkr</w:t>
      </w:r>
      <w:proofErr w:type="spellEnd"/>
      <w:r w:rsidR="007A5653">
        <w:t>. 2.019</w:t>
      </w:r>
      <w:r w:rsidR="00BA2304">
        <w:t>.</w:t>
      </w:r>
      <w:r w:rsidR="007A5653">
        <w:t xml:space="preserve"> </w:t>
      </w:r>
      <w:r w:rsidR="00F0108F">
        <w:t>(Der har i 2012 været to direktører på lønningslisten i DS.)</w:t>
      </w:r>
    </w:p>
    <w:p w:rsidR="00FF10F9" w:rsidRDefault="007A5653" w:rsidP="00A87E88">
      <w:r>
        <w:t>Jeg vil dog mene</w:t>
      </w:r>
      <w:r w:rsidR="00FF10F9">
        <w:t>, at det optimale må være</w:t>
      </w:r>
      <w:r>
        <w:t>, at</w:t>
      </w:r>
      <w:r w:rsidR="00FF10F9">
        <w:t xml:space="preserve"> den nye fusionsbank skal kunne løfte opgaven med</w:t>
      </w:r>
      <w:r>
        <w:t xml:space="preserve"> to direktører.</w:t>
      </w:r>
      <w:r w:rsidR="00225167">
        <w:t xml:space="preserve"> Ingen af pengeinstit</w:t>
      </w:r>
      <w:r w:rsidR="00FF10F9">
        <w:t xml:space="preserve">utterne har været vant til at have </w:t>
      </w:r>
      <w:r w:rsidR="001B16FB">
        <w:t xml:space="preserve">mere end </w:t>
      </w:r>
      <w:r w:rsidR="00FF10F9">
        <w:t xml:space="preserve">to direktører, og størrelsen på det nye pengeinstitut må alt andet lige ikke blevet så meget større, at det kræver en tredje direktør. </w:t>
      </w:r>
    </w:p>
    <w:p w:rsidR="00935CAD" w:rsidRDefault="005A5AC4" w:rsidP="00A87E88">
      <w:r>
        <w:t>I 2012</w:t>
      </w:r>
      <w:r w:rsidR="00F0108F">
        <w:t xml:space="preserve"> får direktionen </w:t>
      </w:r>
      <w:r w:rsidR="00935CAD">
        <w:t xml:space="preserve">(Claus E. Petersen) </w:t>
      </w:r>
      <w:r w:rsidR="00F0108F">
        <w:t>i d</w:t>
      </w:r>
      <w:r w:rsidR="00857B24">
        <w:t>en Jyske</w:t>
      </w:r>
      <w:r w:rsidR="000B6837">
        <w:t xml:space="preserve"> en samlet løn </w:t>
      </w:r>
      <w:proofErr w:type="spellStart"/>
      <w:r w:rsidR="000B6837">
        <w:t>tkr</w:t>
      </w:r>
      <w:proofErr w:type="spellEnd"/>
      <w:r w:rsidR="000B6837">
        <w:t xml:space="preserve">. </w:t>
      </w:r>
      <w:r w:rsidR="00935CAD">
        <w:t>3</w:t>
      </w:r>
      <w:r w:rsidR="000B6837">
        <w:t>.</w:t>
      </w:r>
      <w:r w:rsidR="00935CAD">
        <w:t>261</w:t>
      </w:r>
      <w:r w:rsidR="00663E4E">
        <w:rPr>
          <w:rStyle w:val="Fodnotehenvisning"/>
        </w:rPr>
        <w:footnoteReference w:id="22"/>
      </w:r>
      <w:r w:rsidR="000B6837">
        <w:t xml:space="preserve">, som jeg vil vurdere </w:t>
      </w:r>
      <w:r w:rsidR="00857B24">
        <w:t xml:space="preserve">kan hæves til </w:t>
      </w:r>
      <w:proofErr w:type="spellStart"/>
      <w:r w:rsidR="00857B24">
        <w:t>tkr</w:t>
      </w:r>
      <w:proofErr w:type="spellEnd"/>
      <w:r w:rsidR="00857B24">
        <w:t>. 4.500, og deles af de kommende to direkt</w:t>
      </w:r>
      <w:r w:rsidR="00663E4E">
        <w:t>ionsmedlemmer i den nye Fusions</w:t>
      </w:r>
      <w:r w:rsidR="00857B24">
        <w:t>sparekasse</w:t>
      </w:r>
      <w:r w:rsidR="000B6837">
        <w:t xml:space="preserve">. </w:t>
      </w:r>
      <w:r w:rsidR="00D11F1B">
        <w:t xml:space="preserve">Derved må en </w:t>
      </w:r>
      <w:r w:rsidR="00663E4E">
        <w:t>afskediges</w:t>
      </w:r>
      <w:r w:rsidR="00D11F1B">
        <w:t xml:space="preserve">. </w:t>
      </w:r>
    </w:p>
    <w:p w:rsidR="00935CAD" w:rsidRDefault="00D11F1B" w:rsidP="00A87E88">
      <w:r>
        <w:t>Besparelsen til lønomkostningerne vil derfor først komme i regnskabet for 2014</w:t>
      </w:r>
      <w:r w:rsidR="00A61479">
        <w:t xml:space="preserve">, </w:t>
      </w:r>
      <w:r w:rsidR="00306ECC">
        <w:t xml:space="preserve">da direktøren har et års opsigelse, </w:t>
      </w:r>
      <w:r w:rsidR="00A61479">
        <w:t xml:space="preserve">og udgiften går </w:t>
      </w:r>
      <w:r w:rsidR="00306ECC">
        <w:t xml:space="preserve">derved </w:t>
      </w:r>
      <w:r w:rsidR="00A61479">
        <w:t>op med besparelsen</w:t>
      </w:r>
      <w:r>
        <w:t>.</w:t>
      </w:r>
      <w:r w:rsidR="00F1397E">
        <w:t xml:space="preserve"> Hvorvidt ovenstående er realistisk er svært at sige, og afhænger</w:t>
      </w:r>
      <w:r w:rsidR="00F0108F">
        <w:t xml:space="preserve"> bl.a.</w:t>
      </w:r>
      <w:r w:rsidR="00F1397E">
        <w:t xml:space="preserve"> også af, hvilken forhandlingssituation direktørerne er i</w:t>
      </w:r>
      <w:r w:rsidR="00306ECC">
        <w:t>, hvordan det i Den Jyske, samfundsøkonomien mv.</w:t>
      </w:r>
      <w:r w:rsidR="00F1397E">
        <w:t xml:space="preserve">. </w:t>
      </w:r>
    </w:p>
    <w:p w:rsidR="00E705FE" w:rsidRDefault="00E705FE" w:rsidP="00A87E88"/>
    <w:p w:rsidR="00FF10F9" w:rsidRDefault="00E705FE" w:rsidP="00A87E88">
      <w:r>
        <w:t xml:space="preserve">Endvidere vil der være en besparelse på aflønning af bestyrelse på </w:t>
      </w:r>
      <w:proofErr w:type="spellStart"/>
      <w:r>
        <w:t>tkr</w:t>
      </w:r>
      <w:proofErr w:type="spellEnd"/>
      <w:r>
        <w:t>. 564, samt aflønning til revis</w:t>
      </w:r>
      <w:r w:rsidR="0030689F">
        <w:t>i</w:t>
      </w:r>
      <w:r>
        <w:t xml:space="preserve">on på </w:t>
      </w:r>
      <w:proofErr w:type="spellStart"/>
      <w:r>
        <w:t>tkr</w:t>
      </w:r>
      <w:proofErr w:type="spellEnd"/>
      <w:r>
        <w:t>. 678.</w:t>
      </w:r>
      <w:r w:rsidR="007A5653">
        <w:t xml:space="preserve"> </w:t>
      </w:r>
      <w:r w:rsidR="005A0965">
        <w:t>Jeg har forudsat</w:t>
      </w:r>
      <w:r w:rsidR="00FE2A61">
        <w:t>,</w:t>
      </w:r>
      <w:r w:rsidR="005A0965">
        <w:t xml:space="preserve"> at hele bestyrelsen i DS går af, og at der ikke umiddelbart er plads til flere i den nuværende bestyrelse i den Jyske, der pt. består af 13 personer. Derudover består deres nuværende repræsentantskab af 109 medlemmer</w:t>
      </w:r>
      <w:r w:rsidR="00EC7B88">
        <w:t>, men må jf. deres vedtægter være op til 120 medlemmer</w:t>
      </w:r>
      <w:r w:rsidR="005A0965">
        <w:t>.</w:t>
      </w:r>
      <w:r w:rsidR="00EC7B88">
        <w:t xml:space="preserve"> Derfor kan man godt overveje</w:t>
      </w:r>
      <w:r w:rsidR="00FE2A61">
        <w:t>,</w:t>
      </w:r>
      <w:r w:rsidR="00EC7B88">
        <w:t xml:space="preserve"> at et par stykker fra DS repræsentantskab komme med i repræsentantskabet</w:t>
      </w:r>
      <w:r w:rsidR="00F0108F">
        <w:t xml:space="preserve"> i den Jyske</w:t>
      </w:r>
      <w:r w:rsidR="00EC7B88">
        <w:t>. Det kan også gøre, at kunderne i det gamle DS fortsat føler, at der</w:t>
      </w:r>
      <w:r w:rsidR="005A0965">
        <w:t xml:space="preserve"> </w:t>
      </w:r>
      <w:r w:rsidR="00EC7B88">
        <w:t xml:space="preserve">også tages hensyn </w:t>
      </w:r>
      <w:r w:rsidR="00FC5B67">
        <w:t>til</w:t>
      </w:r>
      <w:r w:rsidR="00F0108F">
        <w:t>,</w:t>
      </w:r>
      <w:r w:rsidR="00FC5B67">
        <w:t xml:space="preserve"> og tænkes på </w:t>
      </w:r>
      <w:r w:rsidR="00EC7B88">
        <w:t xml:space="preserve">dem. </w:t>
      </w:r>
    </w:p>
    <w:p w:rsidR="005A0965" w:rsidRDefault="005A0965" w:rsidP="00A87E88"/>
    <w:p w:rsidR="00FF10F9" w:rsidRDefault="00FE2A61" w:rsidP="00A87E88">
      <w:r>
        <w:lastRenderedPageBreak/>
        <w:t>Jeg har vurderet, at der</w:t>
      </w:r>
      <w:r w:rsidR="00FF10F9">
        <w:t xml:space="preserve"> ikke umiddelbart er mere at hente </w:t>
      </w:r>
      <w:r w:rsidR="00C63EEE">
        <w:t>på</w:t>
      </w:r>
      <w:r w:rsidR="00CA2650">
        <w:t xml:space="preserve"> lønomkostninger</w:t>
      </w:r>
      <w:r w:rsidR="00C63EEE">
        <w:t>ne</w:t>
      </w:r>
      <w:r w:rsidR="00CA2650">
        <w:t xml:space="preserve"> i første omgang. Dog vil jeg anbefale, at man i den nærmeste fremtid bør få set på organisationen igen, </w:t>
      </w:r>
      <w:r w:rsidR="00BA5DB3">
        <w:t xml:space="preserve">for at se om man kan optimere yderligere. </w:t>
      </w:r>
      <w:r w:rsidR="00282794">
        <w:t xml:space="preserve">Efter 4 fusioner/sammenlægninger på 2 år vil der være ting, som de </w:t>
      </w:r>
      <w:r w:rsidR="00C63EEE">
        <w:t>forbedre, når de har fået organisationen på plads.</w:t>
      </w:r>
    </w:p>
    <w:p w:rsidR="00CA2650" w:rsidRDefault="00CA2650" w:rsidP="00CA2650"/>
    <w:p w:rsidR="00564CDA" w:rsidRDefault="00564CDA" w:rsidP="00A87E88">
      <w:r>
        <w:t xml:space="preserve">Begge pengeinstitutter anvender SDC, som deres datacentral. Derfor vil de alt andet lige kunne spare en del tid og penge, når data skal samles ved fusionen. Derudover kan man </w:t>
      </w:r>
      <w:r w:rsidR="00253B8A">
        <w:t>også undgå tab af data</w:t>
      </w:r>
      <w:r w:rsidR="00C63EEE">
        <w:t>.</w:t>
      </w:r>
    </w:p>
    <w:p w:rsidR="00833CB2" w:rsidRDefault="00564CDA" w:rsidP="00833CB2">
      <w:r>
        <w:t xml:space="preserve">IT udgifterne udgør en væsentlig post i ”administrationsomkostninger”, men da der ikke skal afskediges så mange mennesker, og en del funktioner blot samles må det antages, at posten til dette ikke umiddelbart er så stor. Jeg har antaget, at de årligt kan spare </w:t>
      </w:r>
      <w:proofErr w:type="spellStart"/>
      <w:r>
        <w:t>tkr</w:t>
      </w:r>
      <w:proofErr w:type="spellEnd"/>
      <w:r>
        <w:t>. 2.</w:t>
      </w:r>
      <w:r w:rsidR="006A47C3">
        <w:t>000</w:t>
      </w:r>
      <w:r w:rsidR="00C63EEE">
        <w:t>, og derfor primært vil bestå i færre terminaler, som skal have adgang til SDC’s systemer</w:t>
      </w:r>
      <w:r w:rsidR="006A47C3">
        <w:t>.</w:t>
      </w:r>
    </w:p>
    <w:p w:rsidR="00A95343" w:rsidRDefault="00A95343" w:rsidP="00833CB2"/>
    <w:p w:rsidR="00A95343" w:rsidRDefault="00A95343" w:rsidP="00833CB2">
      <w:r>
        <w:t>I forbindelse med fusionen vil der komme engangsudgifter, som ikke kan undgås. Derved er det langt fra sikkert, at der vil komme et positivt resultat det første år efter en fusion.</w:t>
      </w:r>
    </w:p>
    <w:p w:rsidR="001918D0" w:rsidRDefault="00A95343" w:rsidP="00833CB2">
      <w:r>
        <w:t>Der vil komme udgifter til opsigelse af medarbejd</w:t>
      </w:r>
      <w:r w:rsidR="00D74F15">
        <w:t>e</w:t>
      </w:r>
      <w:r>
        <w:t>re, eksterne konsulenter, advokater, revisorer osv.</w:t>
      </w:r>
    </w:p>
    <w:p w:rsidR="001918D0" w:rsidRDefault="001918D0" w:rsidP="00833CB2"/>
    <w:p w:rsidR="00A95343" w:rsidRDefault="00A95343" w:rsidP="00833CB2">
      <w:r>
        <w:t xml:space="preserve">I nedenstående </w:t>
      </w:r>
      <w:r w:rsidR="00A25869">
        <w:t>tabel</w:t>
      </w:r>
      <w:r>
        <w:t xml:space="preserve"> ses opgørelse over ovenstående. </w:t>
      </w:r>
      <w:r w:rsidR="006A47C3">
        <w:t xml:space="preserve">Tal markeret med * er anslået, </w:t>
      </w:r>
      <w:r w:rsidR="00926E44">
        <w:t xml:space="preserve">mens </w:t>
      </w:r>
      <w:r w:rsidR="006A47C3">
        <w:t>de øvrige er beregnet jf. Årsrapporter fra Den Jyske og DS fra 2012</w:t>
      </w:r>
      <w:r>
        <w:t>:</w:t>
      </w:r>
    </w:p>
    <w:tbl>
      <w:tblPr>
        <w:tblW w:w="5351" w:type="dxa"/>
        <w:tblInd w:w="50" w:type="dxa"/>
        <w:tblCellMar>
          <w:left w:w="70" w:type="dxa"/>
          <w:right w:w="70" w:type="dxa"/>
        </w:tblCellMar>
        <w:tblLook w:val="04A0" w:firstRow="1" w:lastRow="0" w:firstColumn="1" w:lastColumn="0" w:noHBand="0" w:noVBand="1"/>
      </w:tblPr>
      <w:tblGrid>
        <w:gridCol w:w="4131"/>
        <w:gridCol w:w="960"/>
        <w:gridCol w:w="260"/>
      </w:tblGrid>
      <w:tr w:rsidR="00926E44" w:rsidRPr="00F65A5F" w:rsidTr="00926E44">
        <w:trPr>
          <w:trHeight w:val="300"/>
        </w:trPr>
        <w:tc>
          <w:tcPr>
            <w:tcW w:w="413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26E44" w:rsidRPr="00F65A5F" w:rsidRDefault="00926E44" w:rsidP="00926E44">
            <w:pPr>
              <w:spacing w:line="240" w:lineRule="auto"/>
              <w:jc w:val="left"/>
              <w:rPr>
                <w:b/>
                <w:bCs/>
                <w:color w:val="000000"/>
              </w:rPr>
            </w:pPr>
            <w:r w:rsidRPr="00F65A5F">
              <w:rPr>
                <w:b/>
                <w:bCs/>
                <w:color w:val="000000"/>
              </w:rPr>
              <w:t>Gevinster</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26E44" w:rsidRPr="00F65A5F" w:rsidRDefault="00926E44" w:rsidP="00926E44">
            <w:pPr>
              <w:spacing w:line="240" w:lineRule="auto"/>
              <w:jc w:val="left"/>
              <w:rPr>
                <w:b/>
                <w:color w:val="000000"/>
              </w:rPr>
            </w:pPr>
            <w:proofErr w:type="spellStart"/>
            <w:r w:rsidRPr="00F65A5F">
              <w:rPr>
                <w:b/>
                <w:color w:val="000000"/>
              </w:rPr>
              <w:t>tkr</w:t>
            </w:r>
            <w:proofErr w:type="spellEnd"/>
            <w:r w:rsidRPr="00F65A5F">
              <w:rPr>
                <w:b/>
                <w:color w:val="000000"/>
              </w:rPr>
              <w:t xml:space="preserve">. </w:t>
            </w:r>
          </w:p>
        </w:tc>
        <w:tc>
          <w:tcPr>
            <w:tcW w:w="2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26E44" w:rsidRPr="00F65A5F" w:rsidRDefault="00926E44" w:rsidP="00926E44">
            <w:pPr>
              <w:spacing w:line="240" w:lineRule="auto"/>
              <w:jc w:val="left"/>
              <w:rPr>
                <w:b/>
                <w:color w:val="000000"/>
              </w:rPr>
            </w:pPr>
            <w:r w:rsidRPr="00F65A5F">
              <w:rPr>
                <w:b/>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5A5AC4" w:rsidP="00926E44">
            <w:pPr>
              <w:spacing w:line="240" w:lineRule="auto"/>
              <w:jc w:val="left"/>
              <w:rPr>
                <w:color w:val="000000"/>
              </w:rPr>
            </w:pPr>
            <w:r>
              <w:rPr>
                <w:color w:val="000000"/>
              </w:rPr>
              <w:t>Direktionsløn</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5A5AC4" w:rsidP="00926E44">
            <w:pPr>
              <w:spacing w:line="240" w:lineRule="auto"/>
              <w:jc w:val="right"/>
              <w:rPr>
                <w:color w:val="000000"/>
              </w:rPr>
            </w:pPr>
            <w:r>
              <w:rPr>
                <w:color w:val="000000"/>
              </w:rPr>
              <w:t>2</w:t>
            </w:r>
            <w:r w:rsidR="00926E44">
              <w:rPr>
                <w:color w:val="000000"/>
              </w:rPr>
              <w:t>.</w:t>
            </w:r>
            <w:r>
              <w:rPr>
                <w:color w:val="000000"/>
              </w:rPr>
              <w:t>559</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Bestyrelse</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right"/>
              <w:rPr>
                <w:color w:val="000000"/>
              </w:rPr>
            </w:pPr>
            <w:r w:rsidRPr="00926E44">
              <w:rPr>
                <w:color w:val="000000"/>
              </w:rPr>
              <w:t>564</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Revision</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right"/>
              <w:rPr>
                <w:color w:val="000000"/>
              </w:rPr>
            </w:pPr>
            <w:r w:rsidRPr="00926E44">
              <w:rPr>
                <w:color w:val="000000"/>
              </w:rPr>
              <w:t>678</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5A5AC4" w:rsidP="00926E44">
            <w:pPr>
              <w:spacing w:line="240" w:lineRule="auto"/>
              <w:jc w:val="left"/>
              <w:rPr>
                <w:color w:val="000000"/>
              </w:rPr>
            </w:pPr>
            <w:r>
              <w:rPr>
                <w:color w:val="000000"/>
              </w:rPr>
              <w:t>10</w:t>
            </w:r>
            <w:r w:rsidR="00926E44" w:rsidRPr="00926E44">
              <w:rPr>
                <w:color w:val="000000"/>
              </w:rPr>
              <w:t xml:space="preserve"> stk. medarbejdere</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5A5AC4" w:rsidP="00926E44">
            <w:pPr>
              <w:spacing w:line="240" w:lineRule="auto"/>
              <w:jc w:val="right"/>
              <w:rPr>
                <w:color w:val="000000"/>
              </w:rPr>
            </w:pPr>
            <w:r>
              <w:rPr>
                <w:color w:val="000000"/>
              </w:rPr>
              <w:t>5</w:t>
            </w:r>
            <w:r w:rsidR="00926E44">
              <w:rPr>
                <w:color w:val="000000"/>
              </w:rPr>
              <w:t>.</w:t>
            </w:r>
            <w:r>
              <w:rPr>
                <w:color w:val="000000"/>
              </w:rPr>
              <w:t>938</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IT</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right"/>
              <w:rPr>
                <w:color w:val="000000"/>
              </w:rPr>
            </w:pPr>
            <w:r w:rsidRPr="00926E44">
              <w:rPr>
                <w:color w:val="000000"/>
              </w:rPr>
              <w:t>2</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Anslået årlig gevinst</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35CAD" w:rsidP="00926E44">
            <w:pPr>
              <w:spacing w:line="240" w:lineRule="auto"/>
              <w:jc w:val="right"/>
              <w:rPr>
                <w:b/>
                <w:bCs/>
                <w:color w:val="000000"/>
              </w:rPr>
            </w:pPr>
            <w:r>
              <w:rPr>
                <w:b/>
                <w:bCs/>
                <w:color w:val="000000"/>
              </w:rPr>
              <w:t>9.741</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15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26E44" w:rsidRPr="00926E44" w:rsidRDefault="00926E44" w:rsidP="00926E44">
            <w:pPr>
              <w:spacing w:line="240" w:lineRule="auto"/>
              <w:jc w:val="left"/>
              <w:rPr>
                <w:b/>
                <w:bCs/>
                <w:color w:val="000000"/>
              </w:rPr>
            </w:pPr>
            <w:r w:rsidRPr="00926E44">
              <w:rPr>
                <w:b/>
                <w:bCs/>
                <w:color w:val="000000"/>
              </w:rPr>
              <w:t>Engangsudgifter</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926E44" w:rsidRPr="00926E44" w:rsidRDefault="00926E44" w:rsidP="00926E44">
            <w:pPr>
              <w:spacing w:line="240" w:lineRule="auto"/>
              <w:jc w:val="left"/>
              <w:rPr>
                <w:color w:val="000000"/>
              </w:rPr>
            </w:pPr>
            <w:r w:rsidRPr="00926E44">
              <w:rPr>
                <w:color w:val="000000"/>
              </w:rPr>
              <w:t> </w:t>
            </w:r>
          </w:p>
        </w:tc>
        <w:tc>
          <w:tcPr>
            <w:tcW w:w="260" w:type="dxa"/>
            <w:tcBorders>
              <w:top w:val="nil"/>
              <w:left w:val="nil"/>
              <w:bottom w:val="single" w:sz="4" w:space="0" w:color="auto"/>
              <w:right w:val="single" w:sz="4" w:space="0" w:color="auto"/>
            </w:tcBorders>
            <w:shd w:val="clear" w:color="auto" w:fill="C6D9F1" w:themeFill="text2" w:themeFillTint="33"/>
            <w:noWrap/>
            <w:vAlign w:val="bottom"/>
            <w:hideMark/>
          </w:tcPr>
          <w:p w:rsidR="00926E44" w:rsidRPr="00926E44" w:rsidRDefault="00926E44" w:rsidP="00926E44">
            <w:pPr>
              <w:spacing w:line="240" w:lineRule="auto"/>
              <w:jc w:val="left"/>
              <w:rPr>
                <w:color w:val="000000"/>
              </w:rPr>
            </w:pPr>
            <w:r w:rsidRPr="00926E44">
              <w:rPr>
                <w:color w:val="000000"/>
              </w:rPr>
              <w:t> </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5A5AC4" w:rsidP="00926E44">
            <w:pPr>
              <w:spacing w:line="240" w:lineRule="auto"/>
              <w:jc w:val="left"/>
              <w:rPr>
                <w:color w:val="000000"/>
              </w:rPr>
            </w:pPr>
            <w:r>
              <w:rPr>
                <w:color w:val="000000"/>
              </w:rPr>
              <w:t>Opsigelse af 10</w:t>
            </w:r>
            <w:r w:rsidR="00926E44" w:rsidRPr="00926E44">
              <w:rPr>
                <w:color w:val="000000"/>
              </w:rPr>
              <w:t xml:space="preserve"> stk. medarbejdere</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35CAD" w:rsidP="00926E44">
            <w:pPr>
              <w:spacing w:line="240" w:lineRule="auto"/>
              <w:jc w:val="right"/>
              <w:rPr>
                <w:color w:val="000000"/>
              </w:rPr>
            </w:pPr>
            <w:r>
              <w:rPr>
                <w:color w:val="000000"/>
              </w:rPr>
              <w:t>2.277</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Advokat, revisor, konsulenter mv.</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right"/>
              <w:rPr>
                <w:color w:val="000000"/>
              </w:rPr>
            </w:pPr>
            <w:r w:rsidRPr="00926E44">
              <w:rPr>
                <w:color w:val="000000"/>
              </w:rPr>
              <w:t>3</w:t>
            </w:r>
            <w:r>
              <w:rPr>
                <w:color w:val="000000"/>
              </w:rPr>
              <w:t>.</w:t>
            </w:r>
            <w:r w:rsidRPr="00926E44">
              <w:rPr>
                <w:color w:val="000000"/>
              </w:rPr>
              <w:t>000</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w:t>
            </w:r>
          </w:p>
        </w:tc>
      </w:tr>
      <w:tr w:rsidR="00D74F15"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D74F15" w:rsidRPr="00926E44" w:rsidRDefault="005A5AC4" w:rsidP="00926E44">
            <w:pPr>
              <w:spacing w:line="240" w:lineRule="auto"/>
              <w:jc w:val="left"/>
              <w:rPr>
                <w:color w:val="000000"/>
              </w:rPr>
            </w:pPr>
            <w:r>
              <w:rPr>
                <w:color w:val="000000"/>
              </w:rPr>
              <w:t xml:space="preserve">Opsigelse af 1 direktør </w:t>
            </w:r>
          </w:p>
        </w:tc>
        <w:tc>
          <w:tcPr>
            <w:tcW w:w="960" w:type="dxa"/>
            <w:tcBorders>
              <w:top w:val="nil"/>
              <w:left w:val="nil"/>
              <w:bottom w:val="single" w:sz="4" w:space="0" w:color="auto"/>
              <w:right w:val="single" w:sz="4" w:space="0" w:color="auto"/>
            </w:tcBorders>
            <w:shd w:val="clear" w:color="auto" w:fill="auto"/>
            <w:noWrap/>
            <w:vAlign w:val="bottom"/>
            <w:hideMark/>
          </w:tcPr>
          <w:p w:rsidR="00D74F15" w:rsidRPr="00926E44" w:rsidRDefault="00935CAD" w:rsidP="00926E44">
            <w:pPr>
              <w:spacing w:line="240" w:lineRule="auto"/>
              <w:jc w:val="right"/>
              <w:rPr>
                <w:color w:val="000000"/>
              </w:rPr>
            </w:pPr>
            <w:r>
              <w:rPr>
                <w:color w:val="000000"/>
              </w:rPr>
              <w:t>1.800</w:t>
            </w:r>
          </w:p>
        </w:tc>
        <w:tc>
          <w:tcPr>
            <w:tcW w:w="260" w:type="dxa"/>
            <w:tcBorders>
              <w:top w:val="nil"/>
              <w:left w:val="nil"/>
              <w:bottom w:val="single" w:sz="4" w:space="0" w:color="auto"/>
              <w:right w:val="single" w:sz="4" w:space="0" w:color="auto"/>
            </w:tcBorders>
            <w:shd w:val="clear" w:color="auto" w:fill="auto"/>
            <w:noWrap/>
            <w:vAlign w:val="bottom"/>
            <w:hideMark/>
          </w:tcPr>
          <w:p w:rsidR="00D74F15" w:rsidRPr="00926E44" w:rsidRDefault="00935CAD" w:rsidP="00926E44">
            <w:pPr>
              <w:spacing w:line="240" w:lineRule="auto"/>
              <w:jc w:val="left"/>
              <w:rPr>
                <w:color w:val="000000"/>
              </w:rPr>
            </w:pPr>
            <w:r>
              <w:rPr>
                <w:color w:val="000000"/>
              </w:rPr>
              <w:t>*</w:t>
            </w:r>
          </w:p>
        </w:tc>
      </w:tr>
      <w:tr w:rsidR="00926E44" w:rsidRPr="00926E44" w:rsidTr="00926E44">
        <w:trPr>
          <w:trHeight w:val="300"/>
        </w:trPr>
        <w:tc>
          <w:tcPr>
            <w:tcW w:w="4131" w:type="dxa"/>
            <w:tcBorders>
              <w:top w:val="nil"/>
              <w:left w:val="single" w:sz="4" w:space="0" w:color="auto"/>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Engangsudgifter i alt</w:t>
            </w:r>
          </w:p>
        </w:tc>
        <w:tc>
          <w:tcPr>
            <w:tcW w:w="960" w:type="dxa"/>
            <w:tcBorders>
              <w:top w:val="nil"/>
              <w:left w:val="nil"/>
              <w:bottom w:val="single" w:sz="4" w:space="0" w:color="auto"/>
              <w:right w:val="single" w:sz="4" w:space="0" w:color="auto"/>
            </w:tcBorders>
            <w:shd w:val="clear" w:color="auto" w:fill="auto"/>
            <w:noWrap/>
            <w:vAlign w:val="bottom"/>
            <w:hideMark/>
          </w:tcPr>
          <w:p w:rsidR="00926E44" w:rsidRPr="00926E44" w:rsidRDefault="00935CAD" w:rsidP="004241D7">
            <w:pPr>
              <w:spacing w:line="240" w:lineRule="auto"/>
              <w:jc w:val="right"/>
              <w:rPr>
                <w:b/>
                <w:bCs/>
                <w:color w:val="000000"/>
              </w:rPr>
            </w:pPr>
            <w:r>
              <w:rPr>
                <w:b/>
                <w:bCs/>
                <w:color w:val="000000"/>
              </w:rPr>
              <w:t>7.07</w:t>
            </w:r>
            <w:r w:rsidR="004241D7">
              <w:rPr>
                <w:b/>
                <w:bCs/>
                <w:color w:val="000000"/>
              </w:rPr>
              <w:t>7</w:t>
            </w:r>
          </w:p>
        </w:tc>
        <w:tc>
          <w:tcPr>
            <w:tcW w:w="260" w:type="dxa"/>
            <w:tcBorders>
              <w:top w:val="nil"/>
              <w:left w:val="nil"/>
              <w:bottom w:val="single" w:sz="4" w:space="0" w:color="auto"/>
              <w:right w:val="single" w:sz="4" w:space="0" w:color="auto"/>
            </w:tcBorders>
            <w:shd w:val="clear" w:color="auto" w:fill="auto"/>
            <w:noWrap/>
            <w:vAlign w:val="bottom"/>
            <w:hideMark/>
          </w:tcPr>
          <w:p w:rsidR="00926E44" w:rsidRPr="00926E44" w:rsidRDefault="00926E44" w:rsidP="00926E44">
            <w:pPr>
              <w:spacing w:line="240" w:lineRule="auto"/>
              <w:jc w:val="left"/>
              <w:rPr>
                <w:color w:val="000000"/>
              </w:rPr>
            </w:pPr>
            <w:r w:rsidRPr="00926E44">
              <w:rPr>
                <w:color w:val="000000"/>
              </w:rPr>
              <w:t> </w:t>
            </w:r>
          </w:p>
        </w:tc>
      </w:tr>
    </w:tbl>
    <w:p w:rsidR="00826C03" w:rsidRPr="009259C7" w:rsidRDefault="00826C03" w:rsidP="00826C03">
      <w:pPr>
        <w:spacing w:line="240" w:lineRule="auto"/>
        <w:rPr>
          <w:i/>
          <w:sz w:val="20"/>
        </w:rPr>
      </w:pPr>
      <w:r>
        <w:rPr>
          <w:sz w:val="20"/>
        </w:rPr>
        <w:t xml:space="preserve">Tabel 16: Rationaliseringsgevinster og engangsudgifter. </w:t>
      </w:r>
      <w:r>
        <w:rPr>
          <w:i/>
          <w:sz w:val="20"/>
        </w:rPr>
        <w:t>Kilde: Egne udregninger, se bilag F.</w:t>
      </w:r>
    </w:p>
    <w:p w:rsidR="00926E44" w:rsidRDefault="00926E44" w:rsidP="00833CB2"/>
    <w:p w:rsidR="005B1F33" w:rsidRPr="00253B8A" w:rsidRDefault="00926E44" w:rsidP="00253B8A">
      <w:r>
        <w:t xml:space="preserve">Det ses i ovenstående figur, at de samlet set det første år vil kunne rationalisere sig for i alt </w:t>
      </w:r>
      <w:proofErr w:type="spellStart"/>
      <w:r>
        <w:t>tkr</w:t>
      </w:r>
      <w:proofErr w:type="spellEnd"/>
      <w:r>
        <w:t xml:space="preserve">. </w:t>
      </w:r>
      <w:r w:rsidR="00935CAD">
        <w:t>2.664</w:t>
      </w:r>
      <w:r>
        <w:t xml:space="preserve"> og derved </w:t>
      </w:r>
      <w:proofErr w:type="gramStart"/>
      <w:r>
        <w:t>forbedre</w:t>
      </w:r>
      <w:proofErr w:type="gramEnd"/>
      <w:r>
        <w:t xml:space="preserve"> sit resultat allerede det første år.</w:t>
      </w:r>
    </w:p>
    <w:p w:rsidR="00833CB2" w:rsidRDefault="00833CB2" w:rsidP="00833CB2">
      <w:pPr>
        <w:pStyle w:val="Overskrift2"/>
        <w:numPr>
          <w:ilvl w:val="1"/>
          <w:numId w:val="26"/>
        </w:numPr>
      </w:pPr>
      <w:bookmarkStart w:id="168" w:name="_Toc354517441"/>
      <w:r>
        <w:lastRenderedPageBreak/>
        <w:t>Risici ved fusion</w:t>
      </w:r>
      <w:bookmarkEnd w:id="168"/>
    </w:p>
    <w:p w:rsidR="00E9364E" w:rsidRDefault="00FE2A61" w:rsidP="00E9364E">
      <w:r>
        <w:t xml:space="preserve">Som tidligere nævnt </w:t>
      </w:r>
      <w:r w:rsidR="00C63EEE">
        <w:t xml:space="preserve">i afsnit 3.1.2 </w:t>
      </w:r>
      <w:r>
        <w:t xml:space="preserve">findes der forskellige former for risici i et pengeinstitut. </w:t>
      </w:r>
      <w:r w:rsidR="00E95354">
        <w:t>Den største er risikoen</w:t>
      </w:r>
      <w:r w:rsidR="00C63EEE">
        <w:t xml:space="preserve"> på udlån</w:t>
      </w:r>
      <w:r w:rsidR="00E95354">
        <w:t xml:space="preserve">, der er risikabel, hvis </w:t>
      </w:r>
      <w:r w:rsidR="00C63EEE">
        <w:t xml:space="preserve">pengeinstituttet </w:t>
      </w:r>
      <w:r w:rsidR="00E95354">
        <w:t>ikke får de penge igen, de udlåner</w:t>
      </w:r>
      <w:r w:rsidR="003F317E">
        <w:t>. Kreditrisikoen dækker over udlån, kreditter og garantier, som pengeinstituttet har ydet</w:t>
      </w:r>
      <w:r w:rsidR="00E9364E">
        <w:t xml:space="preserve">. </w:t>
      </w:r>
    </w:p>
    <w:p w:rsidR="00612802" w:rsidRDefault="00E9364E" w:rsidP="00E9364E">
      <w:r>
        <w:t xml:space="preserve">Derudover findes der markeds-, operationelle og øvrige risici. </w:t>
      </w:r>
      <w:r w:rsidR="00612802">
        <w:t xml:space="preserve">Markedsrisikoen er den risiko, der er forbundet med obligationer, aktier, valuta og finansielle instrumenter (derivater) som mellemværende med andre pengeinstitutter. </w:t>
      </w:r>
    </w:p>
    <w:p w:rsidR="00872DBE" w:rsidRDefault="00612802" w:rsidP="00E9364E">
      <w:r>
        <w:t xml:space="preserve">De operationelle risici udgør tab som følge af uhensigtsmæssige og mangelfulde interne procedurer, menneskelige fejl, systemfejl, tab på retssager, fejl hos leverandører/partnere. Derudover udgør de også </w:t>
      </w:r>
      <w:r w:rsidR="00872DBE">
        <w:t>pengeinstituttets risikostyringsmetoder.</w:t>
      </w:r>
    </w:p>
    <w:p w:rsidR="00872DBE" w:rsidRDefault="00872DBE" w:rsidP="00E9364E">
      <w:r>
        <w:t>Sidst har vi de øvrige risici, som udgør ry og rygte på baggrund af kundeklager, fejlagtige informationer, mediernes påvirkning, forkert markedsføringsmateriale mv.</w:t>
      </w:r>
    </w:p>
    <w:p w:rsidR="00872DBE" w:rsidRDefault="00872DBE" w:rsidP="00E9364E"/>
    <w:p w:rsidR="00290CCE" w:rsidRDefault="00872DBE" w:rsidP="00E9364E">
      <w:r>
        <w:t xml:space="preserve">Ved en fusion øges nogle af ovenstående risici. </w:t>
      </w:r>
      <w:r w:rsidR="00EB4FFF">
        <w:t>Hvis vi ser på kredi</w:t>
      </w:r>
      <w:r w:rsidR="00F44098">
        <w:t>t</w:t>
      </w:r>
      <w:r w:rsidR="00EB4FFF">
        <w:t xml:space="preserve">risikoen vil denne alt andet lige øges, da </w:t>
      </w:r>
      <w:r w:rsidR="00253B8A">
        <w:t>D</w:t>
      </w:r>
      <w:r w:rsidR="00E95354">
        <w:t xml:space="preserve">en Jyske </w:t>
      </w:r>
      <w:r w:rsidR="00EB4FFF">
        <w:t xml:space="preserve">ikke kender hele DS portefølje. </w:t>
      </w:r>
      <w:r w:rsidR="00F44098">
        <w:t xml:space="preserve">Kreditpolitikken vil højst sandsynlig heller </w:t>
      </w:r>
      <w:r w:rsidR="00253B8A">
        <w:t>ikke være helt den samme som i D</w:t>
      </w:r>
      <w:r w:rsidR="00F44098">
        <w:t>en Jyske, hvorfor kunder kan komme til at opleve, at deres engagement nu bliver set på med andre øjne. Kunder kan komme til at opleve, at der vil blive stillet andre og/eller flere krav.</w:t>
      </w:r>
      <w:r w:rsidR="00EB4FFF">
        <w:t xml:space="preserve"> </w:t>
      </w:r>
      <w:r w:rsidR="00612802">
        <w:t xml:space="preserve">  </w:t>
      </w:r>
    </w:p>
    <w:p w:rsidR="00F44098" w:rsidRDefault="00F44098" w:rsidP="00E9364E"/>
    <w:p w:rsidR="00F44098" w:rsidRDefault="00253B8A" w:rsidP="00E9364E">
      <w:r>
        <w:t>Fusionen kan også medføre, at D</w:t>
      </w:r>
      <w:r w:rsidR="00E95354">
        <w:t xml:space="preserve">en Jyskes </w:t>
      </w:r>
      <w:r w:rsidR="00F44098">
        <w:t>nedskrivninger forøges yderligere. Selvom Den Jyske inden fusionen havde en højere nedskrivningsprocent end DS kan det udover en ringe kreditmæss</w:t>
      </w:r>
      <w:r>
        <w:t>ig portefølje også skyldes, at D</w:t>
      </w:r>
      <w:r w:rsidR="00F44098">
        <w:t xml:space="preserve">en Jyske hurtigere har nedskrevet på deres udlån. </w:t>
      </w:r>
    </w:p>
    <w:p w:rsidR="00F44098" w:rsidRDefault="00F44098" w:rsidP="00E9364E"/>
    <w:p w:rsidR="00F44098" w:rsidRDefault="00F44098" w:rsidP="00E9364E">
      <w:r>
        <w:t>Markedsrisikoen vil umiddelbart ikk</w:t>
      </w:r>
      <w:r w:rsidR="00253B8A">
        <w:t>e blive væsentligt ringere, da D</w:t>
      </w:r>
      <w:r>
        <w:t>en Jyske fortsat selv vil afdække disse med diverse finansielle instrumenter. Dog vil man højst sa</w:t>
      </w:r>
      <w:r w:rsidR="00CD7C9D">
        <w:t xml:space="preserve">ndsynligt øge </w:t>
      </w:r>
      <w:proofErr w:type="spellStart"/>
      <w:r w:rsidR="00CD7C9D">
        <w:t>egenbeholdningen</w:t>
      </w:r>
      <w:proofErr w:type="spellEnd"/>
      <w:r w:rsidR="00CD7C9D">
        <w:t>,</w:t>
      </w:r>
      <w:r>
        <w:t xml:space="preserve"> herved risikorammen</w:t>
      </w:r>
      <w:r w:rsidR="00CD7C9D">
        <w:t>,</w:t>
      </w:r>
      <w:r w:rsidR="003922DA">
        <w:t xml:space="preserve"> af aktier og obligationer, således at man fortsat kan servicerer kunder og afdække deres behov. </w:t>
      </w:r>
    </w:p>
    <w:p w:rsidR="00477D8B" w:rsidRDefault="00477D8B" w:rsidP="00E9364E"/>
    <w:p w:rsidR="00CD6067" w:rsidRDefault="00477D8B" w:rsidP="00E9364E">
      <w:r>
        <w:t xml:space="preserve">De operationelle risici vil ved fusionen primært være hos medarbejderne, som kan være mere eller mindre berørte af en fusion. </w:t>
      </w:r>
    </w:p>
    <w:p w:rsidR="00CD7C9D" w:rsidRDefault="00477D8B" w:rsidP="00E9364E">
      <w:r>
        <w:t xml:space="preserve">Det vurderes, at det som udgangspunkt </w:t>
      </w:r>
      <w:r w:rsidR="00CD7C9D">
        <w:t>primært</w:t>
      </w:r>
      <w:r>
        <w:t xml:space="preserve"> udgør medarbejderne i DS, da det er dem, som skal vænne sig til en ny </w:t>
      </w:r>
      <w:r w:rsidR="00CD6067">
        <w:t>kultur og organisation</w:t>
      </w:r>
      <w:r>
        <w:t>.</w:t>
      </w:r>
      <w:r w:rsidR="00CD7C9D">
        <w:t xml:space="preserve"> Derudover vil de som skal fyres ikke </w:t>
      </w:r>
      <w:r w:rsidR="00CD7C9D">
        <w:lastRenderedPageBreak/>
        <w:t>nødvendigvis komme fra DS, og vil derved også påvirke medarbejderne i den Jyske. Både de kollegaer, som bliver fyret, men også de som er tilbage.</w:t>
      </w:r>
    </w:p>
    <w:p w:rsidR="00CD7C9D" w:rsidRDefault="00CD7C9D" w:rsidP="00E9364E"/>
    <w:p w:rsidR="00477D8B" w:rsidRDefault="00477D8B" w:rsidP="00E9364E">
      <w:r>
        <w:t xml:space="preserve">Selvom </w:t>
      </w:r>
      <w:r w:rsidR="00CD6067">
        <w:t>medarbejderne</w:t>
      </w:r>
      <w:r>
        <w:t xml:space="preserve"> fortsat vil v</w:t>
      </w:r>
      <w:r w:rsidR="00FF548F">
        <w:t>ære i deres vante rammer kan der</w:t>
      </w:r>
      <w:r>
        <w:t xml:space="preserve"> komme mange spørgsmål og bekymringer om </w:t>
      </w:r>
      <w:r w:rsidR="00FF548F">
        <w:t>fremtiden</w:t>
      </w:r>
      <w:r>
        <w:t xml:space="preserve">, som kan gøre det svært at holde koncentrationen og være så effektive som normalt. </w:t>
      </w:r>
      <w:r w:rsidR="003C11E4">
        <w:t>Manglende koncentration og effektivitet</w:t>
      </w:r>
      <w:r w:rsidR="00CD6067">
        <w:t xml:space="preserve"> kan komme til at koste fejl, og de operationelle risici vil stige.</w:t>
      </w:r>
    </w:p>
    <w:p w:rsidR="00225167" w:rsidRPr="00253B8A" w:rsidRDefault="00477D8B" w:rsidP="00253B8A">
      <w:r>
        <w:t>På det mere menneskelige plan kan medarbejderne også føle sig så usikre og ineffektive</w:t>
      </w:r>
      <w:r w:rsidR="003C11E4">
        <w:t>,</w:t>
      </w:r>
      <w:r>
        <w:t xml:space="preserve"> at det i værste tilfælde fører til stress. Udover, at det går ud over den enkelte medarbejder, så kommer det også til at påvirke </w:t>
      </w:r>
      <w:r w:rsidR="00CD6067">
        <w:t>de resterende medarbejdere</w:t>
      </w:r>
      <w:r>
        <w:t xml:space="preserve">, hvis de får en sygemelding og mangler en medarbejder. </w:t>
      </w:r>
    </w:p>
    <w:p w:rsidR="006A30C8" w:rsidRDefault="006A30C8">
      <w:pPr>
        <w:spacing w:line="240" w:lineRule="auto"/>
        <w:jc w:val="left"/>
        <w:rPr>
          <w:rFonts w:ascii="Verdana" w:eastAsiaTheme="majorEastAsia" w:hAnsi="Verdana" w:cstheme="majorBidi"/>
          <w:b/>
          <w:bCs/>
          <w:kern w:val="32"/>
          <w:sz w:val="28"/>
          <w:szCs w:val="32"/>
        </w:rPr>
      </w:pPr>
    </w:p>
    <w:p w:rsidR="00F41270" w:rsidRDefault="007A419F" w:rsidP="00F41270">
      <w:pPr>
        <w:pStyle w:val="Overskrift1"/>
        <w:numPr>
          <w:ilvl w:val="0"/>
          <w:numId w:val="10"/>
        </w:numPr>
      </w:pPr>
      <w:bookmarkStart w:id="169" w:name="_Toc354517442"/>
      <w:r>
        <w:t>Rentabilitet efter fusion</w:t>
      </w:r>
      <w:bookmarkEnd w:id="169"/>
    </w:p>
    <w:p w:rsidR="00F41270" w:rsidRDefault="00F41270" w:rsidP="00F41270">
      <w:r>
        <w:t xml:space="preserve">I nedenstående afsnit vil nøgletallene for fusionssparekassen blive beregnet og gennemgået. Derudover vil jeg </w:t>
      </w:r>
      <w:r w:rsidR="006E7FF6">
        <w:t xml:space="preserve">kommentere og konkludere </w:t>
      </w:r>
      <w:r>
        <w:t xml:space="preserve">på, hvordan de nye tal vil se ud. </w:t>
      </w:r>
    </w:p>
    <w:p w:rsidR="00F65A5F" w:rsidRDefault="00F65A5F" w:rsidP="00F41270"/>
    <w:p w:rsidR="007A419F" w:rsidRDefault="004C3F00" w:rsidP="004C3F00">
      <w:pPr>
        <w:pStyle w:val="Overskrift2"/>
        <w:numPr>
          <w:ilvl w:val="1"/>
          <w:numId w:val="10"/>
        </w:numPr>
      </w:pPr>
      <w:bookmarkStart w:id="170" w:name="_Toc354517443"/>
      <w:r>
        <w:t>Proforma resultatopgørelse og balance</w:t>
      </w:r>
      <w:bookmarkEnd w:id="170"/>
    </w:p>
    <w:p w:rsidR="004675C8" w:rsidRDefault="00C663EC" w:rsidP="00C663EC">
      <w:r>
        <w:t xml:space="preserve">I nedenstående tabel ses de nye nøgletal for </w:t>
      </w:r>
      <w:r w:rsidR="007C1AF7">
        <w:t xml:space="preserve">den </w:t>
      </w:r>
      <w:r>
        <w:t>Jyske, som h</w:t>
      </w:r>
      <w:r w:rsidR="0066793F">
        <w:t>ar overtaget DS.</w:t>
      </w:r>
    </w:p>
    <w:p w:rsidR="0066793F" w:rsidRDefault="0066793F" w:rsidP="00C663EC">
      <w:r>
        <w:t xml:space="preserve"> </w:t>
      </w:r>
    </w:p>
    <w:p w:rsidR="00C663EC" w:rsidRDefault="0066793F" w:rsidP="00C663EC">
      <w:r>
        <w:t>Det ses, at de</w:t>
      </w:r>
      <w:r w:rsidR="00C663EC">
        <w:t xml:space="preserve"> formår at skabe et bedre resultat såfremt, at der alene tages udgangspunkt i rationaliseringsgevinsten og engangsgevinsten, og der ikke tages højde for f.eks. goodwill, øvrige ændringer i balancen, og omkostninger i øvrigt ved en fusion.</w:t>
      </w:r>
      <w:r>
        <w:t xml:space="preserve"> Det antages endvidere, at de performer som i 2012, og der er derfor ikke taget højde for, hvorledes kunder, garanter mv. reagerer overfor en fusion. </w:t>
      </w:r>
    </w:p>
    <w:p w:rsidR="0066793F" w:rsidRDefault="0066793F" w:rsidP="00C663EC"/>
    <w:p w:rsidR="00253B8A" w:rsidRDefault="00253B8A">
      <w:pPr>
        <w:spacing w:line="240" w:lineRule="auto"/>
        <w:jc w:val="left"/>
      </w:pPr>
      <w:r>
        <w:br w:type="page"/>
      </w:r>
    </w:p>
    <w:p w:rsidR="0066793F" w:rsidRDefault="0066793F" w:rsidP="00C663EC">
      <w:r>
        <w:lastRenderedPageBreak/>
        <w:t xml:space="preserve">Den Jyske formår at forbedre sit årsresultat svarende til rationaliseringsgevinsten på </w:t>
      </w:r>
      <w:proofErr w:type="spellStart"/>
      <w:r>
        <w:t>tkr</w:t>
      </w:r>
      <w:proofErr w:type="spellEnd"/>
      <w:r>
        <w:t xml:space="preserve">. </w:t>
      </w:r>
      <w:r w:rsidR="004241D7">
        <w:t>2.664</w:t>
      </w:r>
      <w:r w:rsidR="00FA71FD">
        <w:t xml:space="preserve">. </w:t>
      </w:r>
    </w:p>
    <w:tbl>
      <w:tblPr>
        <w:tblW w:w="9096" w:type="dxa"/>
        <w:tblInd w:w="50" w:type="dxa"/>
        <w:tblCellMar>
          <w:left w:w="70" w:type="dxa"/>
          <w:right w:w="70" w:type="dxa"/>
        </w:tblCellMar>
        <w:tblLook w:val="04A0" w:firstRow="1" w:lastRow="0" w:firstColumn="1" w:lastColumn="0" w:noHBand="0" w:noVBand="1"/>
      </w:tblPr>
      <w:tblGrid>
        <w:gridCol w:w="4191"/>
        <w:gridCol w:w="1216"/>
        <w:gridCol w:w="992"/>
        <w:gridCol w:w="996"/>
        <w:gridCol w:w="1701"/>
      </w:tblGrid>
      <w:tr w:rsidR="00730EDF" w:rsidRPr="00730EDF" w:rsidTr="00826C03">
        <w:trPr>
          <w:trHeight w:val="315"/>
        </w:trPr>
        <w:tc>
          <w:tcPr>
            <w:tcW w:w="419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b/>
                <w:bCs/>
                <w:color w:val="000000"/>
              </w:rPr>
            </w:pPr>
            <w:r w:rsidRPr="00730EDF">
              <w:rPr>
                <w:b/>
                <w:bCs/>
                <w:color w:val="000000"/>
              </w:rPr>
              <w:t>Resultatopgørelse</w:t>
            </w:r>
          </w:p>
        </w:tc>
        <w:tc>
          <w:tcPr>
            <w:tcW w:w="121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b/>
                <w:color w:val="000000"/>
                <w:sz w:val="22"/>
                <w:szCs w:val="22"/>
              </w:rPr>
            </w:pPr>
            <w:r w:rsidRPr="00730EDF">
              <w:rPr>
                <w:b/>
                <w:color w:val="000000"/>
                <w:sz w:val="22"/>
                <w:szCs w:val="22"/>
              </w:rPr>
              <w:t>Den Jyske</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b/>
                <w:color w:val="000000"/>
                <w:sz w:val="22"/>
                <w:szCs w:val="22"/>
              </w:rPr>
            </w:pPr>
            <w:r w:rsidRPr="00730EDF">
              <w:rPr>
                <w:b/>
                <w:color w:val="000000"/>
                <w:sz w:val="22"/>
                <w:szCs w:val="22"/>
              </w:rPr>
              <w:t>DS</w:t>
            </w:r>
          </w:p>
        </w:tc>
        <w:tc>
          <w:tcPr>
            <w:tcW w:w="99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b/>
                <w:color w:val="000000"/>
                <w:sz w:val="22"/>
                <w:szCs w:val="22"/>
              </w:rPr>
            </w:pPr>
            <w:r w:rsidRPr="00730EDF">
              <w:rPr>
                <w:b/>
                <w:color w:val="000000"/>
                <w:sz w:val="22"/>
                <w:szCs w:val="22"/>
              </w:rPr>
              <w:t>Ændring</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b/>
                <w:color w:val="000000"/>
                <w:sz w:val="22"/>
                <w:szCs w:val="22"/>
              </w:rPr>
            </w:pPr>
            <w:r w:rsidRPr="00730EDF">
              <w:rPr>
                <w:b/>
                <w:color w:val="000000"/>
                <w:sz w:val="22"/>
                <w:szCs w:val="22"/>
              </w:rPr>
              <w:t xml:space="preserve"> </w:t>
            </w:r>
            <w:r w:rsidRPr="00E008EA">
              <w:rPr>
                <w:b/>
                <w:color w:val="000000"/>
                <w:sz w:val="22"/>
                <w:szCs w:val="22"/>
              </w:rPr>
              <w:t>Den Jyske</w:t>
            </w:r>
            <w:r w:rsidR="007C1AF7">
              <w:rPr>
                <w:b/>
                <w:color w:val="000000"/>
                <w:sz w:val="22"/>
                <w:szCs w:val="22"/>
              </w:rPr>
              <w:t xml:space="preserve"> 2013</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2012</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2012</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b/>
                <w:bCs/>
                <w:color w:val="000000"/>
                <w:sz w:val="22"/>
                <w:szCs w:val="22"/>
              </w:rPr>
            </w:pPr>
            <w:r w:rsidRPr="00730EDF">
              <w:rPr>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2013</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Renteindtægter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876.643</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160.001</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1.036.644</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Renteudgifter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288.614</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56.529</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345.143</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b/>
                <w:bCs/>
                <w:color w:val="000000"/>
                <w:sz w:val="18"/>
                <w:szCs w:val="18"/>
              </w:rPr>
            </w:pPr>
            <w:r w:rsidRPr="00730EDF">
              <w:rPr>
                <w:b/>
                <w:bCs/>
                <w:color w:val="000000"/>
                <w:sz w:val="18"/>
                <w:szCs w:val="18"/>
              </w:rPr>
              <w:t>Netto renteindtægter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588.029</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103.472</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691.501</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Udbytte af aktier m.v.</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4.661</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236</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4.897</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Gebyrer og provisionsindtægter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179.238</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31.716</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210.954</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Afgivne gebyrer og provisionsudgifter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11.498</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870</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12.368</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b/>
                <w:bCs/>
                <w:color w:val="000000"/>
                <w:sz w:val="18"/>
                <w:szCs w:val="18"/>
              </w:rPr>
            </w:pPr>
            <w:r w:rsidRPr="00730EDF">
              <w:rPr>
                <w:b/>
                <w:bCs/>
                <w:color w:val="000000"/>
                <w:sz w:val="18"/>
                <w:szCs w:val="18"/>
              </w:rPr>
              <w:t>Netto rente- og gebyrindtægter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760.430</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134.554</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894.984</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Kursreguleringer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68.403</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266</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68.669</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Andre driftsindtægter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104.229</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554</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104.783</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Udgifter til personale og adm.</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407.784</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73.544</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4241D7" w:rsidP="004241D7">
            <w:pPr>
              <w:spacing w:line="240" w:lineRule="auto"/>
              <w:jc w:val="right"/>
              <w:rPr>
                <w:color w:val="000000"/>
                <w:sz w:val="22"/>
                <w:szCs w:val="22"/>
              </w:rPr>
            </w:pPr>
            <w:r>
              <w:rPr>
                <w:color w:val="000000"/>
                <w:sz w:val="22"/>
                <w:szCs w:val="22"/>
              </w:rPr>
              <w:t>-4.420</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4241D7" w:rsidP="00730EDF">
            <w:pPr>
              <w:spacing w:line="240" w:lineRule="auto"/>
              <w:jc w:val="right"/>
              <w:rPr>
                <w:color w:val="000000"/>
                <w:sz w:val="22"/>
                <w:szCs w:val="22"/>
              </w:rPr>
            </w:pPr>
            <w:r>
              <w:rPr>
                <w:color w:val="000000"/>
                <w:sz w:val="22"/>
                <w:szCs w:val="22"/>
              </w:rPr>
              <w:t>47</w:t>
            </w:r>
            <w:r w:rsidR="00CC4E94">
              <w:rPr>
                <w:color w:val="000000"/>
                <w:sz w:val="22"/>
                <w:szCs w:val="22"/>
              </w:rPr>
              <w:t>6</w:t>
            </w:r>
            <w:r>
              <w:rPr>
                <w:color w:val="000000"/>
                <w:sz w:val="22"/>
                <w:szCs w:val="22"/>
              </w:rPr>
              <w:t>.90</w:t>
            </w:r>
            <w:r w:rsidR="00CC4E94">
              <w:rPr>
                <w:color w:val="000000"/>
                <w:sz w:val="22"/>
                <w:szCs w:val="22"/>
              </w:rPr>
              <w:t>8</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Af- og nedskrivning på immaterielle og materielle aktiver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19.773</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3.004</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22.777</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Andre driftsudgifter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18.058</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3.052</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4241D7" w:rsidRDefault="004241D7" w:rsidP="00730EDF">
            <w:pPr>
              <w:spacing w:line="240" w:lineRule="auto"/>
              <w:jc w:val="right"/>
              <w:rPr>
                <w:color w:val="000000"/>
                <w:sz w:val="22"/>
                <w:szCs w:val="22"/>
              </w:rPr>
            </w:pPr>
            <w:r>
              <w:rPr>
                <w:bCs/>
                <w:color w:val="000000"/>
                <w:sz w:val="22"/>
                <w:szCs w:val="22"/>
              </w:rPr>
              <w:t>1.</w:t>
            </w:r>
            <w:r w:rsidR="00CC4E94">
              <w:rPr>
                <w:bCs/>
                <w:color w:val="000000"/>
                <w:sz w:val="22"/>
                <w:szCs w:val="22"/>
              </w:rPr>
              <w:t>758</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4241D7" w:rsidP="00730EDF">
            <w:pPr>
              <w:spacing w:line="240" w:lineRule="auto"/>
              <w:jc w:val="right"/>
              <w:rPr>
                <w:color w:val="000000"/>
                <w:sz w:val="22"/>
                <w:szCs w:val="22"/>
              </w:rPr>
            </w:pPr>
            <w:r>
              <w:rPr>
                <w:color w:val="000000"/>
                <w:sz w:val="22"/>
                <w:szCs w:val="22"/>
              </w:rPr>
              <w:t>2</w:t>
            </w:r>
            <w:r w:rsidR="00CC4E94">
              <w:rPr>
                <w:color w:val="000000"/>
                <w:sz w:val="22"/>
                <w:szCs w:val="22"/>
              </w:rPr>
              <w:t>2.868</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Nedskrivninger på udlån og tilgodehavender</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381.894</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41.082</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422.976</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 xml:space="preserve">Resultat af kapitalandele i </w:t>
            </w:r>
            <w:proofErr w:type="spellStart"/>
            <w:r w:rsidRPr="00730EDF">
              <w:rPr>
                <w:color w:val="000000"/>
                <w:sz w:val="18"/>
                <w:szCs w:val="18"/>
              </w:rPr>
              <w:t>ass</w:t>
            </w:r>
            <w:proofErr w:type="spellEnd"/>
            <w:r w:rsidRPr="00730EDF">
              <w:rPr>
                <w:color w:val="000000"/>
                <w:sz w:val="18"/>
                <w:szCs w:val="18"/>
              </w:rPr>
              <w:t>. og tilknyttede virk.</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4.227</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4.227</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Resultat af aktiviteter under afvikling</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-2.550</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-2.550</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b/>
                <w:bCs/>
                <w:color w:val="000000"/>
                <w:sz w:val="18"/>
                <w:szCs w:val="18"/>
              </w:rPr>
            </w:pPr>
            <w:r w:rsidRPr="00730EDF">
              <w:rPr>
                <w:b/>
                <w:bCs/>
                <w:color w:val="000000"/>
                <w:sz w:val="18"/>
                <w:szCs w:val="18"/>
              </w:rPr>
              <w:t>Resultat før skat</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107.230</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14.692</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4211C5" w:rsidP="00730EDF">
            <w:pPr>
              <w:spacing w:line="240" w:lineRule="auto"/>
              <w:jc w:val="right"/>
              <w:rPr>
                <w:b/>
                <w:bCs/>
                <w:color w:val="000000"/>
                <w:sz w:val="22"/>
                <w:szCs w:val="22"/>
              </w:rPr>
            </w:pPr>
            <w:r>
              <w:rPr>
                <w:b/>
                <w:bCs/>
                <w:color w:val="000000"/>
                <w:sz w:val="22"/>
                <w:szCs w:val="22"/>
              </w:rPr>
              <w:t>124.584</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18"/>
                <w:szCs w:val="18"/>
              </w:rPr>
            </w:pPr>
            <w:r w:rsidRPr="00730EDF">
              <w:rPr>
                <w:color w:val="000000"/>
                <w:sz w:val="18"/>
                <w:szCs w:val="18"/>
              </w:rPr>
              <w:t>Skat</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30.400</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4.577</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sz w:val="22"/>
                <w:szCs w:val="22"/>
              </w:rPr>
            </w:pPr>
            <w:r w:rsidRPr="00730EDF">
              <w:rPr>
                <w:color w:val="000000"/>
                <w:sz w:val="22"/>
                <w:szCs w:val="22"/>
              </w:rPr>
              <w:t>34.977</w:t>
            </w:r>
          </w:p>
        </w:tc>
      </w:tr>
      <w:tr w:rsidR="00730EDF" w:rsidRPr="00730EDF" w:rsidTr="00826C03">
        <w:trPr>
          <w:trHeight w:val="300"/>
        </w:trPr>
        <w:tc>
          <w:tcPr>
            <w:tcW w:w="4191" w:type="dxa"/>
            <w:tcBorders>
              <w:top w:val="nil"/>
              <w:left w:val="single" w:sz="4" w:space="0" w:color="auto"/>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b/>
                <w:bCs/>
                <w:color w:val="000000"/>
                <w:sz w:val="18"/>
                <w:szCs w:val="18"/>
              </w:rPr>
            </w:pPr>
            <w:r>
              <w:rPr>
                <w:b/>
                <w:bCs/>
                <w:color w:val="000000"/>
                <w:sz w:val="18"/>
                <w:szCs w:val="18"/>
              </w:rPr>
              <w:t>Årets</w:t>
            </w:r>
            <w:r w:rsidRPr="00730EDF">
              <w:rPr>
                <w:b/>
                <w:bCs/>
                <w:color w:val="000000"/>
                <w:sz w:val="18"/>
                <w:szCs w:val="18"/>
              </w:rPr>
              <w:t xml:space="preserve"> resultat</w:t>
            </w:r>
          </w:p>
        </w:tc>
        <w:tc>
          <w:tcPr>
            <w:tcW w:w="121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76.830</w:t>
            </w:r>
          </w:p>
        </w:tc>
        <w:tc>
          <w:tcPr>
            <w:tcW w:w="992"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b/>
                <w:bCs/>
                <w:color w:val="000000"/>
                <w:sz w:val="22"/>
                <w:szCs w:val="22"/>
              </w:rPr>
            </w:pPr>
            <w:r w:rsidRPr="00730EDF">
              <w:rPr>
                <w:b/>
                <w:bCs/>
                <w:color w:val="000000"/>
                <w:sz w:val="22"/>
                <w:szCs w:val="22"/>
              </w:rPr>
              <w:t>10.115</w:t>
            </w:r>
          </w:p>
        </w:tc>
        <w:tc>
          <w:tcPr>
            <w:tcW w:w="99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left"/>
              <w:rPr>
                <w:color w:val="000000"/>
                <w:sz w:val="22"/>
                <w:szCs w:val="22"/>
              </w:rPr>
            </w:pPr>
            <w:r w:rsidRPr="00730EDF">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30EDF" w:rsidRPr="00730EDF" w:rsidRDefault="004211C5" w:rsidP="00730EDF">
            <w:pPr>
              <w:spacing w:line="240" w:lineRule="auto"/>
              <w:jc w:val="right"/>
              <w:rPr>
                <w:b/>
                <w:bCs/>
                <w:color w:val="000000"/>
                <w:sz w:val="22"/>
                <w:szCs w:val="22"/>
              </w:rPr>
            </w:pPr>
            <w:r>
              <w:rPr>
                <w:b/>
                <w:bCs/>
                <w:color w:val="000000"/>
                <w:sz w:val="22"/>
                <w:szCs w:val="22"/>
              </w:rPr>
              <w:t>89.607</w:t>
            </w:r>
          </w:p>
        </w:tc>
      </w:tr>
    </w:tbl>
    <w:p w:rsidR="00826C03" w:rsidRPr="009259C7" w:rsidRDefault="00826C03" w:rsidP="00826C03">
      <w:pPr>
        <w:spacing w:line="240" w:lineRule="auto"/>
        <w:rPr>
          <w:i/>
          <w:sz w:val="20"/>
        </w:rPr>
      </w:pPr>
      <w:r>
        <w:rPr>
          <w:sz w:val="20"/>
        </w:rPr>
        <w:t>Tabel 17:</w:t>
      </w:r>
      <w:r w:rsidRPr="00C36E73">
        <w:rPr>
          <w:sz w:val="20"/>
        </w:rPr>
        <w:t xml:space="preserve"> </w:t>
      </w:r>
      <w:r>
        <w:rPr>
          <w:sz w:val="20"/>
        </w:rPr>
        <w:t xml:space="preserve">Nøgletal - Den Jyske Sparekasse 2013. </w:t>
      </w:r>
      <w:r>
        <w:rPr>
          <w:i/>
          <w:sz w:val="20"/>
        </w:rPr>
        <w:t xml:space="preserve">Kilde: Egne udregninger, se bilag </w:t>
      </w:r>
      <w:r w:rsidR="00EE1554">
        <w:rPr>
          <w:i/>
          <w:sz w:val="20"/>
        </w:rPr>
        <w:t>F</w:t>
      </w:r>
      <w:r>
        <w:rPr>
          <w:i/>
          <w:sz w:val="20"/>
        </w:rPr>
        <w:t>.</w:t>
      </w:r>
    </w:p>
    <w:p w:rsidR="00D94E90" w:rsidRDefault="00D94E90" w:rsidP="00D94E90"/>
    <w:p w:rsidR="00D94E90" w:rsidRDefault="004675C8" w:rsidP="00D94E90">
      <w:r>
        <w:t>Derudover skal</w:t>
      </w:r>
      <w:r w:rsidR="00730EDF">
        <w:t xml:space="preserve"> tal fra balancen bruges til beregning af ny WACC, </w:t>
      </w:r>
      <w:r w:rsidR="00290CCE">
        <w:t xml:space="preserve">ICGR, </w:t>
      </w:r>
      <w:r w:rsidR="00253B8A">
        <w:t xml:space="preserve">Loan Ratio </w:t>
      </w:r>
      <w:r w:rsidR="00290CCE">
        <w:t>samt solvens</w:t>
      </w:r>
      <w:r w:rsidR="00253B8A">
        <w:t>. Det ses i nedenstående, at D</w:t>
      </w:r>
      <w:r w:rsidR="00FA71FD">
        <w:t>en Jyske også formår at forbedre deres balance,</w:t>
      </w:r>
      <w:r w:rsidR="00253B8A">
        <w:t xml:space="preserve"> udlån,</w:t>
      </w:r>
      <w:r w:rsidR="00FA71FD">
        <w:t xml:space="preserve"> egenkapital og garantkapital. </w:t>
      </w:r>
    </w:p>
    <w:tbl>
      <w:tblPr>
        <w:tblW w:w="9092" w:type="dxa"/>
        <w:tblInd w:w="50" w:type="dxa"/>
        <w:tblCellMar>
          <w:left w:w="70" w:type="dxa"/>
          <w:right w:w="70" w:type="dxa"/>
        </w:tblCellMar>
        <w:tblLook w:val="04A0" w:firstRow="1" w:lastRow="0" w:firstColumn="1" w:lastColumn="0" w:noHBand="0" w:noVBand="1"/>
      </w:tblPr>
      <w:tblGrid>
        <w:gridCol w:w="2147"/>
        <w:gridCol w:w="2268"/>
        <w:gridCol w:w="2126"/>
        <w:gridCol w:w="2551"/>
      </w:tblGrid>
      <w:tr w:rsidR="00730EDF" w:rsidRPr="00730EDF" w:rsidTr="00290CCE">
        <w:trPr>
          <w:trHeight w:val="315"/>
        </w:trPr>
        <w:tc>
          <w:tcPr>
            <w:tcW w:w="214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730EDF" w:rsidRPr="00730EDF" w:rsidRDefault="00730EDF" w:rsidP="00730EDF">
            <w:pPr>
              <w:spacing w:line="240" w:lineRule="auto"/>
              <w:jc w:val="left"/>
              <w:rPr>
                <w:color w:val="000000"/>
              </w:rPr>
            </w:pPr>
            <w:r w:rsidRPr="00730EDF">
              <w:rPr>
                <w:color w:val="000000"/>
              </w:rPr>
              <w:t> </w:t>
            </w:r>
          </w:p>
        </w:tc>
        <w:tc>
          <w:tcPr>
            <w:tcW w:w="226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E008EA">
            <w:pPr>
              <w:spacing w:line="240" w:lineRule="auto"/>
              <w:jc w:val="center"/>
              <w:rPr>
                <w:b/>
                <w:bCs/>
                <w:color w:val="000000"/>
              </w:rPr>
            </w:pPr>
            <w:r w:rsidRPr="00730EDF">
              <w:rPr>
                <w:b/>
                <w:bCs/>
                <w:color w:val="000000"/>
              </w:rPr>
              <w:t>Den Jyske 2012</w:t>
            </w:r>
          </w:p>
        </w:tc>
        <w:tc>
          <w:tcPr>
            <w:tcW w:w="212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E008EA">
            <w:pPr>
              <w:spacing w:line="240" w:lineRule="auto"/>
              <w:jc w:val="center"/>
              <w:rPr>
                <w:b/>
                <w:bCs/>
                <w:color w:val="000000"/>
              </w:rPr>
            </w:pPr>
            <w:r w:rsidRPr="00730EDF">
              <w:rPr>
                <w:b/>
                <w:bCs/>
                <w:color w:val="000000"/>
              </w:rPr>
              <w:t>DS 2012</w:t>
            </w:r>
          </w:p>
        </w:tc>
        <w:tc>
          <w:tcPr>
            <w:tcW w:w="255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30EDF" w:rsidRPr="00730EDF" w:rsidRDefault="00730EDF" w:rsidP="00E008EA">
            <w:pPr>
              <w:spacing w:line="240" w:lineRule="auto"/>
              <w:jc w:val="center"/>
              <w:rPr>
                <w:b/>
                <w:bCs/>
                <w:color w:val="000000"/>
              </w:rPr>
            </w:pPr>
            <w:r w:rsidRPr="00730EDF">
              <w:rPr>
                <w:b/>
                <w:bCs/>
                <w:color w:val="000000"/>
              </w:rPr>
              <w:t>Den Jyske</w:t>
            </w:r>
            <w:r w:rsidR="007C1AF7">
              <w:rPr>
                <w:b/>
                <w:bCs/>
                <w:color w:val="000000"/>
              </w:rPr>
              <w:t xml:space="preserve"> 2013</w:t>
            </w:r>
          </w:p>
        </w:tc>
      </w:tr>
      <w:tr w:rsidR="00730EDF" w:rsidRPr="00730EDF" w:rsidTr="00290CCE">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730EDF" w:rsidRPr="00F65A5F" w:rsidRDefault="00730EDF" w:rsidP="00730EDF">
            <w:pPr>
              <w:spacing w:line="240" w:lineRule="auto"/>
              <w:jc w:val="left"/>
              <w:rPr>
                <w:color w:val="000000"/>
              </w:rPr>
            </w:pPr>
            <w:r w:rsidRPr="00F65A5F">
              <w:rPr>
                <w:color w:val="000000"/>
              </w:rPr>
              <w:t>Balance</w:t>
            </w:r>
            <w:r w:rsidR="00B81BEE">
              <w:rPr>
                <w:color w:val="000000"/>
              </w:rPr>
              <w:t xml:space="preserve"> </w:t>
            </w:r>
            <w:proofErr w:type="spellStart"/>
            <w:r w:rsidR="00B81BEE">
              <w:rPr>
                <w:color w:val="000000"/>
              </w:rPr>
              <w:t>tkr</w:t>
            </w:r>
            <w:proofErr w:type="spellEnd"/>
            <w:r w:rsidR="00B81BEE">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20.029.074</w:t>
            </w:r>
          </w:p>
        </w:tc>
        <w:tc>
          <w:tcPr>
            <w:tcW w:w="212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2.609.879</w:t>
            </w:r>
          </w:p>
        </w:tc>
        <w:tc>
          <w:tcPr>
            <w:tcW w:w="255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22.638.953</w:t>
            </w:r>
          </w:p>
        </w:tc>
      </w:tr>
      <w:tr w:rsidR="00B81BEE" w:rsidRPr="00730EDF" w:rsidTr="00290CCE">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B81BEE" w:rsidRPr="00F65A5F" w:rsidRDefault="00B81BEE" w:rsidP="00730EDF">
            <w:pPr>
              <w:spacing w:line="240" w:lineRule="auto"/>
              <w:jc w:val="left"/>
              <w:rPr>
                <w:color w:val="000000"/>
              </w:rPr>
            </w:pPr>
            <w:r>
              <w:rPr>
                <w:color w:val="000000"/>
              </w:rPr>
              <w:t xml:space="preserve">Udlån </w:t>
            </w:r>
            <w:proofErr w:type="spellStart"/>
            <w:r>
              <w:rPr>
                <w:color w:val="000000"/>
              </w:rPr>
              <w:t>tkr</w:t>
            </w:r>
            <w:proofErr w:type="spellEnd"/>
            <w:r>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B81BEE" w:rsidRPr="00730EDF" w:rsidRDefault="00B81BEE" w:rsidP="00730EDF">
            <w:pPr>
              <w:spacing w:line="240" w:lineRule="auto"/>
              <w:jc w:val="right"/>
              <w:rPr>
                <w:color w:val="000000"/>
              </w:rPr>
            </w:pPr>
            <w:r>
              <w:rPr>
                <w:color w:val="000000"/>
              </w:rPr>
              <w:t>12.620.684</w:t>
            </w:r>
          </w:p>
        </w:tc>
        <w:tc>
          <w:tcPr>
            <w:tcW w:w="2126" w:type="dxa"/>
            <w:tcBorders>
              <w:top w:val="nil"/>
              <w:left w:val="nil"/>
              <w:bottom w:val="single" w:sz="4" w:space="0" w:color="auto"/>
              <w:right w:val="single" w:sz="4" w:space="0" w:color="auto"/>
            </w:tcBorders>
            <w:shd w:val="clear" w:color="auto" w:fill="auto"/>
            <w:noWrap/>
            <w:vAlign w:val="bottom"/>
            <w:hideMark/>
          </w:tcPr>
          <w:p w:rsidR="00B81BEE" w:rsidRPr="00730EDF" w:rsidRDefault="00B81BEE" w:rsidP="00730EDF">
            <w:pPr>
              <w:spacing w:line="240" w:lineRule="auto"/>
              <w:jc w:val="right"/>
              <w:rPr>
                <w:color w:val="000000"/>
              </w:rPr>
            </w:pPr>
            <w:r>
              <w:rPr>
                <w:color w:val="000000"/>
              </w:rPr>
              <w:t>1.885.847</w:t>
            </w:r>
          </w:p>
        </w:tc>
        <w:tc>
          <w:tcPr>
            <w:tcW w:w="2551" w:type="dxa"/>
            <w:tcBorders>
              <w:top w:val="nil"/>
              <w:left w:val="nil"/>
              <w:bottom w:val="single" w:sz="4" w:space="0" w:color="auto"/>
              <w:right w:val="single" w:sz="4" w:space="0" w:color="auto"/>
            </w:tcBorders>
            <w:shd w:val="clear" w:color="auto" w:fill="auto"/>
            <w:noWrap/>
            <w:vAlign w:val="bottom"/>
            <w:hideMark/>
          </w:tcPr>
          <w:p w:rsidR="00B81BEE" w:rsidRPr="00730EDF" w:rsidRDefault="00B81BEE" w:rsidP="00730EDF">
            <w:pPr>
              <w:spacing w:line="240" w:lineRule="auto"/>
              <w:jc w:val="right"/>
              <w:rPr>
                <w:color w:val="000000"/>
              </w:rPr>
            </w:pPr>
            <w:r>
              <w:rPr>
                <w:color w:val="000000"/>
              </w:rPr>
              <w:t>14.506.531</w:t>
            </w:r>
          </w:p>
        </w:tc>
      </w:tr>
      <w:tr w:rsidR="00730EDF" w:rsidRPr="00730EDF" w:rsidTr="00290CCE">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730EDF" w:rsidRPr="00F65A5F" w:rsidRDefault="00730EDF" w:rsidP="00730EDF">
            <w:pPr>
              <w:spacing w:line="240" w:lineRule="auto"/>
              <w:jc w:val="left"/>
              <w:rPr>
                <w:color w:val="000000"/>
              </w:rPr>
            </w:pPr>
            <w:r w:rsidRPr="00F65A5F">
              <w:rPr>
                <w:color w:val="000000"/>
              </w:rPr>
              <w:t>Egenkapital</w:t>
            </w:r>
            <w:r w:rsidR="00B81BEE">
              <w:rPr>
                <w:color w:val="000000"/>
              </w:rPr>
              <w:t xml:space="preserve"> </w:t>
            </w:r>
            <w:proofErr w:type="spellStart"/>
            <w:r w:rsidR="00B81BEE">
              <w:rPr>
                <w:color w:val="000000"/>
              </w:rPr>
              <w:t>tkr</w:t>
            </w:r>
            <w:proofErr w:type="spellEnd"/>
            <w:r w:rsidR="00B81BEE">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1.912.737</w:t>
            </w:r>
          </w:p>
        </w:tc>
        <w:tc>
          <w:tcPr>
            <w:tcW w:w="212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370.404</w:t>
            </w:r>
          </w:p>
        </w:tc>
        <w:tc>
          <w:tcPr>
            <w:tcW w:w="255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2.283.141</w:t>
            </w:r>
          </w:p>
        </w:tc>
      </w:tr>
      <w:tr w:rsidR="00730EDF" w:rsidRPr="00730EDF" w:rsidTr="00290CCE">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730EDF" w:rsidRPr="00F65A5F" w:rsidRDefault="00730EDF" w:rsidP="00730EDF">
            <w:pPr>
              <w:spacing w:line="240" w:lineRule="auto"/>
              <w:jc w:val="left"/>
              <w:rPr>
                <w:color w:val="000000"/>
              </w:rPr>
            </w:pPr>
            <w:r w:rsidRPr="00F65A5F">
              <w:rPr>
                <w:color w:val="000000"/>
              </w:rPr>
              <w:t>Garantkapital</w:t>
            </w:r>
            <w:r w:rsidR="00B81BEE">
              <w:rPr>
                <w:color w:val="000000"/>
              </w:rPr>
              <w:t xml:space="preserve"> </w:t>
            </w:r>
            <w:proofErr w:type="spellStart"/>
            <w:r w:rsidR="00B81BEE">
              <w:rPr>
                <w:color w:val="000000"/>
              </w:rPr>
              <w:t>tkr</w:t>
            </w:r>
            <w:proofErr w:type="spellEnd"/>
            <w:r w:rsidR="00B81BEE">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874.087</w:t>
            </w:r>
          </w:p>
        </w:tc>
        <w:tc>
          <w:tcPr>
            <w:tcW w:w="2126"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195.121</w:t>
            </w:r>
          </w:p>
        </w:tc>
        <w:tc>
          <w:tcPr>
            <w:tcW w:w="2551" w:type="dxa"/>
            <w:tcBorders>
              <w:top w:val="nil"/>
              <w:left w:val="nil"/>
              <w:bottom w:val="single" w:sz="4" w:space="0" w:color="auto"/>
              <w:right w:val="single" w:sz="4" w:space="0" w:color="auto"/>
            </w:tcBorders>
            <w:shd w:val="clear" w:color="auto" w:fill="auto"/>
            <w:noWrap/>
            <w:vAlign w:val="bottom"/>
            <w:hideMark/>
          </w:tcPr>
          <w:p w:rsidR="00730EDF" w:rsidRPr="00730EDF" w:rsidRDefault="00730EDF" w:rsidP="00730EDF">
            <w:pPr>
              <w:spacing w:line="240" w:lineRule="auto"/>
              <w:jc w:val="right"/>
              <w:rPr>
                <w:color w:val="000000"/>
              </w:rPr>
            </w:pPr>
            <w:r w:rsidRPr="00730EDF">
              <w:rPr>
                <w:color w:val="000000"/>
              </w:rPr>
              <w:t>1.069.208</w:t>
            </w:r>
          </w:p>
        </w:tc>
      </w:tr>
    </w:tbl>
    <w:p w:rsidR="00C663EC" w:rsidRDefault="00290F69" w:rsidP="00290F69">
      <w:pPr>
        <w:spacing w:line="240" w:lineRule="auto"/>
        <w:rPr>
          <w:i/>
          <w:sz w:val="20"/>
        </w:rPr>
      </w:pPr>
      <w:r>
        <w:rPr>
          <w:sz w:val="20"/>
        </w:rPr>
        <w:t xml:space="preserve">Tabel 18: Balance, </w:t>
      </w:r>
      <w:r w:rsidR="00196534">
        <w:rPr>
          <w:sz w:val="20"/>
        </w:rPr>
        <w:t xml:space="preserve">udlån, </w:t>
      </w:r>
      <w:r>
        <w:rPr>
          <w:sz w:val="20"/>
        </w:rPr>
        <w:t xml:space="preserve">egenkapital og garantkapital efter fusion. </w:t>
      </w:r>
      <w:r>
        <w:rPr>
          <w:i/>
          <w:sz w:val="20"/>
        </w:rPr>
        <w:t>Kilde: Egne udregninger</w:t>
      </w:r>
    </w:p>
    <w:p w:rsidR="00F65A5F" w:rsidRPr="00290F69" w:rsidRDefault="00F65A5F" w:rsidP="00F65A5F"/>
    <w:p w:rsidR="00253B8A" w:rsidRDefault="00253B8A">
      <w:pPr>
        <w:spacing w:line="240" w:lineRule="auto"/>
        <w:jc w:val="left"/>
        <w:rPr>
          <w:rFonts w:ascii="Verdana" w:eastAsiaTheme="majorEastAsia" w:hAnsi="Verdana" w:cstheme="majorBidi"/>
          <w:b/>
          <w:bCs/>
          <w:i/>
          <w:szCs w:val="26"/>
        </w:rPr>
      </w:pPr>
      <w:bookmarkStart w:id="171" w:name="_Toc354517444"/>
      <w:r>
        <w:br w:type="page"/>
      </w:r>
    </w:p>
    <w:p w:rsidR="0091206A" w:rsidRPr="0091206A" w:rsidRDefault="007F668F" w:rsidP="0091206A">
      <w:pPr>
        <w:pStyle w:val="Overskrift2"/>
        <w:numPr>
          <w:ilvl w:val="1"/>
          <w:numId w:val="10"/>
        </w:numPr>
      </w:pPr>
      <w:r>
        <w:lastRenderedPageBreak/>
        <w:t>Nye Nøgletal</w:t>
      </w:r>
      <w:r w:rsidR="00B45AAE">
        <w:t xml:space="preserve"> efter fusion</w:t>
      </w:r>
      <w:bookmarkEnd w:id="171"/>
    </w:p>
    <w:p w:rsidR="0030689F" w:rsidRPr="0030689F" w:rsidRDefault="0030689F" w:rsidP="0030689F">
      <w:r>
        <w:t xml:space="preserve">I nedenstående vil de nye nøgletal for </w:t>
      </w:r>
      <w:r w:rsidR="007C1AF7">
        <w:t xml:space="preserve">den </w:t>
      </w:r>
      <w:r>
        <w:t>Jyske blive kommenteret</w:t>
      </w:r>
      <w:r w:rsidR="007A460D">
        <w:t xml:space="preserve">. </w:t>
      </w:r>
    </w:p>
    <w:tbl>
      <w:tblPr>
        <w:tblStyle w:val="Tabel-Gitter"/>
        <w:tblW w:w="9180" w:type="dxa"/>
        <w:tblLook w:val="04A0" w:firstRow="1" w:lastRow="0" w:firstColumn="1" w:lastColumn="0" w:noHBand="0" w:noVBand="1"/>
      </w:tblPr>
      <w:tblGrid>
        <w:gridCol w:w="3369"/>
        <w:gridCol w:w="1985"/>
        <w:gridCol w:w="1700"/>
        <w:gridCol w:w="2126"/>
      </w:tblGrid>
      <w:tr w:rsidR="00730EDF" w:rsidTr="00526E59">
        <w:tc>
          <w:tcPr>
            <w:tcW w:w="3369" w:type="dxa"/>
            <w:shd w:val="clear" w:color="auto" w:fill="C6D9F1" w:themeFill="text2" w:themeFillTint="33"/>
          </w:tcPr>
          <w:p w:rsidR="00730EDF" w:rsidRPr="004675C8" w:rsidRDefault="00730EDF" w:rsidP="00E008EA">
            <w:pPr>
              <w:jc w:val="center"/>
              <w:rPr>
                <w:b/>
              </w:rPr>
            </w:pPr>
          </w:p>
        </w:tc>
        <w:tc>
          <w:tcPr>
            <w:tcW w:w="1985" w:type="dxa"/>
            <w:shd w:val="clear" w:color="auto" w:fill="C6D9F1" w:themeFill="text2" w:themeFillTint="33"/>
          </w:tcPr>
          <w:p w:rsidR="00730EDF" w:rsidRPr="00E008EA" w:rsidRDefault="00730EDF" w:rsidP="00E008EA">
            <w:pPr>
              <w:jc w:val="center"/>
              <w:rPr>
                <w:b/>
              </w:rPr>
            </w:pPr>
            <w:r w:rsidRPr="00E008EA">
              <w:rPr>
                <w:b/>
              </w:rPr>
              <w:t>Den Jyske 2012</w:t>
            </w:r>
          </w:p>
        </w:tc>
        <w:tc>
          <w:tcPr>
            <w:tcW w:w="1700" w:type="dxa"/>
            <w:shd w:val="clear" w:color="auto" w:fill="C6D9F1" w:themeFill="text2" w:themeFillTint="33"/>
          </w:tcPr>
          <w:p w:rsidR="00730EDF" w:rsidRPr="00E008EA" w:rsidRDefault="00730EDF" w:rsidP="00E008EA">
            <w:pPr>
              <w:jc w:val="center"/>
              <w:rPr>
                <w:b/>
              </w:rPr>
            </w:pPr>
            <w:r w:rsidRPr="00E008EA">
              <w:rPr>
                <w:b/>
              </w:rPr>
              <w:t>DS 2012</w:t>
            </w:r>
          </w:p>
        </w:tc>
        <w:tc>
          <w:tcPr>
            <w:tcW w:w="2126" w:type="dxa"/>
            <w:shd w:val="clear" w:color="auto" w:fill="C6D9F1" w:themeFill="text2" w:themeFillTint="33"/>
          </w:tcPr>
          <w:p w:rsidR="00730EDF" w:rsidRPr="00E008EA" w:rsidRDefault="00730EDF" w:rsidP="00E008EA">
            <w:pPr>
              <w:jc w:val="center"/>
              <w:rPr>
                <w:b/>
              </w:rPr>
            </w:pPr>
            <w:r w:rsidRPr="00E008EA">
              <w:rPr>
                <w:b/>
              </w:rPr>
              <w:t>Den Jyske</w:t>
            </w:r>
            <w:r w:rsidR="007C1AF7">
              <w:rPr>
                <w:b/>
              </w:rPr>
              <w:t xml:space="preserve"> 2013</w:t>
            </w:r>
          </w:p>
        </w:tc>
      </w:tr>
      <w:tr w:rsidR="00730EDF" w:rsidTr="00526E59">
        <w:tc>
          <w:tcPr>
            <w:tcW w:w="3369" w:type="dxa"/>
            <w:vAlign w:val="center"/>
          </w:tcPr>
          <w:p w:rsidR="00730EDF" w:rsidRPr="00F65A5F" w:rsidRDefault="0091206A" w:rsidP="00F65A5F">
            <w:pPr>
              <w:spacing w:line="240" w:lineRule="auto"/>
              <w:jc w:val="left"/>
            </w:pPr>
            <w:proofErr w:type="spellStart"/>
            <w:r>
              <w:t>Højresiden</w:t>
            </w:r>
            <w:proofErr w:type="spellEnd"/>
            <w:r>
              <w:t xml:space="preserve">, </w:t>
            </w:r>
            <w:r w:rsidR="00526E59">
              <w:t>egenkapitalen</w:t>
            </w:r>
          </w:p>
        </w:tc>
        <w:tc>
          <w:tcPr>
            <w:tcW w:w="1985" w:type="dxa"/>
            <w:vAlign w:val="bottom"/>
          </w:tcPr>
          <w:p w:rsidR="00730EDF" w:rsidRDefault="00526E59" w:rsidP="00F65A5F">
            <w:pPr>
              <w:spacing w:line="240" w:lineRule="auto"/>
              <w:jc w:val="right"/>
            </w:pPr>
            <w:r>
              <w:t>0,637</w:t>
            </w:r>
          </w:p>
        </w:tc>
        <w:tc>
          <w:tcPr>
            <w:tcW w:w="1700" w:type="dxa"/>
            <w:vAlign w:val="bottom"/>
          </w:tcPr>
          <w:p w:rsidR="00730EDF" w:rsidRDefault="00526E59" w:rsidP="00F65A5F">
            <w:pPr>
              <w:spacing w:line="240" w:lineRule="auto"/>
              <w:jc w:val="right"/>
            </w:pPr>
            <w:r>
              <w:t>0,537</w:t>
            </w:r>
          </w:p>
        </w:tc>
        <w:tc>
          <w:tcPr>
            <w:tcW w:w="2126" w:type="dxa"/>
            <w:vAlign w:val="bottom"/>
          </w:tcPr>
          <w:p w:rsidR="00730EDF" w:rsidRDefault="0091206A" w:rsidP="00F65A5F">
            <w:pPr>
              <w:spacing w:line="240" w:lineRule="auto"/>
              <w:jc w:val="right"/>
            </w:pPr>
            <w:r>
              <w:t>0,625</w:t>
            </w:r>
          </w:p>
        </w:tc>
      </w:tr>
      <w:tr w:rsidR="0091206A" w:rsidTr="00526E59">
        <w:tc>
          <w:tcPr>
            <w:tcW w:w="3369" w:type="dxa"/>
            <w:vAlign w:val="center"/>
          </w:tcPr>
          <w:p w:rsidR="0091206A" w:rsidRPr="00F65A5F" w:rsidRDefault="0091206A" w:rsidP="00526E59">
            <w:pPr>
              <w:spacing w:line="240" w:lineRule="auto"/>
              <w:jc w:val="left"/>
            </w:pPr>
            <w:r>
              <w:t xml:space="preserve">Venstresiden, </w:t>
            </w:r>
            <w:r w:rsidR="00526E59">
              <w:t>fremmedkapitalen</w:t>
            </w:r>
          </w:p>
        </w:tc>
        <w:tc>
          <w:tcPr>
            <w:tcW w:w="1985" w:type="dxa"/>
            <w:vAlign w:val="bottom"/>
          </w:tcPr>
          <w:p w:rsidR="0091206A" w:rsidRDefault="00526E59" w:rsidP="00F65A5F">
            <w:pPr>
              <w:spacing w:line="240" w:lineRule="auto"/>
              <w:jc w:val="right"/>
            </w:pPr>
            <w:r>
              <w:t>1,081</w:t>
            </w:r>
          </w:p>
        </w:tc>
        <w:tc>
          <w:tcPr>
            <w:tcW w:w="1700" w:type="dxa"/>
            <w:vAlign w:val="bottom"/>
          </w:tcPr>
          <w:p w:rsidR="0091206A" w:rsidRDefault="00526E59" w:rsidP="00F65A5F">
            <w:pPr>
              <w:spacing w:line="240" w:lineRule="auto"/>
              <w:jc w:val="right"/>
            </w:pPr>
            <w:r>
              <w:t>1,624</w:t>
            </w:r>
          </w:p>
        </w:tc>
        <w:tc>
          <w:tcPr>
            <w:tcW w:w="2126" w:type="dxa"/>
            <w:vAlign w:val="bottom"/>
          </w:tcPr>
          <w:p w:rsidR="0091206A" w:rsidRDefault="0091206A" w:rsidP="00F65A5F">
            <w:pPr>
              <w:spacing w:line="240" w:lineRule="auto"/>
              <w:jc w:val="right"/>
            </w:pPr>
            <w:r>
              <w:t>1,143</w:t>
            </w:r>
          </w:p>
        </w:tc>
      </w:tr>
      <w:tr w:rsidR="0091206A" w:rsidRPr="00CB3019" w:rsidTr="00526E59">
        <w:tc>
          <w:tcPr>
            <w:tcW w:w="3369" w:type="dxa"/>
            <w:vAlign w:val="center"/>
          </w:tcPr>
          <w:p w:rsidR="0091206A" w:rsidRPr="00CB3019" w:rsidRDefault="0091206A" w:rsidP="00F65A5F">
            <w:pPr>
              <w:spacing w:line="240" w:lineRule="auto"/>
              <w:jc w:val="left"/>
              <w:rPr>
                <w:b/>
              </w:rPr>
            </w:pPr>
            <w:r w:rsidRPr="00CB3019">
              <w:rPr>
                <w:b/>
              </w:rPr>
              <w:t>WACC</w:t>
            </w:r>
          </w:p>
        </w:tc>
        <w:tc>
          <w:tcPr>
            <w:tcW w:w="1985" w:type="dxa"/>
            <w:vAlign w:val="bottom"/>
          </w:tcPr>
          <w:p w:rsidR="0091206A" w:rsidRPr="00CB3019" w:rsidRDefault="0091206A" w:rsidP="00F65A5F">
            <w:pPr>
              <w:spacing w:line="240" w:lineRule="auto"/>
              <w:jc w:val="right"/>
              <w:rPr>
                <w:b/>
              </w:rPr>
            </w:pPr>
            <w:r w:rsidRPr="00CB3019">
              <w:rPr>
                <w:b/>
              </w:rPr>
              <w:t>1,72 %</w:t>
            </w:r>
          </w:p>
        </w:tc>
        <w:tc>
          <w:tcPr>
            <w:tcW w:w="1700" w:type="dxa"/>
            <w:vAlign w:val="bottom"/>
          </w:tcPr>
          <w:p w:rsidR="0091206A" w:rsidRPr="00CB3019" w:rsidRDefault="0091206A" w:rsidP="00F65A5F">
            <w:pPr>
              <w:spacing w:line="240" w:lineRule="auto"/>
              <w:jc w:val="right"/>
              <w:rPr>
                <w:b/>
              </w:rPr>
            </w:pPr>
            <w:r w:rsidRPr="00CB3019">
              <w:rPr>
                <w:b/>
              </w:rPr>
              <w:t>2,16 %</w:t>
            </w:r>
          </w:p>
        </w:tc>
        <w:tc>
          <w:tcPr>
            <w:tcW w:w="2126" w:type="dxa"/>
            <w:vAlign w:val="bottom"/>
          </w:tcPr>
          <w:p w:rsidR="0091206A" w:rsidRPr="00CB3019" w:rsidRDefault="0091206A" w:rsidP="00F65A5F">
            <w:pPr>
              <w:spacing w:line="240" w:lineRule="auto"/>
              <w:jc w:val="right"/>
              <w:rPr>
                <w:b/>
              </w:rPr>
            </w:pPr>
            <w:r w:rsidRPr="00CB3019">
              <w:rPr>
                <w:b/>
              </w:rPr>
              <w:t>1,77 %</w:t>
            </w:r>
          </w:p>
        </w:tc>
      </w:tr>
      <w:tr w:rsidR="007F668F" w:rsidTr="00526E59">
        <w:tc>
          <w:tcPr>
            <w:tcW w:w="3369" w:type="dxa"/>
          </w:tcPr>
          <w:p w:rsidR="007F668F" w:rsidRPr="00F65A5F" w:rsidRDefault="007F668F" w:rsidP="00F65A5F">
            <w:pPr>
              <w:spacing w:line="240" w:lineRule="auto"/>
            </w:pPr>
            <w:r w:rsidRPr="00F65A5F">
              <w:t>Capital Ratio</w:t>
            </w:r>
          </w:p>
        </w:tc>
        <w:tc>
          <w:tcPr>
            <w:tcW w:w="1985" w:type="dxa"/>
            <w:vAlign w:val="bottom"/>
          </w:tcPr>
          <w:p w:rsidR="007F668F" w:rsidRDefault="007F668F" w:rsidP="00F65A5F">
            <w:pPr>
              <w:spacing w:line="240" w:lineRule="auto"/>
              <w:jc w:val="right"/>
            </w:pPr>
            <w:r>
              <w:t>0,0955</w:t>
            </w:r>
          </w:p>
        </w:tc>
        <w:tc>
          <w:tcPr>
            <w:tcW w:w="1700" w:type="dxa"/>
            <w:vAlign w:val="bottom"/>
          </w:tcPr>
          <w:p w:rsidR="007F668F" w:rsidRDefault="007F668F" w:rsidP="00F65A5F">
            <w:pPr>
              <w:spacing w:line="240" w:lineRule="auto"/>
              <w:jc w:val="right"/>
            </w:pPr>
            <w:r>
              <w:t>0,1419</w:t>
            </w:r>
          </w:p>
        </w:tc>
        <w:tc>
          <w:tcPr>
            <w:tcW w:w="2126" w:type="dxa"/>
            <w:vAlign w:val="bottom"/>
          </w:tcPr>
          <w:p w:rsidR="007F668F" w:rsidRDefault="005D0F2B" w:rsidP="00F65A5F">
            <w:pPr>
              <w:spacing w:line="240" w:lineRule="auto"/>
              <w:jc w:val="right"/>
            </w:pPr>
            <w:r>
              <w:t>0,1009</w:t>
            </w:r>
          </w:p>
        </w:tc>
      </w:tr>
      <w:tr w:rsidR="007F668F" w:rsidTr="00526E59">
        <w:tc>
          <w:tcPr>
            <w:tcW w:w="3369" w:type="dxa"/>
          </w:tcPr>
          <w:p w:rsidR="007F668F" w:rsidRPr="00F65A5F" w:rsidRDefault="007F668F" w:rsidP="00F65A5F">
            <w:pPr>
              <w:spacing w:line="240" w:lineRule="auto"/>
            </w:pPr>
            <w:r w:rsidRPr="00F65A5F">
              <w:t>ROA</w:t>
            </w:r>
          </w:p>
        </w:tc>
        <w:tc>
          <w:tcPr>
            <w:tcW w:w="1985" w:type="dxa"/>
            <w:vAlign w:val="bottom"/>
          </w:tcPr>
          <w:p w:rsidR="007F668F" w:rsidRDefault="007F668F" w:rsidP="00F65A5F">
            <w:pPr>
              <w:spacing w:line="240" w:lineRule="auto"/>
              <w:jc w:val="right"/>
            </w:pPr>
            <w:r>
              <w:t>0,3836</w:t>
            </w:r>
          </w:p>
        </w:tc>
        <w:tc>
          <w:tcPr>
            <w:tcW w:w="1700" w:type="dxa"/>
            <w:vAlign w:val="bottom"/>
          </w:tcPr>
          <w:p w:rsidR="007F668F" w:rsidRDefault="007F668F" w:rsidP="00F65A5F">
            <w:pPr>
              <w:spacing w:line="240" w:lineRule="auto"/>
              <w:jc w:val="right"/>
            </w:pPr>
            <w:r>
              <w:t>0,3876</w:t>
            </w:r>
          </w:p>
        </w:tc>
        <w:tc>
          <w:tcPr>
            <w:tcW w:w="2126" w:type="dxa"/>
            <w:vAlign w:val="bottom"/>
          </w:tcPr>
          <w:p w:rsidR="007F668F" w:rsidRDefault="005D0F2B" w:rsidP="00F65A5F">
            <w:pPr>
              <w:spacing w:line="240" w:lineRule="auto"/>
              <w:jc w:val="right"/>
            </w:pPr>
            <w:r>
              <w:t>0,3</w:t>
            </w:r>
            <w:r w:rsidR="00B34D70">
              <w:t>958</w:t>
            </w:r>
          </w:p>
        </w:tc>
      </w:tr>
      <w:tr w:rsidR="007F668F" w:rsidRPr="00CB3019" w:rsidTr="00526E59">
        <w:tc>
          <w:tcPr>
            <w:tcW w:w="3369" w:type="dxa"/>
          </w:tcPr>
          <w:p w:rsidR="007F668F" w:rsidRPr="00CB3019" w:rsidRDefault="007F668F" w:rsidP="00F65A5F">
            <w:pPr>
              <w:spacing w:line="240" w:lineRule="auto"/>
              <w:rPr>
                <w:b/>
              </w:rPr>
            </w:pPr>
            <w:r w:rsidRPr="00CB3019">
              <w:rPr>
                <w:b/>
              </w:rPr>
              <w:t>ICGR</w:t>
            </w:r>
          </w:p>
        </w:tc>
        <w:tc>
          <w:tcPr>
            <w:tcW w:w="1985" w:type="dxa"/>
            <w:vAlign w:val="bottom"/>
          </w:tcPr>
          <w:p w:rsidR="007F668F" w:rsidRPr="00CB3019" w:rsidRDefault="007F668F" w:rsidP="00F65A5F">
            <w:pPr>
              <w:spacing w:line="240" w:lineRule="auto"/>
              <w:jc w:val="right"/>
              <w:rPr>
                <w:b/>
              </w:rPr>
            </w:pPr>
            <w:r w:rsidRPr="00CB3019">
              <w:rPr>
                <w:b/>
              </w:rPr>
              <w:t>4,</w:t>
            </w:r>
            <w:proofErr w:type="gramStart"/>
            <w:r w:rsidRPr="00CB3019">
              <w:rPr>
                <w:b/>
              </w:rPr>
              <w:t>02%</w:t>
            </w:r>
            <w:proofErr w:type="gramEnd"/>
          </w:p>
        </w:tc>
        <w:tc>
          <w:tcPr>
            <w:tcW w:w="1700" w:type="dxa"/>
            <w:vAlign w:val="bottom"/>
          </w:tcPr>
          <w:p w:rsidR="007F668F" w:rsidRPr="00CB3019" w:rsidRDefault="007F668F" w:rsidP="00F65A5F">
            <w:pPr>
              <w:spacing w:line="240" w:lineRule="auto"/>
              <w:jc w:val="right"/>
              <w:rPr>
                <w:b/>
              </w:rPr>
            </w:pPr>
            <w:r w:rsidRPr="00CB3019">
              <w:rPr>
                <w:b/>
              </w:rPr>
              <w:t>2,</w:t>
            </w:r>
            <w:proofErr w:type="gramStart"/>
            <w:r w:rsidRPr="00CB3019">
              <w:rPr>
                <w:b/>
              </w:rPr>
              <w:t>73%</w:t>
            </w:r>
            <w:proofErr w:type="gramEnd"/>
          </w:p>
        </w:tc>
        <w:tc>
          <w:tcPr>
            <w:tcW w:w="2126" w:type="dxa"/>
            <w:vAlign w:val="bottom"/>
          </w:tcPr>
          <w:p w:rsidR="007F668F" w:rsidRPr="00CB3019" w:rsidRDefault="00B34D70" w:rsidP="00F65A5F">
            <w:pPr>
              <w:spacing w:line="240" w:lineRule="auto"/>
              <w:jc w:val="right"/>
              <w:rPr>
                <w:b/>
              </w:rPr>
            </w:pPr>
            <w:r>
              <w:rPr>
                <w:b/>
              </w:rPr>
              <w:t>3,</w:t>
            </w:r>
            <w:proofErr w:type="gramStart"/>
            <w:r>
              <w:rPr>
                <w:b/>
              </w:rPr>
              <w:t>92</w:t>
            </w:r>
            <w:r w:rsidR="005D0F2B" w:rsidRPr="00CB3019">
              <w:rPr>
                <w:b/>
              </w:rPr>
              <w:t>%</w:t>
            </w:r>
            <w:proofErr w:type="gramEnd"/>
          </w:p>
        </w:tc>
      </w:tr>
      <w:tr w:rsidR="007A460D" w:rsidRPr="00CB3019" w:rsidTr="00526E59">
        <w:tc>
          <w:tcPr>
            <w:tcW w:w="3369" w:type="dxa"/>
          </w:tcPr>
          <w:p w:rsidR="007A460D" w:rsidRPr="00CB3019" w:rsidRDefault="007A460D" w:rsidP="00F65A5F">
            <w:pPr>
              <w:spacing w:line="240" w:lineRule="auto"/>
              <w:rPr>
                <w:b/>
              </w:rPr>
            </w:pPr>
            <w:r w:rsidRPr="00CB3019">
              <w:rPr>
                <w:b/>
              </w:rPr>
              <w:t>Loan Ratio</w:t>
            </w:r>
          </w:p>
        </w:tc>
        <w:tc>
          <w:tcPr>
            <w:tcW w:w="1985" w:type="dxa"/>
            <w:vAlign w:val="bottom"/>
          </w:tcPr>
          <w:p w:rsidR="007A460D" w:rsidRPr="00CB3019" w:rsidRDefault="00EE67D1" w:rsidP="00F65A5F">
            <w:pPr>
              <w:spacing w:line="240" w:lineRule="auto"/>
              <w:jc w:val="right"/>
              <w:rPr>
                <w:b/>
              </w:rPr>
            </w:pPr>
            <w:r w:rsidRPr="00CB3019">
              <w:rPr>
                <w:b/>
              </w:rPr>
              <w:t>63,</w:t>
            </w:r>
            <w:proofErr w:type="gramStart"/>
            <w:r w:rsidRPr="00CB3019">
              <w:rPr>
                <w:b/>
              </w:rPr>
              <w:t>01%</w:t>
            </w:r>
            <w:proofErr w:type="gramEnd"/>
          </w:p>
        </w:tc>
        <w:tc>
          <w:tcPr>
            <w:tcW w:w="1700" w:type="dxa"/>
            <w:vAlign w:val="bottom"/>
          </w:tcPr>
          <w:p w:rsidR="007A460D" w:rsidRPr="00CB3019" w:rsidRDefault="00EE67D1" w:rsidP="00F65A5F">
            <w:pPr>
              <w:spacing w:line="240" w:lineRule="auto"/>
              <w:jc w:val="right"/>
              <w:rPr>
                <w:b/>
              </w:rPr>
            </w:pPr>
            <w:r w:rsidRPr="00CB3019">
              <w:rPr>
                <w:b/>
              </w:rPr>
              <w:t>71,</w:t>
            </w:r>
            <w:proofErr w:type="gramStart"/>
            <w:r w:rsidRPr="00CB3019">
              <w:rPr>
                <w:b/>
              </w:rPr>
              <w:t>11%</w:t>
            </w:r>
            <w:proofErr w:type="gramEnd"/>
          </w:p>
        </w:tc>
        <w:tc>
          <w:tcPr>
            <w:tcW w:w="2126" w:type="dxa"/>
            <w:vAlign w:val="bottom"/>
          </w:tcPr>
          <w:p w:rsidR="007A460D" w:rsidRPr="00CB3019" w:rsidRDefault="00B34D70" w:rsidP="00F65A5F">
            <w:pPr>
              <w:spacing w:line="240" w:lineRule="auto"/>
              <w:jc w:val="right"/>
              <w:rPr>
                <w:b/>
              </w:rPr>
            </w:pPr>
            <w:r>
              <w:rPr>
                <w:b/>
              </w:rPr>
              <w:t>64,</w:t>
            </w:r>
            <w:proofErr w:type="gramStart"/>
            <w:r>
              <w:rPr>
                <w:b/>
              </w:rPr>
              <w:t>08</w:t>
            </w:r>
            <w:r w:rsidR="00EE67D1" w:rsidRPr="00CB3019">
              <w:rPr>
                <w:b/>
              </w:rPr>
              <w:t>%</w:t>
            </w:r>
            <w:proofErr w:type="gramEnd"/>
          </w:p>
        </w:tc>
      </w:tr>
      <w:tr w:rsidR="007F668F" w:rsidTr="00526E59">
        <w:tc>
          <w:tcPr>
            <w:tcW w:w="3369" w:type="dxa"/>
          </w:tcPr>
          <w:p w:rsidR="007F668F" w:rsidRPr="00F65A5F" w:rsidRDefault="007F668F" w:rsidP="00F65A5F">
            <w:pPr>
              <w:spacing w:line="240" w:lineRule="auto"/>
            </w:pPr>
            <w:r w:rsidRPr="00F65A5F">
              <w:t>Basiskapital</w:t>
            </w:r>
          </w:p>
        </w:tc>
        <w:tc>
          <w:tcPr>
            <w:tcW w:w="1985" w:type="dxa"/>
            <w:vAlign w:val="bottom"/>
          </w:tcPr>
          <w:p w:rsidR="007F668F" w:rsidRDefault="007F668F" w:rsidP="00F65A5F">
            <w:pPr>
              <w:spacing w:line="240" w:lineRule="auto"/>
              <w:jc w:val="right"/>
            </w:pPr>
            <w:r>
              <w:t>2.265.233</w:t>
            </w:r>
          </w:p>
        </w:tc>
        <w:tc>
          <w:tcPr>
            <w:tcW w:w="1700" w:type="dxa"/>
            <w:vAlign w:val="bottom"/>
          </w:tcPr>
          <w:p w:rsidR="007F668F" w:rsidRDefault="007F668F" w:rsidP="00F65A5F">
            <w:pPr>
              <w:spacing w:line="240" w:lineRule="auto"/>
              <w:jc w:val="right"/>
            </w:pPr>
            <w:r>
              <w:t>431.190</w:t>
            </w:r>
          </w:p>
        </w:tc>
        <w:tc>
          <w:tcPr>
            <w:tcW w:w="2126" w:type="dxa"/>
            <w:vAlign w:val="bottom"/>
          </w:tcPr>
          <w:p w:rsidR="007F668F" w:rsidRDefault="007F668F" w:rsidP="00F65A5F">
            <w:pPr>
              <w:spacing w:line="240" w:lineRule="auto"/>
              <w:jc w:val="right"/>
            </w:pPr>
            <w:r>
              <w:t>2.696.423</w:t>
            </w:r>
          </w:p>
        </w:tc>
      </w:tr>
      <w:tr w:rsidR="007F668F" w:rsidTr="00526E59">
        <w:tc>
          <w:tcPr>
            <w:tcW w:w="3369" w:type="dxa"/>
          </w:tcPr>
          <w:p w:rsidR="007F668F" w:rsidRPr="00F65A5F" w:rsidRDefault="007F668F" w:rsidP="00F65A5F">
            <w:pPr>
              <w:spacing w:line="240" w:lineRule="auto"/>
            </w:pPr>
            <w:r w:rsidRPr="00F65A5F">
              <w:t>Risikovægtede poster</w:t>
            </w:r>
          </w:p>
        </w:tc>
        <w:tc>
          <w:tcPr>
            <w:tcW w:w="1985" w:type="dxa"/>
            <w:vAlign w:val="bottom"/>
          </w:tcPr>
          <w:p w:rsidR="007F668F" w:rsidRDefault="007F668F" w:rsidP="00F65A5F">
            <w:pPr>
              <w:spacing w:line="240" w:lineRule="auto"/>
              <w:jc w:val="right"/>
            </w:pPr>
            <w:r>
              <w:t>16.585.378</w:t>
            </w:r>
          </w:p>
        </w:tc>
        <w:tc>
          <w:tcPr>
            <w:tcW w:w="1700" w:type="dxa"/>
            <w:vAlign w:val="bottom"/>
          </w:tcPr>
          <w:p w:rsidR="007F668F" w:rsidRDefault="007F668F" w:rsidP="00F65A5F">
            <w:pPr>
              <w:spacing w:line="240" w:lineRule="auto"/>
              <w:jc w:val="right"/>
            </w:pPr>
            <w:r>
              <w:t>2.363.855</w:t>
            </w:r>
          </w:p>
        </w:tc>
        <w:tc>
          <w:tcPr>
            <w:tcW w:w="2126" w:type="dxa"/>
            <w:vAlign w:val="bottom"/>
          </w:tcPr>
          <w:p w:rsidR="007F668F" w:rsidRDefault="007F668F" w:rsidP="00F65A5F">
            <w:pPr>
              <w:spacing w:line="240" w:lineRule="auto"/>
              <w:jc w:val="right"/>
            </w:pPr>
            <w:r>
              <w:t>18.949.233</w:t>
            </w:r>
          </w:p>
        </w:tc>
      </w:tr>
      <w:tr w:rsidR="007F668F" w:rsidRPr="00CB3019" w:rsidTr="00526E59">
        <w:tc>
          <w:tcPr>
            <w:tcW w:w="3369" w:type="dxa"/>
          </w:tcPr>
          <w:p w:rsidR="007F668F" w:rsidRPr="00CB3019" w:rsidRDefault="007F668F" w:rsidP="00F65A5F">
            <w:pPr>
              <w:spacing w:line="240" w:lineRule="auto"/>
              <w:rPr>
                <w:b/>
              </w:rPr>
            </w:pPr>
            <w:r w:rsidRPr="00CB3019">
              <w:rPr>
                <w:b/>
              </w:rPr>
              <w:t>Solvens</w:t>
            </w:r>
          </w:p>
        </w:tc>
        <w:tc>
          <w:tcPr>
            <w:tcW w:w="1985" w:type="dxa"/>
            <w:vAlign w:val="bottom"/>
          </w:tcPr>
          <w:p w:rsidR="007F668F" w:rsidRPr="00CB3019" w:rsidRDefault="007F668F" w:rsidP="00F65A5F">
            <w:pPr>
              <w:spacing w:line="240" w:lineRule="auto"/>
              <w:jc w:val="right"/>
              <w:rPr>
                <w:b/>
              </w:rPr>
            </w:pPr>
            <w:r w:rsidRPr="00CB3019">
              <w:rPr>
                <w:b/>
              </w:rPr>
              <w:t>13,</w:t>
            </w:r>
            <w:proofErr w:type="gramStart"/>
            <w:r w:rsidRPr="00CB3019">
              <w:rPr>
                <w:b/>
              </w:rPr>
              <w:t>66%</w:t>
            </w:r>
            <w:proofErr w:type="gramEnd"/>
          </w:p>
        </w:tc>
        <w:tc>
          <w:tcPr>
            <w:tcW w:w="1700" w:type="dxa"/>
            <w:vAlign w:val="bottom"/>
          </w:tcPr>
          <w:p w:rsidR="007F668F" w:rsidRPr="00CB3019" w:rsidRDefault="007F668F" w:rsidP="00F65A5F">
            <w:pPr>
              <w:spacing w:line="240" w:lineRule="auto"/>
              <w:jc w:val="right"/>
              <w:rPr>
                <w:b/>
              </w:rPr>
            </w:pPr>
            <w:r w:rsidRPr="00CB3019">
              <w:rPr>
                <w:b/>
              </w:rPr>
              <w:t>18,</w:t>
            </w:r>
            <w:proofErr w:type="gramStart"/>
            <w:r w:rsidRPr="00CB3019">
              <w:rPr>
                <w:b/>
              </w:rPr>
              <w:t>24%</w:t>
            </w:r>
            <w:proofErr w:type="gramEnd"/>
          </w:p>
        </w:tc>
        <w:tc>
          <w:tcPr>
            <w:tcW w:w="2126" w:type="dxa"/>
            <w:vAlign w:val="bottom"/>
          </w:tcPr>
          <w:p w:rsidR="007F668F" w:rsidRPr="00CB3019" w:rsidRDefault="007F668F" w:rsidP="00F65A5F">
            <w:pPr>
              <w:spacing w:line="240" w:lineRule="auto"/>
              <w:jc w:val="right"/>
              <w:rPr>
                <w:b/>
              </w:rPr>
            </w:pPr>
            <w:r w:rsidRPr="00CB3019">
              <w:rPr>
                <w:b/>
              </w:rPr>
              <w:t>14,</w:t>
            </w:r>
            <w:proofErr w:type="gramStart"/>
            <w:r w:rsidRPr="00CB3019">
              <w:rPr>
                <w:b/>
              </w:rPr>
              <w:t>23%</w:t>
            </w:r>
            <w:proofErr w:type="gramEnd"/>
          </w:p>
        </w:tc>
      </w:tr>
      <w:tr w:rsidR="007F668F" w:rsidRPr="00CB3019" w:rsidTr="00526E59">
        <w:tc>
          <w:tcPr>
            <w:tcW w:w="3369" w:type="dxa"/>
          </w:tcPr>
          <w:p w:rsidR="007F668F" w:rsidRPr="00CB3019" w:rsidRDefault="007F668F" w:rsidP="00F65A5F">
            <w:pPr>
              <w:spacing w:line="240" w:lineRule="auto"/>
              <w:rPr>
                <w:b/>
              </w:rPr>
            </w:pPr>
            <w:r w:rsidRPr="00CB3019">
              <w:rPr>
                <w:b/>
              </w:rPr>
              <w:t xml:space="preserve">Indtjening pr. </w:t>
            </w:r>
            <w:proofErr w:type="spellStart"/>
            <w:r w:rsidRPr="00CB3019">
              <w:rPr>
                <w:b/>
              </w:rPr>
              <w:t>medarb</w:t>
            </w:r>
            <w:proofErr w:type="spellEnd"/>
            <w:r w:rsidRPr="00CB3019">
              <w:rPr>
                <w:b/>
              </w:rPr>
              <w:t xml:space="preserve">. </w:t>
            </w:r>
            <w:proofErr w:type="spellStart"/>
            <w:r w:rsidRPr="00CB3019">
              <w:rPr>
                <w:b/>
              </w:rPr>
              <w:t>tkr</w:t>
            </w:r>
            <w:proofErr w:type="spellEnd"/>
            <w:r w:rsidRPr="00CB3019">
              <w:rPr>
                <w:b/>
              </w:rPr>
              <w:t xml:space="preserve">. </w:t>
            </w:r>
          </w:p>
        </w:tc>
        <w:tc>
          <w:tcPr>
            <w:tcW w:w="1985" w:type="dxa"/>
            <w:vAlign w:val="bottom"/>
          </w:tcPr>
          <w:p w:rsidR="007F668F" w:rsidRPr="00CB3019" w:rsidRDefault="007F668F" w:rsidP="00F65A5F">
            <w:pPr>
              <w:spacing w:line="240" w:lineRule="auto"/>
              <w:jc w:val="right"/>
              <w:rPr>
                <w:b/>
              </w:rPr>
            </w:pPr>
            <w:r w:rsidRPr="00CB3019">
              <w:rPr>
                <w:b/>
              </w:rPr>
              <w:t>186</w:t>
            </w:r>
          </w:p>
        </w:tc>
        <w:tc>
          <w:tcPr>
            <w:tcW w:w="1700" w:type="dxa"/>
            <w:vAlign w:val="bottom"/>
          </w:tcPr>
          <w:p w:rsidR="007F668F" w:rsidRPr="00CB3019" w:rsidRDefault="007F668F" w:rsidP="00F65A5F">
            <w:pPr>
              <w:spacing w:line="240" w:lineRule="auto"/>
              <w:jc w:val="right"/>
              <w:rPr>
                <w:b/>
              </w:rPr>
            </w:pPr>
            <w:r w:rsidRPr="00CB3019">
              <w:rPr>
                <w:b/>
              </w:rPr>
              <w:t>110</w:t>
            </w:r>
          </w:p>
        </w:tc>
        <w:tc>
          <w:tcPr>
            <w:tcW w:w="2126" w:type="dxa"/>
            <w:vAlign w:val="bottom"/>
          </w:tcPr>
          <w:p w:rsidR="007F668F" w:rsidRPr="00CB3019" w:rsidRDefault="00815753" w:rsidP="00F65A5F">
            <w:pPr>
              <w:spacing w:line="240" w:lineRule="auto"/>
              <w:jc w:val="right"/>
              <w:rPr>
                <w:b/>
              </w:rPr>
            </w:pPr>
            <w:r>
              <w:rPr>
                <w:b/>
              </w:rPr>
              <w:t>181</w:t>
            </w:r>
          </w:p>
        </w:tc>
      </w:tr>
    </w:tbl>
    <w:p w:rsidR="00290F69" w:rsidRPr="00290F69" w:rsidRDefault="00290F69" w:rsidP="00290F69">
      <w:pPr>
        <w:spacing w:line="240" w:lineRule="auto"/>
        <w:rPr>
          <w:i/>
          <w:sz w:val="20"/>
        </w:rPr>
      </w:pPr>
      <w:r>
        <w:rPr>
          <w:sz w:val="20"/>
        </w:rPr>
        <w:t xml:space="preserve">Tabel 19: Nye nøgletal – Den Jyske Sparekasse 2013. </w:t>
      </w:r>
      <w:r>
        <w:rPr>
          <w:i/>
          <w:sz w:val="20"/>
        </w:rPr>
        <w:t>Kil</w:t>
      </w:r>
      <w:r w:rsidR="006C3CF7">
        <w:rPr>
          <w:i/>
          <w:sz w:val="20"/>
        </w:rPr>
        <w:t>de: Egne udregninger, se bilag G</w:t>
      </w:r>
      <w:r>
        <w:rPr>
          <w:i/>
          <w:sz w:val="20"/>
        </w:rPr>
        <w:t>.</w:t>
      </w:r>
    </w:p>
    <w:p w:rsidR="00730EDF" w:rsidRDefault="00730EDF" w:rsidP="00730EDF"/>
    <w:p w:rsidR="004211C5" w:rsidRDefault="004211C5" w:rsidP="004211C5">
      <w:r>
        <w:t>Det fremgår, at Den Jyske opnår et WACC på 1,77 % efter fusionen, som er en anelse højere end året før. Det ses, at det fortsat kan betale sig at finansiere sig via</w:t>
      </w:r>
      <w:r w:rsidR="0091206A">
        <w:t xml:space="preserve"> egenkapitalen (</w:t>
      </w:r>
      <w:proofErr w:type="spellStart"/>
      <w:r w:rsidR="0091206A">
        <w:t>højresiden</w:t>
      </w:r>
      <w:proofErr w:type="spellEnd"/>
      <w:r w:rsidR="0091206A">
        <w:t>) i forhold til</w:t>
      </w:r>
      <w:r>
        <w:t xml:space="preserve"> fremmedkapitalen, som ligger på 0,625 mod 1,143 i fremmedkapitalen. </w:t>
      </w:r>
      <w:r w:rsidR="00526E59">
        <w:t xml:space="preserve">Derved en forbedring for garanter og kunder i Den Jyske, mens fremmedkapitalen forbedres betydeligt i forhold </w:t>
      </w:r>
      <w:proofErr w:type="spellStart"/>
      <w:r w:rsidR="00526E59">
        <w:t>DS’s</w:t>
      </w:r>
      <w:proofErr w:type="spellEnd"/>
      <w:r w:rsidR="00526E59">
        <w:t xml:space="preserve"> fremmedkapital </w:t>
      </w:r>
    </w:p>
    <w:p w:rsidR="004211C5" w:rsidRDefault="004211C5" w:rsidP="004211C5">
      <w:r>
        <w:t>WACC ligger fortsat over markedsrenten – ligesom de fleste andre pengeinstitutter i sektoren. Hvis Den Jyske vil optimere sin konkurrenceevne er det netop her, den kan lægge fokus i fremtiden. Den Jyske kan have som mål at komme under markedsrenten, men som udgangspunkt kan den fo</w:t>
      </w:r>
      <w:r w:rsidR="0091206A">
        <w:t>rsøge at forbedre dens WACC i forhold til de</w:t>
      </w:r>
      <w:r>
        <w:t xml:space="preserve"> nærmeste konkurrenter og derved øge konkurrenceevnen. </w:t>
      </w:r>
    </w:p>
    <w:p w:rsidR="00526E59" w:rsidRDefault="0091206A" w:rsidP="004211C5">
      <w:r>
        <w:t xml:space="preserve">Derfor er det garanterne i DS, som her vil blive bedre stillet, da WACC forbedres i forhold til deres nøgletal i 2012. Garanterne i Den Jyske vil blive en anelse dårligere stillet, men ikke noget der som udgangspunkt vil få den store betydning, men der er plads til forbedringer, og derved muligheder for at øge deres indtjeningsevne. </w:t>
      </w:r>
    </w:p>
    <w:p w:rsidR="0091206A" w:rsidRDefault="00526E59" w:rsidP="004211C5">
      <w:r>
        <w:t>Den nye WACC giver også en indikation af, hvad prisen for deres ny udlån kan tage udgangspunkt i. Derved vil der, hvis Den Jyske ønsker det, kunne gives en bedre rente end, hvad garanter og kunder i DS havde end før fusionen.</w:t>
      </w:r>
      <w:r w:rsidR="0091206A">
        <w:t xml:space="preserve"> </w:t>
      </w:r>
    </w:p>
    <w:p w:rsidR="004211C5" w:rsidRDefault="004211C5" w:rsidP="004211C5"/>
    <w:p w:rsidR="004211C5" w:rsidRDefault="004211C5" w:rsidP="004211C5">
      <w:r>
        <w:t xml:space="preserve">Efter fusionen opnår Den Jyske et ICGR på 3,81 %, som er en smule dårligere end året før. Dette skyldes, at Capital Ratio er steget, da egenkapitalen er blevet større </w:t>
      </w:r>
      <w:r w:rsidR="00253B8A">
        <w:t>i forhold til</w:t>
      </w:r>
      <w:r>
        <w:t xml:space="preserve"> </w:t>
      </w:r>
      <w:r>
        <w:lastRenderedPageBreak/>
        <w:t xml:space="preserve">balancen. ROA er steget meget lidt, og Den Jyske formår derfor at udnytte dens aktiver i samme grad som året før.  </w:t>
      </w:r>
    </w:p>
    <w:p w:rsidR="004211C5" w:rsidRDefault="004211C5" w:rsidP="004211C5">
      <w:r>
        <w:t>Det betyder dog stadig, at det kan forhøje aktiverne uden</w:t>
      </w:r>
      <w:r w:rsidR="00253B8A">
        <w:t>,</w:t>
      </w:r>
      <w:r>
        <w:t xml:space="preserve"> at det påvirker solvensen med 3,81 %, givet der er samme risikovægt. </w:t>
      </w:r>
    </w:p>
    <w:p w:rsidR="00DD4436" w:rsidRDefault="00253B8A" w:rsidP="004211C5">
      <w:r>
        <w:t>Derved ses der en</w:t>
      </w:r>
      <w:r w:rsidR="00DD4436">
        <w:t xml:space="preserve"> klar forbedring af ICGR for garanterne i DS, og derved øges mulighederne for at ekspandere og udvide deres balance betydeligt i forhold til 2012. </w:t>
      </w:r>
    </w:p>
    <w:p w:rsidR="0091206A" w:rsidRDefault="0091206A" w:rsidP="004211C5"/>
    <w:p w:rsidR="0091206A" w:rsidRDefault="0091206A" w:rsidP="004211C5">
      <w:r>
        <w:t xml:space="preserve">Det ses, at Den Jyske har formået at forbedre sin Loan Ratio, og derved formået at udnytte sine aktiver bedre. </w:t>
      </w:r>
      <w:r w:rsidR="00253B8A">
        <w:t xml:space="preserve">Loan Ratio er sammen med solvensen det nøgletal, hvor der er sket en forringelse for garanterne i DS. Det vil dog </w:t>
      </w:r>
      <w:r w:rsidR="00ED2DED">
        <w:t>umiddelbart ikke have den store betydning – ej heller, når Den Jyske skal ud og</w:t>
      </w:r>
      <w:r w:rsidR="00253B8A">
        <w:t xml:space="preserve"> </w:t>
      </w:r>
      <w:proofErr w:type="spellStart"/>
      <w:r w:rsidR="00253B8A">
        <w:t>funde</w:t>
      </w:r>
      <w:proofErr w:type="spellEnd"/>
      <w:r w:rsidR="00253B8A">
        <w:t xml:space="preserve"> sig på </w:t>
      </w:r>
      <w:proofErr w:type="spellStart"/>
      <w:r w:rsidR="00253B8A">
        <w:t>Interbankmarkedet</w:t>
      </w:r>
      <w:proofErr w:type="spellEnd"/>
      <w:r w:rsidR="00ED2DED">
        <w:t xml:space="preserve">. </w:t>
      </w:r>
    </w:p>
    <w:p w:rsidR="004211C5" w:rsidRDefault="004211C5" w:rsidP="004211C5"/>
    <w:p w:rsidR="004211C5" w:rsidRDefault="004211C5" w:rsidP="004211C5">
      <w:r>
        <w:t xml:space="preserve">Solvensen </w:t>
      </w:r>
      <w:r w:rsidR="00253B8A">
        <w:t xml:space="preserve">er </w:t>
      </w:r>
      <w:r w:rsidR="00654139">
        <w:t xml:space="preserve">efter fusionen </w:t>
      </w:r>
      <w:r>
        <w:t>steget fra 13,66 % til 14,23 %, hvilket svarer til en stigning på ca. 4 %. En højere solvens passer som udgangspunkt Den Jyske fint, men den ønsker, at pengene kommer ud at arbejde.</w:t>
      </w:r>
      <w:r w:rsidR="00B17AD9">
        <w:t xml:space="preserve"> Jf. deres Årsrapport 2012 meddeler de, at de gerne på sigt ønsker at opkøbe yderligere. Den højere solvens giver også yderligere mulighed derfor.</w:t>
      </w:r>
      <w:r>
        <w:t xml:space="preserve"> </w:t>
      </w:r>
      <w:r w:rsidR="00B17AD9">
        <w:t>Udover bedre muligheder for opkøb kan de også øge deres udlån yderligere</w:t>
      </w:r>
      <w:r w:rsidR="00F87FEF">
        <w:t xml:space="preserve">. </w:t>
      </w:r>
    </w:p>
    <w:p w:rsidR="004211C5" w:rsidRDefault="00654139" w:rsidP="004211C5">
      <w:r w:rsidRPr="00CB3019">
        <w:t xml:space="preserve">For garanterne i DS sker der en betydelig forringelse af solvensen, men </w:t>
      </w:r>
      <w:r w:rsidR="00CB3019">
        <w:t xml:space="preserve">vil stadig ligge pænt over lovkravet på de 8 %. </w:t>
      </w:r>
    </w:p>
    <w:p w:rsidR="00654139" w:rsidRDefault="00654139" w:rsidP="004211C5"/>
    <w:p w:rsidR="004211C5" w:rsidRDefault="004211C5" w:rsidP="004211C5">
      <w:r>
        <w:t>Det sidste nøgletal, jeg vil se på, er indtjening pr. medarbejder, hvor Den</w:t>
      </w:r>
      <w:r w:rsidR="00815753">
        <w:t xml:space="preserve"> Jyske ender på </w:t>
      </w:r>
      <w:proofErr w:type="spellStart"/>
      <w:r w:rsidR="00815753">
        <w:t>tkr</w:t>
      </w:r>
      <w:proofErr w:type="spellEnd"/>
      <w:r w:rsidR="00815753">
        <w:t>. 181</w:t>
      </w:r>
      <w:r>
        <w:t xml:space="preserve"> pr. medarbejder. Dette er også en smule forringet i forhold til det foregående år. Dog må det</w:t>
      </w:r>
      <w:r w:rsidR="00815753">
        <w:t xml:space="preserve"> formodes, at det er et tal, de</w:t>
      </w:r>
      <w:r>
        <w:t xml:space="preserve"> kan forbedre i fremtiden. Efter fire fusioner på to år må der være </w:t>
      </w:r>
      <w:r w:rsidR="009141AD">
        <w:t xml:space="preserve">mulighed for </w:t>
      </w:r>
      <w:r>
        <w:t>yderligere rationaliseringsgevinster at hente i fremtiden</w:t>
      </w:r>
      <w:r w:rsidR="009141AD">
        <w:t>.</w:t>
      </w:r>
    </w:p>
    <w:p w:rsidR="004211C5" w:rsidRDefault="00815753" w:rsidP="004211C5">
      <w:r>
        <w:t>Garanterne i DS kan glæde sig over, at effektiviteten efter fusionen bliver væsentlig forbedret</w:t>
      </w:r>
      <w:r w:rsidR="00CB3019">
        <w:t>.</w:t>
      </w:r>
      <w:r>
        <w:t xml:space="preserve"> </w:t>
      </w:r>
    </w:p>
    <w:p w:rsidR="00253B8A" w:rsidRDefault="00253B8A" w:rsidP="004211C5"/>
    <w:p w:rsidR="004211C5" w:rsidRDefault="004211C5" w:rsidP="004211C5">
      <w:pPr>
        <w:pStyle w:val="Overskrift2"/>
        <w:numPr>
          <w:ilvl w:val="1"/>
          <w:numId w:val="10"/>
        </w:numPr>
      </w:pPr>
      <w:bookmarkStart w:id="172" w:name="_Toc353437626"/>
      <w:bookmarkStart w:id="173" w:name="_Toc354517445"/>
      <w:r>
        <w:t>Delkonklusion/opsamling</w:t>
      </w:r>
      <w:bookmarkEnd w:id="172"/>
      <w:bookmarkEnd w:id="173"/>
    </w:p>
    <w:p w:rsidR="004211C5" w:rsidRDefault="004211C5" w:rsidP="004211C5">
      <w:r>
        <w:t xml:space="preserve">Generelt ses det, at samtlige nøgletal ligger </w:t>
      </w:r>
      <w:r w:rsidR="009141AD">
        <w:t xml:space="preserve">på et </w:t>
      </w:r>
      <w:r>
        <w:t xml:space="preserve">fornuftigt </w:t>
      </w:r>
      <w:r w:rsidR="009141AD">
        <w:t xml:space="preserve">niveau </w:t>
      </w:r>
      <w:r>
        <w:t xml:space="preserve">og ikke har ændret sig væsentligt. Dette skyldes til dels, at DS ikke er så stort et pengeinstitut, og at dens tal derved ikke rigtig flytter noget </w:t>
      </w:r>
      <w:r w:rsidR="009141AD">
        <w:t xml:space="preserve">i forhold til </w:t>
      </w:r>
      <w:r>
        <w:t xml:space="preserve">Den Jyske. Derudover skyldes det også, at dens </w:t>
      </w:r>
      <w:r w:rsidR="009141AD">
        <w:t xml:space="preserve">nøgletal </w:t>
      </w:r>
      <w:r>
        <w:t xml:space="preserve">ikke har ligget så langt fra hinanden i 2012. </w:t>
      </w:r>
    </w:p>
    <w:p w:rsidR="004211C5" w:rsidRDefault="004211C5" w:rsidP="004211C5"/>
    <w:p w:rsidR="004211C5" w:rsidRDefault="004211C5" w:rsidP="004211C5">
      <w:r>
        <w:lastRenderedPageBreak/>
        <w:t xml:space="preserve">Hvis jeg udelukkende ser på nøgletallene efter fusionen er det ikke fordi, der har været de store gevinster at hente for garanterne i Den Jyske, men det må også forventes, at de tre fusioner i 2012 forbedrer nøgletallene endnu mere i 2013 – disse forbedringer er der ikke taget højde for. </w:t>
      </w:r>
    </w:p>
    <w:p w:rsidR="004211C5" w:rsidRDefault="004211C5" w:rsidP="004211C5">
      <w:r>
        <w:t xml:space="preserve">Derudover forventes det også, at der i fremtiden kan nydes godt, at der nu er filialer i hele Jylland, </w:t>
      </w:r>
      <w:r w:rsidR="009141AD">
        <w:t>som et trækplaster for at få flere nye kunder.</w:t>
      </w:r>
    </w:p>
    <w:p w:rsidR="004211C5" w:rsidRDefault="004211C5" w:rsidP="004211C5"/>
    <w:p w:rsidR="004211C5" w:rsidRDefault="004211C5" w:rsidP="004211C5">
      <w:r>
        <w:t>Det har været en fornuftig forretning for garanterne i DS, da den har fået meget bedre nøgle</w:t>
      </w:r>
      <w:r w:rsidR="00253B8A">
        <w:t>tal, samt at den nu er en del af</w:t>
      </w:r>
      <w:r>
        <w:t xml:space="preserve"> et større pengeinstitut, som alt andet lige er noget mere effektivt på bl.a. indtjening pr. medarbejder, der e</w:t>
      </w:r>
      <w:r w:rsidR="00815753">
        <w:t xml:space="preserve">r gået fra </w:t>
      </w:r>
      <w:proofErr w:type="spellStart"/>
      <w:r w:rsidR="00815753">
        <w:t>tkr</w:t>
      </w:r>
      <w:proofErr w:type="spellEnd"/>
      <w:r w:rsidR="00815753">
        <w:t xml:space="preserve">. 110 til </w:t>
      </w:r>
      <w:proofErr w:type="spellStart"/>
      <w:r w:rsidR="00815753">
        <w:t>tkr</w:t>
      </w:r>
      <w:proofErr w:type="spellEnd"/>
      <w:r w:rsidR="00815753">
        <w:t>. 181</w:t>
      </w:r>
      <w:r>
        <w:t>. Derudover opnår garanterne også den fordel, at de nu er en del af et større pengeinstitut, hvor der kan stilles skarpere priser, og hvor der som udgangspunkt er flere muligheder</w:t>
      </w:r>
      <w:r w:rsidR="009141AD">
        <w:t xml:space="preserve"> og opnår stordriftsfordele</w:t>
      </w:r>
      <w:r>
        <w:t xml:space="preserve">. </w:t>
      </w:r>
    </w:p>
    <w:p w:rsidR="001F0A47" w:rsidRDefault="001F0A47" w:rsidP="004211C5"/>
    <w:p w:rsidR="004211C5" w:rsidRDefault="004211C5" w:rsidP="004211C5">
      <w:pPr>
        <w:pStyle w:val="Overskrift1"/>
        <w:numPr>
          <w:ilvl w:val="0"/>
          <w:numId w:val="10"/>
        </w:numPr>
      </w:pPr>
      <w:bookmarkStart w:id="174" w:name="_Toc353437627"/>
      <w:bookmarkStart w:id="175" w:name="_Toc354517446"/>
      <w:r>
        <w:t>Organisation</w:t>
      </w:r>
      <w:bookmarkEnd w:id="174"/>
      <w:bookmarkEnd w:id="175"/>
    </w:p>
    <w:p w:rsidR="004211C5" w:rsidRDefault="004211C5" w:rsidP="004211C5">
      <w:r>
        <w:t>Efter at jeg har betragtet de økonomiske nøgletal og set, hvorledes dette ser ud i forbindelse med fusionen, skal jeg nu se på noget mere blødt og ikke altid så definerbart. De økonomiske nøgletal kan ikke stå alene. I ovenstående har jeg konkluderet, at det er hensigtsmæssigt for garanterne i begge pengeinstitutter at fusionere, men er det også hensigtsmæssigt, når jeg ser på, hvordan kulturen i de to pengeinstitutter passer sammen?</w:t>
      </w:r>
    </w:p>
    <w:p w:rsidR="004211C5" w:rsidRDefault="004211C5" w:rsidP="004211C5">
      <w:r>
        <w:t>I nedenstående vil jeg derfor se på, hvorledes kulturen i organisationen er. Derudover vil jeg også se på, hvorledes medarbejderne reagerer, og hvordan disse motiveres optimalt under en fusion.</w:t>
      </w:r>
    </w:p>
    <w:p w:rsidR="00253B8A" w:rsidRPr="007E08EF" w:rsidRDefault="00253B8A" w:rsidP="004211C5"/>
    <w:p w:rsidR="004211C5" w:rsidRDefault="004211C5" w:rsidP="004211C5">
      <w:pPr>
        <w:pStyle w:val="Overskrift2"/>
        <w:numPr>
          <w:ilvl w:val="1"/>
          <w:numId w:val="10"/>
        </w:numPr>
      </w:pPr>
      <w:bookmarkStart w:id="176" w:name="_Toc353437628"/>
      <w:bookmarkStart w:id="177" w:name="_Toc354517447"/>
      <w:r>
        <w:t>Organisationens samlede kultur</w:t>
      </w:r>
      <w:bookmarkEnd w:id="176"/>
      <w:bookmarkEnd w:id="177"/>
    </w:p>
    <w:p w:rsidR="004211C5" w:rsidRDefault="004211C5" w:rsidP="004211C5">
      <w:r>
        <w:t xml:space="preserve">I forbindelse med en fusion er det to forskellige pengeinstitutter, som skal til at arbejde sammen som ét samlet hold. Det kan være en stor udfordring, selvom det, som udgangspunkt, er samme produkter, de har på hylderne og nogenlunde samme ydelser, de leverer overfor kunderne. Kunsten er at få de to kulturer til at smelte sammen og bruge det bedste fra begge </w:t>
      </w:r>
      <w:r w:rsidR="00934521">
        <w:t xml:space="preserve">pengeinstitutter </w:t>
      </w:r>
      <w:r>
        <w:t>til at skabe et godt grundlag for den videre udvikling af den ”nye” sparekasse.</w:t>
      </w:r>
    </w:p>
    <w:p w:rsidR="004211C5" w:rsidRDefault="004211C5" w:rsidP="004211C5"/>
    <w:p w:rsidR="004211C5" w:rsidRDefault="004211C5" w:rsidP="004211C5">
      <w:r>
        <w:lastRenderedPageBreak/>
        <w:t>For at se på kulturen i pengeinstituttet tager jeg udgangspunkt i påvirkningsfaktorer, der bestemmer kulturen i organisationen jf. teoriafsnit.</w:t>
      </w:r>
    </w:p>
    <w:p w:rsidR="004211C5" w:rsidRDefault="004211C5" w:rsidP="004211C5"/>
    <w:p w:rsidR="004211C5" w:rsidRDefault="004211C5" w:rsidP="004211C5">
      <w:pPr>
        <w:rPr>
          <w:i/>
        </w:rPr>
      </w:pPr>
      <w:r>
        <w:rPr>
          <w:i/>
        </w:rPr>
        <w:t>Omgivelsernes art</w:t>
      </w:r>
    </w:p>
    <w:p w:rsidR="004211C5" w:rsidRDefault="004211C5" w:rsidP="004211C5">
      <w:r>
        <w:t xml:space="preserve">Begge pengeinstitutter er to ”gamle” damer, som begge har mange år på bagen og derfor stor erfaring med at drive pengeinstitut. De skal følge de samme love og regelsæt, og har derfor de samme betingelser for at drive pengeinstitut. </w:t>
      </w:r>
    </w:p>
    <w:p w:rsidR="00AE3145" w:rsidRDefault="004211C5" w:rsidP="004211C5">
      <w:r>
        <w:t xml:space="preserve">Derudover har de ansatte i et pengeinstitut de samme muligheder for at organisere sig i fagforening, som giver de samme rettigheder og muligheder </w:t>
      </w:r>
      <w:proofErr w:type="spellStart"/>
      <w:r>
        <w:t>ifb</w:t>
      </w:r>
      <w:proofErr w:type="spellEnd"/>
      <w:r>
        <w:t xml:space="preserve">. med løn, sikkerhedskrav, osv. </w:t>
      </w:r>
    </w:p>
    <w:p w:rsidR="009141AD" w:rsidRDefault="009141AD" w:rsidP="004211C5">
      <w:pPr>
        <w:rPr>
          <w:i/>
        </w:rPr>
      </w:pPr>
    </w:p>
    <w:p w:rsidR="004211C5" w:rsidRDefault="004211C5" w:rsidP="004211C5">
      <w:pPr>
        <w:rPr>
          <w:i/>
        </w:rPr>
      </w:pPr>
      <w:r>
        <w:rPr>
          <w:i/>
        </w:rPr>
        <w:t>Virksomhedstype</w:t>
      </w:r>
    </w:p>
    <w:p w:rsidR="004211C5" w:rsidRDefault="004211C5" w:rsidP="004211C5">
      <w:r>
        <w:t xml:space="preserve">Begge pengeinstitutter har </w:t>
      </w:r>
      <w:r w:rsidR="009141AD">
        <w:t xml:space="preserve">som udgangspunkt </w:t>
      </w:r>
      <w:r>
        <w:t xml:space="preserve">de samme markedsvilkår, uanset om det er høj- eller lavkonjunktur. Derved har de også de samme konkurrencevilkår – dog kan de differentiere sig ved f.eks. forskellige rentesatser, produkter osv. </w:t>
      </w:r>
    </w:p>
    <w:p w:rsidR="004211C5" w:rsidRDefault="004211C5" w:rsidP="004211C5"/>
    <w:p w:rsidR="004211C5" w:rsidRDefault="004211C5" w:rsidP="004211C5">
      <w:r>
        <w:t xml:space="preserve">Som det ses, er omgivelserne og virksomhedstype ens for begge pengeinstitutter. Der er i nedenstående to interne faktorer, som kan differentiere sig fra hinanden. </w:t>
      </w:r>
    </w:p>
    <w:p w:rsidR="004211C5" w:rsidRPr="00F216B9" w:rsidRDefault="004211C5" w:rsidP="004211C5"/>
    <w:p w:rsidR="004211C5" w:rsidRDefault="004211C5" w:rsidP="004211C5">
      <w:pPr>
        <w:rPr>
          <w:i/>
        </w:rPr>
      </w:pPr>
      <w:r>
        <w:rPr>
          <w:i/>
        </w:rPr>
        <w:t>Virksomhedens egenart</w:t>
      </w:r>
    </w:p>
    <w:p w:rsidR="004211C5" w:rsidRDefault="004211C5" w:rsidP="004211C5">
      <w:r>
        <w:t>Historikken i pengeinstitutterne minder ikke om hinanden. Den Jyske har oprindelig start i Grindsted tilbage i 1872, og er siden da blevet sammenlagt og fusioneret med mange mindre sparekasser. Den Jyske har fortsat hovedsæde i Grindsted, hvorfra filialnettet er vokset til i alt 39 afdelinger.</w:t>
      </w:r>
    </w:p>
    <w:p w:rsidR="004211C5" w:rsidRDefault="009141AD" w:rsidP="004211C5">
      <w:r>
        <w:t>DS er et år yngre</w:t>
      </w:r>
      <w:r w:rsidR="004211C5">
        <w:t xml:space="preserve"> end Den Jyske, og startede derfor tilbage i 1873, og har altid haft hovedsæde i Dronninglund. Den er ikke sammenlagt eller fusioneret med nogen i hele dens levetid, men filialnettet er nu vokset til i alt 12 afdelinger.</w:t>
      </w:r>
    </w:p>
    <w:p w:rsidR="004211C5" w:rsidRDefault="004211C5" w:rsidP="004211C5"/>
    <w:p w:rsidR="004211C5" w:rsidRDefault="004211C5" w:rsidP="004211C5">
      <w:r>
        <w:t xml:space="preserve">Den Jyske har en direktion bestående af to direktører, hvis alder ikke er oplyst. Ud fra </w:t>
      </w:r>
      <w:r w:rsidR="009141AD">
        <w:t xml:space="preserve">hjemmesiden </w:t>
      </w:r>
      <w:r>
        <w:t>vil jeg vurdere, at de begge er omkring 50 år. Umiddelbart kender jeg ikke til deres ledelsesstil, men denne må givetvis ligge op af deres strategier, ambitioner og visioner. Kort fortalt har de et værdiggrundlag, som består af seks kerneværdier: Købmandsskab, visionær, professionalisme, team</w:t>
      </w:r>
      <w:r w:rsidR="009141AD">
        <w:t xml:space="preserve"> </w:t>
      </w:r>
      <w:r>
        <w:t xml:space="preserve">ånd, handlekraft og ærlighed. Det må formodes, at det også </w:t>
      </w:r>
      <w:r>
        <w:lastRenderedPageBreak/>
        <w:t xml:space="preserve">er værdier, som ligger tæt på direktørernes adfærd, da det alt andet lige er dem, som skal vise deres medarbejdere, hvordan de ønsker, deres pengeinstitut skal drives. </w:t>
      </w:r>
    </w:p>
    <w:p w:rsidR="004211C5" w:rsidRDefault="004211C5" w:rsidP="004211C5"/>
    <w:p w:rsidR="009141AD" w:rsidRDefault="004211C5" w:rsidP="004211C5">
      <w:r>
        <w:t xml:space="preserve">DS har igennem 23 år haft den samme direktør, som går på pension pr. 1. maj 2013. Når </w:t>
      </w:r>
      <w:r w:rsidR="00AE3145">
        <w:t xml:space="preserve">DS </w:t>
      </w:r>
      <w:r>
        <w:t xml:space="preserve">har haft den samme direktør igennem flere årtier må man formode, at </w:t>
      </w:r>
      <w:r w:rsidR="009141AD">
        <w:t>de har en stærk kultur og loyalitet overfor hinanden</w:t>
      </w:r>
      <w:r>
        <w:t xml:space="preserve">. Specielt fordi der er tale om et mindre pengeinstitut, og der </w:t>
      </w:r>
      <w:r w:rsidR="009141AD">
        <w:t>ikke er langt fra top til bund, vil det være et sted, hvor man i højere grad kender alle i organisationen</w:t>
      </w:r>
      <w:r>
        <w:t xml:space="preserve">. </w:t>
      </w:r>
    </w:p>
    <w:p w:rsidR="004211C5" w:rsidRDefault="004211C5" w:rsidP="004211C5">
      <w:r>
        <w:t xml:space="preserve">Pr. 1. maj, når den nye direktør overtager, kan det betyde forandringer. Alderen på den nye direktør er ikke oplyst, men efter </w:t>
      </w:r>
      <w:r w:rsidR="009141AD">
        <w:t xml:space="preserve">hjemmesiden </w:t>
      </w:r>
      <w:r>
        <w:t xml:space="preserve">at vurdere kunne </w:t>
      </w:r>
      <w:r w:rsidR="009141AD">
        <w:t xml:space="preserve">ligeledes være </w:t>
      </w:r>
      <w:r>
        <w:t xml:space="preserve">omkring 50 år. Jeg kender </w:t>
      </w:r>
      <w:r w:rsidR="009141AD">
        <w:t xml:space="preserve">her </w:t>
      </w:r>
      <w:proofErr w:type="gramStart"/>
      <w:r w:rsidR="009141AD">
        <w:t>heller</w:t>
      </w:r>
      <w:proofErr w:type="gramEnd"/>
      <w:r w:rsidR="009141AD">
        <w:t xml:space="preserve"> </w:t>
      </w:r>
      <w:r>
        <w:t xml:space="preserve">til ledelsesstilen, men må som Den Jyske kunne afspejles i dens målsætning og strategi, som handler om, at den gerne vil engagere sig i kundens hverdag, give individuelle løsninger, et hurtigt svar og konkurrencedygtige priser.  </w:t>
      </w:r>
    </w:p>
    <w:p w:rsidR="004211C5" w:rsidRDefault="004211C5" w:rsidP="004211C5"/>
    <w:p w:rsidR="004211C5" w:rsidRDefault="004211C5" w:rsidP="004211C5">
      <w:r>
        <w:t>Jf. Den Jyskes Årsrapport ses dens organisationsdiagram</w:t>
      </w:r>
      <w:r w:rsidR="00AE3145">
        <w:rPr>
          <w:rStyle w:val="Fodnotehenvisning"/>
        </w:rPr>
        <w:footnoteReference w:id="23"/>
      </w:r>
      <w:r>
        <w:t>. Det ses, at den har organisationen delt op i stabsfunktion, hvor de forskellige afdelingerne på hovedkontoret er delt op i hver deres fagområde, samt afdelingsnettet er delt op i geografiske områder med hver deres områdeansvarlig.</w:t>
      </w:r>
    </w:p>
    <w:p w:rsidR="004211C5" w:rsidRDefault="004211C5" w:rsidP="004211C5">
      <w:r>
        <w:t xml:space="preserve">Det er ikke oplyst, hvordan DS har </w:t>
      </w:r>
      <w:r w:rsidR="009141AD">
        <w:t>sin organisation opdelt, men i følge</w:t>
      </w:r>
      <w:r>
        <w:t xml:space="preserve"> dens hjemmeside, har den også opdelt hovedsædet med to administrative afdelinger, samt hver afdeling i linjen har egen afdelingsdirektør. Derfor må organisationen ligeledes være opdelt som stabsfunktion.</w:t>
      </w:r>
      <w:r w:rsidR="009141AD">
        <w:t xml:space="preserve"> DS er ligeledes et mindre pengeinstitut, og er mere simpelt, og vejen til tops i organisationen kan være kortere.  </w:t>
      </w:r>
      <w:r>
        <w:t xml:space="preserve">      </w:t>
      </w:r>
    </w:p>
    <w:p w:rsidR="004211C5" w:rsidRDefault="004211C5" w:rsidP="004211C5"/>
    <w:p w:rsidR="004211C5" w:rsidRDefault="004211C5" w:rsidP="004211C5">
      <w:r>
        <w:t xml:space="preserve">Det ses, at begge pengeinstitutter har mange år på bagen, hvilket signalerer stabilitet og loyalitet. Derudover skal medarbejdere i DS fremover til at vænne sig til en yngre direktør, men det skulle de uanset, hvorfor man må formode, at de havde indstillet sig på denne del. </w:t>
      </w:r>
    </w:p>
    <w:p w:rsidR="004211C5" w:rsidRDefault="004211C5" w:rsidP="004211C5"/>
    <w:p w:rsidR="004211C5" w:rsidRDefault="004211C5" w:rsidP="004211C5">
      <w:r>
        <w:t xml:space="preserve">Umiddelbart har </w:t>
      </w:r>
      <w:r w:rsidR="00AE3145">
        <w:t>pengeinstitutterne</w:t>
      </w:r>
      <w:r>
        <w:t xml:space="preserve"> ikke helt samme kerneværdier, men for begge handler det om at være professionelle overfor kunden og give et individuelt svar og løsning. Det ser umiddelbart ud til, at Den Jyske har arbejdet mere dybdegående med sin vision og strategi end </w:t>
      </w:r>
      <w:r>
        <w:lastRenderedPageBreak/>
        <w:t xml:space="preserve">DS jf. dens hjemmeside. Det giver et mere professionelt indtryk, når blikket falder på Den Jyske, da den har beskrevet dens værdigrundlag, vision og strategi mere tydeligt end DS. </w:t>
      </w:r>
    </w:p>
    <w:p w:rsidR="004211C5" w:rsidRDefault="004211C5" w:rsidP="004211C5"/>
    <w:p w:rsidR="004211C5" w:rsidRDefault="004211C5" w:rsidP="004211C5">
      <w:r>
        <w:t>Selvom Den Jyske er noget større end DS og har et større filialnet, passer de godt sammen. Derudover ser deres administrationsstil også ud til at passe godt sammen, da de har bygget deres organisationer op på samme måde. Selvom jeg ikke har dybdegående kendskab til, hv</w:t>
      </w:r>
      <w:r w:rsidR="009141AD">
        <w:t>ordan</w:t>
      </w:r>
      <w:r>
        <w:t xml:space="preserve"> de enkelte afdelinger </w:t>
      </w:r>
      <w:r w:rsidR="00AE3145">
        <w:t xml:space="preserve">arbejder </w:t>
      </w:r>
      <w:r>
        <w:t>i Den Jyske, ser det dog ud som om, at enkelte af dens hovedsædefunktioner ikke er hovedsædefunktioner i DS</w:t>
      </w:r>
      <w:r w:rsidR="009141AD">
        <w:t>. Det ser ud til, at</w:t>
      </w:r>
      <w:r>
        <w:t xml:space="preserve"> pensionsrådgiveren</w:t>
      </w:r>
      <w:r w:rsidR="009141AD">
        <w:t xml:space="preserve"> hører</w:t>
      </w:r>
      <w:r>
        <w:t xml:space="preserve"> til på hovedsædet i Den Jyske, hvilket ikke er tilfældet i DS, hvor pensionsrådgiveren hører til i linjen. </w:t>
      </w:r>
    </w:p>
    <w:p w:rsidR="004211C5" w:rsidRDefault="004211C5" w:rsidP="004211C5">
      <w:r>
        <w:t>Dette vurderer jeg</w:t>
      </w:r>
      <w:r w:rsidR="009141AD">
        <w:t xml:space="preserve"> dog heller ikke alarmerende i forhold til</w:t>
      </w:r>
      <w:r>
        <w:t xml:space="preserve"> en fusion. Dog skal der tages højde for, at de administrative medarbejdere i DS (og pensionsrådgiveren) alt andet lige vil have for langt til arbejde, og der derfor kan opstå konflikter.</w:t>
      </w:r>
    </w:p>
    <w:p w:rsidR="004211C5" w:rsidRPr="00F216B9" w:rsidRDefault="004211C5" w:rsidP="004211C5">
      <w:r>
        <w:t xml:space="preserve">  </w:t>
      </w:r>
    </w:p>
    <w:p w:rsidR="004211C5" w:rsidRDefault="004211C5" w:rsidP="004211C5">
      <w:r>
        <w:rPr>
          <w:i/>
        </w:rPr>
        <w:t>Medarbejderens egenart</w:t>
      </w:r>
      <w:r>
        <w:t xml:space="preserve"> </w:t>
      </w:r>
    </w:p>
    <w:p w:rsidR="004211C5" w:rsidRDefault="004211C5" w:rsidP="004211C5">
      <w:r>
        <w:t xml:space="preserve">Det kan være meget svært at vurdere, hvorvidt medarbejderne har de samme værdier og holdninger, om de har de samme interesser og har samme sprogbrug. Alle fire faktorer er svære at definere ude fra. Dette specielt da jeg kun har årsrapporter, hjemmeside mv. til rådighed. Disse udvikler sig også i høj grad med, hvilken gruppe </w:t>
      </w:r>
      <w:r w:rsidR="00621391">
        <w:t xml:space="preserve">medarbejderne </w:t>
      </w:r>
      <w:r>
        <w:t xml:space="preserve">befinder sig i, men afhænger også af opvækst, uddannelse, social baggrund mv. </w:t>
      </w:r>
    </w:p>
    <w:p w:rsidR="004211C5" w:rsidRDefault="004211C5" w:rsidP="004211C5">
      <w:r>
        <w:t xml:space="preserve">De medarbejdere, som sidder i filialnettet, bør alle have til fælles, at de skal have gode sociale kompetencer, da de skal kommunikere og </w:t>
      </w:r>
      <w:r w:rsidR="00CA67BC">
        <w:t>aflæse</w:t>
      </w:r>
      <w:r>
        <w:t xml:space="preserve"> folk mange gange i løbet af en dag. </w:t>
      </w:r>
    </w:p>
    <w:p w:rsidR="004211C5" w:rsidRDefault="004211C5" w:rsidP="004211C5"/>
    <w:p w:rsidR="004211C5" w:rsidRDefault="004211C5" w:rsidP="004211C5">
      <w:r>
        <w:t xml:space="preserve">Det har ikke været muligt at finde oplysninger om medarbejdernes aldersdemografi samt viden og erfaring. Men det er generelt kendt for mange pengeinstitutter, at de på sigt kan få udfordringer med store årgange, som går på pension samtidig.   </w:t>
      </w:r>
    </w:p>
    <w:p w:rsidR="004211C5" w:rsidRDefault="004211C5" w:rsidP="004211C5"/>
    <w:p w:rsidR="004211C5" w:rsidRDefault="004211C5" w:rsidP="004211C5">
      <w:r>
        <w:t>Tidligere var de bankansattes påklædning lidt stift – slips og skjorte var påkrævet for herrerne, mens kvinderne ligeledes skulle have pæne sko og nederdel på. Dette tror jeg også efterhånden hører fortiden til, og medarbejderne skal nu ikke gå med skjorte, slips og nederdel, men blot i almindeligt, pænt og præsentabelt tøj.</w:t>
      </w:r>
    </w:p>
    <w:p w:rsidR="004211C5" w:rsidRDefault="004211C5" w:rsidP="004211C5"/>
    <w:p w:rsidR="004211C5" w:rsidRDefault="004211C5" w:rsidP="004211C5">
      <w:r>
        <w:t xml:space="preserve">Som sagt kan det være svært at definere, hvordan medarbejderens egenart er. For at synliggøre denne internt i organisationen, kan man fra direktionens side være en smule </w:t>
      </w:r>
      <w:r>
        <w:lastRenderedPageBreak/>
        <w:t>proakt</w:t>
      </w:r>
      <w:r w:rsidR="00CE1F68">
        <w:t>ive</w:t>
      </w:r>
      <w:r w:rsidR="00621391">
        <w:t>.</w:t>
      </w:r>
      <w:r>
        <w:t xml:space="preserve"> Før, under og efter en fusion kan det være svært at finde ud af, hvilke faktorer og værdier organisationen i fremtiden skal holde ved for fortsat at have en god og holdbar kultur, som kan drive organisationen derhen, den ønsker. </w:t>
      </w:r>
    </w:p>
    <w:p w:rsidR="004211C5" w:rsidRDefault="004211C5" w:rsidP="004211C5"/>
    <w:p w:rsidR="004211C5" w:rsidRDefault="004211C5" w:rsidP="004211C5">
      <w:r>
        <w:t>Derfor vil jeg anbefale direktionen, at den har stor fokus på sine medarbejdere i perioden efter fusionen – både de, som kommer fra DS, men også de ”gamle” fra Den Jyske, som i højere grad for en stund skal trække læsset. Derudover har Den Jyske tidligere haft en del fusioner og opkøb, som gør, at medarbejderne kan have brug for at føle sig som et samlet hold</w:t>
      </w:r>
      <w:r w:rsidR="0032288D">
        <w:t>, da organisationsændringer ofte medfører en del uro</w:t>
      </w:r>
      <w:r>
        <w:t>.</w:t>
      </w:r>
    </w:p>
    <w:p w:rsidR="004211C5" w:rsidRDefault="004211C5" w:rsidP="004211C5"/>
    <w:p w:rsidR="004211C5" w:rsidRDefault="004211C5" w:rsidP="004211C5">
      <w:r>
        <w:t xml:space="preserve">Det er vigtigt, at direktionen er god til at informere, hvad der skal ske i organisationen. Afdelingsdirektører og ledere i øvrigt skal have relevante informationer at vide, som de kan videregive til deres medarbejdere i det omfang, der er nødvendigt. Når informations-flowet er </w:t>
      </w:r>
      <w:r w:rsidR="0032288D">
        <w:t>på plads</w:t>
      </w:r>
      <w:r>
        <w:t xml:space="preserve">, bliver medarbejderne ikke overrasket og </w:t>
      </w:r>
      <w:r w:rsidR="0032288D">
        <w:t xml:space="preserve">risikoen for at de føler sig </w:t>
      </w:r>
      <w:r>
        <w:t>utilpasse eller usikre</w:t>
      </w:r>
      <w:r w:rsidR="0032288D">
        <w:t xml:space="preserve"> mindskes</w:t>
      </w:r>
      <w:r>
        <w:t>. Hvis informationerne bliver givet, bruger medarbejderne også mindre energi på at bekymre sig</w:t>
      </w:r>
      <w:r w:rsidR="00EC2A12">
        <w:t>,</w:t>
      </w:r>
      <w:r>
        <w:t xml:space="preserve"> og kan derved bruge ekstra energi på noget andet.</w:t>
      </w:r>
    </w:p>
    <w:p w:rsidR="004211C5" w:rsidRDefault="004211C5" w:rsidP="004211C5"/>
    <w:p w:rsidR="004211C5" w:rsidRDefault="004211C5" w:rsidP="004211C5">
      <w:r>
        <w:t xml:space="preserve">For at få sine nye medarbejdere ordentligt integreret i sit pengeinstitut kan </w:t>
      </w:r>
      <w:r w:rsidR="00621391">
        <w:t xml:space="preserve">man </w:t>
      </w:r>
      <w:r>
        <w:t xml:space="preserve">f.eks. lave en folder med nyttige telefonnumre til udvalgte nøglepersoner i organisationen, hvis der opstår diverse problemstillinger. Derved skal den nye medarbejder ikke bruge unødig tid og energi. Det vil ikke kun være nyttigt i forbindelse med denne fusion, men vil også kunne bruges i fremtiden til andre fusioner, eller når der kommer nye medarbejdere til organisationen.   </w:t>
      </w:r>
    </w:p>
    <w:p w:rsidR="004211C5" w:rsidRDefault="00621391" w:rsidP="004211C5">
      <w:r>
        <w:t>Der</w:t>
      </w:r>
      <w:r w:rsidR="004211C5">
        <w:t xml:space="preserve"> kan med fordel arrangere</w:t>
      </w:r>
      <w:r w:rsidR="0032288D">
        <w:t>s</w:t>
      </w:r>
      <w:r w:rsidR="004211C5">
        <w:t xml:space="preserve"> et socialt arrangement for alle de ansatte i Den Jyske, hvor man laver noget på tværs af afdelinger og geografi. </w:t>
      </w:r>
      <w:r w:rsidR="0032288D">
        <w:t xml:space="preserve">Temaet kunne være </w:t>
      </w:r>
      <w:r w:rsidR="004211C5">
        <w:t xml:space="preserve">noget </w:t>
      </w:r>
      <w:r w:rsidR="0032288D">
        <w:t>i forhold til</w:t>
      </w:r>
      <w:r w:rsidR="004211C5">
        <w:t xml:space="preserve">, hvilken kultur, mål og mission Den Jyske fremover skal have. Når man på denne </w:t>
      </w:r>
      <w:r>
        <w:t xml:space="preserve">måde </w:t>
      </w:r>
      <w:r w:rsidR="004211C5">
        <w:t xml:space="preserve">inddrager medarbejderne, vil de også i højere grad tage mål og kultur til sig, og føle sig som en del af det nye hold.  </w:t>
      </w:r>
    </w:p>
    <w:p w:rsidR="004211C5" w:rsidRPr="007E08EF" w:rsidRDefault="004211C5" w:rsidP="004211C5"/>
    <w:p w:rsidR="004211C5" w:rsidRDefault="004211C5" w:rsidP="004211C5">
      <w:pPr>
        <w:pStyle w:val="Overskrift2"/>
        <w:numPr>
          <w:ilvl w:val="1"/>
          <w:numId w:val="10"/>
        </w:numPr>
      </w:pPr>
      <w:bookmarkStart w:id="178" w:name="_Toc353437629"/>
      <w:bookmarkStart w:id="179" w:name="_Toc354517448"/>
      <w:r>
        <w:t>Motivation</w:t>
      </w:r>
      <w:bookmarkEnd w:id="178"/>
      <w:bookmarkEnd w:id="179"/>
    </w:p>
    <w:p w:rsidR="004211C5" w:rsidRDefault="004211C5" w:rsidP="004211C5">
      <w:r>
        <w:t xml:space="preserve">Ud over, at direktionen og afdelingslederen generelt skal være opmærksomme på sine medarbejdere, kræver det en ekstra indsats af alle medarbejdere i forbindelse med en fusion, da medarbejderne her er ekstra sårbare og usikre. </w:t>
      </w:r>
    </w:p>
    <w:p w:rsidR="004211C5" w:rsidRDefault="004211C5" w:rsidP="004211C5"/>
    <w:p w:rsidR="004211C5" w:rsidRDefault="004211C5" w:rsidP="004211C5">
      <w:r>
        <w:lastRenderedPageBreak/>
        <w:t xml:space="preserve">Alt andet lige vil det have den største betydning for de tidligere medarbejdere i DS, da det er dem, som nu skal til at </w:t>
      </w:r>
      <w:r w:rsidR="0032288D">
        <w:t xml:space="preserve">agere </w:t>
      </w:r>
      <w:r>
        <w:t xml:space="preserve">sig under andre forhold, en ny kultur og en ny organisation. Der vil </w:t>
      </w:r>
      <w:r w:rsidR="0032288D">
        <w:t xml:space="preserve">muligvis </w:t>
      </w:r>
      <w:r>
        <w:t xml:space="preserve">komme modstand fra de berørte medarbejdere og kunsten bliver at få modstanden minimeret mest muligt. </w:t>
      </w:r>
    </w:p>
    <w:p w:rsidR="004211C5" w:rsidRDefault="004211C5" w:rsidP="004211C5">
      <w:r>
        <w:t xml:space="preserve">Medarbejderen skal naturligvis tage vare på sig selv men kan have brug for støtte og forståelse fra sine nærmeste kollegaer og leder. </w:t>
      </w:r>
    </w:p>
    <w:p w:rsidR="004211C5" w:rsidRDefault="004211C5" w:rsidP="004211C5"/>
    <w:p w:rsidR="004211C5" w:rsidRDefault="004211C5" w:rsidP="004211C5">
      <w:r>
        <w:t xml:space="preserve">Lederne i det gamle DS skal derfor gøres klar til at varetage denne opgave, og skal have den nye kultur og organisation helt ind under huden. De skal gøres opmærksomme på de tegn, der kan komme fra medarbejderne, og derved tage de udfordringer og modstand, der kommer, i opløbet. Det er vigtigt, at medarbejderne føler, at de er velinformeret i, hvad der sker omkring dem. Medarbejderen skal have </w:t>
      </w:r>
      <w:r w:rsidR="0032288D">
        <w:t xml:space="preserve">optimal </w:t>
      </w:r>
      <w:r>
        <w:t xml:space="preserve">indsigt og viden om det nye, der sker omkring dem. </w:t>
      </w:r>
    </w:p>
    <w:p w:rsidR="004211C5" w:rsidRDefault="004211C5" w:rsidP="004211C5"/>
    <w:p w:rsidR="004211C5" w:rsidRDefault="004211C5" w:rsidP="004211C5">
      <w:r>
        <w:t xml:space="preserve">De typiske signaler og modstand fra en medarbejder kan være manglende engagement, surhed og modvilje. Der vil som udgangspunkt komme modstand og frustration på et eller andet tidspunkt i løbet af en fusion. Der skal kun én medarbejder til at påvirke de øvrige i negativ retning eller generelt skabe dårlig stemning. Hvis det er muligt, kan </w:t>
      </w:r>
      <w:r w:rsidR="00621391">
        <w:t>lederen</w:t>
      </w:r>
      <w:r>
        <w:t xml:space="preserve"> finde frem til den/de pågældende medarbejdere, og tage fat på deres modstand og forsøge at få vendt negativiteten og finde en passende løsning. </w:t>
      </w:r>
    </w:p>
    <w:p w:rsidR="004211C5" w:rsidRDefault="004211C5" w:rsidP="004211C5">
      <w:r>
        <w:t xml:space="preserve">Som tidligere nævnt er det i høj grad vigtigt, at man som medarbejder føler sig informeret, da det har stor betydning for motivationen, selvtilliden, selvværd og velbefindende jf. Moss Kanters figur: ”Effektivitet og selvværd i udviklingsfaserne”.  Derfor er det vigtigt, at lederne fra det gamle DS accepterer og har forståelse for, hvordan den enkelte medarbejder kan agere og reagere. Nogle vil have brug for længere tid til at fordøje den nye situation, de ufrivilligt er havnet i og </w:t>
      </w:r>
      <w:r w:rsidR="0032288D">
        <w:t xml:space="preserve">som de </w:t>
      </w:r>
      <w:r>
        <w:t xml:space="preserve">kan have svært ved at tackle. </w:t>
      </w:r>
    </w:p>
    <w:p w:rsidR="004211C5" w:rsidRDefault="004211C5" w:rsidP="004211C5"/>
    <w:p w:rsidR="004211C5" w:rsidRDefault="004211C5" w:rsidP="004211C5">
      <w:r>
        <w:t xml:space="preserve">Lederne i den nye organisation kan bruge Moss Kanters model ”Effektivitet og selvværd i udviklingsfaserne” jf. teoriafsnit for at forstå og motivere sine medarbejdere optimalt. Modellen omhandler netop den modstand, der kan komme hos medarbejderne i deres forandringstilstand. Hvis både leder og medarbejder i den nye organisation forstår og accepterer, at de er i en proces, som gør, at deres effektivitet, selvværd, selvtillid mv. er mindre, </w:t>
      </w:r>
      <w:r w:rsidR="00621391">
        <w:t xml:space="preserve">og det </w:t>
      </w:r>
      <w:r>
        <w:t xml:space="preserve">kun </w:t>
      </w:r>
      <w:r w:rsidR="00621391">
        <w:t xml:space="preserve">er </w:t>
      </w:r>
      <w:r>
        <w:t>i en periode</w:t>
      </w:r>
      <w:r w:rsidR="00621391">
        <w:t xml:space="preserve"> inden man arbejder på </w:t>
      </w:r>
      <w:r>
        <w:t xml:space="preserve">normal igen. </w:t>
      </w:r>
    </w:p>
    <w:p w:rsidR="004211C5" w:rsidRDefault="004211C5" w:rsidP="004211C5">
      <w:r>
        <w:t xml:space="preserve">Medarbejderen skal være bevidst om manglende effektivitet, når vedkommende udfører sine arbejdsopgaver. Det kan kræve ekstra opbakning fra nærmeste leder, at diverse </w:t>
      </w:r>
      <w:r>
        <w:lastRenderedPageBreak/>
        <w:t xml:space="preserve">arbejdsopgaver kan tage længere tid for at undgå fejl, da medarbejderen dobbelttjekker, bliver frustreret, mv. </w:t>
      </w:r>
    </w:p>
    <w:p w:rsidR="004211C5" w:rsidRDefault="004211C5" w:rsidP="004211C5"/>
    <w:p w:rsidR="004211C5" w:rsidRDefault="004211C5" w:rsidP="004211C5">
      <w:r>
        <w:t>Det vil umiddelbart ikke betyde det stor</w:t>
      </w:r>
      <w:r w:rsidR="0032288D">
        <w:t>e for medarbejderne i Den Jyske -</w:t>
      </w:r>
      <w:r>
        <w:t xml:space="preserve"> de har samme kultur og organisation. Det er umiddelbart kun de medarbejdere</w:t>
      </w:r>
      <w:r w:rsidR="0032288D">
        <w:t xml:space="preserve"> i Den Jyske</w:t>
      </w:r>
      <w:r>
        <w:t>, som får nye kollegaer. Her kræver det en større indsats at komme til at kende folk, samt at de formentlig også skal oplæres.</w:t>
      </w:r>
    </w:p>
    <w:p w:rsidR="004211C5" w:rsidRDefault="004211C5" w:rsidP="004211C5">
      <w:r>
        <w:t xml:space="preserve">Man kan også forlange af de nuværende ansatte i Den Jyske, at der i høj grad er ambassadører, der viser sig som gode eksempler, både overfor kunder og nye kollegaer, således at de hurtigere opfanger kulturen. Derved gør det både kunder og kollegaer tryghed, når medarbejderne er loyale medarbejdere. </w:t>
      </w:r>
    </w:p>
    <w:p w:rsidR="004211C5" w:rsidRDefault="004211C5" w:rsidP="004211C5"/>
    <w:p w:rsidR="004211C5" w:rsidRDefault="004211C5" w:rsidP="004211C5">
      <w:r>
        <w:t>For alle medarbejdere gælder det dog, at de kan have en stor usikkerhed på deres fremtidige arbejdssituation. De ved ikke, hvad fire fusioner/samme</w:t>
      </w:r>
      <w:r w:rsidR="0032288D">
        <w:t>nlægninger på to år betyder i forhold til</w:t>
      </w:r>
      <w:r>
        <w:t xml:space="preserve"> deres nuværende arbejdsopgaver. Denne usikkerhed kan føre til, at medarbejderne ikke arbejder så effektivt, laver flere personlige fejl, mv. Dvs., at de operationelle risici stiger i takt med, at usikkerheden blandt medarbejderne stiger.   </w:t>
      </w:r>
    </w:p>
    <w:p w:rsidR="004211C5" w:rsidRDefault="004211C5" w:rsidP="004211C5"/>
    <w:p w:rsidR="004211C5" w:rsidRDefault="004211C5" w:rsidP="004211C5">
      <w:r>
        <w:t xml:space="preserve">I ovenstående afsnit vedrørende de økonomiske rationaliseringer konkluderede jeg, at det ville være nok med to direktører, og der derfor skulle fyres en. Hvis jeg udelukkende tager udgangspunkt i, hvad der er bedst for organisationen og kulturen, og derved ikke tager hensyn til økonomien, vil jeg anbefale, at man beholder direktøren fra DS. Ved at beholde direktøren i DS, vil jeg vurdere, er bedst mulighed for at opretholde motivationen hos medarbejderne fra DS. Det giver medarbejderne tryghed </w:t>
      </w:r>
      <w:r w:rsidR="005A30A8">
        <w:t>i forhold til</w:t>
      </w:r>
      <w:r>
        <w:t xml:space="preserve">, at der formentlig altid vil være en til at tale deres sag. DS er noget mindre end Den Jyske, hvorfor medarbejdere og kunder kan frygte, at </w:t>
      </w:r>
      <w:r w:rsidR="00621391">
        <w:t xml:space="preserve">medarbejderne i det gamle DS </w:t>
      </w:r>
      <w:r w:rsidR="002D2D75">
        <w:t>og deres holdninger ikke bliver hørt</w:t>
      </w:r>
      <w:r>
        <w:t>.</w:t>
      </w:r>
      <w:r w:rsidR="0032288D">
        <w:t xml:space="preserve"> Det har en høj signalværdi at tage en kulturbærer med </w:t>
      </w:r>
      <w:r w:rsidR="005A30A8">
        <w:t xml:space="preserve">i fusionssparekassen. </w:t>
      </w:r>
      <w:r>
        <w:t xml:space="preserve">  </w:t>
      </w:r>
    </w:p>
    <w:p w:rsidR="004211C5" w:rsidRDefault="004211C5" w:rsidP="004211C5">
      <w:r>
        <w:t xml:space="preserve">Derudover vil det endvidere også have stor betydning for kulturen, da det må forventes, at direktøren i DS vil være en kulturbærer. Selvom det er en ny direktør, som tiltræder, har Villy Sørensen været en del af organisationen i DS længe og kender til både deres organisation og kultur. </w:t>
      </w:r>
    </w:p>
    <w:p w:rsidR="004211C5" w:rsidRPr="000A227E" w:rsidRDefault="004211C5" w:rsidP="004211C5">
      <w:pPr>
        <w:rPr>
          <w:color w:val="FF0000"/>
        </w:rPr>
      </w:pPr>
    </w:p>
    <w:p w:rsidR="004211C5" w:rsidRDefault="004211C5" w:rsidP="004211C5">
      <w:pPr>
        <w:pStyle w:val="Overskrift2"/>
        <w:numPr>
          <w:ilvl w:val="1"/>
          <w:numId w:val="10"/>
        </w:numPr>
      </w:pPr>
      <w:bookmarkStart w:id="180" w:name="_Toc353437630"/>
      <w:bookmarkStart w:id="181" w:name="_Toc354517449"/>
      <w:r>
        <w:lastRenderedPageBreak/>
        <w:t>Delkonklusion/opsamling</w:t>
      </w:r>
      <w:bookmarkEnd w:id="180"/>
      <w:bookmarkEnd w:id="181"/>
    </w:p>
    <w:p w:rsidR="004211C5" w:rsidRDefault="004211C5" w:rsidP="004211C5">
      <w:r>
        <w:t xml:space="preserve">Det ses i ovenstående, at kultur i en organisationen er en uhåndgribelig størrelse og kan være svær at forklare og påvise, selv for dem, som er i organisationen hver dag. </w:t>
      </w:r>
    </w:p>
    <w:p w:rsidR="004211C5" w:rsidRDefault="004211C5" w:rsidP="004211C5"/>
    <w:p w:rsidR="004211C5" w:rsidRDefault="004211C5" w:rsidP="004211C5">
      <w:r>
        <w:t xml:space="preserve">Kultur er vigtig en del </w:t>
      </w:r>
      <w:r w:rsidR="005A30A8">
        <w:t xml:space="preserve">i </w:t>
      </w:r>
      <w:r>
        <w:t>en organisation og spiller en stor rolle i medarbejdernes hverdag og virke overfor hinanden og kunderne.</w:t>
      </w:r>
    </w:p>
    <w:p w:rsidR="004211C5" w:rsidRDefault="004211C5" w:rsidP="004211C5">
      <w:r>
        <w:t>Begge pengeinstitutter har mange år på bagen og har eksisteret siden hhv. 1872 og 1873. Derved er der tale om to pengeinstitutter, som udviser loyalitet og stabilitet overfor kunder og øvrig omverden.</w:t>
      </w:r>
    </w:p>
    <w:p w:rsidR="004211C5" w:rsidRDefault="004211C5" w:rsidP="004211C5">
      <w:r>
        <w:t>Den Jyske er gennem årene blevet sammenlagt og fusioneret med mange sparekasser og har nu et filialnet, som dækker hele Jylland</w:t>
      </w:r>
      <w:r w:rsidR="00A14680">
        <w:t>, men med Aalborg som nordligste afdeling. De har deres hoveds</w:t>
      </w:r>
      <w:r>
        <w:t xml:space="preserve">æde i Grindsted. </w:t>
      </w:r>
    </w:p>
    <w:p w:rsidR="004211C5" w:rsidRDefault="004211C5" w:rsidP="004211C5">
      <w:r>
        <w:t>DS har i årene ”kun” været sig selv og er ikke lagt sammen med nogen. De har sit filialnet nord for Limfjorden</w:t>
      </w:r>
      <w:r w:rsidR="003D36EA">
        <w:t xml:space="preserve">, og deres filialer ligger primært i Øst Vendsyssel. De har deres </w:t>
      </w:r>
      <w:r>
        <w:t xml:space="preserve">hovedsæde i Dronninglund. </w:t>
      </w:r>
    </w:p>
    <w:p w:rsidR="004211C5" w:rsidRDefault="004211C5" w:rsidP="004211C5"/>
    <w:p w:rsidR="004211C5" w:rsidRDefault="004211C5" w:rsidP="004211C5">
      <w:r>
        <w:t>Den Jyske har to medlemmer af direktionen, mens DS får ny direktør pr. 1.5.2013</w:t>
      </w:r>
      <w:r w:rsidR="003A6A0D">
        <w:t>.</w:t>
      </w:r>
      <w:r w:rsidR="00314D25">
        <w:t xml:space="preserve"> </w:t>
      </w:r>
      <w:r w:rsidR="003A6A0D">
        <w:t>Her skal ny</w:t>
      </w:r>
      <w:r>
        <w:t xml:space="preserve"> mand overtage efter afgående direktør Birger Haaning, som har været direktør de seneste 23 år.</w:t>
      </w:r>
    </w:p>
    <w:p w:rsidR="004211C5" w:rsidRDefault="004211C5" w:rsidP="004211C5"/>
    <w:p w:rsidR="004211C5" w:rsidRDefault="004211C5" w:rsidP="004211C5">
      <w:r>
        <w:t xml:space="preserve">Deres kerneværdier minder om hinanden, men dog er der forskelle. Begge ønsker at have deres virke i lokalområdet og støtte projekter og mennesker der. Begge pengeinstitutter vil gerne involvere sig i kundens hverdag og skabe personlige relationer og løsninger sammen med kunden. </w:t>
      </w:r>
    </w:p>
    <w:p w:rsidR="004211C5" w:rsidRDefault="004211C5" w:rsidP="004211C5"/>
    <w:p w:rsidR="004211C5" w:rsidRDefault="004211C5" w:rsidP="004211C5">
      <w:r>
        <w:t>På mange måder ligner de hinanden</w:t>
      </w:r>
      <w:r w:rsidR="00EC2A12">
        <w:t>,</w:t>
      </w:r>
      <w:r>
        <w:t xml:space="preserve"> men er på mange områder også vidt forskellige. Den Jyske er en meget </w:t>
      </w:r>
      <w:r w:rsidR="005A30A8">
        <w:t>blandet</w:t>
      </w:r>
      <w:r>
        <w:t xml:space="preserve"> flok af diverse sparekasser, og de ønsker også i fremtiden at blive ved med at opkøbe og fusionere. </w:t>
      </w:r>
    </w:p>
    <w:p w:rsidR="004211C5" w:rsidRDefault="004211C5" w:rsidP="004211C5">
      <w:r>
        <w:t xml:space="preserve">DS har ikke fusioneret med nogen og viser ej heller ønske derom. De vil gerne øge markedsandele regionalt og lokalt. Af ovenstående kan jeg derved konkludere, at det må være en stærkere organisation og kultur i DS ift. Den Jyske. </w:t>
      </w:r>
    </w:p>
    <w:p w:rsidR="004211C5" w:rsidRDefault="004211C5" w:rsidP="004211C5"/>
    <w:p w:rsidR="004211C5" w:rsidRDefault="004211C5" w:rsidP="004211C5">
      <w:r>
        <w:t xml:space="preserve">For at øge kendskabet til organisationen og kulturen kan direktionen opfordre til tiltag, som gør, at de nye medarbejdere føler sig velkommen, og hurtigt får den nye organisation og </w:t>
      </w:r>
      <w:r>
        <w:lastRenderedPageBreak/>
        <w:t xml:space="preserve">kultur ind under huden. Det kunne f.eks. være personalearrangementer, hvor der arrangeres sociale ting på tværs af afdelinger. </w:t>
      </w:r>
    </w:p>
    <w:p w:rsidR="004211C5" w:rsidRDefault="004211C5" w:rsidP="004211C5"/>
    <w:p w:rsidR="004211C5" w:rsidRDefault="004211C5" w:rsidP="004211C5">
      <w:r>
        <w:t>Lederne i hele organisationen får deres at se til under en fusion, da deres medarbejdere vil gøre modstand, være mindre effektive, blive frustreret mv.</w:t>
      </w:r>
    </w:p>
    <w:p w:rsidR="004211C5" w:rsidRPr="007E08EF" w:rsidRDefault="004211C5" w:rsidP="004211C5">
      <w:r>
        <w:t>For at støtte og være der for de berørte medarbejdere bedst muligt, kan de med fordel møde dem på deres hjemmebane, og vise forståelse for den proces, de gennemgår i forbindelse med fusionen. Der vil komme modstand, som gør at medarbejderne bliver usikre, mister selvtillid og selvværd osv. Det kan for en kort periode betyde, at de operationelle risici vil stige.</w:t>
      </w:r>
    </w:p>
    <w:p w:rsidR="004211C5" w:rsidRDefault="004211C5" w:rsidP="004211C5">
      <w:pPr>
        <w:spacing w:line="240" w:lineRule="auto"/>
        <w:jc w:val="left"/>
        <w:rPr>
          <w:rFonts w:ascii="Verdana" w:eastAsiaTheme="majorEastAsia" w:hAnsi="Verdana" w:cstheme="majorBidi"/>
          <w:b/>
          <w:bCs/>
          <w:kern w:val="32"/>
          <w:sz w:val="28"/>
          <w:szCs w:val="32"/>
        </w:rPr>
      </w:pPr>
    </w:p>
    <w:p w:rsidR="002C18D5" w:rsidRDefault="007A419F" w:rsidP="007104DE">
      <w:pPr>
        <w:pStyle w:val="Overskrift1"/>
        <w:numPr>
          <w:ilvl w:val="0"/>
          <w:numId w:val="10"/>
        </w:numPr>
      </w:pPr>
      <w:bookmarkStart w:id="182" w:name="_Toc354517450"/>
      <w:r>
        <w:t>Konklusion</w:t>
      </w:r>
      <w:bookmarkEnd w:id="182"/>
    </w:p>
    <w:p w:rsidR="0069388E" w:rsidRDefault="0069388E" w:rsidP="004B5974">
      <w:r>
        <w:t>Indledningsvis kan jeg konkludere, at flere pengeinstitutter har haft udfordringer med at drive en sund virksomhed, og har haft svært ved at tjene penge. Derved er flere krakket</w:t>
      </w:r>
      <w:r w:rsidR="00F214D3">
        <w:t xml:space="preserve"> og blevet en del af Finansiel S</w:t>
      </w:r>
      <w:r>
        <w:t xml:space="preserve">tabilitet grundet øgede nedskrivninger, tab på udlån og den generelle økonomiske afmatning i samfundet og verden. </w:t>
      </w:r>
    </w:p>
    <w:p w:rsidR="00DF13A1" w:rsidRDefault="0069388E" w:rsidP="004B5974">
      <w:r>
        <w:t>De pengeinstitutter, som i tide er fusioneret eller blevet opkøbt af konkurrenter, har reddet sine kunder og aktionærer/garanter mod tab. De har endvidere signaleret overfor omverdenen, at de har taget ansvar for den situation de er i, og i høj grad taget forskud på de udfordringer de givet vis ville få i fremtiden.</w:t>
      </w:r>
      <w:r w:rsidR="00DF13A1">
        <w:t xml:space="preserve"> Der er mange pengeinstitutter, som vælger at konsolidere sig for at sikre deres kunder og aktionærer/garanters fremtid</w:t>
      </w:r>
      <w:r w:rsidR="00252A4D">
        <w:t>, men også for at opnå</w:t>
      </w:r>
      <w:r w:rsidR="00F214D3">
        <w:t xml:space="preserve"> synergieffekter og stordriftsfordele</w:t>
      </w:r>
      <w:r w:rsidR="00DF13A1">
        <w:t>.</w:t>
      </w:r>
    </w:p>
    <w:p w:rsidR="00DF13A1" w:rsidRDefault="00DF13A1" w:rsidP="004B5974"/>
    <w:p w:rsidR="00DF13A1" w:rsidRDefault="00DF13A1" w:rsidP="004B5974">
      <w:r>
        <w:t xml:space="preserve">For begge pengeinstitutter er det gældende, at de i 2012 har præsteret et positiv resultat, samt begge opfylder de givne lovkrav, samt Finanstilsynets grænseværdier i Tilsynsdiamanten. </w:t>
      </w:r>
    </w:p>
    <w:p w:rsidR="00974CB9" w:rsidRDefault="00974CB9" w:rsidP="004B5974"/>
    <w:p w:rsidR="004B5974" w:rsidRDefault="00DF13A1" w:rsidP="004B5974">
      <w:r>
        <w:t xml:space="preserve">Ud fra de udregnede økonomiske nøgletal ses det, at </w:t>
      </w:r>
      <w:r w:rsidR="00974CB9">
        <w:t xml:space="preserve">begge pengeinstitutter har forbedret deres WACC, og at Den Jyske har et bedre niveau. For begge gælder det, at de ligger over markedsrenten, og derved skal forsøge at øge deres konkurrenceevne ved at mindske WACC yderligere. </w:t>
      </w:r>
    </w:p>
    <w:p w:rsidR="00974CB9" w:rsidRDefault="00974CB9" w:rsidP="004B5974"/>
    <w:p w:rsidR="00974CB9" w:rsidRDefault="00974CB9" w:rsidP="004B5974">
      <w:r>
        <w:t xml:space="preserve">Begge pengeinstitutter har forbedret deres ICGR, og har derfor i 2012 bedre muligheder for at udvide deres balance ved at fastholde samme solvens givet de beholder samme </w:t>
      </w:r>
      <w:proofErr w:type="spellStart"/>
      <w:r>
        <w:t>vægtningsmix</w:t>
      </w:r>
      <w:proofErr w:type="spellEnd"/>
      <w:r>
        <w:t xml:space="preserve">. </w:t>
      </w:r>
      <w:r>
        <w:lastRenderedPageBreak/>
        <w:t xml:space="preserve">Den Jyske har mulighed for at udvide deres balance med 4,02 %, mens DS kan udvide med 2,73 %. </w:t>
      </w:r>
    </w:p>
    <w:p w:rsidR="00974CB9" w:rsidRDefault="00974CB9" w:rsidP="004B5974"/>
    <w:p w:rsidR="00974CB9" w:rsidRDefault="00974CB9" w:rsidP="004B5974">
      <w:r>
        <w:t xml:space="preserve">Den Jyske har i hele perioden haft et positivt GAP, mens DS i 2008 og 2009 ligeledes havde et positivt GAP, og fra 2010 – 2012 ændrede </w:t>
      </w:r>
      <w:r w:rsidR="003C3019">
        <w:t xml:space="preserve">denne </w:t>
      </w:r>
      <w:r>
        <w:t xml:space="preserve">sig til et negativt GAP. </w:t>
      </w:r>
      <w:r w:rsidR="003C3019">
        <w:t xml:space="preserve">Den Jyske har dog forbedret deres GAP og ISR, i det de er blevet mindre rentefølsomme. </w:t>
      </w:r>
      <w:r w:rsidR="00EA3328">
        <w:t xml:space="preserve">For DS gælder det, at de er blevet mere rentefølsomme, da deres GAP og ISR har bevæget sig længere væk fra </w:t>
      </w:r>
      <w:r w:rsidR="0077210E">
        <w:t xml:space="preserve">hhv. </w:t>
      </w:r>
      <w:r w:rsidR="00EA3328">
        <w:t xml:space="preserve">0 og 1. </w:t>
      </w:r>
    </w:p>
    <w:p w:rsidR="00EA3328" w:rsidRDefault="00EA3328" w:rsidP="004B5974"/>
    <w:p w:rsidR="00EA3328" w:rsidRDefault="00EA3328" w:rsidP="004B5974">
      <w:r>
        <w:t>For begge pengeinstitutter er det gældende, at de er blevet dårligere til at udnytte deres aktiver, hvorfor deres Loan Ratio er faldende. For begge skyldes det, at deres aktivmasse ikke er steget tilsvarende i forhold til deres udlån.</w:t>
      </w:r>
    </w:p>
    <w:p w:rsidR="004540A0" w:rsidRDefault="004540A0" w:rsidP="004B5974"/>
    <w:p w:rsidR="00B81BEE" w:rsidRDefault="00B81BEE" w:rsidP="004B5974">
      <w:r>
        <w:t>Efter fusionen af de to pengeinstitutter ses det, at de økonomiske nøgletal ligger sig meget tæt på Den Jyskes. Dette skyldes, at DS er et noget mindre pengeinstitut</w:t>
      </w:r>
      <w:r w:rsidR="0077210E">
        <w:t xml:space="preserve"> og deres regnskabstal ikke har den store betydning</w:t>
      </w:r>
      <w:r>
        <w:t xml:space="preserve">, men også, at deres nøgletal var tætte på hinanden. </w:t>
      </w:r>
    </w:p>
    <w:p w:rsidR="004540A0" w:rsidRDefault="004540A0" w:rsidP="004B5974"/>
    <w:p w:rsidR="00E30543" w:rsidRDefault="004540A0" w:rsidP="004B5974">
      <w:r>
        <w:t xml:space="preserve">Hvis vi udelukkende ser på </w:t>
      </w:r>
      <w:r w:rsidR="00A14680">
        <w:t>de økonomiske nøgletal efter fusionen</w:t>
      </w:r>
      <w:r w:rsidR="00900A19">
        <w:t xml:space="preserve"> er</w:t>
      </w:r>
      <w:r w:rsidR="00905477">
        <w:t xml:space="preserve"> det primært </w:t>
      </w:r>
      <w:r w:rsidR="00900A19">
        <w:t>garanterne i DS, som vil få den bedste oplevelse. Deres nøgletal er forbedret</w:t>
      </w:r>
      <w:r w:rsidR="00E30543">
        <w:t>,</w:t>
      </w:r>
      <w:r w:rsidR="00900A19">
        <w:t xml:space="preserve"> hvilket skyldes, at</w:t>
      </w:r>
      <w:r w:rsidR="00E30543">
        <w:t xml:space="preserve"> de nu </w:t>
      </w:r>
      <w:r w:rsidR="00900A19">
        <w:t xml:space="preserve">er </w:t>
      </w:r>
      <w:r w:rsidR="00E30543">
        <w:t>en del af et større pengeinstitut.</w:t>
      </w:r>
      <w:r w:rsidR="00A14680">
        <w:t xml:space="preserve"> De vil specielt opnå flere stordriftsfordele, som f.eks. ses ved indtjening pr. medarbejder, som er væsentligt forbedret.</w:t>
      </w:r>
      <w:r w:rsidR="00900A19">
        <w:t xml:space="preserve"> De nøgletal, som er blevet dårligere er deres solvens og Loan Ratio, men begge stadig på et acceptabelt niveau.</w:t>
      </w:r>
    </w:p>
    <w:p w:rsidR="00900A19" w:rsidRDefault="00900A19" w:rsidP="004B5974"/>
    <w:p w:rsidR="008820F4" w:rsidRDefault="00E30543" w:rsidP="004B5974">
      <w:r>
        <w:t>For garanterne i Den Jyske kommer det ikke til at betyde det store, hvis vi ser på nøgletallene. De</w:t>
      </w:r>
      <w:r w:rsidR="00900A19">
        <w:t>t</w:t>
      </w:r>
      <w:r>
        <w:t xml:space="preserve"> vil dog få den betydning, at Den Jyske nu er repræsenteret i hele Jylland, </w:t>
      </w:r>
      <w:r w:rsidR="00A14680">
        <w:t xml:space="preserve">og de vil </w:t>
      </w:r>
      <w:r w:rsidR="00900A19">
        <w:t xml:space="preserve">derfor </w:t>
      </w:r>
      <w:r w:rsidR="00A14680">
        <w:t>stå stærkere</w:t>
      </w:r>
      <w:r w:rsidR="00900A19">
        <w:t xml:space="preserve"> på banen</w:t>
      </w:r>
      <w:r w:rsidR="00A14680">
        <w:t>.</w:t>
      </w:r>
      <w:r w:rsidR="00905477">
        <w:t xml:space="preserve"> </w:t>
      </w:r>
    </w:p>
    <w:p w:rsidR="004540A0" w:rsidRDefault="00A14680" w:rsidP="004B5974">
      <w:r>
        <w:t xml:space="preserve">En stor fordel for Den Jyske i forbindelse med fusionen må være, at solvensen forbedres, og giver dem muligheder for at øge deres udlån, og/eller </w:t>
      </w:r>
      <w:r w:rsidR="008820F4">
        <w:t>fusionere og opkøbe yderligere, hvilket i den sidste ende giver dem en bedre indtjening.</w:t>
      </w:r>
    </w:p>
    <w:p w:rsidR="00B81BEE" w:rsidRDefault="00B81BEE" w:rsidP="004B5974"/>
    <w:p w:rsidR="00A14680" w:rsidRDefault="00314D25" w:rsidP="004B5974">
      <w:r>
        <w:t xml:space="preserve">De to organisationer </w:t>
      </w:r>
      <w:r w:rsidR="00900A19">
        <w:t xml:space="preserve">har ligheder, men deres historie er meget forskellig fra hinanden. Den Jyske har foretaget mange sammenlægninger og fusioner, mens DS altid har været dem selv. </w:t>
      </w:r>
      <w:r w:rsidR="001649AB">
        <w:t xml:space="preserve">De mange fusioner og sammenlægninger vil alt andet lige have præget deres kultur, dog ikke </w:t>
      </w:r>
      <w:r w:rsidR="001649AB">
        <w:lastRenderedPageBreak/>
        <w:t>nødvendigvis af negativ karakter, men de vil i forhold til DS have en svagere kultur på grund af deres sammensatte pengeinstitut.</w:t>
      </w:r>
    </w:p>
    <w:p w:rsidR="001649AB" w:rsidRDefault="001649AB" w:rsidP="004B5974">
      <w:r>
        <w:t xml:space="preserve">For begge pengeinstitutter gælder det, at </w:t>
      </w:r>
      <w:r w:rsidR="00F214D3">
        <w:t>det er vigtigt, at de er med i l</w:t>
      </w:r>
      <w:r>
        <w:t>okalområdet</w:t>
      </w:r>
      <w:r w:rsidR="00F214D3">
        <w:t xml:space="preserve">, både med støtte til de lokale foreninger, men også støtter </w:t>
      </w:r>
      <w:r w:rsidR="008820F4">
        <w:t>den enkelte kunde</w:t>
      </w:r>
      <w:r w:rsidR="00F214D3">
        <w:t xml:space="preserve"> i netop deres hverdag. De vil gerne give personlig rådgivning, da de mener det giver tryghed og tillid. </w:t>
      </w:r>
    </w:p>
    <w:p w:rsidR="001649AB" w:rsidRDefault="001649AB" w:rsidP="004B5974"/>
    <w:p w:rsidR="001649AB" w:rsidRDefault="001649AB" w:rsidP="004B5974">
      <w:r>
        <w:t>Når to organisationer bliver til en kræver det en stor indsats af alle ansatte. Specielt af lederne</w:t>
      </w:r>
      <w:r w:rsidR="00F214D3">
        <w:t>,</w:t>
      </w:r>
      <w:r>
        <w:t xml:space="preserve"> der skal formå fortsat at få deres medarbejdere til arbejde som en samlet og harmonisk flok, </w:t>
      </w:r>
      <w:r w:rsidR="008820F4">
        <w:t xml:space="preserve">og skal forsøge at minimere </w:t>
      </w:r>
      <w:r>
        <w:t>kultursammenstød og modstand mest muligt. Lederne skal gøre deres ansatte opmærksomme på, at under en fusion vil man blive mindre effektiv, da man kan have lettere til frustration og usikkerhed.</w:t>
      </w:r>
      <w:r w:rsidR="00F214D3">
        <w:t xml:space="preserve"> Lederen skal også være dygtig til at informere, hvad der sker af tiltag i organisationen. Det giver medarbejderne tryghed og tillid til, at de fortsat skal varetage deres nuværende arbejdsopgaver.</w:t>
      </w:r>
      <w:r>
        <w:t xml:space="preserve">  </w:t>
      </w:r>
    </w:p>
    <w:p w:rsidR="0069388E" w:rsidRDefault="00F214D3" w:rsidP="004B5974">
      <w:r>
        <w:t xml:space="preserve">For at undgå frustrationer og modstand kan den nye direktion sørge for diverse tiltag som f.eks. sociale arrangementer, hvor deres kultur og nye mission bliver bearbejdet af de ansatte i Den Jyske. </w:t>
      </w:r>
    </w:p>
    <w:p w:rsidR="00F214D3" w:rsidRDefault="00F214D3" w:rsidP="004B5974"/>
    <w:p w:rsidR="0077210E" w:rsidRDefault="0077210E" w:rsidP="004B5974">
      <w:r>
        <w:t xml:space="preserve">Samlet set vil jeg anbefale en fusion af Den Jyske og DS. DS kan få et kulturchok, men alt andet lige er DS et </w:t>
      </w:r>
      <w:r w:rsidR="007E4983">
        <w:t xml:space="preserve">lille </w:t>
      </w:r>
      <w:r>
        <w:t xml:space="preserve">pengeinstitut, at det er et spørgsmål om tid inden de er nødsaget til at finde en samarbejdspartner. </w:t>
      </w:r>
      <w:r w:rsidR="009F39FE">
        <w:t xml:space="preserve">Derudover vil de også generelt forbedre nøgletallene. </w:t>
      </w:r>
      <w:r w:rsidR="003C64C4">
        <w:t>Det vil også øge Den Jyskes muligheder for at ekspandere yderligere på udlån og indtjening</w:t>
      </w:r>
      <w:r w:rsidR="009F39FE">
        <w:t>, samt øge deres markedsområde</w:t>
      </w:r>
      <w:r w:rsidR="003C64C4">
        <w:t>.</w:t>
      </w:r>
      <w:r w:rsidR="009F39FE">
        <w:t xml:space="preserve"> Deres nøgletal vil stort set forblive uændret.</w:t>
      </w:r>
      <w:r w:rsidR="003C64C4">
        <w:t xml:space="preserve"> </w:t>
      </w:r>
    </w:p>
    <w:p w:rsidR="00196534" w:rsidRPr="004B5974" w:rsidRDefault="00196534" w:rsidP="004B5974"/>
    <w:p w:rsidR="009F39FE" w:rsidRDefault="009F39FE">
      <w:pPr>
        <w:spacing w:line="240" w:lineRule="auto"/>
        <w:jc w:val="left"/>
        <w:rPr>
          <w:rFonts w:ascii="Verdana" w:eastAsiaTheme="majorEastAsia" w:hAnsi="Verdana" w:cstheme="majorBidi"/>
          <w:b/>
          <w:bCs/>
          <w:kern w:val="32"/>
          <w:sz w:val="28"/>
          <w:szCs w:val="32"/>
        </w:rPr>
      </w:pPr>
      <w:bookmarkStart w:id="183" w:name="_Toc354517451"/>
      <w:r>
        <w:br w:type="page"/>
      </w:r>
    </w:p>
    <w:p w:rsidR="00AA72C0" w:rsidRDefault="00AA72C0" w:rsidP="00AA72C0">
      <w:pPr>
        <w:pStyle w:val="Overskrift1"/>
        <w:numPr>
          <w:ilvl w:val="0"/>
          <w:numId w:val="10"/>
        </w:numPr>
      </w:pPr>
      <w:r>
        <w:lastRenderedPageBreak/>
        <w:t>Perspektivering</w:t>
      </w:r>
      <w:bookmarkEnd w:id="183"/>
    </w:p>
    <w:p w:rsidR="00AA72C0" w:rsidRDefault="00AA72C0" w:rsidP="00AA72C0">
      <w:r>
        <w:t xml:space="preserve">Udover, at pengeinstituttet i forbindelse med en fusion skal have de økonomiske- og organisatoriske overvejelser med, skal man også forholde sig til, at der er tale om et projekt, som kræver planlægning og styring. </w:t>
      </w:r>
    </w:p>
    <w:p w:rsidR="00AA72C0" w:rsidRDefault="00AA72C0" w:rsidP="00AA72C0">
      <w:r>
        <w:t xml:space="preserve">Øverste leder kan med fordel overveje at starte op med at skabe et overblik over ressourcer, indhold og tid. Derudover kan det være en ide at have én, som står for projektet og styrer det. Hvis der er styr på de tre nævnte faktorer giver det godt overblik over, hvilke opgaver fusionen indeholder, tidsplanen og hvilke ressourcer der er til rådighed. Grundet opgavens omfang er der ikke blevet plads til at uddybe dette nærmere. </w:t>
      </w:r>
    </w:p>
    <w:p w:rsidR="00AA72C0" w:rsidRDefault="00AA72C0" w:rsidP="00AA72C0"/>
    <w:p w:rsidR="00AA72C0" w:rsidRDefault="00AA72C0" w:rsidP="00AA72C0">
      <w:r>
        <w:t>Medio april blev en rapport vedrørende udvalgte pengeinstitutternes erhvervskunders gearingsgrad offentliggjort, hvilken konkluderede, at de små og mindre pengeinstitutter har dårligere soliditet og derved større risici</w:t>
      </w:r>
      <w:r>
        <w:rPr>
          <w:rStyle w:val="Fodnotehenvisning"/>
        </w:rPr>
        <w:footnoteReference w:id="24"/>
      </w:r>
      <w:r>
        <w:t>. Netop de to valgte pengeinstitutter i denne opgave får hård kritik, da de begge ender på</w:t>
      </w:r>
      <w:r w:rsidR="00EC2A12">
        <w:t xml:space="preserve"> en</w:t>
      </w:r>
      <w:r>
        <w:t xml:space="preserve"> hhv. sidsteplads og tredjesidste plads over de dårligste på listen. </w:t>
      </w:r>
    </w:p>
    <w:p w:rsidR="00AA72C0" w:rsidRDefault="00AA72C0" w:rsidP="00AA72C0">
      <w:r>
        <w:t>Dronninglund Sparekasse har kr. 13,27 i fremmedkapital for hver krones egenkapital, mens Den Jyske Sparekasse har kr. 7,06. Den gennemsnitlige gearingsgrad for hele sektoren udgør kr. 3,09</w:t>
      </w:r>
      <w:r>
        <w:rPr>
          <w:rStyle w:val="Fodnotehenvisning"/>
        </w:rPr>
        <w:footnoteReference w:id="25"/>
      </w:r>
      <w:r>
        <w:t>.</w:t>
      </w:r>
    </w:p>
    <w:p w:rsidR="00AA72C0" w:rsidRDefault="00AA72C0" w:rsidP="00AA72C0">
      <w:r>
        <w:t xml:space="preserve">I ovenstående beregning argumenterede jeg for, at beta, som betegner risikoen, skulle sættes til 1, da jeg ud fra udregnede nøgletal, nedskrivningsprocent, samt seneste årsrapporter vurderede, at der var tale om to pengeinstitutter med ”normal” risiko. Efter offentliggørelsen af rapporten kan der dog overvejes at hæve beta, da der ifølge rapporten er tale om to pengeinstitutter, som ligger udenfor normalen. </w:t>
      </w:r>
    </w:p>
    <w:p w:rsidR="00AA72C0" w:rsidRPr="00AD2389" w:rsidRDefault="00AA72C0" w:rsidP="00AA72C0">
      <w:r>
        <w:t>Undersøgelsen viser i øvrigt også, at Sparekassen Farsø, som Den Jyske Sparekasse fusionerede med i 2012, i 2011 havde kr. 10,29</w:t>
      </w:r>
      <w:r>
        <w:rPr>
          <w:rStyle w:val="Fodnotehenvisning"/>
        </w:rPr>
        <w:footnoteReference w:id="26"/>
      </w:r>
      <w:r>
        <w:t xml:space="preserve"> fremmedkapital for hver krones egenkapital. Derved </w:t>
      </w:r>
      <w:r w:rsidR="001C7566">
        <w:t xml:space="preserve">kan jeg vælge </w:t>
      </w:r>
      <w:r>
        <w:t>og argumentere for, at beta skal sættes højere for begge pengeinstitutters vedkommende, selvom den overholder solvens krav og tilsynsdiamant. Hvis beta sættes højere end 1 vil det bety</w:t>
      </w:r>
      <w:r w:rsidR="00EC2A12">
        <w:t>de, at WACC bliver forringet</w:t>
      </w:r>
      <w:r>
        <w:t>. Jo højere beta sættes, jo dårligere bliver WACC</w:t>
      </w:r>
      <w:r w:rsidR="005A30A8">
        <w:t>, og jo dyrere vil fremmedkapitalen blive</w:t>
      </w:r>
      <w:r>
        <w:t xml:space="preserve">. </w:t>
      </w:r>
    </w:p>
    <w:p w:rsidR="00815753" w:rsidRDefault="00815753">
      <w:pPr>
        <w:spacing w:line="240" w:lineRule="auto"/>
        <w:jc w:val="left"/>
        <w:rPr>
          <w:rFonts w:ascii="Verdana" w:eastAsiaTheme="majorEastAsia" w:hAnsi="Verdana" w:cstheme="majorBidi"/>
          <w:b/>
          <w:bCs/>
          <w:kern w:val="32"/>
          <w:sz w:val="28"/>
          <w:szCs w:val="32"/>
        </w:rPr>
      </w:pPr>
      <w:r>
        <w:br w:type="page"/>
      </w:r>
    </w:p>
    <w:p w:rsidR="007A419F" w:rsidRDefault="007A419F" w:rsidP="0087410F">
      <w:pPr>
        <w:pStyle w:val="Overskrift1"/>
        <w:numPr>
          <w:ilvl w:val="0"/>
          <w:numId w:val="10"/>
        </w:numPr>
      </w:pPr>
      <w:bookmarkStart w:id="184" w:name="_Toc354517452"/>
      <w:r>
        <w:lastRenderedPageBreak/>
        <w:t>Litteraturliste/kildefortegnelse</w:t>
      </w:r>
      <w:bookmarkEnd w:id="184"/>
    </w:p>
    <w:p w:rsidR="00EB289D" w:rsidRDefault="00EB289D" w:rsidP="00EB289D">
      <w:pPr>
        <w:spacing w:line="240" w:lineRule="auto"/>
        <w:rPr>
          <w:u w:val="single"/>
        </w:rPr>
      </w:pPr>
      <w:r w:rsidRPr="00EB289D">
        <w:rPr>
          <w:u w:val="single"/>
        </w:rPr>
        <w:t>Litteratur</w:t>
      </w:r>
    </w:p>
    <w:p w:rsidR="00052422" w:rsidRPr="00EB289D" w:rsidRDefault="00052422" w:rsidP="00EB289D">
      <w:pPr>
        <w:spacing w:line="240" w:lineRule="auto"/>
        <w:rPr>
          <w:u w:val="single"/>
        </w:rPr>
      </w:pPr>
    </w:p>
    <w:p w:rsidR="00EB289D" w:rsidRDefault="00EB289D" w:rsidP="00EB289D">
      <w:pPr>
        <w:spacing w:line="240" w:lineRule="auto"/>
        <w:rPr>
          <w:b/>
        </w:rPr>
      </w:pPr>
      <w:r>
        <w:rPr>
          <w:b/>
        </w:rPr>
        <w:t>Organisationsteori ”Struktur, kultur, processer”, 5. udgave – Handelshøjskolens Forlag</w:t>
      </w:r>
    </w:p>
    <w:p w:rsidR="00C60782" w:rsidRPr="000D1382" w:rsidRDefault="00C60782" w:rsidP="00EB289D">
      <w:pPr>
        <w:spacing w:line="240" w:lineRule="auto"/>
        <w:rPr>
          <w:lang w:val="en-US"/>
        </w:rPr>
      </w:pPr>
      <w:proofErr w:type="spellStart"/>
      <w:r w:rsidRPr="000D1382">
        <w:rPr>
          <w:lang w:val="en-US"/>
        </w:rPr>
        <w:t>Bakka</w:t>
      </w:r>
      <w:proofErr w:type="spellEnd"/>
      <w:r w:rsidRPr="000D1382">
        <w:rPr>
          <w:lang w:val="en-US"/>
        </w:rPr>
        <w:t xml:space="preserve">, </w:t>
      </w:r>
      <w:proofErr w:type="spellStart"/>
      <w:r w:rsidRPr="000D1382">
        <w:rPr>
          <w:lang w:val="en-US"/>
        </w:rPr>
        <w:t>Jørgen</w:t>
      </w:r>
      <w:proofErr w:type="spellEnd"/>
      <w:r w:rsidRPr="000D1382">
        <w:rPr>
          <w:lang w:val="en-US"/>
        </w:rPr>
        <w:t xml:space="preserve"> </w:t>
      </w:r>
      <w:proofErr w:type="spellStart"/>
      <w:r w:rsidRPr="000D1382">
        <w:rPr>
          <w:lang w:val="en-US"/>
        </w:rPr>
        <w:t>Frode</w:t>
      </w:r>
      <w:proofErr w:type="spellEnd"/>
    </w:p>
    <w:p w:rsidR="00EB289D" w:rsidRPr="000D1382" w:rsidRDefault="00EB289D" w:rsidP="00EB289D">
      <w:pPr>
        <w:spacing w:line="240" w:lineRule="auto"/>
        <w:rPr>
          <w:lang w:val="en-US"/>
        </w:rPr>
      </w:pPr>
      <w:proofErr w:type="spellStart"/>
      <w:r w:rsidRPr="000D1382">
        <w:rPr>
          <w:lang w:val="en-US"/>
        </w:rPr>
        <w:t>Fivesdal</w:t>
      </w:r>
      <w:proofErr w:type="spellEnd"/>
      <w:r w:rsidRPr="000D1382">
        <w:rPr>
          <w:lang w:val="en-US"/>
        </w:rPr>
        <w:t xml:space="preserve">, </w:t>
      </w:r>
      <w:proofErr w:type="spellStart"/>
      <w:r w:rsidRPr="000D1382">
        <w:rPr>
          <w:lang w:val="en-US"/>
        </w:rPr>
        <w:t>Egil</w:t>
      </w:r>
      <w:proofErr w:type="spellEnd"/>
      <w:r w:rsidRPr="000D1382">
        <w:rPr>
          <w:lang w:val="en-US"/>
        </w:rPr>
        <w:t>.</w:t>
      </w:r>
    </w:p>
    <w:p w:rsidR="00C60782" w:rsidRPr="000D1382" w:rsidRDefault="00C60782" w:rsidP="00EB289D">
      <w:pPr>
        <w:spacing w:line="240" w:lineRule="auto"/>
        <w:rPr>
          <w:lang w:val="en-US"/>
        </w:rPr>
      </w:pPr>
    </w:p>
    <w:p w:rsidR="00C60782" w:rsidRDefault="00C60782" w:rsidP="00EB289D">
      <w:pPr>
        <w:spacing w:line="240" w:lineRule="auto"/>
        <w:rPr>
          <w:b/>
          <w:lang w:val="en-US"/>
        </w:rPr>
      </w:pPr>
      <w:r w:rsidRPr="00C60782">
        <w:rPr>
          <w:b/>
          <w:lang w:val="en-US"/>
        </w:rPr>
        <w:t xml:space="preserve">Commercial </w:t>
      </w:r>
      <w:proofErr w:type="gramStart"/>
      <w:r w:rsidRPr="00C60782">
        <w:rPr>
          <w:b/>
          <w:lang w:val="en-US"/>
        </w:rPr>
        <w:t>Banking ”</w:t>
      </w:r>
      <w:proofErr w:type="gramEnd"/>
      <w:r w:rsidRPr="00C60782">
        <w:rPr>
          <w:b/>
          <w:lang w:val="en-US"/>
        </w:rPr>
        <w:t xml:space="preserve">The </w:t>
      </w:r>
      <w:r>
        <w:rPr>
          <w:b/>
          <w:lang w:val="en-US"/>
        </w:rPr>
        <w:t>M</w:t>
      </w:r>
      <w:r w:rsidRPr="00C60782">
        <w:rPr>
          <w:b/>
          <w:lang w:val="en-US"/>
        </w:rPr>
        <w:t>anagement o</w:t>
      </w:r>
      <w:r>
        <w:rPr>
          <w:b/>
          <w:lang w:val="en-US"/>
        </w:rPr>
        <w:t>f Risk”, 3rd edition – Wiley</w:t>
      </w:r>
    </w:p>
    <w:p w:rsidR="00C60782" w:rsidRPr="00C60782" w:rsidRDefault="00C60782" w:rsidP="00EB289D">
      <w:pPr>
        <w:spacing w:line="240" w:lineRule="auto"/>
        <w:rPr>
          <w:lang w:val="en-US"/>
        </w:rPr>
      </w:pPr>
      <w:proofErr w:type="gramStart"/>
      <w:r w:rsidRPr="00C60782">
        <w:rPr>
          <w:lang w:val="en-US"/>
        </w:rPr>
        <w:t>Cup, Benton E.</w:t>
      </w:r>
      <w:proofErr w:type="gramEnd"/>
    </w:p>
    <w:p w:rsidR="00C60782" w:rsidRPr="00C60782" w:rsidRDefault="00C60782" w:rsidP="00EB289D">
      <w:pPr>
        <w:spacing w:line="240" w:lineRule="auto"/>
        <w:rPr>
          <w:lang w:val="en-US"/>
        </w:rPr>
      </w:pPr>
      <w:proofErr w:type="spellStart"/>
      <w:r w:rsidRPr="00C60782">
        <w:rPr>
          <w:lang w:val="en-US"/>
        </w:rPr>
        <w:t>Kolari</w:t>
      </w:r>
      <w:proofErr w:type="spellEnd"/>
      <w:r w:rsidRPr="00C60782">
        <w:rPr>
          <w:lang w:val="en-US"/>
        </w:rPr>
        <w:t xml:space="preserve">, James W. </w:t>
      </w:r>
    </w:p>
    <w:p w:rsidR="00EB289D" w:rsidRDefault="00EB289D" w:rsidP="00EB289D">
      <w:pPr>
        <w:spacing w:line="240" w:lineRule="auto"/>
        <w:rPr>
          <w:lang w:val="en-US"/>
        </w:rPr>
      </w:pPr>
    </w:p>
    <w:p w:rsidR="00980697" w:rsidRPr="00C60782" w:rsidRDefault="00980697" w:rsidP="00EB289D">
      <w:pPr>
        <w:spacing w:line="240" w:lineRule="auto"/>
        <w:rPr>
          <w:lang w:val="en-US"/>
        </w:rPr>
      </w:pPr>
    </w:p>
    <w:p w:rsidR="00EB289D" w:rsidRPr="002E0B07" w:rsidRDefault="00EB289D" w:rsidP="00EB289D">
      <w:pPr>
        <w:spacing w:line="240" w:lineRule="auto"/>
        <w:rPr>
          <w:u w:val="single"/>
          <w:lang w:val="en-US"/>
        </w:rPr>
      </w:pPr>
      <w:r w:rsidRPr="002E0B07">
        <w:rPr>
          <w:u w:val="single"/>
          <w:lang w:val="en-US"/>
        </w:rPr>
        <w:t>Internet</w:t>
      </w:r>
    </w:p>
    <w:p w:rsidR="00052422" w:rsidRPr="00AF3E4D" w:rsidRDefault="00052422" w:rsidP="00EB289D">
      <w:pPr>
        <w:spacing w:line="240" w:lineRule="auto"/>
        <w:rPr>
          <w:lang w:val="en-US"/>
        </w:rPr>
      </w:pPr>
    </w:p>
    <w:p w:rsidR="00EB289D" w:rsidRPr="002E0B07" w:rsidRDefault="00D43498" w:rsidP="00EB289D">
      <w:pPr>
        <w:spacing w:line="240" w:lineRule="auto"/>
        <w:rPr>
          <w:lang w:val="en-US"/>
        </w:rPr>
      </w:pPr>
      <w:hyperlink r:id="rId28" w:history="1">
        <w:r w:rsidR="00C60782" w:rsidRPr="002E0B07">
          <w:rPr>
            <w:rStyle w:val="Hyperlink"/>
            <w:color w:val="auto"/>
            <w:u w:val="none"/>
            <w:lang w:val="en-US"/>
          </w:rPr>
          <w:t>www.dronspar.dk</w:t>
        </w:r>
      </w:hyperlink>
    </w:p>
    <w:p w:rsidR="00C60782" w:rsidRPr="002E0B07" w:rsidRDefault="00D43498" w:rsidP="00EB289D">
      <w:pPr>
        <w:spacing w:line="240" w:lineRule="auto"/>
        <w:rPr>
          <w:lang w:val="en-US"/>
        </w:rPr>
      </w:pPr>
      <w:hyperlink r:id="rId29" w:history="1">
        <w:r w:rsidR="00C60782" w:rsidRPr="002E0B07">
          <w:rPr>
            <w:rStyle w:val="Hyperlink"/>
            <w:color w:val="auto"/>
            <w:u w:val="none"/>
            <w:lang w:val="en-US"/>
          </w:rPr>
          <w:t>www.denjyskesparekasse.dk</w:t>
        </w:r>
      </w:hyperlink>
    </w:p>
    <w:p w:rsidR="00C60782" w:rsidRPr="00DD5A61" w:rsidRDefault="00D43498" w:rsidP="00EB289D">
      <w:pPr>
        <w:spacing w:line="240" w:lineRule="auto"/>
        <w:rPr>
          <w:lang w:val="en-US"/>
        </w:rPr>
      </w:pPr>
      <w:hyperlink r:id="rId30" w:history="1">
        <w:r w:rsidR="00C60782" w:rsidRPr="00DD5A61">
          <w:rPr>
            <w:rStyle w:val="Hyperlink"/>
            <w:color w:val="auto"/>
            <w:u w:val="none"/>
            <w:lang w:val="en-US"/>
          </w:rPr>
          <w:t>www.retsinfo.dk</w:t>
        </w:r>
      </w:hyperlink>
    </w:p>
    <w:p w:rsidR="00C60782" w:rsidRPr="00DD5A61" w:rsidRDefault="00D43498" w:rsidP="00EB289D">
      <w:pPr>
        <w:spacing w:line="240" w:lineRule="auto"/>
        <w:rPr>
          <w:lang w:val="en-US"/>
        </w:rPr>
      </w:pPr>
      <w:hyperlink r:id="rId31" w:history="1">
        <w:r w:rsidR="00625AEE" w:rsidRPr="00DD5A61">
          <w:rPr>
            <w:rStyle w:val="Hyperlink"/>
            <w:color w:val="auto"/>
            <w:u w:val="none"/>
            <w:lang w:val="en-US"/>
          </w:rPr>
          <w:t>www.dst.dk</w:t>
        </w:r>
      </w:hyperlink>
    </w:p>
    <w:p w:rsidR="00625AEE" w:rsidRPr="00410B4F" w:rsidRDefault="00D43498" w:rsidP="00EB289D">
      <w:pPr>
        <w:spacing w:line="240" w:lineRule="auto"/>
        <w:rPr>
          <w:lang w:val="en-US"/>
        </w:rPr>
      </w:pPr>
      <w:hyperlink r:id="rId32" w:history="1">
        <w:r w:rsidR="00C36E58" w:rsidRPr="00410B4F">
          <w:rPr>
            <w:rStyle w:val="Hyperlink"/>
            <w:color w:val="auto"/>
            <w:u w:val="none"/>
            <w:lang w:val="en-US"/>
          </w:rPr>
          <w:t>www.da.wikipedia.org</w:t>
        </w:r>
      </w:hyperlink>
    </w:p>
    <w:p w:rsidR="00C36E58" w:rsidRPr="00410B4F" w:rsidRDefault="00D43498" w:rsidP="00EB289D">
      <w:pPr>
        <w:spacing w:line="240" w:lineRule="auto"/>
        <w:rPr>
          <w:lang w:val="en-US"/>
        </w:rPr>
      </w:pPr>
      <w:hyperlink r:id="rId33" w:history="1">
        <w:r w:rsidR="00C36E58" w:rsidRPr="00410B4F">
          <w:rPr>
            <w:rStyle w:val="Hyperlink"/>
            <w:color w:val="auto"/>
            <w:u w:val="none"/>
            <w:lang w:val="en-US"/>
          </w:rPr>
          <w:t>www.finanswatch.dk</w:t>
        </w:r>
      </w:hyperlink>
    </w:p>
    <w:p w:rsidR="00C36E58" w:rsidRPr="00BC10D9" w:rsidRDefault="00C36E58" w:rsidP="00EB289D">
      <w:pPr>
        <w:spacing w:line="240" w:lineRule="auto"/>
      </w:pPr>
      <w:r w:rsidRPr="00BC10D9">
        <w:t>www.dr.dk</w:t>
      </w:r>
    </w:p>
    <w:p w:rsidR="00C60782" w:rsidRPr="00BC10D9" w:rsidRDefault="00C60782" w:rsidP="00EB289D">
      <w:pPr>
        <w:spacing w:line="240" w:lineRule="auto"/>
      </w:pPr>
    </w:p>
    <w:p w:rsidR="00980697" w:rsidRPr="00BC10D9" w:rsidRDefault="00980697" w:rsidP="00EB289D">
      <w:pPr>
        <w:spacing w:line="240" w:lineRule="auto"/>
      </w:pPr>
    </w:p>
    <w:p w:rsidR="00EB289D" w:rsidRDefault="00EB289D" w:rsidP="00EB289D">
      <w:pPr>
        <w:spacing w:line="240" w:lineRule="auto"/>
        <w:rPr>
          <w:u w:val="single"/>
        </w:rPr>
      </w:pPr>
      <w:r w:rsidRPr="00EB289D">
        <w:rPr>
          <w:u w:val="single"/>
        </w:rPr>
        <w:t>Regnskaber</w:t>
      </w:r>
    </w:p>
    <w:p w:rsidR="00052422" w:rsidRDefault="00052422" w:rsidP="00EB289D">
      <w:pPr>
        <w:spacing w:line="240" w:lineRule="auto"/>
      </w:pPr>
    </w:p>
    <w:p w:rsidR="00EB289D" w:rsidRDefault="00EB289D" w:rsidP="00EB289D">
      <w:pPr>
        <w:spacing w:line="240" w:lineRule="auto"/>
      </w:pPr>
      <w:r>
        <w:t xml:space="preserve">Årsregnskaber, samt risikorapporter 2008 – 2012 Dronninglund Sparekasse og </w:t>
      </w:r>
      <w:r w:rsidR="00C60782">
        <w:t>Den Jyske Sparekasse.</w:t>
      </w:r>
    </w:p>
    <w:p w:rsidR="00CA62D7" w:rsidRDefault="00CA62D7" w:rsidP="00EB289D">
      <w:pPr>
        <w:spacing w:line="240" w:lineRule="auto"/>
      </w:pPr>
    </w:p>
    <w:p w:rsidR="00CA62D7" w:rsidRDefault="00CA62D7" w:rsidP="00EB289D">
      <w:pPr>
        <w:spacing w:line="240" w:lineRule="auto"/>
        <w:rPr>
          <w:u w:val="single"/>
        </w:rPr>
      </w:pPr>
      <w:r>
        <w:rPr>
          <w:u w:val="single"/>
        </w:rPr>
        <w:t>Diverse</w:t>
      </w:r>
    </w:p>
    <w:p w:rsidR="00CA62D7" w:rsidRPr="00E30543" w:rsidRDefault="00E30543" w:rsidP="00EB289D">
      <w:pPr>
        <w:spacing w:line="240" w:lineRule="auto"/>
      </w:pPr>
      <w:r>
        <w:t>Slides givet i forbindelse med undervisningen, HDFR, AAU</w:t>
      </w:r>
    </w:p>
    <w:p w:rsidR="007A419F" w:rsidRPr="00A857C6" w:rsidRDefault="00EE2DFE" w:rsidP="00A857C6">
      <w:pPr>
        <w:spacing w:line="240" w:lineRule="auto"/>
        <w:jc w:val="left"/>
        <w:rPr>
          <w:rFonts w:ascii="Verdana" w:eastAsiaTheme="majorEastAsia" w:hAnsi="Verdana" w:cstheme="majorBidi"/>
          <w:b/>
          <w:bCs/>
          <w:kern w:val="32"/>
          <w:sz w:val="28"/>
          <w:szCs w:val="32"/>
        </w:rPr>
      </w:pPr>
      <w:r>
        <w:br w:type="page"/>
      </w:r>
    </w:p>
    <w:p w:rsidR="00050A34" w:rsidRDefault="00050A34" w:rsidP="00050A34">
      <w:pPr>
        <w:pStyle w:val="Overskrift1"/>
        <w:numPr>
          <w:ilvl w:val="0"/>
          <w:numId w:val="10"/>
        </w:numPr>
      </w:pPr>
      <w:bookmarkStart w:id="185" w:name="_Toc354517453"/>
      <w:r>
        <w:lastRenderedPageBreak/>
        <w:t>Bilag</w:t>
      </w:r>
      <w:r w:rsidR="00C36E58">
        <w:t>soversigt</w:t>
      </w:r>
      <w:bookmarkEnd w:id="185"/>
    </w:p>
    <w:p w:rsidR="00AF3E4D" w:rsidRDefault="0073338F" w:rsidP="00AF3E4D">
      <w:r>
        <w:t>Bilag A:</w:t>
      </w:r>
      <w:r w:rsidR="003059DD">
        <w:t xml:space="preserve"> </w:t>
      </w:r>
      <w:r w:rsidR="00024ACB">
        <w:tab/>
      </w:r>
      <w:r w:rsidR="003059DD">
        <w:t>Solvens</w:t>
      </w:r>
    </w:p>
    <w:p w:rsidR="003059DD" w:rsidRDefault="003059DD" w:rsidP="00AF3E4D">
      <w:r>
        <w:t xml:space="preserve">Bilag B: </w:t>
      </w:r>
      <w:r w:rsidR="00024ACB">
        <w:tab/>
      </w:r>
      <w:r>
        <w:t>WACC</w:t>
      </w:r>
    </w:p>
    <w:p w:rsidR="003059DD" w:rsidRDefault="003059DD" w:rsidP="00AF3E4D">
      <w:r>
        <w:t xml:space="preserve">Bilag C: </w:t>
      </w:r>
      <w:r w:rsidR="00024ACB">
        <w:tab/>
      </w:r>
      <w:r>
        <w:t>ICGR</w:t>
      </w:r>
    </w:p>
    <w:p w:rsidR="003059DD" w:rsidRDefault="003059DD" w:rsidP="00AF3E4D">
      <w:r>
        <w:t xml:space="preserve">Bilag D: </w:t>
      </w:r>
      <w:r w:rsidR="00024ACB">
        <w:tab/>
      </w:r>
      <w:r>
        <w:t>GAP</w:t>
      </w:r>
    </w:p>
    <w:p w:rsidR="003059DD" w:rsidRDefault="003059DD" w:rsidP="00AF3E4D">
      <w:r>
        <w:t xml:space="preserve">Bilag E: </w:t>
      </w:r>
      <w:r w:rsidR="00024ACB">
        <w:tab/>
      </w:r>
      <w:r>
        <w:t>Loan Ratio</w:t>
      </w:r>
    </w:p>
    <w:p w:rsidR="00024ACB" w:rsidRDefault="003059DD" w:rsidP="00AF3E4D">
      <w:r>
        <w:t xml:space="preserve">Bilag F: </w:t>
      </w:r>
      <w:r w:rsidR="00024ACB">
        <w:tab/>
        <w:t>Rationaliseringsgevinst</w:t>
      </w:r>
    </w:p>
    <w:p w:rsidR="0007314B" w:rsidRDefault="00024ACB" w:rsidP="00AF3E4D">
      <w:r>
        <w:t xml:space="preserve">Bilag G: </w:t>
      </w:r>
      <w:r>
        <w:tab/>
      </w:r>
      <w:r w:rsidR="003059DD">
        <w:t>Nøgletal efter fusion</w:t>
      </w:r>
    </w:p>
    <w:p w:rsidR="0007314B" w:rsidRDefault="0007314B">
      <w:pPr>
        <w:spacing w:line="240" w:lineRule="auto"/>
        <w:jc w:val="left"/>
      </w:pPr>
      <w:r>
        <w:br w:type="page"/>
      </w:r>
    </w:p>
    <w:p w:rsidR="003059DD" w:rsidRDefault="005D2FDC" w:rsidP="00F46A79">
      <w:pPr>
        <w:pStyle w:val="Overskrift2"/>
      </w:pPr>
      <w:bookmarkStart w:id="186" w:name="_Toc354517454"/>
      <w:r>
        <w:lastRenderedPageBreak/>
        <w:t>Bilag A</w:t>
      </w:r>
      <w:r w:rsidR="00024ACB">
        <w:t xml:space="preserve"> - Solvens</w:t>
      </w:r>
      <w:bookmarkEnd w:id="186"/>
    </w:p>
    <w:p w:rsidR="0007314B" w:rsidRDefault="00CE20CD" w:rsidP="0007314B">
      <m:oMathPara>
        <m:oMath>
          <m:r>
            <w:rPr>
              <w:rFonts w:ascii="Cambria Math" w:hAnsi="Cambria Math"/>
            </w:rPr>
            <m:t xml:space="preserve">Solvens = </m:t>
          </m:r>
          <m:f>
            <m:fPr>
              <m:ctrlPr>
                <w:rPr>
                  <w:rFonts w:ascii="Cambria Math" w:hAnsi="Cambria Math"/>
                  <w:i/>
                </w:rPr>
              </m:ctrlPr>
            </m:fPr>
            <m:num>
              <m:r>
                <w:rPr>
                  <w:rFonts w:ascii="Cambria Math" w:hAnsi="Cambria Math"/>
                </w:rPr>
                <m:t>Basiskapital</m:t>
              </m:r>
            </m:num>
            <m:den>
              <m:r>
                <w:rPr>
                  <w:rFonts w:ascii="Cambria Math" w:hAnsi="Cambria Math"/>
                </w:rPr>
                <m:t>Summen af de risikovægtede poster</m:t>
              </m:r>
            </m:den>
          </m:f>
        </m:oMath>
      </m:oMathPara>
    </w:p>
    <w:p w:rsidR="00CE20CD" w:rsidRDefault="00CE20CD" w:rsidP="0007314B"/>
    <w:tbl>
      <w:tblPr>
        <w:tblW w:w="9162" w:type="dxa"/>
        <w:tblInd w:w="60" w:type="dxa"/>
        <w:tblCellMar>
          <w:left w:w="70" w:type="dxa"/>
          <w:right w:w="70" w:type="dxa"/>
        </w:tblCellMar>
        <w:tblLook w:val="04A0" w:firstRow="1" w:lastRow="0" w:firstColumn="1" w:lastColumn="0" w:noHBand="0" w:noVBand="1"/>
      </w:tblPr>
      <w:tblGrid>
        <w:gridCol w:w="2562"/>
        <w:gridCol w:w="1360"/>
        <w:gridCol w:w="1220"/>
        <w:gridCol w:w="1340"/>
        <w:gridCol w:w="1340"/>
        <w:gridCol w:w="1340"/>
      </w:tblGrid>
      <w:tr w:rsidR="00481005" w:rsidRPr="006E1C14" w:rsidTr="00E30543">
        <w:trPr>
          <w:trHeight w:val="315"/>
        </w:trPr>
        <w:tc>
          <w:tcPr>
            <w:tcW w:w="916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6E1C14" w:rsidRDefault="00481005" w:rsidP="00CE20CD">
            <w:pPr>
              <w:spacing w:line="240" w:lineRule="auto"/>
              <w:jc w:val="center"/>
              <w:rPr>
                <w:b/>
                <w:bCs/>
              </w:rPr>
            </w:pPr>
            <w:r w:rsidRPr="006E1C14">
              <w:rPr>
                <w:b/>
                <w:bCs/>
              </w:rPr>
              <w:t>Den Jyske Sparekasse</w:t>
            </w:r>
          </w:p>
        </w:tc>
      </w:tr>
      <w:tr w:rsidR="00481005" w:rsidRPr="006E1C14" w:rsidTr="006E1C14">
        <w:trPr>
          <w:trHeight w:val="315"/>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6E1C14" w:rsidRDefault="00481005" w:rsidP="00CE20CD">
            <w:pPr>
              <w:spacing w:line="240" w:lineRule="auto"/>
              <w:jc w:val="left"/>
              <w:rPr>
                <w:b/>
                <w:bCs/>
              </w:rPr>
            </w:pPr>
          </w:p>
        </w:tc>
        <w:tc>
          <w:tcPr>
            <w:tcW w:w="13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2012</w:t>
            </w:r>
          </w:p>
        </w:tc>
        <w:tc>
          <w:tcPr>
            <w:tcW w:w="122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2011</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2010</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2009</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2008</w:t>
            </w:r>
          </w:p>
        </w:tc>
      </w:tr>
      <w:tr w:rsidR="00481005" w:rsidRPr="00481005"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left"/>
              <w:rPr>
                <w:bCs/>
                <w:color w:val="000000"/>
              </w:rPr>
            </w:pPr>
            <w:r w:rsidRPr="00481005">
              <w:rPr>
                <w:bCs/>
                <w:color w:val="000000"/>
              </w:rPr>
              <w:t>Basiskapital</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2.265.233</w:t>
            </w:r>
          </w:p>
        </w:tc>
        <w:tc>
          <w:tcPr>
            <w:tcW w:w="122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1.782.714</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1.999.858</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1.898.037</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1.579.238</w:t>
            </w:r>
          </w:p>
        </w:tc>
      </w:tr>
      <w:tr w:rsidR="00481005" w:rsidRPr="00481005"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left"/>
              <w:rPr>
                <w:bCs/>
                <w:color w:val="000000"/>
              </w:rPr>
            </w:pPr>
            <w:r w:rsidRPr="00481005">
              <w:rPr>
                <w:bCs/>
                <w:color w:val="000000"/>
              </w:rPr>
              <w:t>Risikovægtede poster</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16.585.378</w:t>
            </w:r>
          </w:p>
        </w:tc>
        <w:tc>
          <w:tcPr>
            <w:tcW w:w="122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11.932.431</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12.300.157</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11.439.172</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11.422.775</w:t>
            </w:r>
          </w:p>
        </w:tc>
      </w:tr>
      <w:tr w:rsidR="00481005" w:rsidRPr="00CE20CD"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CE20CD" w:rsidRDefault="00481005" w:rsidP="00CE20CD">
            <w:pPr>
              <w:spacing w:line="240" w:lineRule="auto"/>
              <w:jc w:val="left"/>
              <w:rPr>
                <w:b/>
                <w:bCs/>
                <w:color w:val="000000"/>
              </w:rPr>
            </w:pPr>
            <w:r w:rsidRPr="00CE20CD">
              <w:rPr>
                <w:b/>
                <w:bCs/>
                <w:color w:val="000000"/>
              </w:rPr>
              <w:t>Solvens</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13,</w:t>
            </w:r>
            <w:proofErr w:type="gramStart"/>
            <w:r w:rsidRPr="00481005">
              <w:rPr>
                <w:b/>
                <w:color w:val="000000"/>
              </w:rPr>
              <w:t>66%</w:t>
            </w:r>
            <w:proofErr w:type="gramEnd"/>
          </w:p>
        </w:tc>
        <w:tc>
          <w:tcPr>
            <w:tcW w:w="122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14,</w:t>
            </w:r>
            <w:proofErr w:type="gramStart"/>
            <w:r w:rsidRPr="00481005">
              <w:rPr>
                <w:b/>
                <w:color w:val="000000"/>
              </w:rPr>
              <w:t>94%</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16,</w:t>
            </w:r>
            <w:proofErr w:type="gramStart"/>
            <w:r w:rsidRPr="00481005">
              <w:rPr>
                <w:b/>
                <w:color w:val="000000"/>
              </w:rPr>
              <w:t>26%</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16,</w:t>
            </w:r>
            <w:proofErr w:type="gramStart"/>
            <w:r w:rsidRPr="00481005">
              <w:rPr>
                <w:b/>
                <w:color w:val="000000"/>
              </w:rPr>
              <w:t>59%</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13,</w:t>
            </w:r>
            <w:proofErr w:type="gramStart"/>
            <w:r w:rsidRPr="00481005">
              <w:rPr>
                <w:b/>
                <w:color w:val="000000"/>
              </w:rPr>
              <w:t>83%</w:t>
            </w:r>
            <w:proofErr w:type="gramEnd"/>
          </w:p>
        </w:tc>
      </w:tr>
    </w:tbl>
    <w:p w:rsidR="00CE20CD" w:rsidRDefault="00CE20CD" w:rsidP="0007314B"/>
    <w:p w:rsidR="00481005" w:rsidRDefault="00481005" w:rsidP="0007314B"/>
    <w:tbl>
      <w:tblPr>
        <w:tblW w:w="9122" w:type="dxa"/>
        <w:tblInd w:w="60" w:type="dxa"/>
        <w:tblCellMar>
          <w:left w:w="70" w:type="dxa"/>
          <w:right w:w="70" w:type="dxa"/>
        </w:tblCellMar>
        <w:tblLook w:val="04A0" w:firstRow="1" w:lastRow="0" w:firstColumn="1" w:lastColumn="0" w:noHBand="0" w:noVBand="1"/>
      </w:tblPr>
      <w:tblGrid>
        <w:gridCol w:w="2562"/>
        <w:gridCol w:w="1360"/>
        <w:gridCol w:w="1180"/>
        <w:gridCol w:w="1340"/>
        <w:gridCol w:w="1340"/>
        <w:gridCol w:w="1340"/>
      </w:tblGrid>
      <w:tr w:rsidR="00481005" w:rsidRPr="006E1C14" w:rsidTr="00E30543">
        <w:trPr>
          <w:trHeight w:val="315"/>
        </w:trPr>
        <w:tc>
          <w:tcPr>
            <w:tcW w:w="912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6E1C14" w:rsidRDefault="00481005" w:rsidP="00CE20CD">
            <w:pPr>
              <w:spacing w:line="240" w:lineRule="auto"/>
              <w:jc w:val="center"/>
              <w:rPr>
                <w:b/>
                <w:bCs/>
              </w:rPr>
            </w:pPr>
            <w:r>
              <w:rPr>
                <w:b/>
                <w:bCs/>
              </w:rPr>
              <w:t>Dronninglund Sparekasse</w:t>
            </w:r>
          </w:p>
        </w:tc>
      </w:tr>
      <w:tr w:rsidR="00481005" w:rsidRPr="006E1C14" w:rsidTr="006E1C14">
        <w:trPr>
          <w:trHeight w:val="315"/>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left"/>
              <w:rPr>
                <w:b/>
                <w:bCs/>
              </w:rPr>
            </w:pPr>
          </w:p>
        </w:tc>
        <w:tc>
          <w:tcPr>
            <w:tcW w:w="13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2012</w:t>
            </w:r>
          </w:p>
        </w:tc>
        <w:tc>
          <w:tcPr>
            <w:tcW w:w="11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2011</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2010</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2009</w:t>
            </w:r>
          </w:p>
        </w:tc>
        <w:tc>
          <w:tcPr>
            <w:tcW w:w="134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481005" w:rsidRPr="006E1C14" w:rsidRDefault="00481005" w:rsidP="00E30543">
            <w:pPr>
              <w:spacing w:line="240" w:lineRule="auto"/>
              <w:jc w:val="center"/>
              <w:rPr>
                <w:b/>
                <w:bCs/>
              </w:rPr>
            </w:pPr>
            <w:r w:rsidRPr="006E1C14">
              <w:rPr>
                <w:b/>
                <w:bCs/>
              </w:rPr>
              <w:t>2008</w:t>
            </w:r>
          </w:p>
        </w:tc>
      </w:tr>
      <w:tr w:rsidR="00481005" w:rsidRPr="00CE20CD"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left"/>
              <w:rPr>
                <w:bCs/>
                <w:color w:val="000000"/>
              </w:rPr>
            </w:pPr>
            <w:r w:rsidRPr="00481005">
              <w:rPr>
                <w:bCs/>
                <w:color w:val="000000"/>
              </w:rPr>
              <w:t>Basiskapital</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431.190</w:t>
            </w:r>
          </w:p>
        </w:tc>
        <w:tc>
          <w:tcPr>
            <w:tcW w:w="118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473.548</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477.261</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517.801</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508.963</w:t>
            </w:r>
          </w:p>
        </w:tc>
      </w:tr>
      <w:tr w:rsidR="00481005" w:rsidRPr="00CE20CD"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left"/>
              <w:rPr>
                <w:bCs/>
                <w:color w:val="000000"/>
              </w:rPr>
            </w:pPr>
            <w:r w:rsidRPr="00481005">
              <w:rPr>
                <w:bCs/>
                <w:color w:val="000000"/>
              </w:rPr>
              <w:t>Risikovægtede poster</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2.363.855</w:t>
            </w:r>
          </w:p>
        </w:tc>
        <w:tc>
          <w:tcPr>
            <w:tcW w:w="118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2.497.118</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2.537.334</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2.621.413</w:t>
            </w:r>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color w:val="000000"/>
              </w:rPr>
            </w:pPr>
            <w:r w:rsidRPr="00481005">
              <w:rPr>
                <w:color w:val="000000"/>
              </w:rPr>
              <w:t>2.510.608</w:t>
            </w:r>
          </w:p>
        </w:tc>
      </w:tr>
      <w:tr w:rsidR="00481005" w:rsidRPr="00CE20CD" w:rsidTr="005D2FDC">
        <w:trPr>
          <w:trHeight w:val="315"/>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481005" w:rsidRPr="00CE20CD" w:rsidRDefault="00481005" w:rsidP="00CE20CD">
            <w:pPr>
              <w:spacing w:line="240" w:lineRule="auto"/>
              <w:jc w:val="left"/>
              <w:rPr>
                <w:b/>
                <w:bCs/>
                <w:color w:val="000000"/>
              </w:rPr>
            </w:pPr>
            <w:r w:rsidRPr="00CE20CD">
              <w:rPr>
                <w:b/>
                <w:bCs/>
                <w:color w:val="000000"/>
              </w:rPr>
              <w:t>Solvens</w:t>
            </w:r>
          </w:p>
        </w:tc>
        <w:tc>
          <w:tcPr>
            <w:tcW w:w="136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18,</w:t>
            </w:r>
            <w:proofErr w:type="gramStart"/>
            <w:r w:rsidRPr="00481005">
              <w:rPr>
                <w:b/>
                <w:color w:val="000000"/>
              </w:rPr>
              <w:t>24%</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18,</w:t>
            </w:r>
            <w:proofErr w:type="gramStart"/>
            <w:r w:rsidRPr="00481005">
              <w:rPr>
                <w:b/>
                <w:color w:val="000000"/>
              </w:rPr>
              <w:t>96%</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18,</w:t>
            </w:r>
            <w:proofErr w:type="gramStart"/>
            <w:r w:rsidRPr="00481005">
              <w:rPr>
                <w:b/>
                <w:color w:val="000000"/>
              </w:rPr>
              <w:t>81%</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19,</w:t>
            </w:r>
            <w:proofErr w:type="gramStart"/>
            <w:r w:rsidRPr="00481005">
              <w:rPr>
                <w:b/>
                <w:color w:val="000000"/>
              </w:rPr>
              <w:t>75%</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rsidR="00481005" w:rsidRPr="00481005" w:rsidRDefault="00481005" w:rsidP="00CE20CD">
            <w:pPr>
              <w:spacing w:line="240" w:lineRule="auto"/>
              <w:jc w:val="right"/>
              <w:rPr>
                <w:b/>
                <w:color w:val="000000"/>
              </w:rPr>
            </w:pPr>
            <w:r w:rsidRPr="00481005">
              <w:rPr>
                <w:b/>
                <w:color w:val="000000"/>
              </w:rPr>
              <w:t>20,</w:t>
            </w:r>
            <w:proofErr w:type="gramStart"/>
            <w:r w:rsidRPr="00481005">
              <w:rPr>
                <w:b/>
                <w:color w:val="000000"/>
              </w:rPr>
              <w:t>27%</w:t>
            </w:r>
            <w:proofErr w:type="gramEnd"/>
          </w:p>
        </w:tc>
      </w:tr>
    </w:tbl>
    <w:p w:rsidR="00CE20CD" w:rsidRDefault="00CE20CD" w:rsidP="0007314B"/>
    <w:p w:rsidR="00CE20CD" w:rsidRDefault="00CE20CD">
      <w:pPr>
        <w:spacing w:line="240" w:lineRule="auto"/>
        <w:jc w:val="left"/>
      </w:pPr>
      <w:r>
        <w:br w:type="page"/>
      </w:r>
    </w:p>
    <w:p w:rsidR="00CE20CD" w:rsidRDefault="00CE20CD" w:rsidP="00F46A79">
      <w:pPr>
        <w:pStyle w:val="Overskrift2"/>
      </w:pPr>
      <w:bookmarkStart w:id="187" w:name="_Toc354517455"/>
      <w:r>
        <w:lastRenderedPageBreak/>
        <w:t>Bilag B</w:t>
      </w:r>
      <w:r w:rsidR="00024ACB">
        <w:t xml:space="preserve"> - WACC</w:t>
      </w:r>
      <w:bookmarkEnd w:id="187"/>
    </w:p>
    <w:p w:rsidR="007D348B" w:rsidRPr="007D348B" w:rsidRDefault="007D348B" w:rsidP="007D348B">
      <w:r>
        <w:t>Formel for WACC:</w:t>
      </w:r>
    </w:p>
    <w:p w:rsidR="00CE20CD" w:rsidRDefault="00CE20CD" w:rsidP="00CE20CD">
      <w:proofErr w:type="spellStart"/>
      <w:r w:rsidRPr="009638C7">
        <w:rPr>
          <w:b/>
        </w:rPr>
        <w:t>K</w:t>
      </w:r>
      <w:r w:rsidRPr="009638C7">
        <w:rPr>
          <w:b/>
          <w:vertAlign w:val="subscript"/>
        </w:rPr>
        <w:t>w</w:t>
      </w:r>
      <w:proofErr w:type="spellEnd"/>
      <w:r w:rsidRPr="009638C7">
        <w:rPr>
          <w:b/>
          <w:vertAlign w:val="subscript"/>
        </w:rPr>
        <w:t xml:space="preserve"> </w:t>
      </w:r>
      <w:r w:rsidRPr="009638C7">
        <w:rPr>
          <w:b/>
        </w:rPr>
        <w:t xml:space="preserve">= </w:t>
      </w:r>
      <w:proofErr w:type="spellStart"/>
      <w:r w:rsidRPr="009638C7">
        <w:rPr>
          <w:b/>
        </w:rPr>
        <w:t>k</w:t>
      </w:r>
      <w:r w:rsidRPr="009638C7">
        <w:rPr>
          <w:b/>
          <w:vertAlign w:val="subscript"/>
        </w:rPr>
        <w:t>d</w:t>
      </w:r>
      <w:proofErr w:type="spellEnd"/>
      <w:r w:rsidRPr="009638C7">
        <w:rPr>
          <w:b/>
        </w:rPr>
        <w:t xml:space="preserve"> (1 – T) </w:t>
      </w:r>
      <w:r>
        <w:rPr>
          <w:b/>
        </w:rPr>
        <w:t>*</w:t>
      </w:r>
      <w:r w:rsidRPr="009638C7">
        <w:rPr>
          <w:b/>
        </w:rPr>
        <w:t xml:space="preserve"> L + </w:t>
      </w:r>
      <w:proofErr w:type="spellStart"/>
      <w:r w:rsidRPr="009638C7">
        <w:rPr>
          <w:b/>
        </w:rPr>
        <w:t>k</w:t>
      </w:r>
      <w:r w:rsidRPr="009638C7">
        <w:rPr>
          <w:b/>
          <w:vertAlign w:val="subscript"/>
        </w:rPr>
        <w:t>e</w:t>
      </w:r>
      <w:proofErr w:type="spellEnd"/>
      <w:r w:rsidRPr="009638C7">
        <w:rPr>
          <w:b/>
        </w:rPr>
        <w:t xml:space="preserve"> (1 – L),</w:t>
      </w:r>
      <w:r>
        <w:t xml:space="preserve"> hvor</w:t>
      </w:r>
    </w:p>
    <w:p w:rsidR="00CE20CD" w:rsidRDefault="00CE20CD" w:rsidP="00CE20CD"/>
    <w:p w:rsidR="00CE20CD" w:rsidRDefault="00CE20CD" w:rsidP="00CE20CD">
      <m:oMathPara>
        <m:oMath>
          <m:r>
            <w:rPr>
              <w:rFonts w:ascii="Cambria Math" w:hAnsi="Cambria Math"/>
            </w:rPr>
            <m:t>Kw=</m:t>
          </m:r>
          <m:f>
            <m:fPr>
              <m:ctrlPr>
                <w:rPr>
                  <w:rFonts w:ascii="Cambria Math" w:hAnsi="Cambria Math"/>
                  <w:i/>
                </w:rPr>
              </m:ctrlPr>
            </m:fPr>
            <m:num>
              <m:r>
                <w:rPr>
                  <w:rFonts w:ascii="Cambria Math" w:hAnsi="Cambria Math"/>
                </w:rPr>
                <m:t>Renteudgifter</m:t>
              </m:r>
            </m:num>
            <m:den>
              <m:r>
                <w:rPr>
                  <w:rFonts w:ascii="Cambria Math" w:hAnsi="Cambria Math"/>
                </w:rPr>
                <m:t>(Balancesum-EK+GK-pulje)</m:t>
              </m:r>
            </m:den>
          </m:f>
          <m:r>
            <w:rPr>
              <w:rFonts w:ascii="Cambria Math" w:hAnsi="Cambria Math"/>
            </w:rPr>
            <m:t xml:space="preserve"> </m:t>
          </m:r>
          <m:d>
            <m:dPr>
              <m:ctrlPr>
                <w:rPr>
                  <w:rFonts w:ascii="Cambria Math" w:hAnsi="Cambria Math"/>
                  <w:i/>
                </w:rPr>
              </m:ctrlPr>
            </m:dPr>
            <m:e>
              <m:r>
                <w:rPr>
                  <w:rFonts w:ascii="Cambria Math" w:hAnsi="Cambria Math"/>
                </w:rPr>
                <m:t>1-T</m:t>
              </m:r>
            </m:e>
          </m:d>
          <m:r>
            <w:rPr>
              <w:rFonts w:ascii="Cambria Math" w:hAnsi="Cambria Math"/>
            </w:rPr>
            <m:t xml:space="preserve">* </m:t>
          </m:r>
          <m:f>
            <m:fPr>
              <m:ctrlPr>
                <w:rPr>
                  <w:rFonts w:ascii="Cambria Math" w:hAnsi="Cambria Math"/>
                  <w:i/>
                </w:rPr>
              </m:ctrlPr>
            </m:fPr>
            <m:num>
              <m:r>
                <w:rPr>
                  <w:rFonts w:ascii="Cambria Math" w:hAnsi="Cambria Math"/>
                </w:rPr>
                <m:t>Balancesum-EK+GK-pulje</m:t>
              </m:r>
            </m:num>
            <m:den>
              <m:r>
                <w:rPr>
                  <w:rFonts w:ascii="Cambria Math" w:hAnsi="Cambria Math"/>
                </w:rPr>
                <m:t>Balancesum</m:t>
              </m:r>
            </m:den>
          </m:f>
          <m:r>
            <w:rPr>
              <w:rFonts w:ascii="Cambria Math" w:hAnsi="Cambria Math"/>
            </w:rPr>
            <m:t>+ rf+β</m:t>
          </m:r>
          <m:d>
            <m:dPr>
              <m:ctrlPr>
                <w:rPr>
                  <w:rFonts w:ascii="Cambria Math" w:hAnsi="Cambria Math"/>
                  <w:i/>
                </w:rPr>
              </m:ctrlPr>
            </m:dPr>
            <m:e>
              <m:r>
                <w:rPr>
                  <w:rFonts w:ascii="Cambria Math" w:hAnsi="Cambria Math"/>
                </w:rPr>
                <m:t>km-rf</m:t>
              </m:r>
            </m:e>
          </m:d>
          <m:r>
            <w:rPr>
              <w:rFonts w:ascii="Cambria Math" w:hAnsi="Cambria Math"/>
            </w:rPr>
            <m:t>(1-(</m:t>
          </m:r>
          <m:f>
            <m:fPr>
              <m:ctrlPr>
                <w:rPr>
                  <w:rFonts w:ascii="Cambria Math" w:hAnsi="Cambria Math"/>
                  <w:i/>
                </w:rPr>
              </m:ctrlPr>
            </m:fPr>
            <m:num>
              <m:r>
                <w:rPr>
                  <w:rFonts w:ascii="Cambria Math" w:hAnsi="Cambria Math"/>
                </w:rPr>
                <m:t>Balancesum-EK+GK-pulje</m:t>
              </m:r>
            </m:num>
            <m:den>
              <m:r>
                <w:rPr>
                  <w:rFonts w:ascii="Cambria Math" w:hAnsi="Cambria Math"/>
                </w:rPr>
                <m:t>Balancesum</m:t>
              </m:r>
            </m:den>
          </m:f>
          <m:r>
            <w:rPr>
              <w:rFonts w:ascii="Cambria Math" w:hAnsi="Cambria Math"/>
            </w:rPr>
            <m:t>)</m:t>
          </m:r>
        </m:oMath>
      </m:oMathPara>
    </w:p>
    <w:p w:rsidR="007D348B" w:rsidRDefault="007D348B" w:rsidP="00CE20CD"/>
    <w:tbl>
      <w:tblPr>
        <w:tblW w:w="9180" w:type="dxa"/>
        <w:tblInd w:w="60" w:type="dxa"/>
        <w:tblCellMar>
          <w:left w:w="70" w:type="dxa"/>
          <w:right w:w="70" w:type="dxa"/>
        </w:tblCellMar>
        <w:tblLook w:val="04A0" w:firstRow="1" w:lastRow="0" w:firstColumn="1" w:lastColumn="0" w:noHBand="0" w:noVBand="1"/>
      </w:tblPr>
      <w:tblGrid>
        <w:gridCol w:w="3380"/>
        <w:gridCol w:w="1160"/>
        <w:gridCol w:w="1160"/>
        <w:gridCol w:w="1160"/>
        <w:gridCol w:w="1160"/>
        <w:gridCol w:w="1160"/>
      </w:tblGrid>
      <w:tr w:rsidR="00481005" w:rsidRPr="007D348B" w:rsidTr="00E30543">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7D348B" w:rsidRDefault="00481005" w:rsidP="007D348B">
            <w:pPr>
              <w:spacing w:line="240" w:lineRule="auto"/>
              <w:jc w:val="center"/>
              <w:rPr>
                <w:b/>
                <w:bCs/>
                <w:color w:val="000000"/>
                <w:sz w:val="22"/>
                <w:szCs w:val="22"/>
              </w:rPr>
            </w:pPr>
            <w:r w:rsidRPr="007D348B">
              <w:rPr>
                <w:b/>
                <w:bCs/>
                <w:color w:val="000000"/>
                <w:sz w:val="22"/>
                <w:szCs w:val="22"/>
              </w:rPr>
              <w:t>Den Jyske Sparekasse</w:t>
            </w:r>
          </w:p>
        </w:tc>
      </w:tr>
      <w:tr w:rsidR="007D348B" w:rsidRPr="006E1C14" w:rsidTr="006E1C14">
        <w:trPr>
          <w:trHeight w:val="300"/>
        </w:trPr>
        <w:tc>
          <w:tcPr>
            <w:tcW w:w="33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7D348B" w:rsidRPr="006E1C14" w:rsidRDefault="00481005" w:rsidP="007D348B">
            <w:pPr>
              <w:spacing w:line="240" w:lineRule="auto"/>
              <w:jc w:val="left"/>
              <w:rPr>
                <w:b/>
                <w:color w:val="000000"/>
                <w:sz w:val="22"/>
                <w:szCs w:val="22"/>
              </w:rPr>
            </w:pPr>
            <w:r>
              <w:rPr>
                <w:b/>
                <w:color w:val="000000"/>
                <w:sz w:val="22"/>
                <w:szCs w:val="22"/>
              </w:rPr>
              <w:t>År</w:t>
            </w:r>
          </w:p>
        </w:tc>
        <w:tc>
          <w:tcPr>
            <w:tcW w:w="1160" w:type="dxa"/>
            <w:tcBorders>
              <w:top w:val="nil"/>
              <w:left w:val="nil"/>
              <w:bottom w:val="single" w:sz="4" w:space="0" w:color="auto"/>
              <w:right w:val="single" w:sz="4" w:space="0" w:color="auto"/>
            </w:tcBorders>
            <w:shd w:val="clear" w:color="auto" w:fill="C6D9F1" w:themeFill="text2" w:themeFillTint="33"/>
            <w:noWrap/>
            <w:vAlign w:val="bottom"/>
            <w:hideMark/>
          </w:tcPr>
          <w:p w:rsidR="007D348B" w:rsidRPr="006E1C14" w:rsidRDefault="007D348B" w:rsidP="007D348B">
            <w:pPr>
              <w:spacing w:line="240" w:lineRule="auto"/>
              <w:jc w:val="right"/>
              <w:rPr>
                <w:b/>
                <w:color w:val="000000"/>
                <w:sz w:val="22"/>
                <w:szCs w:val="22"/>
              </w:rPr>
            </w:pPr>
            <w:r w:rsidRPr="006E1C14">
              <w:rPr>
                <w:b/>
                <w:color w:val="000000"/>
                <w:sz w:val="22"/>
                <w:szCs w:val="22"/>
              </w:rPr>
              <w:t>2012</w:t>
            </w:r>
          </w:p>
        </w:tc>
        <w:tc>
          <w:tcPr>
            <w:tcW w:w="1160" w:type="dxa"/>
            <w:tcBorders>
              <w:top w:val="nil"/>
              <w:left w:val="nil"/>
              <w:bottom w:val="single" w:sz="4" w:space="0" w:color="auto"/>
              <w:right w:val="single" w:sz="4" w:space="0" w:color="auto"/>
            </w:tcBorders>
            <w:shd w:val="clear" w:color="auto" w:fill="C6D9F1" w:themeFill="text2" w:themeFillTint="33"/>
            <w:noWrap/>
            <w:vAlign w:val="bottom"/>
            <w:hideMark/>
          </w:tcPr>
          <w:p w:rsidR="007D348B" w:rsidRPr="006E1C14" w:rsidRDefault="007D348B" w:rsidP="007D348B">
            <w:pPr>
              <w:spacing w:line="240" w:lineRule="auto"/>
              <w:jc w:val="right"/>
              <w:rPr>
                <w:b/>
                <w:color w:val="000000"/>
                <w:sz w:val="22"/>
                <w:szCs w:val="22"/>
              </w:rPr>
            </w:pPr>
            <w:r w:rsidRPr="006E1C14">
              <w:rPr>
                <w:b/>
                <w:color w:val="000000"/>
                <w:sz w:val="22"/>
                <w:szCs w:val="22"/>
              </w:rPr>
              <w:t>2011</w:t>
            </w:r>
          </w:p>
        </w:tc>
        <w:tc>
          <w:tcPr>
            <w:tcW w:w="1160" w:type="dxa"/>
            <w:tcBorders>
              <w:top w:val="nil"/>
              <w:left w:val="nil"/>
              <w:bottom w:val="single" w:sz="4" w:space="0" w:color="auto"/>
              <w:right w:val="single" w:sz="4" w:space="0" w:color="auto"/>
            </w:tcBorders>
            <w:shd w:val="clear" w:color="auto" w:fill="C6D9F1" w:themeFill="text2" w:themeFillTint="33"/>
            <w:noWrap/>
            <w:vAlign w:val="bottom"/>
            <w:hideMark/>
          </w:tcPr>
          <w:p w:rsidR="007D348B" w:rsidRPr="006E1C14" w:rsidRDefault="007D348B" w:rsidP="007D348B">
            <w:pPr>
              <w:spacing w:line="240" w:lineRule="auto"/>
              <w:jc w:val="right"/>
              <w:rPr>
                <w:b/>
                <w:color w:val="000000"/>
                <w:sz w:val="22"/>
                <w:szCs w:val="22"/>
              </w:rPr>
            </w:pPr>
            <w:r w:rsidRPr="006E1C14">
              <w:rPr>
                <w:b/>
                <w:color w:val="000000"/>
                <w:sz w:val="22"/>
                <w:szCs w:val="22"/>
              </w:rPr>
              <w:t>2010</w:t>
            </w:r>
          </w:p>
        </w:tc>
        <w:tc>
          <w:tcPr>
            <w:tcW w:w="1160" w:type="dxa"/>
            <w:tcBorders>
              <w:top w:val="nil"/>
              <w:left w:val="nil"/>
              <w:bottom w:val="single" w:sz="4" w:space="0" w:color="auto"/>
              <w:right w:val="single" w:sz="4" w:space="0" w:color="auto"/>
            </w:tcBorders>
            <w:shd w:val="clear" w:color="auto" w:fill="C6D9F1" w:themeFill="text2" w:themeFillTint="33"/>
            <w:noWrap/>
            <w:vAlign w:val="bottom"/>
            <w:hideMark/>
          </w:tcPr>
          <w:p w:rsidR="007D348B" w:rsidRPr="006E1C14" w:rsidRDefault="007D348B" w:rsidP="007D348B">
            <w:pPr>
              <w:spacing w:line="240" w:lineRule="auto"/>
              <w:jc w:val="right"/>
              <w:rPr>
                <w:b/>
                <w:color w:val="000000"/>
                <w:sz w:val="22"/>
                <w:szCs w:val="22"/>
              </w:rPr>
            </w:pPr>
            <w:r w:rsidRPr="006E1C14">
              <w:rPr>
                <w:b/>
                <w:color w:val="000000"/>
                <w:sz w:val="22"/>
                <w:szCs w:val="22"/>
              </w:rPr>
              <w:t>2009</w:t>
            </w:r>
          </w:p>
        </w:tc>
        <w:tc>
          <w:tcPr>
            <w:tcW w:w="1160" w:type="dxa"/>
            <w:tcBorders>
              <w:top w:val="nil"/>
              <w:left w:val="nil"/>
              <w:bottom w:val="single" w:sz="4" w:space="0" w:color="auto"/>
              <w:right w:val="single" w:sz="4" w:space="0" w:color="auto"/>
            </w:tcBorders>
            <w:shd w:val="clear" w:color="auto" w:fill="C6D9F1" w:themeFill="text2" w:themeFillTint="33"/>
            <w:noWrap/>
            <w:vAlign w:val="bottom"/>
            <w:hideMark/>
          </w:tcPr>
          <w:p w:rsidR="007D348B" w:rsidRPr="006E1C14" w:rsidRDefault="007D348B" w:rsidP="007D348B">
            <w:pPr>
              <w:spacing w:line="240" w:lineRule="auto"/>
              <w:jc w:val="right"/>
              <w:rPr>
                <w:b/>
                <w:color w:val="000000"/>
                <w:sz w:val="22"/>
                <w:szCs w:val="22"/>
              </w:rPr>
            </w:pPr>
            <w:r w:rsidRPr="006E1C14">
              <w:rPr>
                <w:b/>
                <w:color w:val="000000"/>
                <w:sz w:val="22"/>
                <w:szCs w:val="22"/>
              </w:rPr>
              <w:t>2008</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5B1F33" w:rsidP="006E1C14">
            <w:pPr>
              <w:spacing w:line="240" w:lineRule="auto"/>
              <w:jc w:val="left"/>
              <w:rPr>
                <w:color w:val="000000"/>
                <w:sz w:val="22"/>
                <w:szCs w:val="22"/>
              </w:rPr>
            </w:pPr>
            <w:proofErr w:type="spellStart"/>
            <w:r w:rsidRPr="000D43C8">
              <w:rPr>
                <w:color w:val="000000"/>
                <w:sz w:val="22"/>
                <w:szCs w:val="22"/>
              </w:rPr>
              <w:t>K</w:t>
            </w:r>
            <w:r>
              <w:rPr>
                <w:color w:val="000000"/>
                <w:sz w:val="22"/>
                <w:szCs w:val="22"/>
                <w:vertAlign w:val="subscript"/>
              </w:rPr>
              <w:t>d</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0,0157</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0,0201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0,0163</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0,0227</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0,0322</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6E1C14">
            <w:pPr>
              <w:spacing w:line="240" w:lineRule="auto"/>
              <w:jc w:val="left"/>
              <w:rPr>
                <w:color w:val="000000"/>
                <w:sz w:val="22"/>
                <w:szCs w:val="22"/>
              </w:rPr>
            </w:pPr>
            <w:r w:rsidRPr="007D348B">
              <w:rPr>
                <w:color w:val="000000"/>
                <w:sz w:val="22"/>
                <w:szCs w:val="22"/>
              </w:rPr>
              <w:t>T</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25,</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25,</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25,</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25,</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25,</w:t>
            </w:r>
            <w:proofErr w:type="gramStart"/>
            <w:r w:rsidRPr="007D348B">
              <w:rPr>
                <w:color w:val="000000"/>
                <w:sz w:val="22"/>
                <w:szCs w:val="22"/>
              </w:rPr>
              <w:t>00%</w:t>
            </w:r>
            <w:proofErr w:type="gramEnd"/>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6E1C14">
            <w:pPr>
              <w:spacing w:line="240" w:lineRule="auto"/>
              <w:jc w:val="left"/>
              <w:rPr>
                <w:color w:val="000000"/>
                <w:sz w:val="22"/>
                <w:szCs w:val="22"/>
              </w:rPr>
            </w:pPr>
            <w:r w:rsidRPr="007D348B">
              <w:rPr>
                <w:color w:val="000000"/>
                <w:sz w:val="22"/>
                <w:szCs w:val="22"/>
              </w:rPr>
              <w:t>L</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0,9204</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0,8861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0,9181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0,9064</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0,8977</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5B1F33" w:rsidP="006E1C14">
            <w:pPr>
              <w:spacing w:line="240" w:lineRule="auto"/>
              <w:jc w:val="left"/>
              <w:rPr>
                <w:color w:val="000000"/>
                <w:sz w:val="22"/>
                <w:szCs w:val="22"/>
              </w:rPr>
            </w:pPr>
            <w:proofErr w:type="spellStart"/>
            <w:r w:rsidRPr="000D43C8">
              <w:rPr>
                <w:color w:val="000000"/>
                <w:sz w:val="22"/>
                <w:szCs w:val="22"/>
              </w:rPr>
              <w:t>K</w:t>
            </w:r>
            <w:r>
              <w:rPr>
                <w:color w:val="000000"/>
                <w:sz w:val="22"/>
                <w:szCs w:val="22"/>
                <w:vertAlign w:val="subscript"/>
              </w:rPr>
              <w:t>e</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8,</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8,</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8,</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8,</w:t>
            </w:r>
            <w:proofErr w:type="gramStart"/>
            <w:r w:rsidRPr="007D348B">
              <w:rPr>
                <w:color w:val="000000"/>
                <w:sz w:val="22"/>
                <w:szCs w:val="22"/>
              </w:rPr>
              <w:t>00%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8,</w:t>
            </w:r>
            <w:proofErr w:type="gramStart"/>
            <w:r w:rsidRPr="007D348B">
              <w:rPr>
                <w:color w:val="000000"/>
                <w:sz w:val="22"/>
                <w:szCs w:val="22"/>
              </w:rPr>
              <w:t>00%</w:t>
            </w:r>
            <w:proofErr w:type="gramEnd"/>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6E1C14">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5B1F33" w:rsidP="006E1C14">
            <w:pPr>
              <w:spacing w:line="240" w:lineRule="auto"/>
              <w:jc w:val="left"/>
              <w:rPr>
                <w:color w:val="000000"/>
                <w:sz w:val="22"/>
                <w:szCs w:val="22"/>
              </w:rPr>
            </w:pPr>
            <w:r w:rsidRPr="000D43C8">
              <w:rPr>
                <w:color w:val="000000"/>
                <w:sz w:val="22"/>
                <w:szCs w:val="22"/>
              </w:rPr>
              <w:t>K</w:t>
            </w:r>
            <w:r>
              <w:rPr>
                <w:color w:val="000000"/>
                <w:sz w:val="22"/>
                <w:szCs w:val="22"/>
                <w:vertAlign w:val="subscript"/>
              </w:rPr>
              <w:t>m</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8%</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8%</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8%</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8%</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8%</w:t>
            </w:r>
            <w:proofErr w:type="gramEnd"/>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5B1F33" w:rsidP="006E1C14">
            <w:pPr>
              <w:spacing w:line="240" w:lineRule="auto"/>
              <w:jc w:val="left"/>
              <w:rPr>
                <w:color w:val="000000"/>
                <w:sz w:val="22"/>
                <w:szCs w:val="22"/>
              </w:rPr>
            </w:pPr>
            <w:proofErr w:type="spellStart"/>
            <w:r w:rsidRPr="000D43C8">
              <w:rPr>
                <w:color w:val="000000"/>
                <w:sz w:val="22"/>
                <w:szCs w:val="22"/>
              </w:rPr>
              <w:t>R</w:t>
            </w:r>
            <w:r>
              <w:rPr>
                <w:color w:val="000000"/>
                <w:sz w:val="22"/>
                <w:szCs w:val="22"/>
                <w:vertAlign w:val="subscript"/>
              </w:rPr>
              <w:t>f</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4%</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4%</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4%</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4%</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proofErr w:type="gramStart"/>
            <w:r w:rsidRPr="007D348B">
              <w:rPr>
                <w:color w:val="000000"/>
                <w:sz w:val="22"/>
                <w:szCs w:val="22"/>
              </w:rPr>
              <w:t>4%</w:t>
            </w:r>
            <w:proofErr w:type="gramEnd"/>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D4718A" w:rsidP="006E1C14">
            <w:pPr>
              <w:spacing w:line="240" w:lineRule="auto"/>
              <w:jc w:val="left"/>
              <w:rPr>
                <w:color w:val="000000"/>
                <w:sz w:val="22"/>
                <w:szCs w:val="22"/>
              </w:rPr>
            </w:pPr>
            <w:r w:rsidRPr="007D348B">
              <w:rPr>
                <w:color w:val="000000"/>
                <w:sz w:val="22"/>
                <w:szCs w:val="22"/>
              </w:rPr>
              <w:t>Β</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Aktiver</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20.029.074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12.322.302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13.525.169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11.718.691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10.080.704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Passiver</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20.029.074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12.322.302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13.525.169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11.718.691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10.080.704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Renteudgifter</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288.614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219.746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202.540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241.420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291.063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Garantkapital</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874.087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591.705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601.038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539.322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554.311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Egenkapital</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1.912.737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1.561.726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1.708.772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1.636.163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1.585.197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Puljeordninger</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555.008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433.922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Årets resultat efter skat</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76.830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-136.276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10.893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-47.696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xml:space="preserve">      -46.362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Udbytte</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 </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proofErr w:type="spellStart"/>
            <w:r w:rsidRPr="007D348B">
              <w:rPr>
                <w:color w:val="000000"/>
                <w:sz w:val="22"/>
                <w:szCs w:val="22"/>
              </w:rPr>
              <w:t>Højresiden</w:t>
            </w:r>
            <w:proofErr w:type="spellEnd"/>
            <w:r w:rsidRPr="007D348B">
              <w:rPr>
                <w:color w:val="000000"/>
                <w:sz w:val="22"/>
                <w:szCs w:val="22"/>
              </w:rPr>
              <w:t xml:space="preserve"> </w:t>
            </w:r>
            <w:r w:rsidR="00D4718A">
              <w:rPr>
                <w:color w:val="000000"/>
                <w:sz w:val="22"/>
                <w:szCs w:val="22"/>
              </w:rPr>
              <w:t>–</w:t>
            </w:r>
            <w:r w:rsidRPr="007D348B">
              <w:rPr>
                <w:color w:val="000000"/>
                <w:sz w:val="22"/>
                <w:szCs w:val="22"/>
              </w:rPr>
              <w:t xml:space="preserve"> egenkapitalen</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0,637</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0,911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0,655</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0,749</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0,818</w:t>
            </w:r>
          </w:p>
        </w:tc>
      </w:tr>
      <w:tr w:rsidR="007D348B" w:rsidRPr="007D348B" w:rsidTr="007D348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left"/>
              <w:rPr>
                <w:color w:val="000000"/>
                <w:sz w:val="22"/>
                <w:szCs w:val="22"/>
              </w:rPr>
            </w:pPr>
            <w:r w:rsidRPr="007D348B">
              <w:rPr>
                <w:color w:val="000000"/>
                <w:sz w:val="22"/>
                <w:szCs w:val="22"/>
              </w:rPr>
              <w:t>Venstre siden - fremmedkapitalen</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1,081</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1,337</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1,123</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1,545</w:t>
            </w:r>
          </w:p>
        </w:tc>
        <w:tc>
          <w:tcPr>
            <w:tcW w:w="1160" w:type="dxa"/>
            <w:tcBorders>
              <w:top w:val="nil"/>
              <w:left w:val="nil"/>
              <w:bottom w:val="single" w:sz="4"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color w:val="000000"/>
                <w:sz w:val="22"/>
                <w:szCs w:val="22"/>
              </w:rPr>
            </w:pPr>
            <w:r w:rsidRPr="007D348B">
              <w:rPr>
                <w:color w:val="000000"/>
                <w:sz w:val="22"/>
                <w:szCs w:val="22"/>
              </w:rPr>
              <w:t>2,165</w:t>
            </w:r>
          </w:p>
        </w:tc>
      </w:tr>
      <w:tr w:rsidR="007D348B" w:rsidRPr="007D348B" w:rsidTr="007D348B">
        <w:trPr>
          <w:trHeight w:val="315"/>
        </w:trPr>
        <w:tc>
          <w:tcPr>
            <w:tcW w:w="3380" w:type="dxa"/>
            <w:tcBorders>
              <w:top w:val="nil"/>
              <w:left w:val="single" w:sz="4" w:space="0" w:color="auto"/>
              <w:bottom w:val="single" w:sz="8" w:space="0" w:color="auto"/>
              <w:right w:val="single" w:sz="4" w:space="0" w:color="auto"/>
            </w:tcBorders>
            <w:shd w:val="clear" w:color="auto" w:fill="auto"/>
            <w:noWrap/>
            <w:vAlign w:val="bottom"/>
            <w:hideMark/>
          </w:tcPr>
          <w:p w:rsidR="007D348B" w:rsidRPr="007D348B" w:rsidRDefault="005B1F33" w:rsidP="007D348B">
            <w:pPr>
              <w:spacing w:line="240" w:lineRule="auto"/>
              <w:jc w:val="left"/>
              <w:rPr>
                <w:b/>
                <w:bCs/>
                <w:color w:val="000000"/>
                <w:sz w:val="22"/>
                <w:szCs w:val="22"/>
              </w:rPr>
            </w:pPr>
            <w:r>
              <w:rPr>
                <w:b/>
                <w:bCs/>
                <w:color w:val="000000"/>
                <w:sz w:val="22"/>
                <w:szCs w:val="22"/>
              </w:rPr>
              <w:t>WACC (</w:t>
            </w:r>
            <w:proofErr w:type="spellStart"/>
            <w:r>
              <w:rPr>
                <w:b/>
                <w:bCs/>
                <w:color w:val="000000"/>
                <w:sz w:val="22"/>
                <w:szCs w:val="22"/>
              </w:rPr>
              <w:t>k</w:t>
            </w:r>
            <w:r>
              <w:rPr>
                <w:b/>
                <w:bCs/>
                <w:color w:val="000000"/>
                <w:sz w:val="22"/>
                <w:szCs w:val="22"/>
                <w:vertAlign w:val="subscript"/>
              </w:rPr>
              <w:t>w</w:t>
            </w:r>
            <w:proofErr w:type="spellEnd"/>
            <w:r w:rsidR="007D348B" w:rsidRPr="007D348B">
              <w:rPr>
                <w:b/>
                <w:bCs/>
                <w:color w:val="000000"/>
                <w:sz w:val="22"/>
                <w:szCs w:val="22"/>
              </w:rPr>
              <w:t>)</w:t>
            </w:r>
          </w:p>
        </w:tc>
        <w:tc>
          <w:tcPr>
            <w:tcW w:w="1160" w:type="dxa"/>
            <w:tcBorders>
              <w:top w:val="nil"/>
              <w:left w:val="nil"/>
              <w:bottom w:val="single" w:sz="8"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b/>
                <w:bCs/>
                <w:color w:val="000000"/>
                <w:sz w:val="22"/>
                <w:szCs w:val="22"/>
              </w:rPr>
            </w:pPr>
            <w:r w:rsidRPr="007D348B">
              <w:rPr>
                <w:b/>
                <w:bCs/>
                <w:color w:val="000000"/>
                <w:sz w:val="22"/>
                <w:szCs w:val="22"/>
              </w:rPr>
              <w:t>1,</w:t>
            </w:r>
            <w:proofErr w:type="gramStart"/>
            <w:r w:rsidRPr="007D348B">
              <w:rPr>
                <w:b/>
                <w:bCs/>
                <w:color w:val="000000"/>
                <w:sz w:val="22"/>
                <w:szCs w:val="22"/>
              </w:rPr>
              <w:t>72%</w:t>
            </w:r>
            <w:proofErr w:type="gramEnd"/>
          </w:p>
        </w:tc>
        <w:tc>
          <w:tcPr>
            <w:tcW w:w="1160" w:type="dxa"/>
            <w:tcBorders>
              <w:top w:val="nil"/>
              <w:left w:val="nil"/>
              <w:bottom w:val="single" w:sz="8"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b/>
                <w:bCs/>
                <w:color w:val="000000"/>
                <w:sz w:val="22"/>
                <w:szCs w:val="22"/>
              </w:rPr>
            </w:pPr>
            <w:r w:rsidRPr="007D348B">
              <w:rPr>
                <w:b/>
                <w:bCs/>
                <w:color w:val="000000"/>
                <w:sz w:val="22"/>
                <w:szCs w:val="22"/>
              </w:rPr>
              <w:t>2,</w:t>
            </w:r>
            <w:proofErr w:type="gramStart"/>
            <w:r w:rsidRPr="007D348B">
              <w:rPr>
                <w:b/>
                <w:bCs/>
                <w:color w:val="000000"/>
                <w:sz w:val="22"/>
                <w:szCs w:val="22"/>
              </w:rPr>
              <w:t>25%</w:t>
            </w:r>
            <w:proofErr w:type="gramEnd"/>
          </w:p>
        </w:tc>
        <w:tc>
          <w:tcPr>
            <w:tcW w:w="1160" w:type="dxa"/>
            <w:tcBorders>
              <w:top w:val="nil"/>
              <w:left w:val="nil"/>
              <w:bottom w:val="single" w:sz="8"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b/>
                <w:bCs/>
                <w:color w:val="000000"/>
                <w:sz w:val="22"/>
                <w:szCs w:val="22"/>
              </w:rPr>
            </w:pPr>
            <w:r w:rsidRPr="007D348B">
              <w:rPr>
                <w:b/>
                <w:bCs/>
                <w:color w:val="000000"/>
                <w:sz w:val="22"/>
                <w:szCs w:val="22"/>
              </w:rPr>
              <w:t>1,</w:t>
            </w:r>
            <w:proofErr w:type="gramStart"/>
            <w:r w:rsidRPr="007D348B">
              <w:rPr>
                <w:b/>
                <w:bCs/>
                <w:color w:val="000000"/>
                <w:sz w:val="22"/>
                <w:szCs w:val="22"/>
              </w:rPr>
              <w:t>78%</w:t>
            </w:r>
            <w:proofErr w:type="gramEnd"/>
          </w:p>
        </w:tc>
        <w:tc>
          <w:tcPr>
            <w:tcW w:w="1160" w:type="dxa"/>
            <w:tcBorders>
              <w:top w:val="nil"/>
              <w:left w:val="nil"/>
              <w:bottom w:val="single" w:sz="8"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b/>
                <w:bCs/>
                <w:color w:val="000000"/>
                <w:sz w:val="22"/>
                <w:szCs w:val="22"/>
              </w:rPr>
            </w:pPr>
            <w:r w:rsidRPr="007D348B">
              <w:rPr>
                <w:b/>
                <w:bCs/>
                <w:color w:val="000000"/>
                <w:sz w:val="22"/>
                <w:szCs w:val="22"/>
              </w:rPr>
              <w:t>2,</w:t>
            </w:r>
            <w:proofErr w:type="gramStart"/>
            <w:r w:rsidRPr="007D348B">
              <w:rPr>
                <w:b/>
                <w:bCs/>
                <w:color w:val="000000"/>
                <w:sz w:val="22"/>
                <w:szCs w:val="22"/>
              </w:rPr>
              <w:t>29%</w:t>
            </w:r>
            <w:proofErr w:type="gramEnd"/>
          </w:p>
        </w:tc>
        <w:tc>
          <w:tcPr>
            <w:tcW w:w="1160" w:type="dxa"/>
            <w:tcBorders>
              <w:top w:val="nil"/>
              <w:left w:val="nil"/>
              <w:bottom w:val="single" w:sz="8" w:space="0" w:color="auto"/>
              <w:right w:val="single" w:sz="4" w:space="0" w:color="auto"/>
            </w:tcBorders>
            <w:shd w:val="clear" w:color="auto" w:fill="auto"/>
            <w:noWrap/>
            <w:vAlign w:val="bottom"/>
            <w:hideMark/>
          </w:tcPr>
          <w:p w:rsidR="007D348B" w:rsidRPr="007D348B" w:rsidRDefault="007D348B" w:rsidP="007D348B">
            <w:pPr>
              <w:spacing w:line="240" w:lineRule="auto"/>
              <w:jc w:val="right"/>
              <w:rPr>
                <w:b/>
                <w:bCs/>
                <w:color w:val="000000"/>
                <w:sz w:val="22"/>
                <w:szCs w:val="22"/>
              </w:rPr>
            </w:pPr>
            <w:r w:rsidRPr="007D348B">
              <w:rPr>
                <w:b/>
                <w:bCs/>
                <w:color w:val="000000"/>
                <w:sz w:val="22"/>
                <w:szCs w:val="22"/>
              </w:rPr>
              <w:t>2,</w:t>
            </w:r>
            <w:proofErr w:type="gramStart"/>
            <w:r w:rsidRPr="007D348B">
              <w:rPr>
                <w:b/>
                <w:bCs/>
                <w:color w:val="000000"/>
                <w:sz w:val="22"/>
                <w:szCs w:val="22"/>
              </w:rPr>
              <w:t>98%</w:t>
            </w:r>
            <w:proofErr w:type="gramEnd"/>
          </w:p>
        </w:tc>
      </w:tr>
    </w:tbl>
    <w:p w:rsidR="005D2FDC" w:rsidRDefault="005D2FDC" w:rsidP="00CE20CD"/>
    <w:p w:rsidR="005D2FDC" w:rsidRDefault="005D2FDC">
      <w:pPr>
        <w:spacing w:line="240" w:lineRule="auto"/>
        <w:jc w:val="left"/>
      </w:pPr>
      <w:r>
        <w:br w:type="page"/>
      </w:r>
    </w:p>
    <w:p w:rsidR="007D348B" w:rsidRPr="006E1C14" w:rsidRDefault="005D2FDC" w:rsidP="00CE20CD">
      <w:pPr>
        <w:rPr>
          <w:i/>
        </w:rPr>
      </w:pPr>
      <w:r w:rsidRPr="006E1C14">
        <w:rPr>
          <w:i/>
        </w:rPr>
        <w:lastRenderedPageBreak/>
        <w:t>Bilag B fortsat</w:t>
      </w:r>
    </w:p>
    <w:tbl>
      <w:tblPr>
        <w:tblW w:w="8560" w:type="dxa"/>
        <w:tblInd w:w="60" w:type="dxa"/>
        <w:tblCellMar>
          <w:left w:w="70" w:type="dxa"/>
          <w:right w:w="70" w:type="dxa"/>
        </w:tblCellMar>
        <w:tblLook w:val="04A0" w:firstRow="1" w:lastRow="0" w:firstColumn="1" w:lastColumn="0" w:noHBand="0" w:noVBand="1"/>
      </w:tblPr>
      <w:tblGrid>
        <w:gridCol w:w="3160"/>
        <w:gridCol w:w="1080"/>
        <w:gridCol w:w="1080"/>
        <w:gridCol w:w="1080"/>
        <w:gridCol w:w="1080"/>
        <w:gridCol w:w="1080"/>
      </w:tblGrid>
      <w:tr w:rsidR="00481005" w:rsidRPr="006E1C14" w:rsidTr="00E30543">
        <w:trPr>
          <w:trHeight w:val="300"/>
        </w:trPr>
        <w:tc>
          <w:tcPr>
            <w:tcW w:w="856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6E1C14" w:rsidRDefault="00481005" w:rsidP="00481005">
            <w:pPr>
              <w:spacing w:line="240" w:lineRule="auto"/>
              <w:jc w:val="center"/>
              <w:rPr>
                <w:b/>
                <w:sz w:val="22"/>
                <w:szCs w:val="22"/>
              </w:rPr>
            </w:pPr>
            <w:r w:rsidRPr="006E1C14">
              <w:rPr>
                <w:b/>
                <w:sz w:val="22"/>
                <w:szCs w:val="22"/>
              </w:rPr>
              <w:t>Dronninglund Sparekasse</w:t>
            </w:r>
          </w:p>
        </w:tc>
      </w:tr>
      <w:tr w:rsidR="000D43C8" w:rsidRPr="000D43C8" w:rsidTr="006E1C14">
        <w:trPr>
          <w:trHeight w:val="300"/>
        </w:trPr>
        <w:tc>
          <w:tcPr>
            <w:tcW w:w="31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0D43C8" w:rsidRPr="00481005" w:rsidRDefault="000D43C8" w:rsidP="006E1C14">
            <w:pPr>
              <w:spacing w:line="240" w:lineRule="auto"/>
              <w:jc w:val="left"/>
              <w:rPr>
                <w:b/>
                <w:color w:val="000000"/>
                <w:sz w:val="22"/>
                <w:szCs w:val="22"/>
              </w:rPr>
            </w:pPr>
            <w:r w:rsidRPr="00481005">
              <w:rPr>
                <w:b/>
                <w:color w:val="000000"/>
                <w:sz w:val="22"/>
                <w:szCs w:val="22"/>
              </w:rPr>
              <w:t>År</w:t>
            </w:r>
          </w:p>
        </w:tc>
        <w:tc>
          <w:tcPr>
            <w:tcW w:w="1080" w:type="dxa"/>
            <w:tcBorders>
              <w:top w:val="nil"/>
              <w:left w:val="nil"/>
              <w:bottom w:val="single" w:sz="4" w:space="0" w:color="auto"/>
              <w:right w:val="single" w:sz="4" w:space="0" w:color="auto"/>
            </w:tcBorders>
            <w:shd w:val="clear" w:color="auto" w:fill="C6D9F1" w:themeFill="text2" w:themeFillTint="33"/>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2012</w:t>
            </w:r>
          </w:p>
        </w:tc>
        <w:tc>
          <w:tcPr>
            <w:tcW w:w="1080" w:type="dxa"/>
            <w:tcBorders>
              <w:top w:val="nil"/>
              <w:left w:val="nil"/>
              <w:bottom w:val="single" w:sz="4" w:space="0" w:color="auto"/>
              <w:right w:val="single" w:sz="4" w:space="0" w:color="auto"/>
            </w:tcBorders>
            <w:shd w:val="clear" w:color="auto" w:fill="C6D9F1" w:themeFill="text2" w:themeFillTint="33"/>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2011</w:t>
            </w:r>
          </w:p>
        </w:tc>
        <w:tc>
          <w:tcPr>
            <w:tcW w:w="1080" w:type="dxa"/>
            <w:tcBorders>
              <w:top w:val="nil"/>
              <w:left w:val="nil"/>
              <w:bottom w:val="single" w:sz="4" w:space="0" w:color="auto"/>
              <w:right w:val="single" w:sz="4" w:space="0" w:color="auto"/>
            </w:tcBorders>
            <w:shd w:val="clear" w:color="auto" w:fill="C6D9F1" w:themeFill="text2" w:themeFillTint="33"/>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2010</w:t>
            </w:r>
          </w:p>
        </w:tc>
        <w:tc>
          <w:tcPr>
            <w:tcW w:w="1080" w:type="dxa"/>
            <w:tcBorders>
              <w:top w:val="nil"/>
              <w:left w:val="nil"/>
              <w:bottom w:val="single" w:sz="4" w:space="0" w:color="auto"/>
              <w:right w:val="single" w:sz="4" w:space="0" w:color="auto"/>
            </w:tcBorders>
            <w:shd w:val="clear" w:color="auto" w:fill="C6D9F1" w:themeFill="text2" w:themeFillTint="33"/>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2009</w:t>
            </w:r>
          </w:p>
        </w:tc>
        <w:tc>
          <w:tcPr>
            <w:tcW w:w="1080" w:type="dxa"/>
            <w:tcBorders>
              <w:top w:val="nil"/>
              <w:left w:val="nil"/>
              <w:bottom w:val="single" w:sz="4" w:space="0" w:color="auto"/>
              <w:right w:val="single" w:sz="4" w:space="0" w:color="auto"/>
            </w:tcBorders>
            <w:shd w:val="clear" w:color="auto" w:fill="C6D9F1" w:themeFill="text2" w:themeFillTint="33"/>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2008</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5B1F33" w:rsidRDefault="00D4718A" w:rsidP="006E1C14">
            <w:pPr>
              <w:spacing w:line="240" w:lineRule="auto"/>
              <w:jc w:val="left"/>
              <w:rPr>
                <w:color w:val="000000"/>
                <w:sz w:val="22"/>
                <w:szCs w:val="22"/>
                <w:vertAlign w:val="subscript"/>
              </w:rPr>
            </w:pPr>
            <w:proofErr w:type="spellStart"/>
            <w:r w:rsidRPr="000D43C8">
              <w:rPr>
                <w:color w:val="000000"/>
                <w:sz w:val="22"/>
                <w:szCs w:val="22"/>
              </w:rPr>
              <w:t>K</w:t>
            </w:r>
            <w:r w:rsidR="005B1F33">
              <w:rPr>
                <w:color w:val="000000"/>
                <w:sz w:val="22"/>
                <w:szCs w:val="22"/>
                <w:vertAlign w:val="subscript"/>
              </w:rPr>
              <w:t>d</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0,0232</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0,0234</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0,0229</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0,0261</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0,0417</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6E1C14">
            <w:pPr>
              <w:spacing w:line="240" w:lineRule="auto"/>
              <w:jc w:val="left"/>
              <w:rPr>
                <w:color w:val="000000"/>
                <w:sz w:val="22"/>
                <w:szCs w:val="22"/>
              </w:rPr>
            </w:pPr>
            <w:r w:rsidRPr="000D43C8">
              <w:rPr>
                <w:color w:val="000000"/>
                <w:sz w:val="22"/>
                <w:szCs w:val="22"/>
              </w:rPr>
              <w:t>T</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25,</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25,</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25,</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25,</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25,</w:t>
            </w:r>
            <w:proofErr w:type="gramStart"/>
            <w:r w:rsidRPr="000D43C8">
              <w:rPr>
                <w:color w:val="000000"/>
                <w:sz w:val="22"/>
                <w:szCs w:val="22"/>
              </w:rPr>
              <w:t>00%</w:t>
            </w:r>
            <w:proofErr w:type="gramEnd"/>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6E1C14">
            <w:pPr>
              <w:spacing w:line="240" w:lineRule="auto"/>
              <w:jc w:val="left"/>
              <w:rPr>
                <w:color w:val="000000"/>
                <w:sz w:val="22"/>
                <w:szCs w:val="22"/>
              </w:rPr>
            </w:pPr>
            <w:r w:rsidRPr="000D43C8">
              <w:rPr>
                <w:color w:val="000000"/>
                <w:sz w:val="22"/>
                <w:szCs w:val="22"/>
              </w:rPr>
              <w:t>L</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0,9328</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0,9355</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0,9380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0,9313</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0,9253</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5B1F33" w:rsidRDefault="00D4718A" w:rsidP="006E1C14">
            <w:pPr>
              <w:spacing w:line="240" w:lineRule="auto"/>
              <w:jc w:val="left"/>
              <w:rPr>
                <w:color w:val="000000"/>
                <w:sz w:val="22"/>
                <w:szCs w:val="22"/>
                <w:vertAlign w:val="subscript"/>
              </w:rPr>
            </w:pPr>
            <w:proofErr w:type="spellStart"/>
            <w:r w:rsidRPr="000D43C8">
              <w:rPr>
                <w:color w:val="000000"/>
                <w:sz w:val="22"/>
                <w:szCs w:val="22"/>
              </w:rPr>
              <w:t>K</w:t>
            </w:r>
            <w:r w:rsidR="005B1F33">
              <w:rPr>
                <w:color w:val="000000"/>
                <w:sz w:val="22"/>
                <w:szCs w:val="22"/>
                <w:vertAlign w:val="subscript"/>
              </w:rPr>
              <w:t>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8,</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8,</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8,</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8,</w:t>
            </w:r>
            <w:proofErr w:type="gramStart"/>
            <w:r w:rsidRPr="000D43C8">
              <w:rPr>
                <w:color w:val="000000"/>
                <w:sz w:val="22"/>
                <w:szCs w:val="22"/>
              </w:rPr>
              <w:t>00%</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8,</w:t>
            </w:r>
            <w:proofErr w:type="gramStart"/>
            <w:r w:rsidRPr="000D43C8">
              <w:rPr>
                <w:color w:val="000000"/>
                <w:sz w:val="22"/>
                <w:szCs w:val="22"/>
              </w:rPr>
              <w:t>00%</w:t>
            </w:r>
            <w:proofErr w:type="gramEnd"/>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6E1C14">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5B1F33" w:rsidRDefault="00D4718A" w:rsidP="006E1C14">
            <w:pPr>
              <w:spacing w:line="240" w:lineRule="auto"/>
              <w:jc w:val="left"/>
              <w:rPr>
                <w:color w:val="000000"/>
                <w:sz w:val="22"/>
                <w:szCs w:val="22"/>
                <w:vertAlign w:val="subscript"/>
              </w:rPr>
            </w:pPr>
            <w:r w:rsidRPr="000D43C8">
              <w:rPr>
                <w:color w:val="000000"/>
                <w:sz w:val="22"/>
                <w:szCs w:val="22"/>
              </w:rPr>
              <w:t>K</w:t>
            </w:r>
            <w:r w:rsidR="005B1F33">
              <w:rPr>
                <w:color w:val="000000"/>
                <w:sz w:val="22"/>
                <w:szCs w:val="22"/>
                <w:vertAlign w:val="subscript"/>
              </w:rPr>
              <w:t>m</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8%</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8%</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8%</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8%</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8%</w:t>
            </w:r>
            <w:proofErr w:type="gramEnd"/>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5B1F33" w:rsidRDefault="00D4718A" w:rsidP="006E1C14">
            <w:pPr>
              <w:spacing w:line="240" w:lineRule="auto"/>
              <w:jc w:val="left"/>
              <w:rPr>
                <w:color w:val="000000"/>
                <w:sz w:val="22"/>
                <w:szCs w:val="22"/>
                <w:vertAlign w:val="subscript"/>
              </w:rPr>
            </w:pPr>
            <w:proofErr w:type="spellStart"/>
            <w:r w:rsidRPr="000D43C8">
              <w:rPr>
                <w:color w:val="000000"/>
                <w:sz w:val="22"/>
                <w:szCs w:val="22"/>
              </w:rPr>
              <w:t>R</w:t>
            </w:r>
            <w:r w:rsidR="005B1F33">
              <w:rPr>
                <w:color w:val="000000"/>
                <w:sz w:val="22"/>
                <w:szCs w:val="22"/>
                <w:vertAlign w:val="subscript"/>
              </w:rPr>
              <w:t>f</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4%</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4%</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4%</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4%</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proofErr w:type="gramStart"/>
            <w:r w:rsidRPr="000D43C8">
              <w:rPr>
                <w:color w:val="000000"/>
                <w:sz w:val="22"/>
                <w:szCs w:val="22"/>
              </w:rPr>
              <w:t>4%</w:t>
            </w:r>
            <w:proofErr w:type="gramEnd"/>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5D2FDC" w:rsidP="006E1C14">
            <w:pPr>
              <w:spacing w:line="240" w:lineRule="auto"/>
              <w:jc w:val="left"/>
              <w:rPr>
                <w:color w:val="000000"/>
                <w:sz w:val="22"/>
                <w:szCs w:val="22"/>
              </w:rPr>
            </w:pPr>
            <w:r w:rsidRPr="000D43C8">
              <w:rPr>
                <w:color w:val="000000"/>
                <w:sz w:val="22"/>
                <w:szCs w:val="22"/>
              </w:rPr>
              <w:t>Β</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Aktiver</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2.609.879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2.554.353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2.518.531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2.383.843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2.125.110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Passiver</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2.609.879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2.554.353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2.518.531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2.383.843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2.125.110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Renteudgifter</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56.529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56.028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54.183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57.854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82.023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Garantkapital</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195.121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200.331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203.265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233.226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303.601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Egenkapital</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370.404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365.085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359.340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397.060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462.341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Puljeordninger</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Årets resultat efter skat</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10.115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8.219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-8.147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4.711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xml:space="preserve">       4.343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Udbytte</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 </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proofErr w:type="spellStart"/>
            <w:r w:rsidRPr="000D43C8">
              <w:rPr>
                <w:color w:val="000000"/>
                <w:sz w:val="22"/>
                <w:szCs w:val="22"/>
              </w:rPr>
              <w:t>Højresiden</w:t>
            </w:r>
            <w:proofErr w:type="spellEnd"/>
            <w:r w:rsidRPr="000D43C8">
              <w:rPr>
                <w:color w:val="000000"/>
                <w:sz w:val="22"/>
                <w:szCs w:val="22"/>
              </w:rPr>
              <w:t xml:space="preserve"> </w:t>
            </w:r>
            <w:r w:rsidR="00D4718A">
              <w:rPr>
                <w:color w:val="000000"/>
                <w:sz w:val="22"/>
                <w:szCs w:val="22"/>
              </w:rPr>
              <w:t>–</w:t>
            </w:r>
            <w:r w:rsidRPr="000D43C8">
              <w:rPr>
                <w:color w:val="000000"/>
                <w:sz w:val="22"/>
                <w:szCs w:val="22"/>
              </w:rPr>
              <w:t xml:space="preserve"> egenkapitalen</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0,537</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0,516</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0,496</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0,550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0,598</w:t>
            </w:r>
          </w:p>
        </w:tc>
      </w:tr>
      <w:tr w:rsidR="000D43C8" w:rsidRPr="000D43C8" w:rsidTr="000D43C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left"/>
              <w:rPr>
                <w:color w:val="000000"/>
                <w:sz w:val="22"/>
                <w:szCs w:val="22"/>
              </w:rPr>
            </w:pPr>
            <w:r w:rsidRPr="000D43C8">
              <w:rPr>
                <w:color w:val="000000"/>
                <w:sz w:val="22"/>
                <w:szCs w:val="22"/>
              </w:rPr>
              <w:t>Venstre siden - fremmedkapitalen</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1,624</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1,645</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1,614</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1,820</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color w:val="000000"/>
                <w:sz w:val="22"/>
                <w:szCs w:val="22"/>
              </w:rPr>
            </w:pPr>
            <w:r w:rsidRPr="000D43C8">
              <w:rPr>
                <w:color w:val="000000"/>
                <w:sz w:val="22"/>
                <w:szCs w:val="22"/>
              </w:rPr>
              <w:t>2,895</w:t>
            </w:r>
          </w:p>
        </w:tc>
      </w:tr>
      <w:tr w:rsidR="000D43C8" w:rsidRPr="000D43C8" w:rsidTr="000D43C8">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D43C8" w:rsidRPr="000D43C8" w:rsidRDefault="005B1F33" w:rsidP="000D43C8">
            <w:pPr>
              <w:spacing w:line="240" w:lineRule="auto"/>
              <w:jc w:val="left"/>
              <w:rPr>
                <w:b/>
                <w:bCs/>
                <w:color w:val="000000"/>
                <w:sz w:val="22"/>
                <w:szCs w:val="22"/>
              </w:rPr>
            </w:pPr>
            <w:r>
              <w:rPr>
                <w:b/>
                <w:bCs/>
                <w:color w:val="000000"/>
                <w:sz w:val="22"/>
                <w:szCs w:val="22"/>
              </w:rPr>
              <w:t>WACC (</w:t>
            </w:r>
            <w:proofErr w:type="spellStart"/>
            <w:r>
              <w:rPr>
                <w:b/>
                <w:bCs/>
                <w:color w:val="000000"/>
                <w:sz w:val="22"/>
                <w:szCs w:val="22"/>
              </w:rPr>
              <w:t>k</w:t>
            </w:r>
            <w:r>
              <w:rPr>
                <w:b/>
                <w:bCs/>
                <w:color w:val="000000"/>
                <w:sz w:val="22"/>
                <w:szCs w:val="22"/>
                <w:vertAlign w:val="subscript"/>
              </w:rPr>
              <w:t>w</w:t>
            </w:r>
            <w:proofErr w:type="spellEnd"/>
            <w:r w:rsidRPr="007D348B">
              <w:rPr>
                <w:b/>
                <w:bCs/>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w:t>
            </w:r>
            <w:proofErr w:type="gramStart"/>
            <w:r w:rsidRPr="000D43C8">
              <w:rPr>
                <w:b/>
                <w:bCs/>
                <w:color w:val="000000"/>
                <w:sz w:val="22"/>
                <w:szCs w:val="22"/>
              </w:rPr>
              <w:t>16%</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w:t>
            </w:r>
            <w:proofErr w:type="gramStart"/>
            <w:r w:rsidRPr="000D43C8">
              <w:rPr>
                <w:b/>
                <w:bCs/>
                <w:color w:val="000000"/>
                <w:sz w:val="22"/>
                <w:szCs w:val="22"/>
              </w:rPr>
              <w:t>16%</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w:t>
            </w:r>
            <w:proofErr w:type="gramStart"/>
            <w:r w:rsidRPr="000D43C8">
              <w:rPr>
                <w:b/>
                <w:bCs/>
                <w:color w:val="000000"/>
                <w:sz w:val="22"/>
                <w:szCs w:val="22"/>
              </w:rPr>
              <w:t>11%</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2,</w:t>
            </w:r>
            <w:proofErr w:type="gramStart"/>
            <w:r w:rsidRPr="000D43C8">
              <w:rPr>
                <w:b/>
                <w:bCs/>
                <w:color w:val="000000"/>
                <w:sz w:val="22"/>
                <w:szCs w:val="22"/>
              </w:rPr>
              <w:t>37%</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0D43C8" w:rsidRPr="000D43C8" w:rsidRDefault="000D43C8" w:rsidP="000D43C8">
            <w:pPr>
              <w:spacing w:line="240" w:lineRule="auto"/>
              <w:jc w:val="right"/>
              <w:rPr>
                <w:b/>
                <w:bCs/>
                <w:color w:val="000000"/>
                <w:sz w:val="22"/>
                <w:szCs w:val="22"/>
              </w:rPr>
            </w:pPr>
            <w:r w:rsidRPr="000D43C8">
              <w:rPr>
                <w:b/>
                <w:bCs/>
                <w:color w:val="000000"/>
                <w:sz w:val="22"/>
                <w:szCs w:val="22"/>
              </w:rPr>
              <w:t>3,</w:t>
            </w:r>
            <w:proofErr w:type="gramStart"/>
            <w:r w:rsidRPr="000D43C8">
              <w:rPr>
                <w:b/>
                <w:bCs/>
                <w:color w:val="000000"/>
                <w:sz w:val="22"/>
                <w:szCs w:val="22"/>
              </w:rPr>
              <w:t>49%</w:t>
            </w:r>
            <w:proofErr w:type="gramEnd"/>
          </w:p>
        </w:tc>
      </w:tr>
    </w:tbl>
    <w:p w:rsidR="005D2FDC" w:rsidRDefault="005D2FDC" w:rsidP="00CE20CD"/>
    <w:p w:rsidR="005D2FDC" w:rsidRDefault="005D2FDC">
      <w:pPr>
        <w:spacing w:line="240" w:lineRule="auto"/>
        <w:jc w:val="left"/>
      </w:pPr>
      <w:r>
        <w:br w:type="page"/>
      </w:r>
    </w:p>
    <w:p w:rsidR="007D348B" w:rsidRDefault="005D2FDC" w:rsidP="00F46A79">
      <w:pPr>
        <w:pStyle w:val="Overskrift2"/>
      </w:pPr>
      <w:bookmarkStart w:id="188" w:name="_Toc354517456"/>
      <w:r>
        <w:lastRenderedPageBreak/>
        <w:t>Bilag C</w:t>
      </w:r>
      <w:r w:rsidR="00024ACB">
        <w:t xml:space="preserve"> - ICGR</w:t>
      </w:r>
      <w:bookmarkEnd w:id="188"/>
    </w:p>
    <w:p w:rsidR="005D2FDC" w:rsidRPr="005D2FDC" w:rsidRDefault="005D2FDC" w:rsidP="005D2FDC">
      <m:oMathPara>
        <m:oMath>
          <m:r>
            <w:rPr>
              <w:rFonts w:ascii="Cambria Math" w:hAnsi="Cambria Math" w:cs="Cambria Math"/>
            </w:rPr>
            <m:t>ICGR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C</m:t>
              </m:r>
              <m:r>
                <w:rPr>
                  <w:rFonts w:ascii="Cambria Math" w:hAnsi="Cambria Math" w:cs="Cambria Math"/>
                </w:rPr>
                <m:t>apital ratio</m:t>
              </m:r>
            </m:den>
          </m:f>
          <m:r>
            <m:rPr>
              <m:sty m:val="p"/>
            </m:rPr>
            <w:rPr>
              <w:rFonts w:ascii="Cambria Math" w:hAnsi="Cambria Math"/>
            </w:rPr>
            <m:t xml:space="preserve">x Return on assets </m:t>
          </m:r>
          <m:d>
            <m:dPr>
              <m:ctrlPr>
                <w:rPr>
                  <w:rFonts w:ascii="Cambria Math" w:hAnsi="Cambria Math"/>
                </w:rPr>
              </m:ctrlPr>
            </m:dPr>
            <m:e>
              <m:r>
                <m:rPr>
                  <m:sty m:val="p"/>
                </m:rPr>
                <w:rPr>
                  <w:rFonts w:ascii="Cambria Math" w:hAnsi="Cambria Math"/>
                </w:rPr>
                <m:t>ROA</m:t>
              </m:r>
            </m:e>
          </m:d>
          <m:r>
            <m:rPr>
              <m:sty m:val="p"/>
            </m:rPr>
            <w:rPr>
              <w:rFonts w:ascii="Cambria Math" w:hAnsi="Cambria Math"/>
            </w:rPr>
            <m:t>x Earnings retention ratio</m:t>
          </m:r>
        </m:oMath>
      </m:oMathPara>
    </w:p>
    <w:p w:rsidR="005D2FDC" w:rsidRDefault="005D2FDC" w:rsidP="005D2FDC"/>
    <w:tbl>
      <w:tblPr>
        <w:tblW w:w="8668" w:type="dxa"/>
        <w:tblInd w:w="54" w:type="dxa"/>
        <w:tblCellMar>
          <w:left w:w="70" w:type="dxa"/>
          <w:right w:w="70" w:type="dxa"/>
        </w:tblCellMar>
        <w:tblLook w:val="04A0" w:firstRow="1" w:lastRow="0" w:firstColumn="1" w:lastColumn="0" w:noHBand="0" w:noVBand="1"/>
      </w:tblPr>
      <w:tblGrid>
        <w:gridCol w:w="2568"/>
        <w:gridCol w:w="1220"/>
        <w:gridCol w:w="1220"/>
        <w:gridCol w:w="1220"/>
        <w:gridCol w:w="1220"/>
        <w:gridCol w:w="1220"/>
      </w:tblGrid>
      <w:tr w:rsidR="005B1F33" w:rsidRPr="005B1F33" w:rsidTr="00E30543">
        <w:trPr>
          <w:trHeight w:val="300"/>
        </w:trPr>
        <w:tc>
          <w:tcPr>
            <w:tcW w:w="8668"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rsidR="005B1F33" w:rsidRPr="005B1F33" w:rsidRDefault="005B1F33" w:rsidP="005B1F33">
            <w:pPr>
              <w:spacing w:line="240" w:lineRule="auto"/>
              <w:jc w:val="center"/>
              <w:rPr>
                <w:b/>
              </w:rPr>
            </w:pPr>
            <w:r w:rsidRPr="005B1F33">
              <w:rPr>
                <w:b/>
                <w:bCs/>
              </w:rPr>
              <w:t>Den Jyske Sparekasse</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left"/>
              <w:rPr>
                <w:b/>
              </w:rPr>
            </w:pPr>
            <w:r w:rsidRPr="005B1F33">
              <w:rPr>
                <w:b/>
              </w:rPr>
              <w:t> </w:t>
            </w:r>
          </w:p>
        </w:tc>
        <w:tc>
          <w:tcPr>
            <w:tcW w:w="1220"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2012</w:t>
            </w:r>
          </w:p>
        </w:tc>
        <w:tc>
          <w:tcPr>
            <w:tcW w:w="1220"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2011</w:t>
            </w:r>
          </w:p>
        </w:tc>
        <w:tc>
          <w:tcPr>
            <w:tcW w:w="1220"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2010</w:t>
            </w:r>
          </w:p>
        </w:tc>
        <w:tc>
          <w:tcPr>
            <w:tcW w:w="1220"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2009</w:t>
            </w:r>
          </w:p>
        </w:tc>
        <w:tc>
          <w:tcPr>
            <w:tcW w:w="1220" w:type="dxa"/>
            <w:tcBorders>
              <w:top w:val="nil"/>
              <w:left w:val="nil"/>
              <w:bottom w:val="single" w:sz="4" w:space="0" w:color="auto"/>
              <w:right w:val="single" w:sz="8"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2008</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Aktiver</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20.029.074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12.322.302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13.525.169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11.718.691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10.080.704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Passiver</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20.029.074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12.322.302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13.525.169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825D9A" w:rsidP="00825D9A">
            <w:pPr>
              <w:spacing w:line="240" w:lineRule="auto"/>
              <w:jc w:val="right"/>
              <w:rPr>
                <w:color w:val="000000"/>
              </w:rPr>
            </w:pPr>
            <w:r w:rsidRPr="005B1F33">
              <w:rPr>
                <w:color w:val="000000"/>
              </w:rPr>
              <w:t>1</w:t>
            </w:r>
            <w:r w:rsidR="00423BC2" w:rsidRPr="005B1F33">
              <w:rPr>
                <w:color w:val="000000"/>
              </w:rPr>
              <w:t xml:space="preserve">1.718.691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10.080.704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Renteudgifter</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288.614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219.746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202.540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241.420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825D9A">
            <w:pPr>
              <w:spacing w:line="240" w:lineRule="auto"/>
              <w:jc w:val="right"/>
              <w:rPr>
                <w:color w:val="000000"/>
              </w:rPr>
            </w:pPr>
            <w:r w:rsidRPr="005B1F33">
              <w:rPr>
                <w:color w:val="000000"/>
              </w:rPr>
              <w:t xml:space="preserve">     291.063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Garantkapital</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874.087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591.705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601.038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539.322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554.311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Egenkapital</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1.912.737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1.561.726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1.708.772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825D9A">
            <w:pPr>
              <w:spacing w:line="240" w:lineRule="auto"/>
              <w:jc w:val="right"/>
              <w:rPr>
                <w:color w:val="000000"/>
              </w:rPr>
            </w:pPr>
            <w:r w:rsidRPr="005B1F33">
              <w:rPr>
                <w:color w:val="000000"/>
              </w:rPr>
              <w:t xml:space="preserve">  1.636.163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1.585.197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Puljeordninger</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55.008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33.922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Årets resultat efter skat</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76.830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-136.276</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       10.893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-47.696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 xml:space="preserve">-46.362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Udbytte</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Capital Ratio</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0,0955</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0,1267</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0,1263</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0,1396</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0,1573</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ROA</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0,3836</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-1,1059</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0,0805</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-0,4070</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-0,4599</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ERR</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 xml:space="preserve">                1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 xml:space="preserve">                1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 xml:space="preserve">                1 </w:t>
            </w:r>
          </w:p>
        </w:tc>
        <w:tc>
          <w:tcPr>
            <w:tcW w:w="1220"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 xml:space="preserve">                1 </w:t>
            </w:r>
          </w:p>
        </w:tc>
        <w:tc>
          <w:tcPr>
            <w:tcW w:w="122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 xml:space="preserve">                1 </w:t>
            </w:r>
          </w:p>
        </w:tc>
      </w:tr>
      <w:tr w:rsidR="00423BC2" w:rsidRPr="005B1F33" w:rsidTr="005B1F33">
        <w:trPr>
          <w:trHeight w:val="315"/>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ICGR</w:t>
            </w:r>
          </w:p>
        </w:tc>
        <w:tc>
          <w:tcPr>
            <w:tcW w:w="1220"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4,</w:t>
            </w:r>
            <w:proofErr w:type="gramStart"/>
            <w:r w:rsidRPr="005B1F33">
              <w:rPr>
                <w:b/>
                <w:bCs/>
                <w:color w:val="000000"/>
              </w:rPr>
              <w:t>02%</w:t>
            </w:r>
            <w:proofErr w:type="gramEnd"/>
          </w:p>
        </w:tc>
        <w:tc>
          <w:tcPr>
            <w:tcW w:w="1220"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-8,</w:t>
            </w:r>
            <w:proofErr w:type="gramStart"/>
            <w:r w:rsidRPr="005B1F33">
              <w:rPr>
                <w:b/>
                <w:bCs/>
                <w:color w:val="000000"/>
              </w:rPr>
              <w:t>73%</w:t>
            </w:r>
            <w:proofErr w:type="gramEnd"/>
          </w:p>
        </w:tc>
        <w:tc>
          <w:tcPr>
            <w:tcW w:w="1220"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w:t>
            </w:r>
            <w:proofErr w:type="gramStart"/>
            <w:r w:rsidRPr="005B1F33">
              <w:rPr>
                <w:b/>
                <w:bCs/>
                <w:color w:val="000000"/>
              </w:rPr>
              <w:t>64%</w:t>
            </w:r>
            <w:proofErr w:type="gramEnd"/>
          </w:p>
        </w:tc>
        <w:tc>
          <w:tcPr>
            <w:tcW w:w="1220"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-2,</w:t>
            </w:r>
            <w:proofErr w:type="gramStart"/>
            <w:r w:rsidRPr="005B1F33">
              <w:rPr>
                <w:b/>
                <w:bCs/>
                <w:color w:val="000000"/>
              </w:rPr>
              <w:t>92%</w:t>
            </w:r>
            <w:proofErr w:type="gramEnd"/>
          </w:p>
        </w:tc>
        <w:tc>
          <w:tcPr>
            <w:tcW w:w="1220" w:type="dxa"/>
            <w:tcBorders>
              <w:top w:val="nil"/>
              <w:left w:val="nil"/>
              <w:bottom w:val="single" w:sz="8"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-2,</w:t>
            </w:r>
            <w:proofErr w:type="gramStart"/>
            <w:r w:rsidRPr="005B1F33">
              <w:rPr>
                <w:b/>
                <w:bCs/>
                <w:color w:val="000000"/>
              </w:rPr>
              <w:t>92%</w:t>
            </w:r>
            <w:proofErr w:type="gramEnd"/>
          </w:p>
        </w:tc>
      </w:tr>
    </w:tbl>
    <w:p w:rsidR="005D2FDC" w:rsidRDefault="005D2FDC" w:rsidP="005D2FDC"/>
    <w:tbl>
      <w:tblPr>
        <w:tblW w:w="8629" w:type="dxa"/>
        <w:tblInd w:w="54" w:type="dxa"/>
        <w:tblCellMar>
          <w:left w:w="70" w:type="dxa"/>
          <w:right w:w="70" w:type="dxa"/>
        </w:tblCellMar>
        <w:tblLook w:val="04A0" w:firstRow="1" w:lastRow="0" w:firstColumn="1" w:lastColumn="0" w:noHBand="0" w:noVBand="1"/>
      </w:tblPr>
      <w:tblGrid>
        <w:gridCol w:w="2568"/>
        <w:gridCol w:w="1134"/>
        <w:gridCol w:w="1276"/>
        <w:gridCol w:w="1275"/>
        <w:gridCol w:w="1276"/>
        <w:gridCol w:w="1100"/>
      </w:tblGrid>
      <w:tr w:rsidR="005B1F33" w:rsidRPr="005B1F33" w:rsidTr="005B1F33">
        <w:trPr>
          <w:trHeight w:val="300"/>
        </w:trPr>
        <w:tc>
          <w:tcPr>
            <w:tcW w:w="8629"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rsidR="005B1F33" w:rsidRPr="005B1F33" w:rsidRDefault="005B1F33" w:rsidP="005B1F33">
            <w:pPr>
              <w:spacing w:line="240" w:lineRule="auto"/>
              <w:jc w:val="center"/>
              <w:rPr>
                <w:b/>
              </w:rPr>
            </w:pPr>
            <w:r w:rsidRPr="005B1F33">
              <w:rPr>
                <w:b/>
                <w:bCs/>
              </w:rPr>
              <w:t>Dronninglund Sparekasse</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left"/>
              <w:rPr>
                <w:b/>
              </w:rPr>
            </w:pPr>
            <w:r w:rsidRPr="005B1F33">
              <w:rPr>
                <w:b/>
              </w:rPr>
              <w:t> </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2012</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2011</w:t>
            </w:r>
          </w:p>
        </w:tc>
        <w:tc>
          <w:tcPr>
            <w:tcW w:w="1275"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2010</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2009</w:t>
            </w:r>
          </w:p>
        </w:tc>
        <w:tc>
          <w:tcPr>
            <w:tcW w:w="1100" w:type="dxa"/>
            <w:tcBorders>
              <w:top w:val="nil"/>
              <w:left w:val="nil"/>
              <w:bottom w:val="single" w:sz="4" w:space="0" w:color="auto"/>
              <w:right w:val="single" w:sz="8" w:space="0" w:color="auto"/>
            </w:tcBorders>
            <w:shd w:val="clear" w:color="auto" w:fill="C6D9F1" w:themeFill="text2" w:themeFillTint="33"/>
            <w:noWrap/>
            <w:vAlign w:val="bottom"/>
            <w:hideMark/>
          </w:tcPr>
          <w:p w:rsidR="00423BC2" w:rsidRPr="005B1F33" w:rsidRDefault="00423BC2" w:rsidP="00423BC2">
            <w:pPr>
              <w:spacing w:line="240" w:lineRule="auto"/>
              <w:jc w:val="center"/>
              <w:rPr>
                <w:b/>
              </w:rPr>
            </w:pPr>
            <w:r w:rsidRPr="005B1F33">
              <w:rPr>
                <w:b/>
              </w:rPr>
              <w:t>2008</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Aktiver</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2.609.879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2.554.353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2.518.531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2.383.843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2.125.110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Passiver</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2.609.879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2.554.353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2.518.531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2.383.843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2.125.110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Renteudgifter</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56.529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56.028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54.183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57.854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82.023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Garantkapital</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195.121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200.331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203.265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233.226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303.601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Egenkapital</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370.404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365.085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359.340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397.060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462.341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Puljeordninger</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Årets resultat efter skat</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10.115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8.219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-8.147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4.711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 xml:space="preserve">       4.343 </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color w:val="000000"/>
              </w:rPr>
            </w:pPr>
            <w:r w:rsidRPr="005B1F33">
              <w:rPr>
                <w:color w:val="000000"/>
              </w:rPr>
              <w:t>Udbytte</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color w:val="000000"/>
              </w:rPr>
            </w:pPr>
            <w:r w:rsidRPr="005B1F33">
              <w:rPr>
                <w:color w:val="000000"/>
              </w:rPr>
              <w:t>0</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Capital Ratio</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0,1419</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0,1429</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0,1427</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0,1666</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0,2176</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ROA</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0,3876</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0,3218</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-0,3235</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0,1976</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0,2044</w:t>
            </w:r>
          </w:p>
        </w:tc>
      </w:tr>
      <w:tr w:rsidR="00423BC2" w:rsidRPr="005B1F33" w:rsidTr="005B1F33">
        <w:trPr>
          <w:trHeight w:val="300"/>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ERR</w:t>
            </w:r>
          </w:p>
        </w:tc>
        <w:tc>
          <w:tcPr>
            <w:tcW w:w="1134"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 xml:space="preserve">              1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 xml:space="preserve">              1 </w:t>
            </w:r>
          </w:p>
        </w:tc>
        <w:tc>
          <w:tcPr>
            <w:tcW w:w="1275"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825D9A">
            <w:pPr>
              <w:spacing w:line="240" w:lineRule="auto"/>
              <w:jc w:val="left"/>
              <w:rPr>
                <w:b/>
                <w:bCs/>
                <w:color w:val="000000"/>
              </w:rPr>
            </w:pPr>
            <w:r w:rsidRPr="005B1F33">
              <w:rPr>
                <w:b/>
                <w:bCs/>
                <w:color w:val="000000"/>
              </w:rPr>
              <w:t xml:space="preserve">              1 </w:t>
            </w:r>
          </w:p>
        </w:tc>
        <w:tc>
          <w:tcPr>
            <w:tcW w:w="1276" w:type="dxa"/>
            <w:tcBorders>
              <w:top w:val="nil"/>
              <w:left w:val="nil"/>
              <w:bottom w:val="single" w:sz="4"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 xml:space="preserve">              1 </w:t>
            </w:r>
          </w:p>
        </w:tc>
        <w:tc>
          <w:tcPr>
            <w:tcW w:w="1100" w:type="dxa"/>
            <w:tcBorders>
              <w:top w:val="nil"/>
              <w:left w:val="nil"/>
              <w:bottom w:val="single" w:sz="4" w:space="0" w:color="auto"/>
              <w:right w:val="single" w:sz="8"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 xml:space="preserve">              1 </w:t>
            </w:r>
          </w:p>
        </w:tc>
      </w:tr>
      <w:tr w:rsidR="00423BC2" w:rsidRPr="005B1F33" w:rsidTr="005B1F33">
        <w:trPr>
          <w:trHeight w:val="315"/>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left"/>
              <w:rPr>
                <w:b/>
                <w:bCs/>
                <w:color w:val="000000"/>
              </w:rPr>
            </w:pPr>
            <w:r w:rsidRPr="005B1F33">
              <w:rPr>
                <w:b/>
                <w:bCs/>
                <w:color w:val="000000"/>
              </w:rPr>
              <w:t>ICGR</w:t>
            </w:r>
          </w:p>
        </w:tc>
        <w:tc>
          <w:tcPr>
            <w:tcW w:w="1134"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2,</w:t>
            </w:r>
            <w:proofErr w:type="gramStart"/>
            <w:r w:rsidRPr="005B1F33">
              <w:rPr>
                <w:b/>
                <w:bCs/>
                <w:color w:val="000000"/>
              </w:rPr>
              <w:t>73%</w:t>
            </w:r>
            <w:proofErr w:type="gramEnd"/>
          </w:p>
        </w:tc>
        <w:tc>
          <w:tcPr>
            <w:tcW w:w="1276"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2,</w:t>
            </w:r>
            <w:proofErr w:type="gramStart"/>
            <w:r w:rsidRPr="005B1F33">
              <w:rPr>
                <w:b/>
                <w:bCs/>
                <w:color w:val="000000"/>
              </w:rPr>
              <w:t>25%</w:t>
            </w:r>
            <w:proofErr w:type="gramEnd"/>
          </w:p>
        </w:tc>
        <w:tc>
          <w:tcPr>
            <w:tcW w:w="1275"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-2,</w:t>
            </w:r>
            <w:proofErr w:type="gramStart"/>
            <w:r w:rsidRPr="005B1F33">
              <w:rPr>
                <w:b/>
                <w:bCs/>
                <w:color w:val="000000"/>
              </w:rPr>
              <w:t>27%</w:t>
            </w:r>
            <w:proofErr w:type="gramEnd"/>
          </w:p>
        </w:tc>
        <w:tc>
          <w:tcPr>
            <w:tcW w:w="1276" w:type="dxa"/>
            <w:tcBorders>
              <w:top w:val="nil"/>
              <w:left w:val="nil"/>
              <w:bottom w:val="single" w:sz="8" w:space="0" w:color="auto"/>
              <w:right w:val="single" w:sz="4"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1,</w:t>
            </w:r>
            <w:proofErr w:type="gramStart"/>
            <w:r w:rsidRPr="005B1F33">
              <w:rPr>
                <w:b/>
                <w:bCs/>
                <w:color w:val="000000"/>
              </w:rPr>
              <w:t>19%</w:t>
            </w:r>
            <w:proofErr w:type="gramEnd"/>
          </w:p>
        </w:tc>
        <w:tc>
          <w:tcPr>
            <w:tcW w:w="1100" w:type="dxa"/>
            <w:tcBorders>
              <w:top w:val="nil"/>
              <w:left w:val="nil"/>
              <w:bottom w:val="single" w:sz="8" w:space="0" w:color="auto"/>
              <w:right w:val="single" w:sz="8" w:space="0" w:color="auto"/>
            </w:tcBorders>
            <w:shd w:val="clear" w:color="auto" w:fill="auto"/>
            <w:noWrap/>
            <w:vAlign w:val="bottom"/>
            <w:hideMark/>
          </w:tcPr>
          <w:p w:rsidR="00423BC2" w:rsidRPr="005B1F33" w:rsidRDefault="00423BC2" w:rsidP="00423BC2">
            <w:pPr>
              <w:spacing w:line="240" w:lineRule="auto"/>
              <w:jc w:val="right"/>
              <w:rPr>
                <w:b/>
                <w:bCs/>
                <w:color w:val="000000"/>
              </w:rPr>
            </w:pPr>
            <w:r w:rsidRPr="005B1F33">
              <w:rPr>
                <w:b/>
                <w:bCs/>
                <w:color w:val="000000"/>
              </w:rPr>
              <w:t>0,</w:t>
            </w:r>
            <w:proofErr w:type="gramStart"/>
            <w:r w:rsidRPr="005B1F33">
              <w:rPr>
                <w:b/>
                <w:bCs/>
                <w:color w:val="000000"/>
              </w:rPr>
              <w:t>94%</w:t>
            </w:r>
            <w:proofErr w:type="gramEnd"/>
          </w:p>
        </w:tc>
      </w:tr>
    </w:tbl>
    <w:p w:rsidR="004F362C" w:rsidRDefault="004F362C" w:rsidP="005D2FDC"/>
    <w:p w:rsidR="004F362C" w:rsidRDefault="004F362C">
      <w:pPr>
        <w:spacing w:line="240" w:lineRule="auto"/>
        <w:jc w:val="left"/>
      </w:pPr>
      <w:r>
        <w:br w:type="page"/>
      </w:r>
    </w:p>
    <w:p w:rsidR="004F362C" w:rsidRDefault="004F362C" w:rsidP="00F46A79">
      <w:pPr>
        <w:pStyle w:val="Overskrift2"/>
      </w:pPr>
      <w:bookmarkStart w:id="189" w:name="_Toc354517457"/>
      <w:r>
        <w:lastRenderedPageBreak/>
        <w:t>Bilag D</w:t>
      </w:r>
      <w:r w:rsidR="00024ACB">
        <w:t xml:space="preserve"> - GAP</w:t>
      </w:r>
      <w:bookmarkEnd w:id="189"/>
    </w:p>
    <w:p w:rsidR="00D4718A" w:rsidRDefault="00D4718A" w:rsidP="00D4718A">
      <w:pPr>
        <w:spacing w:line="276" w:lineRule="auto"/>
        <w:jc w:val="center"/>
      </w:pPr>
      <w:r>
        <w:t>DKK-GAB = RSA (rentefølsomme aktiver) – RSL (rentefølsomme passiver)</w:t>
      </w:r>
    </w:p>
    <w:p w:rsidR="00D4718A" w:rsidRDefault="00D4718A" w:rsidP="00D4718A">
      <w:pPr>
        <w:spacing w:line="276" w:lineRule="auto"/>
        <w:jc w:val="center"/>
      </w:pPr>
    </w:p>
    <w:p w:rsidR="00D4718A" w:rsidRDefault="00D4718A" w:rsidP="00D4718A">
      <w:pPr>
        <w:spacing w:line="276" w:lineRule="auto"/>
        <w:jc w:val="center"/>
      </w:pPr>
      <m:oMathPara>
        <m:oMath>
          <m:r>
            <w:rPr>
              <w:rFonts w:ascii="Cambria Math" w:hAnsi="Cambria Math"/>
            </w:rPr>
            <m:t>Interest sensitivity=</m:t>
          </m:r>
          <m:f>
            <m:fPr>
              <m:ctrlPr>
                <w:rPr>
                  <w:rFonts w:ascii="Cambria Math" w:hAnsi="Cambria Math"/>
                  <w:i/>
                </w:rPr>
              </m:ctrlPr>
            </m:fPr>
            <m:num>
              <m:r>
                <w:rPr>
                  <w:rFonts w:ascii="Cambria Math" w:hAnsi="Cambria Math"/>
                </w:rPr>
                <m:t>Rentefølsomme aktiver</m:t>
              </m:r>
            </m:num>
            <m:den>
              <m:r>
                <w:rPr>
                  <w:rFonts w:ascii="Cambria Math" w:hAnsi="Cambria Math"/>
                </w:rPr>
                <m:t>Rentefølsomme passiver</m:t>
              </m:r>
            </m:den>
          </m:f>
        </m:oMath>
      </m:oMathPara>
    </w:p>
    <w:p w:rsidR="00D4718A" w:rsidRDefault="00D4718A" w:rsidP="00D4718A">
      <w:pPr>
        <w:spacing w:line="276" w:lineRule="auto"/>
        <w:jc w:val="center"/>
      </w:pPr>
    </w:p>
    <w:p w:rsidR="006E1C14" w:rsidRDefault="00D4718A" w:rsidP="006E1C14">
      <m:oMathPara>
        <m:oMath>
          <m:r>
            <w:rPr>
              <w:rFonts w:ascii="Cambria Math" w:hAnsi="Cambria Math"/>
            </w:rPr>
            <m:t>Relativt gab=</m:t>
          </m:r>
          <m:f>
            <m:fPr>
              <m:ctrlPr>
                <w:rPr>
                  <w:rFonts w:ascii="Cambria Math" w:hAnsi="Cambria Math"/>
                  <w:i/>
                </w:rPr>
              </m:ctrlPr>
            </m:fPr>
            <m:num>
              <m:r>
                <w:rPr>
                  <w:rFonts w:ascii="Cambria Math" w:hAnsi="Cambria Math"/>
                </w:rPr>
                <m:t>DKK-GAB x 100</m:t>
              </m:r>
            </m:num>
            <m:den>
              <m:r>
                <w:rPr>
                  <w:rFonts w:ascii="Cambria Math" w:hAnsi="Cambria Math"/>
                </w:rPr>
                <m:t>Samlede aktiver</m:t>
              </m:r>
            </m:den>
          </m:f>
        </m:oMath>
      </m:oMathPara>
    </w:p>
    <w:p w:rsidR="00D4718A" w:rsidRPr="006E1C14" w:rsidRDefault="00D4718A" w:rsidP="006E1C14"/>
    <w:tbl>
      <w:tblPr>
        <w:tblW w:w="8740" w:type="dxa"/>
        <w:tblInd w:w="58" w:type="dxa"/>
        <w:tblCellMar>
          <w:left w:w="70" w:type="dxa"/>
          <w:right w:w="70" w:type="dxa"/>
        </w:tblCellMar>
        <w:tblLook w:val="04A0" w:firstRow="1" w:lastRow="0" w:firstColumn="1" w:lastColumn="0" w:noHBand="0" w:noVBand="1"/>
      </w:tblPr>
      <w:tblGrid>
        <w:gridCol w:w="3220"/>
        <w:gridCol w:w="1124"/>
        <w:gridCol w:w="1124"/>
        <w:gridCol w:w="1124"/>
        <w:gridCol w:w="1124"/>
        <w:gridCol w:w="1024"/>
      </w:tblGrid>
      <w:tr w:rsidR="00481005" w:rsidRPr="004F362C" w:rsidTr="00481005">
        <w:trPr>
          <w:trHeight w:val="300"/>
        </w:trPr>
        <w:tc>
          <w:tcPr>
            <w:tcW w:w="8740"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rsidR="00481005" w:rsidRPr="00481005" w:rsidRDefault="00481005" w:rsidP="00481005">
            <w:pPr>
              <w:spacing w:line="240" w:lineRule="auto"/>
              <w:jc w:val="center"/>
              <w:rPr>
                <w:b/>
                <w:sz w:val="20"/>
                <w:szCs w:val="20"/>
              </w:rPr>
            </w:pPr>
            <w:r w:rsidRPr="00D4718A">
              <w:rPr>
                <w:b/>
                <w:bCs/>
                <w:sz w:val="20"/>
                <w:szCs w:val="20"/>
              </w:rPr>
              <w:t>Den Jyske Sparekasse</w:t>
            </w:r>
          </w:p>
        </w:tc>
      </w:tr>
      <w:tr w:rsidR="004F362C" w:rsidRPr="004F362C" w:rsidTr="00D4718A">
        <w:trPr>
          <w:trHeight w:val="300"/>
        </w:trPr>
        <w:tc>
          <w:tcPr>
            <w:tcW w:w="3220"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left"/>
              <w:rPr>
                <w:b/>
                <w:sz w:val="20"/>
                <w:szCs w:val="20"/>
              </w:rPr>
            </w:pPr>
            <w:r w:rsidRPr="00D4718A">
              <w:rPr>
                <w:b/>
                <w:sz w:val="20"/>
                <w:szCs w:val="20"/>
              </w:rPr>
              <w:t> </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2012</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2011</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2010</w:t>
            </w:r>
          </w:p>
        </w:tc>
        <w:tc>
          <w:tcPr>
            <w:tcW w:w="1124"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2009</w:t>
            </w:r>
          </w:p>
        </w:tc>
        <w:tc>
          <w:tcPr>
            <w:tcW w:w="1024" w:type="dxa"/>
            <w:tcBorders>
              <w:top w:val="nil"/>
              <w:left w:val="nil"/>
              <w:bottom w:val="single" w:sz="4" w:space="0" w:color="auto"/>
              <w:right w:val="single" w:sz="8"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2008</w:t>
            </w:r>
          </w:p>
        </w:tc>
      </w:tr>
      <w:tr w:rsidR="004F362C" w:rsidRPr="004F362C" w:rsidTr="00481005">
        <w:trPr>
          <w:trHeight w:val="36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Tilgodehavender hos kredit og central</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      767.607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      626.150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81005" w:rsidP="00481005">
            <w:pPr>
              <w:spacing w:line="240" w:lineRule="auto"/>
              <w:jc w:val="right"/>
              <w:rPr>
                <w:color w:val="000000"/>
                <w:sz w:val="20"/>
                <w:szCs w:val="20"/>
              </w:rPr>
            </w:pPr>
            <w:r>
              <w:rPr>
                <w:color w:val="000000"/>
                <w:sz w:val="20"/>
                <w:szCs w:val="20"/>
              </w:rPr>
              <w:t xml:space="preserve">     </w:t>
            </w:r>
            <w:r w:rsidR="004F362C" w:rsidRPr="004F362C">
              <w:rPr>
                <w:color w:val="000000"/>
                <w:sz w:val="20"/>
                <w:szCs w:val="20"/>
              </w:rPr>
              <w:t xml:space="preserve">991.920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634.281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862.397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Udlån og andre tilgodehavender</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12.620.684</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8.532.495</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8.352.224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8.022.753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7.244.433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xml:space="preserve">Obligationer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3.900.482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1.419.505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2.658.481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1.867.297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1.013.402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RSA</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17.288.773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10.578.150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12.002.625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10.524.331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9.120.232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Gæld til kreditinstitutter og Central</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1.887.491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687.191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1.623.259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2.065.290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2.230.764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Indlån og anden gæld</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13.938.050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8.123.564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7.826.103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6.919.194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5.798.780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Udstedte obligationer</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208.284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517.546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1.017.716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183.275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13.066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Efterstillede kapitalindskud</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782.098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476.103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476.486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500.855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xml:space="preserve">186.265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RSL</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16.815.923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9.804.404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10.943.564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9.668.614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 8.228.875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color w:val="000000"/>
                <w:sz w:val="20"/>
                <w:szCs w:val="20"/>
              </w:rPr>
            </w:pPr>
            <w:r w:rsidRPr="004F362C">
              <w:rPr>
                <w:color w:val="000000"/>
                <w:sz w:val="20"/>
                <w:szCs w:val="20"/>
              </w:rPr>
              <w:t> </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ISR</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1,02812</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1,07892</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1,09677</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1,08850</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1,10832</w:t>
            </w:r>
          </w:p>
        </w:tc>
      </w:tr>
      <w:tr w:rsidR="004F362C" w:rsidRPr="004F362C" w:rsidTr="00481005">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GAP</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472.850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773.746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1.059.061 </w:t>
            </w:r>
          </w:p>
        </w:tc>
        <w:tc>
          <w:tcPr>
            <w:tcW w:w="1124"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855.717 </w:t>
            </w:r>
          </w:p>
        </w:tc>
        <w:tc>
          <w:tcPr>
            <w:tcW w:w="1024"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 xml:space="preserve">891.357 </w:t>
            </w:r>
          </w:p>
        </w:tc>
      </w:tr>
      <w:tr w:rsidR="004F362C" w:rsidRPr="004F362C" w:rsidTr="00481005">
        <w:trPr>
          <w:trHeight w:val="315"/>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Relative GAP</w:t>
            </w:r>
          </w:p>
        </w:tc>
        <w:tc>
          <w:tcPr>
            <w:tcW w:w="1124"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2,</w:t>
            </w:r>
            <w:proofErr w:type="gramStart"/>
            <w:r w:rsidRPr="004F362C">
              <w:rPr>
                <w:b/>
                <w:bCs/>
                <w:color w:val="000000"/>
                <w:sz w:val="20"/>
                <w:szCs w:val="20"/>
              </w:rPr>
              <w:t>36%</w:t>
            </w:r>
            <w:proofErr w:type="gramEnd"/>
          </w:p>
        </w:tc>
        <w:tc>
          <w:tcPr>
            <w:tcW w:w="1124"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6,</w:t>
            </w:r>
            <w:proofErr w:type="gramStart"/>
            <w:r w:rsidRPr="004F362C">
              <w:rPr>
                <w:b/>
                <w:bCs/>
                <w:color w:val="000000"/>
                <w:sz w:val="20"/>
                <w:szCs w:val="20"/>
              </w:rPr>
              <w:t>28%</w:t>
            </w:r>
            <w:proofErr w:type="gramEnd"/>
          </w:p>
        </w:tc>
        <w:tc>
          <w:tcPr>
            <w:tcW w:w="1124"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7,</w:t>
            </w:r>
            <w:proofErr w:type="gramStart"/>
            <w:r w:rsidRPr="004F362C">
              <w:rPr>
                <w:b/>
                <w:bCs/>
                <w:color w:val="000000"/>
                <w:sz w:val="20"/>
                <w:szCs w:val="20"/>
              </w:rPr>
              <w:t>83%</w:t>
            </w:r>
            <w:proofErr w:type="gramEnd"/>
          </w:p>
        </w:tc>
        <w:tc>
          <w:tcPr>
            <w:tcW w:w="1124"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7,</w:t>
            </w:r>
            <w:proofErr w:type="gramStart"/>
            <w:r w:rsidRPr="004F362C">
              <w:rPr>
                <w:b/>
                <w:bCs/>
                <w:color w:val="000000"/>
                <w:sz w:val="20"/>
                <w:szCs w:val="20"/>
              </w:rPr>
              <w:t>30%</w:t>
            </w:r>
            <w:proofErr w:type="gramEnd"/>
          </w:p>
        </w:tc>
        <w:tc>
          <w:tcPr>
            <w:tcW w:w="1024" w:type="dxa"/>
            <w:tcBorders>
              <w:top w:val="nil"/>
              <w:left w:val="nil"/>
              <w:bottom w:val="single" w:sz="8" w:space="0" w:color="auto"/>
              <w:right w:val="single" w:sz="8" w:space="0" w:color="auto"/>
            </w:tcBorders>
            <w:shd w:val="clear" w:color="auto" w:fill="auto"/>
            <w:noWrap/>
            <w:vAlign w:val="bottom"/>
            <w:hideMark/>
          </w:tcPr>
          <w:p w:rsidR="004F362C" w:rsidRPr="004F362C" w:rsidRDefault="004F362C" w:rsidP="00481005">
            <w:pPr>
              <w:spacing w:line="240" w:lineRule="auto"/>
              <w:jc w:val="right"/>
              <w:rPr>
                <w:b/>
                <w:bCs/>
                <w:color w:val="000000"/>
                <w:sz w:val="20"/>
                <w:szCs w:val="20"/>
              </w:rPr>
            </w:pPr>
            <w:r w:rsidRPr="004F362C">
              <w:rPr>
                <w:b/>
                <w:bCs/>
                <w:color w:val="000000"/>
                <w:sz w:val="20"/>
                <w:szCs w:val="20"/>
              </w:rPr>
              <w:t>8,</w:t>
            </w:r>
            <w:proofErr w:type="gramStart"/>
            <w:r w:rsidRPr="004F362C">
              <w:rPr>
                <w:b/>
                <w:bCs/>
                <w:color w:val="000000"/>
                <w:sz w:val="20"/>
                <w:szCs w:val="20"/>
              </w:rPr>
              <w:t>84%</w:t>
            </w:r>
            <w:proofErr w:type="gramEnd"/>
          </w:p>
        </w:tc>
      </w:tr>
    </w:tbl>
    <w:p w:rsidR="00D4718A" w:rsidRPr="00D4718A" w:rsidRDefault="00D4718A" w:rsidP="004F362C">
      <w:pPr>
        <w:rPr>
          <w:i/>
        </w:rPr>
      </w:pPr>
    </w:p>
    <w:tbl>
      <w:tblPr>
        <w:tblW w:w="8350" w:type="dxa"/>
        <w:tblInd w:w="57" w:type="dxa"/>
        <w:tblCellMar>
          <w:left w:w="70" w:type="dxa"/>
          <w:right w:w="70" w:type="dxa"/>
        </w:tblCellMar>
        <w:tblLook w:val="04A0" w:firstRow="1" w:lastRow="0" w:firstColumn="1" w:lastColumn="0" w:noHBand="0" w:noVBand="1"/>
      </w:tblPr>
      <w:tblGrid>
        <w:gridCol w:w="3220"/>
        <w:gridCol w:w="1026"/>
        <w:gridCol w:w="1026"/>
        <w:gridCol w:w="1026"/>
        <w:gridCol w:w="1026"/>
        <w:gridCol w:w="1026"/>
      </w:tblGrid>
      <w:tr w:rsidR="00481005" w:rsidRPr="004F362C" w:rsidTr="00E30543">
        <w:trPr>
          <w:trHeight w:val="300"/>
        </w:trPr>
        <w:tc>
          <w:tcPr>
            <w:tcW w:w="8350"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rsidR="00481005" w:rsidRPr="00481005" w:rsidRDefault="00481005" w:rsidP="00481005">
            <w:pPr>
              <w:spacing w:line="240" w:lineRule="auto"/>
              <w:jc w:val="center"/>
              <w:rPr>
                <w:b/>
                <w:sz w:val="20"/>
                <w:szCs w:val="20"/>
              </w:rPr>
            </w:pPr>
            <w:r w:rsidRPr="00D4718A">
              <w:rPr>
                <w:b/>
                <w:bCs/>
                <w:sz w:val="20"/>
                <w:szCs w:val="20"/>
              </w:rPr>
              <w:t>Dronninglund Sparekasse</w:t>
            </w:r>
          </w:p>
        </w:tc>
      </w:tr>
      <w:tr w:rsidR="004F362C" w:rsidRPr="004F362C" w:rsidTr="00D4718A">
        <w:trPr>
          <w:trHeight w:val="300"/>
        </w:trPr>
        <w:tc>
          <w:tcPr>
            <w:tcW w:w="3220"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left"/>
              <w:rPr>
                <w:b/>
                <w:sz w:val="20"/>
                <w:szCs w:val="20"/>
              </w:rPr>
            </w:pPr>
            <w:r w:rsidRPr="00D4718A">
              <w:rPr>
                <w:b/>
                <w:sz w:val="20"/>
                <w:szCs w:val="20"/>
              </w:rPr>
              <w:t> </w:t>
            </w:r>
          </w:p>
        </w:tc>
        <w:tc>
          <w:tcPr>
            <w:tcW w:w="1026"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2012</w:t>
            </w:r>
          </w:p>
        </w:tc>
        <w:tc>
          <w:tcPr>
            <w:tcW w:w="1026"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2011</w:t>
            </w:r>
          </w:p>
        </w:tc>
        <w:tc>
          <w:tcPr>
            <w:tcW w:w="1026"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2010</w:t>
            </w:r>
          </w:p>
        </w:tc>
        <w:tc>
          <w:tcPr>
            <w:tcW w:w="1026" w:type="dxa"/>
            <w:tcBorders>
              <w:top w:val="nil"/>
              <w:left w:val="nil"/>
              <w:bottom w:val="single" w:sz="4" w:space="0" w:color="auto"/>
              <w:right w:val="single" w:sz="4"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2009</w:t>
            </w:r>
          </w:p>
        </w:tc>
        <w:tc>
          <w:tcPr>
            <w:tcW w:w="1026" w:type="dxa"/>
            <w:tcBorders>
              <w:top w:val="nil"/>
              <w:left w:val="nil"/>
              <w:bottom w:val="single" w:sz="4" w:space="0" w:color="auto"/>
              <w:right w:val="single" w:sz="8" w:space="0" w:color="auto"/>
            </w:tcBorders>
            <w:shd w:val="clear" w:color="auto" w:fill="C6D9F1" w:themeFill="text2" w:themeFillTint="33"/>
            <w:noWrap/>
            <w:vAlign w:val="bottom"/>
            <w:hideMark/>
          </w:tcPr>
          <w:p w:rsidR="004F362C" w:rsidRPr="00D4718A" w:rsidRDefault="004F362C" w:rsidP="004F362C">
            <w:pPr>
              <w:spacing w:line="240" w:lineRule="auto"/>
              <w:jc w:val="center"/>
              <w:rPr>
                <w:b/>
                <w:sz w:val="20"/>
                <w:szCs w:val="20"/>
              </w:rPr>
            </w:pPr>
            <w:r w:rsidRPr="00D4718A">
              <w:rPr>
                <w:b/>
                <w:sz w:val="20"/>
                <w:szCs w:val="20"/>
              </w:rPr>
              <w:t>2008</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Tilgodehavender hos kredit og central</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26.404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20.832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59.334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39.735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34.249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Udlån og andre tilgodehavender</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1.855.847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1.822.079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 </w:t>
            </w:r>
            <w:r w:rsidR="00481005">
              <w:rPr>
                <w:color w:val="000000"/>
                <w:sz w:val="20"/>
                <w:szCs w:val="20"/>
              </w:rPr>
              <w:t>1</w:t>
            </w:r>
            <w:r w:rsidRPr="004F362C">
              <w:rPr>
                <w:color w:val="000000"/>
                <w:sz w:val="20"/>
                <w:szCs w:val="20"/>
              </w:rPr>
              <w:t xml:space="preserve">.804.122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FF5EA3" w:rsidP="00FF5EA3">
            <w:pPr>
              <w:spacing w:line="240" w:lineRule="auto"/>
              <w:jc w:val="right"/>
              <w:rPr>
                <w:color w:val="000000"/>
                <w:sz w:val="20"/>
                <w:szCs w:val="20"/>
              </w:rPr>
            </w:pPr>
            <w:r>
              <w:rPr>
                <w:color w:val="000000"/>
                <w:sz w:val="20"/>
                <w:szCs w:val="20"/>
              </w:rPr>
              <w:t>1</w:t>
            </w:r>
            <w:r w:rsidR="004F362C" w:rsidRPr="004F362C">
              <w:rPr>
                <w:color w:val="000000"/>
                <w:sz w:val="20"/>
                <w:szCs w:val="20"/>
              </w:rPr>
              <w:t xml:space="preserve">.896.833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 1.743.127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xml:space="preserve">Obligationer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126.799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137.382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138.950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126.795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0</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RSA</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2.009.050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1.980.293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2.002.406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2.063.363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1.777.376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Gæld til kreditinstitutter og Central</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0</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0</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232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115.136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105.132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Indlån og anden gæld</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2.116.473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2.025.301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1.956.339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1.693.298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1.469.297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Udstedte obligationer</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4.580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5.765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6.174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6.174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4.475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Efterstillede kapitalindskud</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75.000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124.817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124.612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124.407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xml:space="preserve">50.000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RSL</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2.196.053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2.155.883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2.087.357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1.939.015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1.628.904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color w:val="000000"/>
                <w:sz w:val="20"/>
                <w:szCs w:val="20"/>
              </w:rPr>
            </w:pPr>
            <w:r w:rsidRPr="004F362C">
              <w:rPr>
                <w:color w:val="000000"/>
                <w:sz w:val="20"/>
                <w:szCs w:val="20"/>
              </w:rPr>
              <w:t> </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ISR</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0,91</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0,92</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0,96</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1,06</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1,09</w:t>
            </w:r>
          </w:p>
        </w:tc>
      </w:tr>
      <w:tr w:rsidR="004F362C" w:rsidRPr="004F362C" w:rsidTr="00FF5EA3">
        <w:trPr>
          <w:trHeight w:val="30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GAP</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-187.003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 -175.590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D4718A" w:rsidP="00FF5EA3">
            <w:pPr>
              <w:spacing w:line="240" w:lineRule="auto"/>
              <w:jc w:val="right"/>
              <w:rPr>
                <w:b/>
                <w:bCs/>
                <w:color w:val="000000"/>
                <w:sz w:val="20"/>
                <w:szCs w:val="20"/>
              </w:rPr>
            </w:pPr>
            <w:r>
              <w:rPr>
                <w:b/>
                <w:bCs/>
                <w:color w:val="000000"/>
                <w:sz w:val="20"/>
                <w:szCs w:val="20"/>
              </w:rPr>
              <w:t>-</w:t>
            </w:r>
            <w:r w:rsidR="004F362C" w:rsidRPr="004F362C">
              <w:rPr>
                <w:b/>
                <w:bCs/>
                <w:color w:val="000000"/>
                <w:sz w:val="20"/>
                <w:szCs w:val="20"/>
              </w:rPr>
              <w:t xml:space="preserve">84.951 </w:t>
            </w:r>
          </w:p>
        </w:tc>
        <w:tc>
          <w:tcPr>
            <w:tcW w:w="1026" w:type="dxa"/>
            <w:tcBorders>
              <w:top w:val="nil"/>
              <w:left w:val="nil"/>
              <w:bottom w:val="single" w:sz="4"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 xml:space="preserve">124.348 </w:t>
            </w:r>
          </w:p>
        </w:tc>
        <w:tc>
          <w:tcPr>
            <w:tcW w:w="1026" w:type="dxa"/>
            <w:tcBorders>
              <w:top w:val="nil"/>
              <w:left w:val="nil"/>
              <w:bottom w:val="single" w:sz="4" w:space="0" w:color="auto"/>
              <w:right w:val="single" w:sz="8" w:space="0" w:color="auto"/>
            </w:tcBorders>
            <w:shd w:val="clear" w:color="auto" w:fill="auto"/>
            <w:noWrap/>
            <w:vAlign w:val="bottom"/>
            <w:hideMark/>
          </w:tcPr>
          <w:p w:rsidR="004F362C" w:rsidRPr="004F362C" w:rsidRDefault="00FF5EA3" w:rsidP="00FF5EA3">
            <w:pPr>
              <w:spacing w:line="240" w:lineRule="auto"/>
              <w:jc w:val="right"/>
              <w:rPr>
                <w:b/>
                <w:bCs/>
                <w:color w:val="000000"/>
                <w:sz w:val="20"/>
                <w:szCs w:val="20"/>
              </w:rPr>
            </w:pPr>
            <w:r>
              <w:rPr>
                <w:b/>
                <w:bCs/>
                <w:color w:val="000000"/>
                <w:sz w:val="20"/>
                <w:szCs w:val="20"/>
              </w:rPr>
              <w:t xml:space="preserve">    </w:t>
            </w:r>
            <w:r w:rsidR="004F362C" w:rsidRPr="004F362C">
              <w:rPr>
                <w:b/>
                <w:bCs/>
                <w:color w:val="000000"/>
                <w:sz w:val="20"/>
                <w:szCs w:val="20"/>
              </w:rPr>
              <w:t xml:space="preserve">148.472 </w:t>
            </w:r>
          </w:p>
        </w:tc>
      </w:tr>
      <w:tr w:rsidR="004F362C" w:rsidRPr="004F362C" w:rsidTr="00FF5EA3">
        <w:trPr>
          <w:trHeight w:val="315"/>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rsidR="004F362C" w:rsidRPr="004F362C" w:rsidRDefault="004F362C" w:rsidP="004F362C">
            <w:pPr>
              <w:spacing w:line="240" w:lineRule="auto"/>
              <w:jc w:val="left"/>
              <w:rPr>
                <w:b/>
                <w:bCs/>
                <w:color w:val="000000"/>
                <w:sz w:val="20"/>
                <w:szCs w:val="20"/>
              </w:rPr>
            </w:pPr>
            <w:r w:rsidRPr="004F362C">
              <w:rPr>
                <w:b/>
                <w:bCs/>
                <w:color w:val="000000"/>
                <w:sz w:val="20"/>
                <w:szCs w:val="20"/>
              </w:rPr>
              <w:t>Relative GAP</w:t>
            </w:r>
          </w:p>
        </w:tc>
        <w:tc>
          <w:tcPr>
            <w:tcW w:w="1026"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-7,</w:t>
            </w:r>
            <w:proofErr w:type="gramStart"/>
            <w:r w:rsidRPr="004F362C">
              <w:rPr>
                <w:b/>
                <w:bCs/>
                <w:color w:val="000000"/>
                <w:sz w:val="20"/>
                <w:szCs w:val="20"/>
              </w:rPr>
              <w:t>17%</w:t>
            </w:r>
            <w:proofErr w:type="gramEnd"/>
          </w:p>
        </w:tc>
        <w:tc>
          <w:tcPr>
            <w:tcW w:w="1026"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-6,</w:t>
            </w:r>
            <w:proofErr w:type="gramStart"/>
            <w:r w:rsidRPr="004F362C">
              <w:rPr>
                <w:b/>
                <w:bCs/>
                <w:color w:val="000000"/>
                <w:sz w:val="20"/>
                <w:szCs w:val="20"/>
              </w:rPr>
              <w:t>87%</w:t>
            </w:r>
            <w:proofErr w:type="gramEnd"/>
          </w:p>
        </w:tc>
        <w:tc>
          <w:tcPr>
            <w:tcW w:w="1026"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-3,</w:t>
            </w:r>
            <w:proofErr w:type="gramStart"/>
            <w:r w:rsidRPr="004F362C">
              <w:rPr>
                <w:b/>
                <w:bCs/>
                <w:color w:val="000000"/>
                <w:sz w:val="20"/>
                <w:szCs w:val="20"/>
              </w:rPr>
              <w:t>37%</w:t>
            </w:r>
            <w:proofErr w:type="gramEnd"/>
          </w:p>
        </w:tc>
        <w:tc>
          <w:tcPr>
            <w:tcW w:w="1026" w:type="dxa"/>
            <w:tcBorders>
              <w:top w:val="nil"/>
              <w:left w:val="nil"/>
              <w:bottom w:val="single" w:sz="8" w:space="0" w:color="auto"/>
              <w:right w:val="single" w:sz="4"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5,</w:t>
            </w:r>
            <w:proofErr w:type="gramStart"/>
            <w:r w:rsidRPr="004F362C">
              <w:rPr>
                <w:b/>
                <w:bCs/>
                <w:color w:val="000000"/>
                <w:sz w:val="20"/>
                <w:szCs w:val="20"/>
              </w:rPr>
              <w:t>22%</w:t>
            </w:r>
            <w:proofErr w:type="gramEnd"/>
          </w:p>
        </w:tc>
        <w:tc>
          <w:tcPr>
            <w:tcW w:w="1026" w:type="dxa"/>
            <w:tcBorders>
              <w:top w:val="nil"/>
              <w:left w:val="nil"/>
              <w:bottom w:val="single" w:sz="8" w:space="0" w:color="auto"/>
              <w:right w:val="single" w:sz="8" w:space="0" w:color="auto"/>
            </w:tcBorders>
            <w:shd w:val="clear" w:color="auto" w:fill="auto"/>
            <w:noWrap/>
            <w:vAlign w:val="bottom"/>
            <w:hideMark/>
          </w:tcPr>
          <w:p w:rsidR="004F362C" w:rsidRPr="004F362C" w:rsidRDefault="004F362C" w:rsidP="00FF5EA3">
            <w:pPr>
              <w:spacing w:line="240" w:lineRule="auto"/>
              <w:jc w:val="right"/>
              <w:rPr>
                <w:b/>
                <w:bCs/>
                <w:color w:val="000000"/>
                <w:sz w:val="20"/>
                <w:szCs w:val="20"/>
              </w:rPr>
            </w:pPr>
            <w:r w:rsidRPr="004F362C">
              <w:rPr>
                <w:b/>
                <w:bCs/>
                <w:color w:val="000000"/>
                <w:sz w:val="20"/>
                <w:szCs w:val="20"/>
              </w:rPr>
              <w:t>6,</w:t>
            </w:r>
            <w:proofErr w:type="gramStart"/>
            <w:r w:rsidRPr="004F362C">
              <w:rPr>
                <w:b/>
                <w:bCs/>
                <w:color w:val="000000"/>
                <w:sz w:val="20"/>
                <w:szCs w:val="20"/>
              </w:rPr>
              <w:t>99%</w:t>
            </w:r>
            <w:proofErr w:type="gramEnd"/>
          </w:p>
        </w:tc>
      </w:tr>
    </w:tbl>
    <w:p w:rsidR="007F6A93" w:rsidRDefault="007F6A93" w:rsidP="007F6A93">
      <w:pPr>
        <w:rPr>
          <w:rFonts w:ascii="Verdana" w:eastAsiaTheme="majorEastAsia" w:hAnsi="Verdana" w:cstheme="majorBidi"/>
          <w:kern w:val="32"/>
          <w:sz w:val="28"/>
          <w:szCs w:val="32"/>
        </w:rPr>
      </w:pPr>
      <w:bookmarkStart w:id="190" w:name="_GoBack"/>
      <w:bookmarkEnd w:id="190"/>
    </w:p>
    <w:p w:rsidR="004F362C" w:rsidRDefault="007542C1" w:rsidP="00F46A79">
      <w:pPr>
        <w:pStyle w:val="Overskrift2"/>
      </w:pPr>
      <w:bookmarkStart w:id="191" w:name="_Toc354517458"/>
      <w:r>
        <w:lastRenderedPageBreak/>
        <w:t>Bilag E</w:t>
      </w:r>
      <w:r w:rsidR="00024ACB">
        <w:t xml:space="preserve"> – Loan Ratio</w:t>
      </w:r>
      <w:bookmarkEnd w:id="191"/>
    </w:p>
    <w:p w:rsidR="005C3667" w:rsidRDefault="005C3667" w:rsidP="005C3667">
      <m:oMathPara>
        <m:oMath>
          <m:r>
            <w:rPr>
              <w:rFonts w:ascii="Cambria Math" w:hAnsi="Cambria Math"/>
            </w:rPr>
            <m:t>Loan Ratio=</m:t>
          </m:r>
          <m:f>
            <m:fPr>
              <m:ctrlPr>
                <w:rPr>
                  <w:rFonts w:ascii="Cambria Math" w:hAnsi="Cambria Math"/>
                  <w:i/>
                </w:rPr>
              </m:ctrlPr>
            </m:fPr>
            <m:num>
              <m:r>
                <w:rPr>
                  <w:rFonts w:ascii="Cambria Math" w:hAnsi="Cambria Math"/>
                </w:rPr>
                <m:t>Udlån</m:t>
              </m:r>
            </m:num>
            <m:den>
              <m:r>
                <w:rPr>
                  <w:rFonts w:ascii="Cambria Math" w:hAnsi="Cambria Math"/>
                </w:rPr>
                <m:t>Samlede aktiver</m:t>
              </m:r>
            </m:den>
          </m:f>
        </m:oMath>
      </m:oMathPara>
    </w:p>
    <w:p w:rsidR="007F6A93" w:rsidRDefault="007F6A93" w:rsidP="005C3667"/>
    <w:tbl>
      <w:tblPr>
        <w:tblW w:w="7938" w:type="dxa"/>
        <w:tblInd w:w="50" w:type="dxa"/>
        <w:tblLayout w:type="fixed"/>
        <w:tblCellMar>
          <w:left w:w="70" w:type="dxa"/>
          <w:right w:w="70" w:type="dxa"/>
        </w:tblCellMar>
        <w:tblLook w:val="04A0" w:firstRow="1" w:lastRow="0" w:firstColumn="1" w:lastColumn="0" w:noHBand="0" w:noVBand="1"/>
      </w:tblPr>
      <w:tblGrid>
        <w:gridCol w:w="1323"/>
        <w:gridCol w:w="1323"/>
        <w:gridCol w:w="1323"/>
        <w:gridCol w:w="1323"/>
        <w:gridCol w:w="1323"/>
        <w:gridCol w:w="1323"/>
      </w:tblGrid>
      <w:tr w:rsidR="00481005" w:rsidRPr="007F6A93" w:rsidTr="00481005">
        <w:trPr>
          <w:trHeight w:val="315"/>
        </w:trPr>
        <w:tc>
          <w:tcPr>
            <w:tcW w:w="7938"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rsidR="00481005" w:rsidRPr="00481005" w:rsidRDefault="00481005" w:rsidP="00481005">
            <w:pPr>
              <w:spacing w:line="240" w:lineRule="auto"/>
              <w:jc w:val="center"/>
              <w:rPr>
                <w:b/>
              </w:rPr>
            </w:pPr>
            <w:r w:rsidRPr="007F6A93">
              <w:rPr>
                <w:b/>
                <w:bCs/>
              </w:rPr>
              <w:t>Den Jyske Sparekasse</w:t>
            </w:r>
          </w:p>
        </w:tc>
      </w:tr>
      <w:tr w:rsidR="007F6A93" w:rsidRPr="007F6A93" w:rsidTr="00481005">
        <w:trPr>
          <w:trHeight w:val="315"/>
        </w:trPr>
        <w:tc>
          <w:tcPr>
            <w:tcW w:w="1323"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left"/>
              <w:rPr>
                <w:b/>
              </w:rPr>
            </w:pPr>
            <w:r w:rsidRPr="007F6A93">
              <w:rPr>
                <w:b/>
              </w:rPr>
              <w:t> </w:t>
            </w:r>
          </w:p>
        </w:tc>
        <w:tc>
          <w:tcPr>
            <w:tcW w:w="1323"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2012</w:t>
            </w:r>
          </w:p>
        </w:tc>
        <w:tc>
          <w:tcPr>
            <w:tcW w:w="1323"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2011</w:t>
            </w:r>
          </w:p>
        </w:tc>
        <w:tc>
          <w:tcPr>
            <w:tcW w:w="1323"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2010</w:t>
            </w:r>
          </w:p>
        </w:tc>
        <w:tc>
          <w:tcPr>
            <w:tcW w:w="1323"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2009</w:t>
            </w:r>
          </w:p>
        </w:tc>
        <w:tc>
          <w:tcPr>
            <w:tcW w:w="1323" w:type="dxa"/>
            <w:tcBorders>
              <w:top w:val="nil"/>
              <w:left w:val="nil"/>
              <w:bottom w:val="single" w:sz="4" w:space="0" w:color="auto"/>
              <w:right w:val="single" w:sz="8"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2008</w:t>
            </w:r>
          </w:p>
        </w:tc>
      </w:tr>
      <w:tr w:rsidR="007F6A93" w:rsidRPr="007F6A93" w:rsidTr="00481005">
        <w:trPr>
          <w:trHeight w:val="315"/>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Aktiver</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20.029.074 </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12.322.302 </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13.525.169 </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11.718.691 </w:t>
            </w:r>
          </w:p>
        </w:tc>
        <w:tc>
          <w:tcPr>
            <w:tcW w:w="1323" w:type="dxa"/>
            <w:tcBorders>
              <w:top w:val="nil"/>
              <w:left w:val="nil"/>
              <w:bottom w:val="single" w:sz="4" w:space="0" w:color="auto"/>
              <w:right w:val="single" w:sz="8"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10.080.704 </w:t>
            </w:r>
          </w:p>
        </w:tc>
      </w:tr>
      <w:tr w:rsidR="007F6A93" w:rsidRPr="007F6A93" w:rsidTr="00481005">
        <w:trPr>
          <w:trHeight w:val="315"/>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Udlån </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color w:val="000000"/>
              </w:rPr>
            </w:pPr>
            <w:r w:rsidRPr="007F6A93">
              <w:rPr>
                <w:color w:val="000000"/>
              </w:rPr>
              <w:t>12.620.684</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color w:val="000000"/>
              </w:rPr>
            </w:pPr>
            <w:r w:rsidRPr="007F6A93">
              <w:rPr>
                <w:color w:val="000000"/>
              </w:rPr>
              <w:t>8.532.495</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color w:val="000000"/>
              </w:rPr>
            </w:pPr>
            <w:r w:rsidRPr="007F6A93">
              <w:rPr>
                <w:color w:val="000000"/>
              </w:rPr>
              <w:t>8.352.224</w:t>
            </w:r>
          </w:p>
        </w:tc>
        <w:tc>
          <w:tcPr>
            <w:tcW w:w="1323"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color w:val="000000"/>
              </w:rPr>
            </w:pPr>
            <w:r w:rsidRPr="007F6A93">
              <w:rPr>
                <w:color w:val="000000"/>
              </w:rPr>
              <w:t>8.022.753</w:t>
            </w:r>
          </w:p>
        </w:tc>
        <w:tc>
          <w:tcPr>
            <w:tcW w:w="1323" w:type="dxa"/>
            <w:tcBorders>
              <w:top w:val="nil"/>
              <w:left w:val="nil"/>
              <w:bottom w:val="single" w:sz="4" w:space="0" w:color="auto"/>
              <w:right w:val="single" w:sz="8" w:space="0" w:color="auto"/>
            </w:tcBorders>
            <w:shd w:val="clear" w:color="auto" w:fill="auto"/>
            <w:noWrap/>
            <w:vAlign w:val="bottom"/>
            <w:hideMark/>
          </w:tcPr>
          <w:p w:rsidR="007F6A93" w:rsidRPr="007F6A93" w:rsidRDefault="007F6A93" w:rsidP="007F6A93">
            <w:pPr>
              <w:spacing w:line="240" w:lineRule="auto"/>
              <w:jc w:val="right"/>
              <w:rPr>
                <w:color w:val="000000"/>
              </w:rPr>
            </w:pPr>
            <w:r w:rsidRPr="007F6A93">
              <w:rPr>
                <w:color w:val="000000"/>
              </w:rPr>
              <w:t>7.244.433</w:t>
            </w:r>
          </w:p>
        </w:tc>
      </w:tr>
      <w:tr w:rsidR="007F6A93" w:rsidRPr="007F6A93" w:rsidTr="00481005">
        <w:trPr>
          <w:trHeight w:val="330"/>
        </w:trPr>
        <w:tc>
          <w:tcPr>
            <w:tcW w:w="1323" w:type="dxa"/>
            <w:tcBorders>
              <w:top w:val="nil"/>
              <w:left w:val="single" w:sz="8" w:space="0" w:color="auto"/>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b/>
                <w:color w:val="000000"/>
              </w:rPr>
            </w:pPr>
            <w:r w:rsidRPr="007F6A93">
              <w:rPr>
                <w:b/>
                <w:color w:val="000000"/>
              </w:rPr>
              <w:t>Loan Ratio</w:t>
            </w:r>
          </w:p>
        </w:tc>
        <w:tc>
          <w:tcPr>
            <w:tcW w:w="1323"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63,</w:t>
            </w:r>
            <w:proofErr w:type="gramStart"/>
            <w:r w:rsidRPr="007F6A93">
              <w:rPr>
                <w:b/>
                <w:color w:val="000000"/>
              </w:rPr>
              <w:t>01%</w:t>
            </w:r>
            <w:proofErr w:type="gramEnd"/>
          </w:p>
        </w:tc>
        <w:tc>
          <w:tcPr>
            <w:tcW w:w="1323"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69,</w:t>
            </w:r>
            <w:proofErr w:type="gramStart"/>
            <w:r w:rsidRPr="007F6A93">
              <w:rPr>
                <w:b/>
                <w:color w:val="000000"/>
              </w:rPr>
              <w:t>24%</w:t>
            </w:r>
            <w:proofErr w:type="gramEnd"/>
          </w:p>
        </w:tc>
        <w:tc>
          <w:tcPr>
            <w:tcW w:w="1323"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61,</w:t>
            </w:r>
            <w:proofErr w:type="gramStart"/>
            <w:r w:rsidRPr="007F6A93">
              <w:rPr>
                <w:b/>
                <w:color w:val="000000"/>
              </w:rPr>
              <w:t>75%</w:t>
            </w:r>
            <w:proofErr w:type="gramEnd"/>
          </w:p>
        </w:tc>
        <w:tc>
          <w:tcPr>
            <w:tcW w:w="1323"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68,</w:t>
            </w:r>
            <w:proofErr w:type="gramStart"/>
            <w:r w:rsidRPr="007F6A93">
              <w:rPr>
                <w:b/>
                <w:color w:val="000000"/>
              </w:rPr>
              <w:t>46%</w:t>
            </w:r>
            <w:proofErr w:type="gramEnd"/>
          </w:p>
        </w:tc>
        <w:tc>
          <w:tcPr>
            <w:tcW w:w="1323" w:type="dxa"/>
            <w:tcBorders>
              <w:top w:val="nil"/>
              <w:left w:val="nil"/>
              <w:bottom w:val="single" w:sz="8" w:space="0" w:color="auto"/>
              <w:right w:val="single" w:sz="8"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71,</w:t>
            </w:r>
            <w:proofErr w:type="gramStart"/>
            <w:r w:rsidRPr="007F6A93">
              <w:rPr>
                <w:b/>
                <w:color w:val="000000"/>
              </w:rPr>
              <w:t>86%</w:t>
            </w:r>
            <w:proofErr w:type="gramEnd"/>
          </w:p>
        </w:tc>
      </w:tr>
    </w:tbl>
    <w:p w:rsidR="007F6A93" w:rsidRDefault="007F6A93">
      <w:pPr>
        <w:spacing w:line="240" w:lineRule="auto"/>
        <w:jc w:val="left"/>
      </w:pPr>
    </w:p>
    <w:tbl>
      <w:tblPr>
        <w:tblW w:w="7951" w:type="dxa"/>
        <w:tblInd w:w="57" w:type="dxa"/>
        <w:tblCellMar>
          <w:left w:w="70" w:type="dxa"/>
          <w:right w:w="70" w:type="dxa"/>
        </w:tblCellMar>
        <w:tblLook w:val="04A0" w:firstRow="1" w:lastRow="0" w:firstColumn="1" w:lastColumn="0" w:noHBand="0" w:noVBand="1"/>
      </w:tblPr>
      <w:tblGrid>
        <w:gridCol w:w="1431"/>
        <w:gridCol w:w="1180"/>
        <w:gridCol w:w="1371"/>
        <w:gridCol w:w="1276"/>
        <w:gridCol w:w="1418"/>
        <w:gridCol w:w="1275"/>
      </w:tblGrid>
      <w:tr w:rsidR="00481005" w:rsidRPr="007F6A93" w:rsidTr="00481005">
        <w:trPr>
          <w:trHeight w:val="315"/>
        </w:trPr>
        <w:tc>
          <w:tcPr>
            <w:tcW w:w="7951" w:type="dxa"/>
            <w:gridSpan w:val="6"/>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rsidR="00481005" w:rsidRPr="007F6A93" w:rsidRDefault="00481005" w:rsidP="007F6A93">
            <w:pPr>
              <w:spacing w:line="240" w:lineRule="auto"/>
              <w:jc w:val="center"/>
              <w:rPr>
                <w:b/>
                <w:bCs/>
              </w:rPr>
            </w:pPr>
            <w:r w:rsidRPr="007F6A93">
              <w:rPr>
                <w:b/>
                <w:bCs/>
              </w:rPr>
              <w:t>Dronninglund Sparekasse</w:t>
            </w:r>
          </w:p>
        </w:tc>
      </w:tr>
      <w:tr w:rsidR="007F6A93" w:rsidRPr="007F6A93" w:rsidTr="00481005">
        <w:trPr>
          <w:trHeight w:val="315"/>
        </w:trPr>
        <w:tc>
          <w:tcPr>
            <w:tcW w:w="1431" w:type="dxa"/>
            <w:tcBorders>
              <w:top w:val="nil"/>
              <w:left w:val="single" w:sz="8" w:space="0" w:color="auto"/>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left"/>
              <w:rPr>
                <w:b/>
              </w:rPr>
            </w:pPr>
            <w:r w:rsidRPr="007F6A93">
              <w:rPr>
                <w:b/>
              </w:rPr>
              <w:t> </w:t>
            </w:r>
          </w:p>
        </w:tc>
        <w:tc>
          <w:tcPr>
            <w:tcW w:w="1180"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2012</w:t>
            </w:r>
          </w:p>
        </w:tc>
        <w:tc>
          <w:tcPr>
            <w:tcW w:w="1371"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2011</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2010</w:t>
            </w:r>
          </w:p>
        </w:tc>
        <w:tc>
          <w:tcPr>
            <w:tcW w:w="1418" w:type="dxa"/>
            <w:tcBorders>
              <w:top w:val="nil"/>
              <w:left w:val="nil"/>
              <w:bottom w:val="single" w:sz="4" w:space="0" w:color="auto"/>
              <w:right w:val="single" w:sz="4"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2009</w:t>
            </w:r>
          </w:p>
        </w:tc>
        <w:tc>
          <w:tcPr>
            <w:tcW w:w="1275" w:type="dxa"/>
            <w:tcBorders>
              <w:top w:val="nil"/>
              <w:left w:val="nil"/>
              <w:bottom w:val="single" w:sz="4" w:space="0" w:color="auto"/>
              <w:right w:val="single" w:sz="8" w:space="0" w:color="auto"/>
            </w:tcBorders>
            <w:shd w:val="clear" w:color="auto" w:fill="C6D9F1" w:themeFill="text2" w:themeFillTint="33"/>
            <w:noWrap/>
            <w:vAlign w:val="bottom"/>
            <w:hideMark/>
          </w:tcPr>
          <w:p w:rsidR="007F6A93" w:rsidRPr="007F6A93" w:rsidRDefault="007F6A93" w:rsidP="007F6A93">
            <w:pPr>
              <w:spacing w:line="240" w:lineRule="auto"/>
              <w:jc w:val="center"/>
              <w:rPr>
                <w:b/>
              </w:rPr>
            </w:pPr>
            <w:r w:rsidRPr="007F6A93">
              <w:rPr>
                <w:b/>
              </w:rPr>
              <w:t>2008</w:t>
            </w:r>
          </w:p>
        </w:tc>
      </w:tr>
      <w:tr w:rsidR="007F6A93" w:rsidRPr="007F6A93" w:rsidTr="00481005">
        <w:trPr>
          <w:trHeight w:val="315"/>
        </w:trPr>
        <w:tc>
          <w:tcPr>
            <w:tcW w:w="1431" w:type="dxa"/>
            <w:tcBorders>
              <w:top w:val="nil"/>
              <w:left w:val="single" w:sz="8" w:space="0" w:color="auto"/>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Aktiver</w:t>
            </w:r>
          </w:p>
        </w:tc>
        <w:tc>
          <w:tcPr>
            <w:tcW w:w="1180"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2.609.879 </w:t>
            </w:r>
          </w:p>
        </w:tc>
        <w:tc>
          <w:tcPr>
            <w:tcW w:w="1371"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2.554.353 </w:t>
            </w:r>
          </w:p>
        </w:tc>
        <w:tc>
          <w:tcPr>
            <w:tcW w:w="1276"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2.518.531 </w:t>
            </w:r>
          </w:p>
        </w:tc>
        <w:tc>
          <w:tcPr>
            <w:tcW w:w="1418"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2.383.843 </w:t>
            </w:r>
          </w:p>
        </w:tc>
        <w:tc>
          <w:tcPr>
            <w:tcW w:w="1275" w:type="dxa"/>
            <w:tcBorders>
              <w:top w:val="nil"/>
              <w:left w:val="nil"/>
              <w:bottom w:val="single" w:sz="4" w:space="0" w:color="auto"/>
              <w:right w:val="single" w:sz="8"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2.125.110 </w:t>
            </w:r>
          </w:p>
        </w:tc>
      </w:tr>
      <w:tr w:rsidR="007F6A93" w:rsidRPr="007F6A93" w:rsidTr="00481005">
        <w:trPr>
          <w:trHeight w:val="315"/>
        </w:trPr>
        <w:tc>
          <w:tcPr>
            <w:tcW w:w="1431" w:type="dxa"/>
            <w:tcBorders>
              <w:top w:val="nil"/>
              <w:left w:val="single" w:sz="8" w:space="0" w:color="auto"/>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Udlån</w:t>
            </w:r>
          </w:p>
        </w:tc>
        <w:tc>
          <w:tcPr>
            <w:tcW w:w="1180"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1.855.847 </w:t>
            </w:r>
          </w:p>
        </w:tc>
        <w:tc>
          <w:tcPr>
            <w:tcW w:w="1371"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1.822.079 </w:t>
            </w:r>
          </w:p>
        </w:tc>
        <w:tc>
          <w:tcPr>
            <w:tcW w:w="1276"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1.804.122 </w:t>
            </w:r>
          </w:p>
        </w:tc>
        <w:tc>
          <w:tcPr>
            <w:tcW w:w="1418" w:type="dxa"/>
            <w:tcBorders>
              <w:top w:val="nil"/>
              <w:left w:val="nil"/>
              <w:bottom w:val="single" w:sz="4"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1.896.833 </w:t>
            </w:r>
          </w:p>
        </w:tc>
        <w:tc>
          <w:tcPr>
            <w:tcW w:w="1275" w:type="dxa"/>
            <w:tcBorders>
              <w:top w:val="nil"/>
              <w:left w:val="nil"/>
              <w:bottom w:val="single" w:sz="4" w:space="0" w:color="auto"/>
              <w:right w:val="single" w:sz="8" w:space="0" w:color="auto"/>
            </w:tcBorders>
            <w:shd w:val="clear" w:color="auto" w:fill="auto"/>
            <w:noWrap/>
            <w:vAlign w:val="bottom"/>
            <w:hideMark/>
          </w:tcPr>
          <w:p w:rsidR="007F6A93" w:rsidRPr="007F6A93" w:rsidRDefault="007F6A93" w:rsidP="007F6A93">
            <w:pPr>
              <w:spacing w:line="240" w:lineRule="auto"/>
              <w:jc w:val="left"/>
              <w:rPr>
                <w:color w:val="000000"/>
              </w:rPr>
            </w:pPr>
            <w:r w:rsidRPr="007F6A93">
              <w:rPr>
                <w:color w:val="000000"/>
              </w:rPr>
              <w:t xml:space="preserve"> 1.743.127 </w:t>
            </w:r>
          </w:p>
        </w:tc>
      </w:tr>
      <w:tr w:rsidR="007F6A93" w:rsidRPr="007F6A93" w:rsidTr="00481005">
        <w:trPr>
          <w:trHeight w:val="330"/>
        </w:trPr>
        <w:tc>
          <w:tcPr>
            <w:tcW w:w="1431" w:type="dxa"/>
            <w:tcBorders>
              <w:top w:val="nil"/>
              <w:left w:val="single" w:sz="8" w:space="0" w:color="auto"/>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left"/>
              <w:rPr>
                <w:b/>
                <w:color w:val="000000"/>
              </w:rPr>
            </w:pPr>
            <w:r w:rsidRPr="007F6A93">
              <w:rPr>
                <w:b/>
                <w:color w:val="000000"/>
              </w:rPr>
              <w:t>Loan Ratio</w:t>
            </w:r>
          </w:p>
        </w:tc>
        <w:tc>
          <w:tcPr>
            <w:tcW w:w="1180"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71,</w:t>
            </w:r>
            <w:proofErr w:type="gramStart"/>
            <w:r w:rsidRPr="007F6A93">
              <w:rPr>
                <w:b/>
                <w:color w:val="000000"/>
              </w:rPr>
              <w:t>11%</w:t>
            </w:r>
            <w:proofErr w:type="gramEnd"/>
          </w:p>
        </w:tc>
        <w:tc>
          <w:tcPr>
            <w:tcW w:w="1371"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71,</w:t>
            </w:r>
            <w:proofErr w:type="gramStart"/>
            <w:r w:rsidRPr="007F6A93">
              <w:rPr>
                <w:b/>
                <w:color w:val="000000"/>
              </w:rPr>
              <w:t>33%</w:t>
            </w:r>
            <w:proofErr w:type="gramEnd"/>
          </w:p>
        </w:tc>
        <w:tc>
          <w:tcPr>
            <w:tcW w:w="1276"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71,</w:t>
            </w:r>
            <w:proofErr w:type="gramStart"/>
            <w:r w:rsidRPr="007F6A93">
              <w:rPr>
                <w:b/>
                <w:color w:val="000000"/>
              </w:rPr>
              <w:t>63%</w:t>
            </w:r>
            <w:proofErr w:type="gramEnd"/>
          </w:p>
        </w:tc>
        <w:tc>
          <w:tcPr>
            <w:tcW w:w="1418" w:type="dxa"/>
            <w:tcBorders>
              <w:top w:val="nil"/>
              <w:left w:val="nil"/>
              <w:bottom w:val="single" w:sz="8" w:space="0" w:color="auto"/>
              <w:right w:val="single" w:sz="4"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79,</w:t>
            </w:r>
            <w:proofErr w:type="gramStart"/>
            <w:r w:rsidRPr="007F6A93">
              <w:rPr>
                <w:b/>
                <w:color w:val="000000"/>
              </w:rPr>
              <w:t>57%</w:t>
            </w:r>
            <w:proofErr w:type="gramEnd"/>
          </w:p>
        </w:tc>
        <w:tc>
          <w:tcPr>
            <w:tcW w:w="1275" w:type="dxa"/>
            <w:tcBorders>
              <w:top w:val="nil"/>
              <w:left w:val="nil"/>
              <w:bottom w:val="single" w:sz="8" w:space="0" w:color="auto"/>
              <w:right w:val="single" w:sz="8" w:space="0" w:color="auto"/>
            </w:tcBorders>
            <w:shd w:val="clear" w:color="auto" w:fill="auto"/>
            <w:noWrap/>
            <w:vAlign w:val="bottom"/>
            <w:hideMark/>
          </w:tcPr>
          <w:p w:rsidR="007F6A93" w:rsidRPr="007F6A93" w:rsidRDefault="007F6A93" w:rsidP="007F6A93">
            <w:pPr>
              <w:spacing w:line="240" w:lineRule="auto"/>
              <w:jc w:val="right"/>
              <w:rPr>
                <w:b/>
                <w:color w:val="000000"/>
              </w:rPr>
            </w:pPr>
            <w:r w:rsidRPr="007F6A93">
              <w:rPr>
                <w:b/>
                <w:color w:val="000000"/>
              </w:rPr>
              <w:t>82,</w:t>
            </w:r>
            <w:proofErr w:type="gramStart"/>
            <w:r w:rsidRPr="007F6A93">
              <w:rPr>
                <w:b/>
                <w:color w:val="000000"/>
              </w:rPr>
              <w:t>03%</w:t>
            </w:r>
            <w:proofErr w:type="gramEnd"/>
          </w:p>
        </w:tc>
      </w:tr>
    </w:tbl>
    <w:p w:rsidR="00A34267" w:rsidRDefault="00A34267">
      <w:pPr>
        <w:spacing w:line="240" w:lineRule="auto"/>
        <w:jc w:val="left"/>
      </w:pPr>
      <w:r>
        <w:br w:type="page"/>
      </w:r>
    </w:p>
    <w:p w:rsidR="005C3667" w:rsidRDefault="00A34267" w:rsidP="00F46A79">
      <w:pPr>
        <w:pStyle w:val="Overskrift2"/>
      </w:pPr>
      <w:bookmarkStart w:id="192" w:name="_Toc354517459"/>
      <w:r>
        <w:lastRenderedPageBreak/>
        <w:t>Bilag F</w:t>
      </w:r>
      <w:r w:rsidR="00024ACB">
        <w:t xml:space="preserve"> – Rationaliseringsgevinster </w:t>
      </w:r>
      <w:proofErr w:type="gramStart"/>
      <w:r w:rsidR="00024ACB">
        <w:t>og  engangsudgifter</w:t>
      </w:r>
      <w:bookmarkEnd w:id="192"/>
      <w:proofErr w:type="gramEnd"/>
    </w:p>
    <w:p w:rsidR="00024ACB" w:rsidRPr="00024ACB" w:rsidRDefault="00024ACB" w:rsidP="00024ACB"/>
    <w:p w:rsidR="00935CAD" w:rsidRDefault="0080471A" w:rsidP="0080471A">
      <w:r>
        <w:t>Udregninger personale reduktion</w:t>
      </w:r>
      <w:r w:rsidR="007F6A93">
        <w:t xml:space="preserve"> (2012)</w:t>
      </w:r>
      <w:r>
        <w:t>:</w:t>
      </w:r>
    </w:p>
    <w:tbl>
      <w:tblPr>
        <w:tblStyle w:val="Tabel-Gitter"/>
        <w:tblW w:w="0" w:type="auto"/>
        <w:tblLook w:val="04A0" w:firstRow="1" w:lastRow="0" w:firstColumn="1" w:lastColumn="0" w:noHBand="0" w:noVBand="1"/>
      </w:tblPr>
      <w:tblGrid>
        <w:gridCol w:w="2943"/>
        <w:gridCol w:w="3071"/>
        <w:gridCol w:w="3166"/>
      </w:tblGrid>
      <w:tr w:rsidR="0080471A" w:rsidRPr="007F6A93" w:rsidTr="007F6A93">
        <w:tc>
          <w:tcPr>
            <w:tcW w:w="2943" w:type="dxa"/>
            <w:shd w:val="clear" w:color="auto" w:fill="C6D9F1" w:themeFill="text2" w:themeFillTint="33"/>
          </w:tcPr>
          <w:p w:rsidR="0080471A" w:rsidRPr="007F6A93" w:rsidRDefault="0080471A" w:rsidP="0080471A">
            <w:pPr>
              <w:rPr>
                <w:b/>
              </w:rPr>
            </w:pPr>
          </w:p>
        </w:tc>
        <w:tc>
          <w:tcPr>
            <w:tcW w:w="3071" w:type="dxa"/>
            <w:shd w:val="clear" w:color="auto" w:fill="C6D9F1" w:themeFill="text2" w:themeFillTint="33"/>
          </w:tcPr>
          <w:p w:rsidR="0080471A" w:rsidRPr="007F6A93" w:rsidRDefault="0080471A" w:rsidP="007F6A93">
            <w:pPr>
              <w:rPr>
                <w:b/>
              </w:rPr>
            </w:pPr>
            <w:r w:rsidRPr="007F6A93">
              <w:rPr>
                <w:b/>
              </w:rPr>
              <w:t>Den Jyske Sparekasse</w:t>
            </w:r>
            <w:r w:rsidR="007F6A93">
              <w:rPr>
                <w:b/>
              </w:rPr>
              <w:t xml:space="preserve"> </w:t>
            </w:r>
          </w:p>
        </w:tc>
        <w:tc>
          <w:tcPr>
            <w:tcW w:w="3166" w:type="dxa"/>
            <w:shd w:val="clear" w:color="auto" w:fill="C6D9F1" w:themeFill="text2" w:themeFillTint="33"/>
          </w:tcPr>
          <w:p w:rsidR="0080471A" w:rsidRPr="007F6A93" w:rsidRDefault="0080471A" w:rsidP="0080471A">
            <w:pPr>
              <w:rPr>
                <w:b/>
              </w:rPr>
            </w:pPr>
            <w:r w:rsidRPr="007F6A93">
              <w:rPr>
                <w:b/>
              </w:rPr>
              <w:t>Dronninglund Sparekasse</w:t>
            </w:r>
          </w:p>
        </w:tc>
      </w:tr>
      <w:tr w:rsidR="0080471A" w:rsidTr="007F6A93">
        <w:tc>
          <w:tcPr>
            <w:tcW w:w="2943" w:type="dxa"/>
          </w:tcPr>
          <w:p w:rsidR="0080471A" w:rsidRDefault="0080471A" w:rsidP="0080471A">
            <w:r>
              <w:t xml:space="preserve">Personale udgifter i alt </w:t>
            </w:r>
            <w:proofErr w:type="spellStart"/>
            <w:r>
              <w:t>tkr</w:t>
            </w:r>
            <w:proofErr w:type="spellEnd"/>
            <w:r>
              <w:t>.</w:t>
            </w:r>
          </w:p>
        </w:tc>
        <w:tc>
          <w:tcPr>
            <w:tcW w:w="3071" w:type="dxa"/>
            <w:vAlign w:val="bottom"/>
          </w:tcPr>
          <w:p w:rsidR="0080471A" w:rsidRDefault="0080471A" w:rsidP="0080471A">
            <w:pPr>
              <w:jc w:val="right"/>
            </w:pPr>
            <w:r>
              <w:t>262.656</w:t>
            </w:r>
          </w:p>
        </w:tc>
        <w:tc>
          <w:tcPr>
            <w:tcW w:w="3166" w:type="dxa"/>
            <w:vAlign w:val="bottom"/>
          </w:tcPr>
          <w:p w:rsidR="0080471A" w:rsidRDefault="0080471A" w:rsidP="0080471A">
            <w:pPr>
              <w:jc w:val="right"/>
            </w:pPr>
            <w:r>
              <w:t>43.948</w:t>
            </w:r>
          </w:p>
        </w:tc>
      </w:tr>
      <w:tr w:rsidR="0080471A" w:rsidTr="007F6A93">
        <w:tc>
          <w:tcPr>
            <w:tcW w:w="2943" w:type="dxa"/>
          </w:tcPr>
          <w:p w:rsidR="0080471A" w:rsidRDefault="0080471A" w:rsidP="0080471A">
            <w:r>
              <w:t>Direktion</w:t>
            </w:r>
            <w:r w:rsidR="007F6A93">
              <w:t xml:space="preserve"> </w:t>
            </w:r>
            <w:proofErr w:type="spellStart"/>
            <w:r w:rsidR="007F6A93">
              <w:t>tkr</w:t>
            </w:r>
            <w:proofErr w:type="spellEnd"/>
            <w:r w:rsidR="007F6A93">
              <w:t>.</w:t>
            </w:r>
          </w:p>
        </w:tc>
        <w:tc>
          <w:tcPr>
            <w:tcW w:w="3071" w:type="dxa"/>
            <w:vAlign w:val="bottom"/>
          </w:tcPr>
          <w:p w:rsidR="0080471A" w:rsidRDefault="0080471A" w:rsidP="0080471A">
            <w:pPr>
              <w:jc w:val="right"/>
            </w:pPr>
            <w:r>
              <w:t>3.261</w:t>
            </w:r>
          </w:p>
        </w:tc>
        <w:tc>
          <w:tcPr>
            <w:tcW w:w="3166" w:type="dxa"/>
            <w:vAlign w:val="bottom"/>
          </w:tcPr>
          <w:p w:rsidR="0080471A" w:rsidRDefault="0080471A" w:rsidP="0080471A">
            <w:pPr>
              <w:jc w:val="right"/>
            </w:pPr>
            <w:r>
              <w:t>3.498</w:t>
            </w:r>
          </w:p>
        </w:tc>
      </w:tr>
    </w:tbl>
    <w:p w:rsidR="0080471A" w:rsidRDefault="0080471A" w:rsidP="0080471A"/>
    <w:p w:rsidR="0080471A" w:rsidRPr="00024ACB" w:rsidRDefault="0080471A" w:rsidP="0080471A">
      <w:pPr>
        <w:rPr>
          <w:i/>
        </w:rPr>
      </w:pPr>
      <w:r w:rsidRPr="00024ACB">
        <w:rPr>
          <w:i/>
        </w:rPr>
        <w:t>Personalereduktion:</w:t>
      </w:r>
    </w:p>
    <w:p w:rsidR="0080471A" w:rsidRDefault="0080471A" w:rsidP="0080471A">
      <w:r w:rsidRPr="0080471A">
        <w:t>(((262</w:t>
      </w:r>
      <w:r w:rsidR="00FF5EA3">
        <w:t>.</w:t>
      </w:r>
      <w:r w:rsidRPr="0080471A">
        <w:t>656+43</w:t>
      </w:r>
      <w:r w:rsidR="00FF5EA3">
        <w:t>.</w:t>
      </w:r>
      <w:r w:rsidRPr="0080471A">
        <w:t>948)-(3</w:t>
      </w:r>
      <w:r w:rsidR="00FF5EA3">
        <w:t>.</w:t>
      </w:r>
      <w:r w:rsidRPr="0080471A">
        <w:t>261+3</w:t>
      </w:r>
      <w:r w:rsidR="00FF5EA3">
        <w:t>.</w:t>
      </w:r>
      <w:r w:rsidRPr="0080471A">
        <w:t>498))/505)*10</w:t>
      </w:r>
      <w:r>
        <w:t xml:space="preserve"> </w:t>
      </w:r>
      <w:r>
        <w:tab/>
        <w:t xml:space="preserve">= </w:t>
      </w:r>
      <w:proofErr w:type="spellStart"/>
      <w:r>
        <w:t>tkr</w:t>
      </w:r>
      <w:proofErr w:type="spellEnd"/>
      <w:r>
        <w:t>. 5.938</w:t>
      </w:r>
    </w:p>
    <w:p w:rsidR="0080471A" w:rsidRDefault="0080471A" w:rsidP="0080471A"/>
    <w:p w:rsidR="0080471A" w:rsidRPr="00024ACB" w:rsidRDefault="0080471A" w:rsidP="0080471A">
      <w:pPr>
        <w:rPr>
          <w:i/>
        </w:rPr>
      </w:pPr>
      <w:r w:rsidRPr="00024ACB">
        <w:rPr>
          <w:i/>
        </w:rPr>
        <w:t>Direktion:</w:t>
      </w:r>
    </w:p>
    <w:p w:rsidR="0080471A" w:rsidRDefault="0080471A" w:rsidP="0080471A">
      <w:r>
        <w:t xml:space="preserve">Nuværende direktionslønninger i alt </w:t>
      </w:r>
      <w:r w:rsidR="00815753">
        <w:t>(3.261+3.498)</w:t>
      </w:r>
      <w:r w:rsidR="00815753">
        <w:tab/>
      </w:r>
      <w:r>
        <w:t xml:space="preserve">= </w:t>
      </w:r>
      <w:proofErr w:type="spellStart"/>
      <w:r w:rsidR="00815753">
        <w:t>tkr</w:t>
      </w:r>
      <w:proofErr w:type="spellEnd"/>
      <w:r w:rsidR="00815753">
        <w:t>.</w:t>
      </w:r>
      <w:r>
        <w:t xml:space="preserve"> 6.759</w:t>
      </w:r>
    </w:p>
    <w:p w:rsidR="0080471A" w:rsidRDefault="00815753" w:rsidP="0080471A">
      <w:proofErr w:type="gramStart"/>
      <w:r>
        <w:t>Fremtidig</w:t>
      </w:r>
      <w:proofErr w:type="gramEnd"/>
      <w:r w:rsidR="0080471A">
        <w:t xml:space="preserve"> direktionslønninger i alt </w:t>
      </w:r>
      <w:r w:rsidR="0080471A">
        <w:tab/>
      </w:r>
      <w:r w:rsidR="0080471A">
        <w:tab/>
        <w:t xml:space="preserve">= </w:t>
      </w:r>
      <w:proofErr w:type="spellStart"/>
      <w:r>
        <w:t>tkr</w:t>
      </w:r>
      <w:proofErr w:type="spellEnd"/>
      <w:r>
        <w:t xml:space="preserve">. </w:t>
      </w:r>
      <w:r w:rsidR="0080471A">
        <w:t>4.500 (anslået)</w:t>
      </w:r>
    </w:p>
    <w:p w:rsidR="0080471A" w:rsidRDefault="0080471A" w:rsidP="0080471A">
      <w:r>
        <w:t xml:space="preserve">Besparelse (6.759 – 4.500) </w:t>
      </w:r>
      <w:r>
        <w:tab/>
      </w:r>
      <w:r>
        <w:tab/>
        <w:t xml:space="preserve">= </w:t>
      </w:r>
      <w:proofErr w:type="spellStart"/>
      <w:r>
        <w:t>tkr</w:t>
      </w:r>
      <w:proofErr w:type="spellEnd"/>
      <w:r>
        <w:t>. 2.259</w:t>
      </w:r>
    </w:p>
    <w:p w:rsidR="0080471A" w:rsidRDefault="0080471A" w:rsidP="0080471A"/>
    <w:p w:rsidR="0080471A" w:rsidRPr="00024ACB" w:rsidRDefault="0080471A" w:rsidP="0080471A">
      <w:pPr>
        <w:rPr>
          <w:i/>
        </w:rPr>
      </w:pPr>
      <w:r w:rsidRPr="00024ACB">
        <w:rPr>
          <w:i/>
        </w:rPr>
        <w:t>Medarbejder opsigelse:</w:t>
      </w:r>
    </w:p>
    <w:p w:rsidR="0080471A" w:rsidRDefault="0080471A" w:rsidP="0080471A">
      <w:r>
        <w:t>Anslået: opsigelsesperiode i gennemsnit 4,5 mdr.</w:t>
      </w:r>
      <w:r w:rsidRPr="0080471A">
        <w:t xml:space="preserve"> </w:t>
      </w:r>
    </w:p>
    <w:p w:rsidR="0080471A" w:rsidRDefault="0080471A" w:rsidP="0080471A">
      <w:r w:rsidRPr="0080471A">
        <w:t>((((262</w:t>
      </w:r>
      <w:r w:rsidR="00FF5EA3">
        <w:t>.</w:t>
      </w:r>
      <w:r w:rsidRPr="0080471A">
        <w:t>656+43</w:t>
      </w:r>
      <w:r w:rsidR="00FF5EA3">
        <w:t>.</w:t>
      </w:r>
      <w:r w:rsidRPr="0080471A">
        <w:t>948)/505)/12)*4,5)*10</w:t>
      </w:r>
      <w:r>
        <w:t xml:space="preserve"> </w:t>
      </w:r>
      <w:r>
        <w:tab/>
      </w:r>
      <w:r>
        <w:tab/>
        <w:t xml:space="preserve">= </w:t>
      </w:r>
      <w:proofErr w:type="spellStart"/>
      <w:r>
        <w:t>tkr</w:t>
      </w:r>
      <w:proofErr w:type="spellEnd"/>
      <w:r>
        <w:t xml:space="preserve">. 2.277 </w:t>
      </w:r>
    </w:p>
    <w:p w:rsidR="0080471A" w:rsidRDefault="0080471A" w:rsidP="0080471A"/>
    <w:p w:rsidR="00815753" w:rsidRDefault="00815753">
      <w:pPr>
        <w:spacing w:line="240" w:lineRule="auto"/>
        <w:jc w:val="left"/>
        <w:rPr>
          <w:rFonts w:ascii="Verdana" w:eastAsiaTheme="majorEastAsia" w:hAnsi="Verdana" w:cstheme="majorBidi"/>
          <w:b/>
          <w:bCs/>
          <w:i/>
          <w:szCs w:val="26"/>
        </w:rPr>
      </w:pPr>
      <w:r>
        <w:br w:type="page"/>
      </w:r>
    </w:p>
    <w:p w:rsidR="006C3CF7" w:rsidRDefault="006C3CF7" w:rsidP="006C3CF7">
      <w:pPr>
        <w:pStyle w:val="Overskrift2"/>
      </w:pPr>
      <w:bookmarkStart w:id="193" w:name="_Toc354517460"/>
      <w:r>
        <w:lastRenderedPageBreak/>
        <w:t>Bilag G</w:t>
      </w:r>
      <w:r w:rsidR="00024ACB">
        <w:t xml:space="preserve"> – Nøgletal efter fusion</w:t>
      </w:r>
      <w:bookmarkEnd w:id="193"/>
    </w:p>
    <w:p w:rsidR="00024ACB" w:rsidRPr="00024ACB" w:rsidRDefault="00024ACB" w:rsidP="00024ACB"/>
    <w:tbl>
      <w:tblPr>
        <w:tblW w:w="7529" w:type="dxa"/>
        <w:tblInd w:w="54" w:type="dxa"/>
        <w:tblCellMar>
          <w:left w:w="70" w:type="dxa"/>
          <w:right w:w="70" w:type="dxa"/>
        </w:tblCellMar>
        <w:tblLook w:val="04A0" w:firstRow="1" w:lastRow="0" w:firstColumn="1" w:lastColumn="0" w:noHBand="0" w:noVBand="1"/>
      </w:tblPr>
      <w:tblGrid>
        <w:gridCol w:w="4720"/>
        <w:gridCol w:w="2809"/>
      </w:tblGrid>
      <w:tr w:rsidR="00481005" w:rsidRPr="00815753" w:rsidTr="00E30543">
        <w:trPr>
          <w:trHeight w:val="315"/>
        </w:trPr>
        <w:tc>
          <w:tcPr>
            <w:tcW w:w="752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81005" w:rsidRPr="00815753" w:rsidRDefault="00481005" w:rsidP="00481005">
            <w:pPr>
              <w:spacing w:line="240" w:lineRule="auto"/>
              <w:jc w:val="center"/>
              <w:rPr>
                <w:b/>
                <w:color w:val="000000"/>
              </w:rPr>
            </w:pPr>
            <w:r w:rsidRPr="00815753">
              <w:rPr>
                <w:b/>
                <w:color w:val="000000"/>
              </w:rPr>
              <w:t>Den Jyske Sparekasse</w:t>
            </w:r>
          </w:p>
        </w:tc>
      </w:tr>
      <w:tr w:rsidR="0081575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15753" w:rsidRPr="00815753" w:rsidRDefault="00815753" w:rsidP="00815753">
            <w:pPr>
              <w:spacing w:line="240" w:lineRule="auto"/>
              <w:jc w:val="left"/>
              <w:rPr>
                <w:b/>
                <w:color w:val="000000"/>
              </w:rPr>
            </w:pPr>
            <w:r w:rsidRPr="00815753">
              <w:rPr>
                <w:b/>
                <w:color w:val="000000"/>
              </w:rPr>
              <w:t> </w:t>
            </w:r>
          </w:p>
        </w:tc>
        <w:tc>
          <w:tcPr>
            <w:tcW w:w="2809" w:type="dxa"/>
            <w:tcBorders>
              <w:top w:val="nil"/>
              <w:left w:val="nil"/>
              <w:bottom w:val="single" w:sz="4" w:space="0" w:color="auto"/>
              <w:right w:val="single" w:sz="4" w:space="0" w:color="auto"/>
            </w:tcBorders>
            <w:shd w:val="clear" w:color="auto" w:fill="C6D9F1" w:themeFill="text2" w:themeFillTint="33"/>
            <w:noWrap/>
            <w:vAlign w:val="bottom"/>
            <w:hideMark/>
          </w:tcPr>
          <w:p w:rsidR="00815753" w:rsidRPr="00815753" w:rsidRDefault="00815753" w:rsidP="00435986">
            <w:pPr>
              <w:spacing w:line="240" w:lineRule="auto"/>
              <w:jc w:val="right"/>
              <w:rPr>
                <w:b/>
                <w:color w:val="000000"/>
              </w:rPr>
            </w:pPr>
            <w:r w:rsidRPr="00815753">
              <w:rPr>
                <w:b/>
                <w:color w:val="000000"/>
              </w:rPr>
              <w:t>2013</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5B1F33" w:rsidRDefault="00FF5EA3" w:rsidP="00E30543">
            <w:pPr>
              <w:spacing w:line="240" w:lineRule="auto"/>
              <w:jc w:val="left"/>
              <w:rPr>
                <w:color w:val="000000"/>
                <w:sz w:val="22"/>
                <w:szCs w:val="22"/>
                <w:vertAlign w:val="subscript"/>
              </w:rPr>
            </w:pPr>
            <w:proofErr w:type="spellStart"/>
            <w:r w:rsidRPr="000D43C8">
              <w:rPr>
                <w:color w:val="000000"/>
                <w:sz w:val="22"/>
                <w:szCs w:val="22"/>
              </w:rPr>
              <w:t>K</w:t>
            </w:r>
            <w:r>
              <w:rPr>
                <w:color w:val="000000"/>
                <w:sz w:val="22"/>
                <w:szCs w:val="22"/>
                <w:vertAlign w:val="subscript"/>
              </w:rPr>
              <w:t>d</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0,0165</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T</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25,</w:t>
            </w:r>
            <w:proofErr w:type="gramStart"/>
            <w:r w:rsidRPr="00815753">
              <w:rPr>
                <w:color w:val="000000"/>
              </w:rPr>
              <w:t>00%</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L</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0,9219</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5B1F33" w:rsidRDefault="00FF5EA3" w:rsidP="00E30543">
            <w:pPr>
              <w:spacing w:line="240" w:lineRule="auto"/>
              <w:jc w:val="left"/>
              <w:rPr>
                <w:color w:val="000000"/>
                <w:sz w:val="22"/>
                <w:szCs w:val="22"/>
                <w:vertAlign w:val="subscript"/>
              </w:rPr>
            </w:pPr>
            <w:proofErr w:type="spellStart"/>
            <w:r w:rsidRPr="000D43C8">
              <w:rPr>
                <w:color w:val="000000"/>
                <w:sz w:val="22"/>
                <w:szCs w:val="22"/>
              </w:rPr>
              <w:t>K</w:t>
            </w:r>
            <w:r>
              <w:rPr>
                <w:color w:val="000000"/>
                <w:sz w:val="22"/>
                <w:szCs w:val="22"/>
                <w:vertAlign w:val="subscript"/>
              </w:rPr>
              <w:t>e</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8,</w:t>
            </w:r>
            <w:proofErr w:type="gramStart"/>
            <w:r w:rsidRPr="00815753">
              <w:rPr>
                <w:color w:val="000000"/>
              </w:rPr>
              <w:t>00%</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 </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5B1F33" w:rsidRDefault="00FF5EA3" w:rsidP="00E30543">
            <w:pPr>
              <w:spacing w:line="240" w:lineRule="auto"/>
              <w:jc w:val="left"/>
              <w:rPr>
                <w:color w:val="000000"/>
                <w:sz w:val="22"/>
                <w:szCs w:val="22"/>
                <w:vertAlign w:val="subscript"/>
              </w:rPr>
            </w:pPr>
            <w:r w:rsidRPr="000D43C8">
              <w:rPr>
                <w:color w:val="000000"/>
                <w:sz w:val="22"/>
                <w:szCs w:val="22"/>
              </w:rPr>
              <w:t>K</w:t>
            </w:r>
            <w:r>
              <w:rPr>
                <w:color w:val="000000"/>
                <w:sz w:val="22"/>
                <w:szCs w:val="22"/>
                <w:vertAlign w:val="subscript"/>
              </w:rPr>
              <w:t>m</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proofErr w:type="gramStart"/>
            <w:r w:rsidRPr="00815753">
              <w:rPr>
                <w:color w:val="000000"/>
              </w:rPr>
              <w:t>8%</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5B1F33" w:rsidRDefault="00FF5EA3" w:rsidP="00E30543">
            <w:pPr>
              <w:spacing w:line="240" w:lineRule="auto"/>
              <w:jc w:val="left"/>
              <w:rPr>
                <w:color w:val="000000"/>
                <w:sz w:val="22"/>
                <w:szCs w:val="22"/>
                <w:vertAlign w:val="subscript"/>
              </w:rPr>
            </w:pPr>
            <w:proofErr w:type="spellStart"/>
            <w:r w:rsidRPr="000D43C8">
              <w:rPr>
                <w:color w:val="000000"/>
                <w:sz w:val="22"/>
                <w:szCs w:val="22"/>
              </w:rPr>
              <w:t>R</w:t>
            </w:r>
            <w:r>
              <w:rPr>
                <w:color w:val="000000"/>
                <w:sz w:val="22"/>
                <w:szCs w:val="22"/>
                <w:vertAlign w:val="subscript"/>
              </w:rPr>
              <w:t>f</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proofErr w:type="gramStart"/>
            <w:r w:rsidRPr="00815753">
              <w:rPr>
                <w:color w:val="000000"/>
              </w:rPr>
              <w:t>4%</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Β</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1</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 </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Aktiver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22.638.953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Passiver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22.638.953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Renteudgifter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345.143</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Garantkapital</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1.069.208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Egenkapital</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2.283.141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Puljeordninger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555.008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Årets resultat efter skat</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89.607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Udbytte</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 </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proofErr w:type="spellStart"/>
            <w:r w:rsidRPr="000D43C8">
              <w:rPr>
                <w:color w:val="000000"/>
                <w:sz w:val="22"/>
                <w:szCs w:val="22"/>
              </w:rPr>
              <w:t>Højresiden</w:t>
            </w:r>
            <w:proofErr w:type="spellEnd"/>
            <w:r w:rsidRPr="000D43C8">
              <w:rPr>
                <w:color w:val="000000"/>
                <w:sz w:val="22"/>
                <w:szCs w:val="22"/>
              </w:rPr>
              <w:t xml:space="preserve"> </w:t>
            </w:r>
            <w:r>
              <w:rPr>
                <w:color w:val="000000"/>
                <w:sz w:val="22"/>
                <w:szCs w:val="22"/>
              </w:rPr>
              <w:t>–</w:t>
            </w:r>
            <w:r w:rsidRPr="000D43C8">
              <w:rPr>
                <w:color w:val="000000"/>
                <w:sz w:val="22"/>
                <w:szCs w:val="22"/>
              </w:rPr>
              <w:t xml:space="preserve"> egenkapitalen</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0,62510</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color w:val="000000"/>
                <w:sz w:val="22"/>
                <w:szCs w:val="22"/>
              </w:rPr>
            </w:pPr>
            <w:r w:rsidRPr="000D43C8">
              <w:rPr>
                <w:color w:val="000000"/>
                <w:sz w:val="22"/>
                <w:szCs w:val="22"/>
              </w:rPr>
              <w:t>Venstre siden - fremmedkapitalen</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1,14342</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0D43C8" w:rsidRDefault="00FF5EA3" w:rsidP="00E30543">
            <w:pPr>
              <w:spacing w:line="240" w:lineRule="auto"/>
              <w:jc w:val="left"/>
              <w:rPr>
                <w:b/>
                <w:bCs/>
                <w:color w:val="000000"/>
                <w:sz w:val="22"/>
                <w:szCs w:val="22"/>
              </w:rPr>
            </w:pPr>
            <w:r>
              <w:rPr>
                <w:b/>
                <w:bCs/>
                <w:color w:val="000000"/>
                <w:sz w:val="22"/>
                <w:szCs w:val="22"/>
              </w:rPr>
              <w:t>WACC (</w:t>
            </w:r>
            <w:proofErr w:type="spellStart"/>
            <w:r>
              <w:rPr>
                <w:b/>
                <w:bCs/>
                <w:color w:val="000000"/>
                <w:sz w:val="22"/>
                <w:szCs w:val="22"/>
              </w:rPr>
              <w:t>k</w:t>
            </w:r>
            <w:r>
              <w:rPr>
                <w:b/>
                <w:bCs/>
                <w:color w:val="000000"/>
                <w:sz w:val="22"/>
                <w:szCs w:val="22"/>
                <w:vertAlign w:val="subscript"/>
              </w:rPr>
              <w:t>w</w:t>
            </w:r>
            <w:proofErr w:type="spellEnd"/>
            <w:r w:rsidRPr="007D348B">
              <w:rPr>
                <w:b/>
                <w:bCs/>
                <w:color w:val="000000"/>
                <w:sz w:val="22"/>
                <w:szCs w:val="22"/>
              </w:rPr>
              <w:t>)</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b/>
                <w:color w:val="000000"/>
              </w:rPr>
            </w:pPr>
            <w:r w:rsidRPr="00815753">
              <w:rPr>
                <w:b/>
                <w:color w:val="000000"/>
              </w:rPr>
              <w:t>1,</w:t>
            </w:r>
            <w:proofErr w:type="gramStart"/>
            <w:r w:rsidRPr="00815753">
              <w:rPr>
                <w:b/>
                <w:color w:val="000000"/>
              </w:rPr>
              <w:t>77%</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sidRPr="00815753">
              <w:rPr>
                <w:color w:val="000000"/>
              </w:rPr>
              <w:t> </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b/>
                <w:color w:val="000000"/>
              </w:rPr>
            </w:pPr>
            <w:r w:rsidRPr="00815753">
              <w:rPr>
                <w:b/>
                <w:color w:val="000000"/>
              </w:rPr>
              <w:t>ICGR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b/>
                <w:color w:val="000000"/>
              </w:rPr>
            </w:pPr>
            <w:r w:rsidRPr="00815753">
              <w:rPr>
                <w:b/>
                <w:color w:val="000000"/>
              </w:rPr>
              <w:t>3,</w:t>
            </w:r>
            <w:proofErr w:type="gramStart"/>
            <w:r w:rsidRPr="00815753">
              <w:rPr>
                <w:b/>
                <w:color w:val="000000"/>
              </w:rPr>
              <w:t>92%</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sidRPr="00815753">
              <w:rPr>
                <w:color w:val="000000"/>
              </w:rPr>
              <w:t> </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sidRPr="00815753">
              <w:rPr>
                <w:color w:val="000000"/>
              </w:rPr>
              <w:t>Capital Ratio</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0,1009</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sidRPr="00815753">
              <w:rPr>
                <w:color w:val="000000"/>
              </w:rPr>
              <w:t>ROA</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0,3958</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sidRPr="00815753">
              <w:rPr>
                <w:color w:val="000000"/>
              </w:rPr>
              <w:t>ERR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 xml:space="preserve">                                  1 </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b/>
                <w:color w:val="000000"/>
              </w:rPr>
            </w:pPr>
            <w:r w:rsidRPr="00815753">
              <w:rPr>
                <w:b/>
                <w:color w:val="000000"/>
              </w:rPr>
              <w:t>ICGR</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b/>
                <w:color w:val="000000"/>
              </w:rPr>
            </w:pPr>
            <w:r w:rsidRPr="00815753">
              <w:rPr>
                <w:b/>
                <w:color w:val="000000"/>
              </w:rPr>
              <w:t>3,</w:t>
            </w:r>
            <w:proofErr w:type="gramStart"/>
            <w:r w:rsidRPr="00815753">
              <w:rPr>
                <w:b/>
                <w:color w:val="000000"/>
              </w:rPr>
              <w:t>92%</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color w:val="000000"/>
              </w:rPr>
            </w:pPr>
            <w:r>
              <w:rPr>
                <w:color w:val="000000"/>
              </w:rPr>
              <w:t>U</w:t>
            </w:r>
            <w:r w:rsidRPr="00815753">
              <w:rPr>
                <w:color w:val="000000"/>
              </w:rPr>
              <w:t>dlån</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color w:val="000000"/>
              </w:rPr>
            </w:pPr>
            <w:r w:rsidRPr="00815753">
              <w:rPr>
                <w:color w:val="000000"/>
              </w:rPr>
              <w:t>14.506.531</w:t>
            </w:r>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b/>
                <w:color w:val="000000"/>
              </w:rPr>
            </w:pPr>
            <w:r w:rsidRPr="00815753">
              <w:rPr>
                <w:b/>
                <w:color w:val="000000"/>
              </w:rPr>
              <w:t>Loan Ratio</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b/>
                <w:color w:val="000000"/>
              </w:rPr>
            </w:pPr>
            <w:r w:rsidRPr="00815753">
              <w:rPr>
                <w:b/>
                <w:color w:val="000000"/>
              </w:rPr>
              <w:t>64,</w:t>
            </w:r>
            <w:proofErr w:type="gramStart"/>
            <w:r w:rsidRPr="00815753">
              <w:rPr>
                <w:b/>
                <w:color w:val="000000"/>
              </w:rPr>
              <w:t>08%</w:t>
            </w:r>
            <w:proofErr w:type="gramEnd"/>
          </w:p>
        </w:tc>
      </w:tr>
      <w:tr w:rsidR="00FF5EA3" w:rsidRPr="00815753" w:rsidTr="00435986">
        <w:trPr>
          <w:trHeight w:val="31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F5EA3" w:rsidRPr="00815753" w:rsidRDefault="00FF5EA3" w:rsidP="00815753">
            <w:pPr>
              <w:spacing w:line="240" w:lineRule="auto"/>
              <w:jc w:val="left"/>
              <w:rPr>
                <w:b/>
                <w:color w:val="000000"/>
              </w:rPr>
            </w:pPr>
            <w:r w:rsidRPr="00815753">
              <w:rPr>
                <w:b/>
                <w:color w:val="000000"/>
              </w:rPr>
              <w:t>Indtjening pr. medarbejder</w:t>
            </w:r>
            <w:r>
              <w:rPr>
                <w:b/>
                <w:color w:val="000000"/>
              </w:rPr>
              <w:t xml:space="preserve"> </w:t>
            </w:r>
            <w:proofErr w:type="spellStart"/>
            <w:r>
              <w:rPr>
                <w:b/>
                <w:color w:val="000000"/>
              </w:rPr>
              <w:t>tkr</w:t>
            </w:r>
            <w:proofErr w:type="spellEnd"/>
            <w:r>
              <w:rPr>
                <w:b/>
                <w:color w:val="000000"/>
              </w:rPr>
              <w:t>.</w:t>
            </w:r>
          </w:p>
        </w:tc>
        <w:tc>
          <w:tcPr>
            <w:tcW w:w="2809" w:type="dxa"/>
            <w:tcBorders>
              <w:top w:val="nil"/>
              <w:left w:val="nil"/>
              <w:bottom w:val="single" w:sz="4" w:space="0" w:color="auto"/>
              <w:right w:val="single" w:sz="4" w:space="0" w:color="auto"/>
            </w:tcBorders>
            <w:shd w:val="clear" w:color="auto" w:fill="auto"/>
            <w:noWrap/>
            <w:vAlign w:val="bottom"/>
            <w:hideMark/>
          </w:tcPr>
          <w:p w:rsidR="00FF5EA3" w:rsidRPr="00815753" w:rsidRDefault="00FF5EA3" w:rsidP="00435986">
            <w:pPr>
              <w:spacing w:line="240" w:lineRule="auto"/>
              <w:jc w:val="right"/>
              <w:rPr>
                <w:b/>
                <w:color w:val="000000"/>
              </w:rPr>
            </w:pPr>
            <w:r w:rsidRPr="00815753">
              <w:rPr>
                <w:b/>
                <w:color w:val="000000"/>
              </w:rPr>
              <w:t xml:space="preserve">                              181 </w:t>
            </w:r>
          </w:p>
        </w:tc>
      </w:tr>
    </w:tbl>
    <w:p w:rsidR="00182ACF" w:rsidRDefault="00182ACF" w:rsidP="006C3CF7">
      <w:pPr>
        <w:pStyle w:val="Overskrift2"/>
        <w:rPr>
          <w:kern w:val="32"/>
          <w:sz w:val="28"/>
          <w:szCs w:val="32"/>
        </w:rPr>
      </w:pPr>
      <w:r>
        <w:br w:type="page"/>
      </w:r>
    </w:p>
    <w:p w:rsidR="007A419F" w:rsidRDefault="00050A34" w:rsidP="007F6A93">
      <w:pPr>
        <w:pStyle w:val="Overskrift1"/>
        <w:numPr>
          <w:ilvl w:val="0"/>
          <w:numId w:val="10"/>
        </w:numPr>
      </w:pPr>
      <w:bookmarkStart w:id="194" w:name="_Toc354517461"/>
      <w:r>
        <w:lastRenderedPageBreak/>
        <w:t>Figur- og tabelfortegnelse</w:t>
      </w:r>
      <w:bookmarkEnd w:id="194"/>
    </w:p>
    <w:p w:rsidR="006B64AA" w:rsidRPr="00FF5EA3" w:rsidRDefault="006B64AA" w:rsidP="006B64AA">
      <w:pPr>
        <w:rPr>
          <w:b/>
          <w:i/>
        </w:rPr>
      </w:pPr>
      <w:r w:rsidRPr="00FF5EA3">
        <w:rPr>
          <w:b/>
          <w:i/>
        </w:rPr>
        <w:t>Figuroversigt</w:t>
      </w:r>
    </w:p>
    <w:p w:rsidR="007F6A93" w:rsidRPr="006B64AA" w:rsidRDefault="007F6A93" w:rsidP="006B64AA">
      <w:r w:rsidRPr="006B64AA">
        <w:rPr>
          <w:b/>
        </w:rPr>
        <w:t>Figur 1</w:t>
      </w:r>
      <w:r w:rsidRPr="006B64AA">
        <w:tab/>
        <w:t>Opbygning af projekt</w:t>
      </w:r>
    </w:p>
    <w:p w:rsidR="007F6A93" w:rsidRPr="006B64AA" w:rsidRDefault="006B64AA" w:rsidP="006B64AA">
      <w:pPr>
        <w:rPr>
          <w:i/>
        </w:rPr>
      </w:pPr>
      <w:r w:rsidRPr="006B64AA">
        <w:rPr>
          <w:b/>
        </w:rPr>
        <w:t>Figur 2</w:t>
      </w:r>
      <w:r w:rsidR="00FC49DE" w:rsidRPr="006B64AA">
        <w:tab/>
      </w:r>
      <w:r w:rsidR="007F6A93" w:rsidRPr="006B64AA">
        <w:t xml:space="preserve">Tilsynsdiamant </w:t>
      </w:r>
      <w:proofErr w:type="spellStart"/>
      <w:r w:rsidR="007F6A93" w:rsidRPr="006B64AA">
        <w:t>incl</w:t>
      </w:r>
      <w:proofErr w:type="spellEnd"/>
      <w:r w:rsidR="007F6A93" w:rsidRPr="006B64AA">
        <w:t xml:space="preserve">. grænseværdier. </w:t>
      </w:r>
      <w:r w:rsidR="007F6A93" w:rsidRPr="006B64AA">
        <w:rPr>
          <w:i/>
        </w:rPr>
        <w:t xml:space="preserve">Kilde </w:t>
      </w:r>
      <w:hyperlink r:id="rId34" w:history="1">
        <w:r w:rsidR="007F6A93" w:rsidRPr="006B64AA">
          <w:rPr>
            <w:rStyle w:val="Hyperlink"/>
            <w:i/>
            <w:color w:val="auto"/>
            <w:u w:val="none"/>
          </w:rPr>
          <w:t>www.nordjyskebank.dk</w:t>
        </w:r>
      </w:hyperlink>
    </w:p>
    <w:p w:rsidR="007F6A93" w:rsidRPr="006B64AA" w:rsidRDefault="006B64AA" w:rsidP="006B64AA">
      <w:pPr>
        <w:ind w:left="1304" w:hanging="1304"/>
      </w:pPr>
      <w:r w:rsidRPr="006B64AA">
        <w:rPr>
          <w:b/>
        </w:rPr>
        <w:t>Figur 3</w:t>
      </w:r>
      <w:r w:rsidR="007F6A93" w:rsidRPr="006B64AA">
        <w:t xml:space="preserve"> </w:t>
      </w:r>
      <w:r w:rsidR="00FC49DE" w:rsidRPr="006B64AA">
        <w:tab/>
      </w:r>
      <w:r w:rsidR="007F6A93" w:rsidRPr="006B64AA">
        <w:t xml:space="preserve">Hovedtyper af påvirkningsfaktorer, som bestemmer organisationens samlede kultur. </w:t>
      </w:r>
      <w:r w:rsidR="007F6A93" w:rsidRPr="006B64AA">
        <w:rPr>
          <w:i/>
        </w:rPr>
        <w:t>Kilde: Organisationsteori s. 163.</w:t>
      </w:r>
      <w:r w:rsidR="007F6A93" w:rsidRPr="006B64AA">
        <w:t xml:space="preserve"> </w:t>
      </w:r>
    </w:p>
    <w:p w:rsidR="007F6A93" w:rsidRPr="006B64AA" w:rsidRDefault="006B64AA" w:rsidP="006B64AA">
      <w:pPr>
        <w:rPr>
          <w:i/>
        </w:rPr>
      </w:pPr>
      <w:r w:rsidRPr="006B64AA">
        <w:rPr>
          <w:b/>
        </w:rPr>
        <w:t>Figur 4</w:t>
      </w:r>
      <w:r w:rsidR="007F6A93" w:rsidRPr="006B64AA">
        <w:t xml:space="preserve"> </w:t>
      </w:r>
      <w:r w:rsidR="00FC49DE" w:rsidRPr="006B64AA">
        <w:tab/>
      </w:r>
      <w:r w:rsidR="007F6A93" w:rsidRPr="006B64AA">
        <w:t xml:space="preserve">Skala for mulig adfærd i en ændringssituation. </w:t>
      </w:r>
      <w:r w:rsidR="007F6A93" w:rsidRPr="006B64AA">
        <w:rPr>
          <w:i/>
        </w:rPr>
        <w:t>Kilde: Organisationsteori s. 332.</w:t>
      </w:r>
    </w:p>
    <w:p w:rsidR="007F6A93" w:rsidRPr="006B64AA" w:rsidRDefault="006B64AA" w:rsidP="006B64AA">
      <w:pPr>
        <w:rPr>
          <w:i/>
        </w:rPr>
      </w:pPr>
      <w:r w:rsidRPr="006B64AA">
        <w:rPr>
          <w:b/>
        </w:rPr>
        <w:t>Figur 5</w:t>
      </w:r>
      <w:r w:rsidR="007F6A93" w:rsidRPr="006B64AA">
        <w:t xml:space="preserve"> </w:t>
      </w:r>
      <w:r w:rsidR="00FC49DE" w:rsidRPr="006B64AA">
        <w:tab/>
      </w:r>
      <w:r w:rsidR="007F6A93" w:rsidRPr="006B64AA">
        <w:t xml:space="preserve">Effektivitet og selvværd i udviklingsfaserne. </w:t>
      </w:r>
      <w:r w:rsidR="007F6A93" w:rsidRPr="006B64AA">
        <w:rPr>
          <w:i/>
        </w:rPr>
        <w:t>Kilde: Organisationsteori, s. 333.</w:t>
      </w:r>
    </w:p>
    <w:p w:rsidR="007F6A93" w:rsidRPr="006B64AA" w:rsidRDefault="007F6A93" w:rsidP="006B64AA">
      <w:pPr>
        <w:ind w:left="1304" w:hanging="1304"/>
        <w:rPr>
          <w:i/>
        </w:rPr>
      </w:pPr>
      <w:r w:rsidRPr="006B64AA">
        <w:rPr>
          <w:b/>
        </w:rPr>
        <w:t>Figur 6</w:t>
      </w:r>
      <w:r w:rsidRPr="006B64AA">
        <w:t xml:space="preserve"> </w:t>
      </w:r>
      <w:r w:rsidR="00FC49DE" w:rsidRPr="006B64AA">
        <w:tab/>
      </w:r>
      <w:r w:rsidRPr="006B64AA">
        <w:t xml:space="preserve">Den Jyske Sparekasses kort over deres filialer. </w:t>
      </w:r>
      <w:r w:rsidRPr="006B64AA">
        <w:rPr>
          <w:i/>
        </w:rPr>
        <w:t>Kilde: www.denjyskesparekasse.dk</w:t>
      </w:r>
    </w:p>
    <w:p w:rsidR="007F6A93" w:rsidRPr="006B64AA" w:rsidRDefault="006B64AA" w:rsidP="006B64AA">
      <w:pPr>
        <w:rPr>
          <w:i/>
        </w:rPr>
      </w:pPr>
      <w:r w:rsidRPr="006B64AA">
        <w:rPr>
          <w:b/>
        </w:rPr>
        <w:t>Figur 7</w:t>
      </w:r>
      <w:r w:rsidR="007F6A93" w:rsidRPr="006B64AA">
        <w:t xml:space="preserve"> </w:t>
      </w:r>
      <w:r w:rsidR="00FC49DE" w:rsidRPr="006B64AA">
        <w:tab/>
      </w:r>
      <w:r w:rsidR="007F6A93" w:rsidRPr="006B64AA">
        <w:t xml:space="preserve">Dronninglund Sparekasses kort over deres filialer. </w:t>
      </w:r>
      <w:r w:rsidR="007F6A93" w:rsidRPr="006B64AA">
        <w:rPr>
          <w:i/>
        </w:rPr>
        <w:t xml:space="preserve">Kilde: </w:t>
      </w:r>
      <w:hyperlink r:id="rId35" w:history="1">
        <w:r w:rsidR="00FC49DE" w:rsidRPr="006B64AA">
          <w:rPr>
            <w:rStyle w:val="Hyperlink"/>
            <w:i/>
            <w:color w:val="auto"/>
            <w:u w:val="none"/>
          </w:rPr>
          <w:t>www.dronspar.dk</w:t>
        </w:r>
      </w:hyperlink>
    </w:p>
    <w:p w:rsidR="00FC49DE" w:rsidRPr="006B64AA" w:rsidRDefault="006B64AA" w:rsidP="006B64AA">
      <w:pPr>
        <w:ind w:left="1304" w:hanging="1304"/>
        <w:rPr>
          <w:i/>
        </w:rPr>
      </w:pPr>
      <w:r w:rsidRPr="006B64AA">
        <w:rPr>
          <w:b/>
        </w:rPr>
        <w:t>Figur 8</w:t>
      </w:r>
      <w:r w:rsidR="00FC49DE" w:rsidRPr="006B64AA">
        <w:t xml:space="preserve"> </w:t>
      </w:r>
      <w:r w:rsidRPr="006B64AA">
        <w:tab/>
      </w:r>
      <w:r w:rsidR="00FC49DE" w:rsidRPr="006B64AA">
        <w:t xml:space="preserve">CIBOR3 vs. WACC for begge pengeinstitutter 2008 – 2012. </w:t>
      </w:r>
      <w:r w:rsidR="00FC49DE" w:rsidRPr="006B64AA">
        <w:rPr>
          <w:i/>
        </w:rPr>
        <w:t xml:space="preserve">Kilde: Egne udregninger, se bilag B, samt </w:t>
      </w:r>
      <w:hyperlink r:id="rId36" w:history="1">
        <w:r w:rsidR="00FC49DE" w:rsidRPr="006B64AA">
          <w:rPr>
            <w:rStyle w:val="Hyperlink"/>
            <w:i/>
            <w:color w:val="auto"/>
            <w:u w:val="none"/>
          </w:rPr>
          <w:t>www.dst.dk</w:t>
        </w:r>
      </w:hyperlink>
    </w:p>
    <w:p w:rsidR="00FC49DE" w:rsidRPr="006B64AA" w:rsidRDefault="00FC49DE" w:rsidP="006B64AA"/>
    <w:p w:rsidR="007F6A93" w:rsidRPr="00FF5EA3" w:rsidRDefault="006B64AA" w:rsidP="006B64AA">
      <w:pPr>
        <w:rPr>
          <w:b/>
          <w:i/>
        </w:rPr>
      </w:pPr>
      <w:r w:rsidRPr="00FF5EA3">
        <w:rPr>
          <w:b/>
          <w:i/>
        </w:rPr>
        <w:t>Tabeloversigt</w:t>
      </w:r>
    </w:p>
    <w:p w:rsidR="007F6A93" w:rsidRPr="006B64AA" w:rsidRDefault="006B64AA" w:rsidP="006B64AA">
      <w:pPr>
        <w:ind w:left="1304" w:hanging="1304"/>
        <w:rPr>
          <w:i/>
        </w:rPr>
      </w:pPr>
      <w:r w:rsidRPr="006B64AA">
        <w:rPr>
          <w:b/>
        </w:rPr>
        <w:t>Tabel 1</w:t>
      </w:r>
      <w:r w:rsidR="007F6A93" w:rsidRPr="006B64AA">
        <w:t xml:space="preserve"> </w:t>
      </w:r>
      <w:r w:rsidR="00FC49DE" w:rsidRPr="006B64AA">
        <w:tab/>
      </w:r>
      <w:r w:rsidR="007F6A93" w:rsidRPr="006B64AA">
        <w:t xml:space="preserve">Vægtning af udvalgte risikogrupper. </w:t>
      </w:r>
      <w:r w:rsidR="007F6A93" w:rsidRPr="006B64AA">
        <w:rPr>
          <w:i/>
        </w:rPr>
        <w:t>Kilde: Bekendtgørelse om kapitaldækning, bilag 3</w:t>
      </w:r>
    </w:p>
    <w:p w:rsidR="007F6A93" w:rsidRPr="006B64AA" w:rsidRDefault="007F6A93" w:rsidP="006B64AA">
      <w:pPr>
        <w:ind w:left="1304" w:hanging="1304"/>
        <w:rPr>
          <w:i/>
        </w:rPr>
      </w:pPr>
      <w:r w:rsidRPr="006B64AA">
        <w:rPr>
          <w:b/>
        </w:rPr>
        <w:t>Ta</w:t>
      </w:r>
      <w:r w:rsidR="006B64AA" w:rsidRPr="006B64AA">
        <w:rPr>
          <w:b/>
        </w:rPr>
        <w:t>bel 2</w:t>
      </w:r>
      <w:r w:rsidRPr="006B64AA">
        <w:t xml:space="preserve"> </w:t>
      </w:r>
      <w:r w:rsidR="00FC49DE" w:rsidRPr="006B64AA">
        <w:tab/>
      </w:r>
      <w:r w:rsidRPr="006B64AA">
        <w:t>Teoretisk</w:t>
      </w:r>
      <w:r w:rsidR="006B64AA">
        <w:t>e</w:t>
      </w:r>
      <w:r w:rsidRPr="006B64AA">
        <w:t xml:space="preserve"> sammenhæng mellem GAP, rente og indtjening. </w:t>
      </w:r>
      <w:r w:rsidRPr="006B64AA">
        <w:rPr>
          <w:i/>
        </w:rPr>
        <w:t>Kilde: Commercial Banking s. 124</w:t>
      </w:r>
    </w:p>
    <w:p w:rsidR="007F6A93" w:rsidRPr="006B64AA" w:rsidRDefault="006B64AA" w:rsidP="006B64AA">
      <w:pPr>
        <w:rPr>
          <w:i/>
        </w:rPr>
      </w:pPr>
      <w:r w:rsidRPr="006B64AA">
        <w:rPr>
          <w:b/>
        </w:rPr>
        <w:t>Tabel 3</w:t>
      </w:r>
      <w:r w:rsidR="007F6A93" w:rsidRPr="006B64AA">
        <w:t xml:space="preserve"> </w:t>
      </w:r>
      <w:r w:rsidR="00FC49DE" w:rsidRPr="006B64AA">
        <w:tab/>
      </w:r>
      <w:r w:rsidR="007F6A93" w:rsidRPr="006B64AA">
        <w:t xml:space="preserve">Udvalgte kundesegmenter, Den Jyske Sparekasse. </w:t>
      </w:r>
      <w:r w:rsidR="007F6A93" w:rsidRPr="006B64AA">
        <w:rPr>
          <w:i/>
        </w:rPr>
        <w:t>Kilde: Årsrapport 2012.</w:t>
      </w:r>
    </w:p>
    <w:p w:rsidR="00FC49DE" w:rsidRPr="006B64AA" w:rsidRDefault="00FC49DE" w:rsidP="006B64AA">
      <w:pPr>
        <w:rPr>
          <w:i/>
        </w:rPr>
      </w:pPr>
      <w:r w:rsidRPr="006B64AA">
        <w:rPr>
          <w:b/>
        </w:rPr>
        <w:t>Tabel 4</w:t>
      </w:r>
      <w:r w:rsidRPr="006B64AA">
        <w:t xml:space="preserve"> </w:t>
      </w:r>
      <w:r w:rsidRPr="006B64AA">
        <w:tab/>
        <w:t xml:space="preserve">Udvalgte kundesegmenter, Dronninglund Sparekasse. </w:t>
      </w:r>
      <w:r w:rsidRPr="006B64AA">
        <w:rPr>
          <w:i/>
        </w:rPr>
        <w:t>Kilde: Årsrapport 2012.</w:t>
      </w:r>
    </w:p>
    <w:p w:rsidR="007F6A93" w:rsidRPr="006B64AA" w:rsidRDefault="006B64AA" w:rsidP="006B64AA">
      <w:pPr>
        <w:ind w:left="1304" w:hanging="1304"/>
        <w:rPr>
          <w:i/>
        </w:rPr>
      </w:pPr>
      <w:r w:rsidRPr="006B64AA">
        <w:rPr>
          <w:b/>
        </w:rPr>
        <w:t>Tabel 5</w:t>
      </w:r>
      <w:r w:rsidR="007F6A93" w:rsidRPr="006B64AA">
        <w:t xml:space="preserve"> </w:t>
      </w:r>
      <w:r w:rsidR="00FC49DE" w:rsidRPr="006B64AA">
        <w:tab/>
      </w:r>
      <w:r w:rsidR="007F6A93" w:rsidRPr="006B64AA">
        <w:t xml:space="preserve">Udvalgte nøgletal og FAQ for begge pengeinstitutter. </w:t>
      </w:r>
      <w:r w:rsidR="007F6A93" w:rsidRPr="006B64AA">
        <w:rPr>
          <w:i/>
        </w:rPr>
        <w:t xml:space="preserve">Kilde: Årsrapporter 2012, samt </w:t>
      </w:r>
      <w:hyperlink r:id="rId37" w:history="1">
        <w:r w:rsidR="007F6A93" w:rsidRPr="006B64AA">
          <w:rPr>
            <w:rStyle w:val="Hyperlink"/>
            <w:i/>
            <w:color w:val="auto"/>
            <w:u w:val="none"/>
          </w:rPr>
          <w:t>www.denjyskesparekasse.dk</w:t>
        </w:r>
      </w:hyperlink>
      <w:r w:rsidR="007F6A93" w:rsidRPr="006B64AA">
        <w:rPr>
          <w:i/>
        </w:rPr>
        <w:t xml:space="preserve"> og </w:t>
      </w:r>
      <w:hyperlink r:id="rId38" w:history="1">
        <w:r w:rsidR="00FC49DE" w:rsidRPr="006B64AA">
          <w:rPr>
            <w:rStyle w:val="Hyperlink"/>
            <w:i/>
            <w:color w:val="auto"/>
            <w:u w:val="none"/>
          </w:rPr>
          <w:t>www.dronspar.dk</w:t>
        </w:r>
      </w:hyperlink>
      <w:r w:rsidR="007F6A93" w:rsidRPr="006B64AA">
        <w:rPr>
          <w:i/>
        </w:rPr>
        <w:t>.</w:t>
      </w:r>
    </w:p>
    <w:p w:rsidR="00FC49DE" w:rsidRPr="006B64AA" w:rsidRDefault="00FC49DE" w:rsidP="006B64AA">
      <w:pPr>
        <w:rPr>
          <w:i/>
        </w:rPr>
      </w:pPr>
      <w:r w:rsidRPr="006B64AA">
        <w:rPr>
          <w:b/>
        </w:rPr>
        <w:t xml:space="preserve">Tabel </w:t>
      </w:r>
      <w:r w:rsidR="006B64AA" w:rsidRPr="006B64AA">
        <w:rPr>
          <w:b/>
        </w:rPr>
        <w:t>6</w:t>
      </w:r>
      <w:r w:rsidRPr="006B64AA">
        <w:t xml:space="preserve"> </w:t>
      </w:r>
      <w:r w:rsidRPr="006B64AA">
        <w:tab/>
        <w:t xml:space="preserve">Solvens for Den Jyske Sparekasse. </w:t>
      </w:r>
      <w:r w:rsidRPr="006B64AA">
        <w:rPr>
          <w:i/>
        </w:rPr>
        <w:t>Kilde: Årsrapporter 2008 – 2012.</w:t>
      </w:r>
    </w:p>
    <w:p w:rsidR="00FC49DE" w:rsidRPr="006B64AA" w:rsidRDefault="00FC49DE" w:rsidP="006B64AA">
      <w:pPr>
        <w:rPr>
          <w:i/>
        </w:rPr>
      </w:pPr>
      <w:r w:rsidRPr="006B64AA">
        <w:rPr>
          <w:b/>
        </w:rPr>
        <w:t>Tab</w:t>
      </w:r>
      <w:r w:rsidR="006B64AA" w:rsidRPr="006B64AA">
        <w:rPr>
          <w:b/>
        </w:rPr>
        <w:t>el 7</w:t>
      </w:r>
      <w:r w:rsidRPr="006B64AA">
        <w:t xml:space="preserve"> </w:t>
      </w:r>
      <w:r w:rsidRPr="006B64AA">
        <w:tab/>
        <w:t xml:space="preserve">Solvens for Dronninglund Sparekasse. </w:t>
      </w:r>
      <w:r w:rsidRPr="006B64AA">
        <w:rPr>
          <w:i/>
        </w:rPr>
        <w:t>Kilde: Årsrapporter 2008 – 2012.</w:t>
      </w:r>
    </w:p>
    <w:p w:rsidR="00FC49DE" w:rsidRPr="006B64AA" w:rsidRDefault="006B64AA" w:rsidP="006B64AA">
      <w:pPr>
        <w:rPr>
          <w:i/>
        </w:rPr>
      </w:pPr>
      <w:r w:rsidRPr="006B64AA">
        <w:rPr>
          <w:b/>
        </w:rPr>
        <w:t>Tabel 8</w:t>
      </w:r>
      <w:r w:rsidR="00FC49DE" w:rsidRPr="006B64AA">
        <w:tab/>
        <w:t xml:space="preserve">WACC – Den Jyske Sparekasse. </w:t>
      </w:r>
      <w:r w:rsidR="00FC49DE" w:rsidRPr="006B64AA">
        <w:rPr>
          <w:i/>
        </w:rPr>
        <w:t>Kilde: Egne udregninger, se bilag B.</w:t>
      </w:r>
    </w:p>
    <w:p w:rsidR="00FC49DE" w:rsidRPr="006B64AA" w:rsidRDefault="006B64AA" w:rsidP="006B64AA">
      <w:pPr>
        <w:rPr>
          <w:i/>
        </w:rPr>
      </w:pPr>
      <w:r w:rsidRPr="006B64AA">
        <w:rPr>
          <w:b/>
        </w:rPr>
        <w:t>Tabel 9</w:t>
      </w:r>
      <w:r w:rsidR="00FC49DE" w:rsidRPr="006B64AA">
        <w:t xml:space="preserve"> </w:t>
      </w:r>
      <w:r w:rsidR="00FC49DE" w:rsidRPr="006B64AA">
        <w:tab/>
        <w:t xml:space="preserve">WACC – Dronninglund Sparekasse. </w:t>
      </w:r>
      <w:r w:rsidR="00FC49DE" w:rsidRPr="006B64AA">
        <w:rPr>
          <w:i/>
        </w:rPr>
        <w:t>Kilde: Egne udregninger, se bilag B.</w:t>
      </w:r>
    </w:p>
    <w:p w:rsidR="00FC49DE" w:rsidRPr="006B64AA" w:rsidRDefault="006B64AA" w:rsidP="006B64AA">
      <w:pPr>
        <w:rPr>
          <w:i/>
        </w:rPr>
      </w:pPr>
      <w:r w:rsidRPr="006B64AA">
        <w:rPr>
          <w:b/>
        </w:rPr>
        <w:t>Tabel 10</w:t>
      </w:r>
      <w:r>
        <w:tab/>
        <w:t xml:space="preserve">ICGR - </w:t>
      </w:r>
      <w:r w:rsidR="00FC49DE" w:rsidRPr="006B64AA">
        <w:t xml:space="preserve">Den Jyske Sparekasse. </w:t>
      </w:r>
      <w:r w:rsidR="00FC49DE" w:rsidRPr="006B64AA">
        <w:rPr>
          <w:i/>
        </w:rPr>
        <w:t>Kilde: Egne udregninger, se bilag C.</w:t>
      </w:r>
    </w:p>
    <w:p w:rsidR="00FC49DE" w:rsidRPr="006B64AA" w:rsidRDefault="006B64AA" w:rsidP="006B64AA">
      <w:pPr>
        <w:rPr>
          <w:i/>
        </w:rPr>
      </w:pPr>
      <w:r w:rsidRPr="006B64AA">
        <w:rPr>
          <w:b/>
        </w:rPr>
        <w:t>Tabel 11</w:t>
      </w:r>
      <w:r w:rsidR="00FC49DE" w:rsidRPr="006B64AA">
        <w:tab/>
        <w:t xml:space="preserve">ICGR - Dronninglund Sparekasse. </w:t>
      </w:r>
      <w:r w:rsidR="00FC49DE" w:rsidRPr="006B64AA">
        <w:rPr>
          <w:i/>
        </w:rPr>
        <w:t>Kilde: Egne udregninger, se bilag C.</w:t>
      </w:r>
    </w:p>
    <w:p w:rsidR="00FC49DE" w:rsidRPr="006B64AA" w:rsidRDefault="006B64AA" w:rsidP="006B64AA">
      <w:pPr>
        <w:rPr>
          <w:i/>
        </w:rPr>
      </w:pPr>
      <w:r w:rsidRPr="006B64AA">
        <w:rPr>
          <w:b/>
        </w:rPr>
        <w:t>Tabel 12</w:t>
      </w:r>
      <w:r w:rsidR="00FC49DE" w:rsidRPr="006B64AA">
        <w:t xml:space="preserve"> </w:t>
      </w:r>
      <w:r>
        <w:tab/>
      </w:r>
      <w:r w:rsidR="00FC49DE" w:rsidRPr="006B64AA">
        <w:t xml:space="preserve">GAP - Den Jyske Sparekasse. </w:t>
      </w:r>
      <w:r w:rsidR="00FC49DE" w:rsidRPr="006B64AA">
        <w:rPr>
          <w:i/>
        </w:rPr>
        <w:t>Kilde: Egne udregninger, se bilag D.</w:t>
      </w:r>
    </w:p>
    <w:p w:rsidR="00FC49DE" w:rsidRPr="006B64AA" w:rsidRDefault="006B64AA" w:rsidP="006B64AA">
      <w:pPr>
        <w:rPr>
          <w:i/>
        </w:rPr>
      </w:pPr>
      <w:r w:rsidRPr="006B64AA">
        <w:rPr>
          <w:b/>
        </w:rPr>
        <w:t>Tabel 13</w:t>
      </w:r>
      <w:r>
        <w:tab/>
      </w:r>
      <w:r w:rsidR="00FC49DE" w:rsidRPr="006B64AA">
        <w:t xml:space="preserve">GAP – Dronninglund Sparekasse. </w:t>
      </w:r>
      <w:r w:rsidR="00FC49DE" w:rsidRPr="006B64AA">
        <w:rPr>
          <w:i/>
        </w:rPr>
        <w:t>Kilde: Egne udregninger, se bilag D.</w:t>
      </w:r>
    </w:p>
    <w:p w:rsidR="00FC49DE" w:rsidRPr="006B64AA" w:rsidRDefault="006B64AA" w:rsidP="006B64AA">
      <w:pPr>
        <w:rPr>
          <w:i/>
        </w:rPr>
      </w:pPr>
      <w:r w:rsidRPr="006B64AA">
        <w:rPr>
          <w:b/>
        </w:rPr>
        <w:t>Tabel 14</w:t>
      </w:r>
      <w:r>
        <w:tab/>
      </w:r>
      <w:r w:rsidR="00FC49DE" w:rsidRPr="006B64AA">
        <w:t xml:space="preserve">Loan Ratio - Den Jyske Sparekasse. </w:t>
      </w:r>
      <w:r w:rsidR="00FC49DE" w:rsidRPr="006B64AA">
        <w:rPr>
          <w:i/>
        </w:rPr>
        <w:t>Kilde: Egne udregninger, se bilag E</w:t>
      </w:r>
    </w:p>
    <w:p w:rsidR="00FC49DE" w:rsidRPr="006B64AA" w:rsidRDefault="006B64AA" w:rsidP="006B64AA">
      <w:pPr>
        <w:rPr>
          <w:i/>
        </w:rPr>
      </w:pPr>
      <w:r w:rsidRPr="006B64AA">
        <w:rPr>
          <w:b/>
        </w:rPr>
        <w:t>Tabel 15</w:t>
      </w:r>
      <w:r>
        <w:rPr>
          <w:b/>
        </w:rPr>
        <w:tab/>
      </w:r>
      <w:r w:rsidR="00FC49DE" w:rsidRPr="006B64AA">
        <w:t xml:space="preserve">Loan Ratio – Dronning Sparekasse. </w:t>
      </w:r>
      <w:r w:rsidR="00FC49DE" w:rsidRPr="006B64AA">
        <w:rPr>
          <w:i/>
        </w:rPr>
        <w:t>Kilde: Egne udregninger, se bilag E.</w:t>
      </w:r>
    </w:p>
    <w:p w:rsidR="00FC49DE" w:rsidRPr="006B64AA" w:rsidRDefault="006B64AA" w:rsidP="006B64AA">
      <w:pPr>
        <w:ind w:left="1304" w:hanging="1304"/>
        <w:rPr>
          <w:i/>
        </w:rPr>
      </w:pPr>
      <w:r w:rsidRPr="006B64AA">
        <w:rPr>
          <w:b/>
        </w:rPr>
        <w:lastRenderedPageBreak/>
        <w:t>Tabel 16</w:t>
      </w:r>
      <w:r>
        <w:tab/>
      </w:r>
      <w:r w:rsidR="00FC49DE" w:rsidRPr="006B64AA">
        <w:t xml:space="preserve">Rationaliseringsgevinster og engangsudgifter. </w:t>
      </w:r>
      <w:r w:rsidR="00FC49DE" w:rsidRPr="006B64AA">
        <w:rPr>
          <w:i/>
        </w:rPr>
        <w:t>Kilde: Egne udregninger, se bilag F.</w:t>
      </w:r>
    </w:p>
    <w:p w:rsidR="00FC49DE" w:rsidRPr="006B64AA" w:rsidRDefault="006B64AA" w:rsidP="006B64AA">
      <w:pPr>
        <w:rPr>
          <w:i/>
        </w:rPr>
      </w:pPr>
      <w:r w:rsidRPr="006B64AA">
        <w:rPr>
          <w:b/>
        </w:rPr>
        <w:t>Tabel 17</w:t>
      </w:r>
      <w:r>
        <w:tab/>
      </w:r>
      <w:r w:rsidR="00FC49DE" w:rsidRPr="006B64AA">
        <w:t xml:space="preserve">Nøgletal - Den Jyske Sparekasse 2013. </w:t>
      </w:r>
      <w:r w:rsidR="00481005">
        <w:rPr>
          <w:i/>
        </w:rPr>
        <w:t>Kilde: Egne udregninger</w:t>
      </w:r>
    </w:p>
    <w:p w:rsidR="00FC49DE" w:rsidRPr="006B64AA" w:rsidRDefault="006B64AA" w:rsidP="006B64AA">
      <w:pPr>
        <w:ind w:left="1304" w:hanging="1304"/>
        <w:rPr>
          <w:i/>
        </w:rPr>
      </w:pPr>
      <w:r w:rsidRPr="006B64AA">
        <w:rPr>
          <w:b/>
        </w:rPr>
        <w:t>Tabel 18</w:t>
      </w:r>
      <w:r>
        <w:tab/>
      </w:r>
      <w:r w:rsidR="00FC49DE" w:rsidRPr="006B64AA">
        <w:t>Balance,</w:t>
      </w:r>
      <w:r w:rsidR="009C5D8B">
        <w:t xml:space="preserve"> udlån,</w:t>
      </w:r>
      <w:r w:rsidR="00FC49DE" w:rsidRPr="006B64AA">
        <w:t xml:space="preserve"> egenkapital og garantkapital efter fusion. </w:t>
      </w:r>
      <w:r w:rsidR="00FC49DE" w:rsidRPr="006B64AA">
        <w:rPr>
          <w:i/>
        </w:rPr>
        <w:t>Kil</w:t>
      </w:r>
      <w:r w:rsidR="00481005">
        <w:rPr>
          <w:i/>
        </w:rPr>
        <w:t>de: Egne udregninger</w:t>
      </w:r>
    </w:p>
    <w:p w:rsidR="00FC49DE" w:rsidRPr="006B64AA" w:rsidRDefault="006B64AA" w:rsidP="006B64AA">
      <w:pPr>
        <w:ind w:left="1304" w:hanging="1304"/>
        <w:rPr>
          <w:i/>
        </w:rPr>
      </w:pPr>
      <w:r w:rsidRPr="006B64AA">
        <w:rPr>
          <w:b/>
        </w:rPr>
        <w:t>Tabel 19</w:t>
      </w:r>
      <w:r>
        <w:tab/>
      </w:r>
      <w:r w:rsidR="00FC49DE" w:rsidRPr="006B64AA">
        <w:t xml:space="preserve">Nye nøgletal – Den Jyske Sparekasse 2013. </w:t>
      </w:r>
      <w:r w:rsidR="00FC49DE" w:rsidRPr="006B64AA">
        <w:rPr>
          <w:i/>
        </w:rPr>
        <w:t>Kil</w:t>
      </w:r>
      <w:r w:rsidR="00481005">
        <w:rPr>
          <w:i/>
        </w:rPr>
        <w:t>de: Egne udregninger, se bilag G</w:t>
      </w:r>
      <w:r w:rsidR="00FC49DE" w:rsidRPr="006B64AA">
        <w:rPr>
          <w:i/>
        </w:rPr>
        <w:t>.</w:t>
      </w:r>
    </w:p>
    <w:sectPr w:rsidR="00FC49DE" w:rsidRPr="006B64AA" w:rsidSect="00176BE9">
      <w:headerReference w:type="default" r:id="rId39"/>
      <w:footerReference w:type="default" r:id="rId40"/>
      <w:pgSz w:w="11906" w:h="16838"/>
      <w:pgMar w:top="1134" w:right="1416"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6B" w:rsidRDefault="004B586B" w:rsidP="003E49E5">
      <w:pPr>
        <w:spacing w:line="240" w:lineRule="auto"/>
      </w:pPr>
      <w:r>
        <w:separator/>
      </w:r>
    </w:p>
  </w:endnote>
  <w:endnote w:type="continuationSeparator" w:id="0">
    <w:p w:rsidR="004B586B" w:rsidRDefault="004B586B" w:rsidP="003E4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711"/>
      <w:docPartObj>
        <w:docPartGallery w:val="Page Numbers (Bottom of Page)"/>
        <w:docPartUnique/>
      </w:docPartObj>
    </w:sdtPr>
    <w:sdtEndPr/>
    <w:sdtContent>
      <w:sdt>
        <w:sdtPr>
          <w:id w:val="6796841"/>
          <w:docPartObj>
            <w:docPartGallery w:val="Page Numbers (Top of Page)"/>
            <w:docPartUnique/>
          </w:docPartObj>
        </w:sdtPr>
        <w:sdtEndPr/>
        <w:sdtContent>
          <w:p w:rsidR="004B586B" w:rsidRDefault="004B586B" w:rsidP="0096559F">
            <w:pPr>
              <w:pStyle w:val="Sidefod"/>
              <w:jc w:val="right"/>
            </w:pPr>
            <w:r>
              <w:t xml:space="preserve">Side </w:t>
            </w:r>
            <w:r>
              <w:rPr>
                <w:b/>
              </w:rPr>
              <w:fldChar w:fldCharType="begin"/>
            </w:r>
            <w:r>
              <w:rPr>
                <w:b/>
              </w:rPr>
              <w:instrText>PAGE</w:instrText>
            </w:r>
            <w:r>
              <w:rPr>
                <w:b/>
              </w:rPr>
              <w:fldChar w:fldCharType="separate"/>
            </w:r>
            <w:r w:rsidR="00D43498">
              <w:rPr>
                <w:b/>
                <w:noProof/>
              </w:rPr>
              <w:t>76</w:t>
            </w:r>
            <w:r>
              <w:rPr>
                <w:b/>
              </w:rPr>
              <w:fldChar w:fldCharType="end"/>
            </w:r>
            <w:r>
              <w:t xml:space="preserve"> af </w:t>
            </w:r>
            <w:r>
              <w:rPr>
                <w:b/>
              </w:rPr>
              <w:fldChar w:fldCharType="begin"/>
            </w:r>
            <w:r>
              <w:rPr>
                <w:b/>
              </w:rPr>
              <w:instrText>NUMPAGES</w:instrText>
            </w:r>
            <w:r>
              <w:rPr>
                <w:b/>
              </w:rPr>
              <w:fldChar w:fldCharType="separate"/>
            </w:r>
            <w:r w:rsidR="00D43498">
              <w:rPr>
                <w:b/>
                <w:noProof/>
              </w:rPr>
              <w:t>81</w:t>
            </w:r>
            <w:r>
              <w:rPr>
                <w:b/>
              </w:rPr>
              <w:fldChar w:fldCharType="end"/>
            </w:r>
          </w:p>
        </w:sdtContent>
      </w:sdt>
    </w:sdtContent>
  </w:sdt>
  <w:p w:rsidR="004B586B" w:rsidRDefault="004B58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6B" w:rsidRDefault="004B586B" w:rsidP="003E49E5">
      <w:pPr>
        <w:spacing w:line="240" w:lineRule="auto"/>
      </w:pPr>
      <w:r>
        <w:separator/>
      </w:r>
    </w:p>
  </w:footnote>
  <w:footnote w:type="continuationSeparator" w:id="0">
    <w:p w:rsidR="004B586B" w:rsidRDefault="004B586B" w:rsidP="003E49E5">
      <w:pPr>
        <w:spacing w:line="240" w:lineRule="auto"/>
      </w:pPr>
      <w:r>
        <w:continuationSeparator/>
      </w:r>
    </w:p>
  </w:footnote>
  <w:footnote w:id="1">
    <w:p w:rsidR="004B586B" w:rsidRDefault="004B586B" w:rsidP="00B473B7">
      <w:pPr>
        <w:pStyle w:val="Fodnotetekst"/>
      </w:pPr>
      <w:r>
        <w:rPr>
          <w:rStyle w:val="Fodnotehenvisning"/>
        </w:rPr>
        <w:footnoteRef/>
      </w:r>
      <w:r>
        <w:t xml:space="preserve"> </w:t>
      </w:r>
      <w:r w:rsidRPr="00AC089A">
        <w:t>http://finanswatch.dk.zorac.aub.aau.dk/secure/Finansnyt/Pengeinstitutter/article4973098.ece</w:t>
      </w:r>
    </w:p>
  </w:footnote>
  <w:footnote w:id="2">
    <w:p w:rsidR="004B586B" w:rsidRDefault="004B586B" w:rsidP="00B473B7">
      <w:pPr>
        <w:pStyle w:val="Fodnotetekst"/>
      </w:pPr>
      <w:r>
        <w:rPr>
          <w:rStyle w:val="Fodnotehenvisning"/>
        </w:rPr>
        <w:footnoteRef/>
      </w:r>
      <w:r>
        <w:t xml:space="preserve"> </w:t>
      </w:r>
      <w:r w:rsidRPr="0087151E">
        <w:t>http://finanswatch.dk.zorac.aub.aau.dk/Finansnyt/Pengeinstitutter/article4883781.ece</w:t>
      </w:r>
    </w:p>
  </w:footnote>
  <w:footnote w:id="3">
    <w:p w:rsidR="004B586B" w:rsidRDefault="004B586B" w:rsidP="00B473B7">
      <w:pPr>
        <w:pStyle w:val="Fodnotetekst"/>
      </w:pPr>
      <w:r>
        <w:rPr>
          <w:rStyle w:val="Fodnotehenvisning"/>
        </w:rPr>
        <w:footnoteRef/>
      </w:r>
      <w:r>
        <w:t xml:space="preserve"> </w:t>
      </w:r>
      <w:r w:rsidRPr="007957C9">
        <w:t>http://finanswatch.dk.zorac.aub.aau.dk/secure/Finansnyt/Pengeinstitutter/article5111906.ece</w:t>
      </w:r>
    </w:p>
  </w:footnote>
  <w:footnote w:id="4">
    <w:p w:rsidR="004B586B" w:rsidRDefault="004B586B" w:rsidP="00B473B7">
      <w:pPr>
        <w:pStyle w:val="Fodnotetekst"/>
      </w:pPr>
      <w:r>
        <w:t xml:space="preserve"> </w:t>
      </w:r>
      <w:r>
        <w:rPr>
          <w:rStyle w:val="Fodnotehenvisning"/>
        </w:rPr>
        <w:footnoteRef/>
      </w:r>
      <w:r>
        <w:t xml:space="preserve"> </w:t>
      </w:r>
      <w:r w:rsidRPr="00811BA2">
        <w:t>https://www.retsinformation.dk/Forms/R0710.aspx?id=143072#Kap2</w:t>
      </w:r>
    </w:p>
  </w:footnote>
  <w:footnote w:id="5">
    <w:p w:rsidR="004B586B" w:rsidRDefault="004B586B" w:rsidP="00C8662E">
      <w:pPr>
        <w:pStyle w:val="Fodnotetekst"/>
      </w:pPr>
      <w:r>
        <w:rPr>
          <w:rStyle w:val="Fodnotehenvisning"/>
        </w:rPr>
        <w:footnoteRef/>
      </w:r>
      <w:r>
        <w:t xml:space="preserve"> </w:t>
      </w:r>
      <w:r w:rsidRPr="00094B4C">
        <w:t>https://www.retsinformation.dk/Forms/R0710.aspx?id=139128#Bil4</w:t>
      </w:r>
    </w:p>
  </w:footnote>
  <w:footnote w:id="6">
    <w:p w:rsidR="004B586B" w:rsidRDefault="004B586B" w:rsidP="00C8662E">
      <w:pPr>
        <w:pStyle w:val="Fodnotetekst"/>
      </w:pPr>
      <w:r>
        <w:rPr>
          <w:rStyle w:val="Fodnotehenvisning"/>
        </w:rPr>
        <w:footnoteRef/>
      </w:r>
      <w:r>
        <w:t xml:space="preserve"> </w:t>
      </w:r>
      <w:r w:rsidRPr="0084543C">
        <w:t>http://www.finanstilsynet.dk/Finanstilsynet/Temaer/Tilsynsdiamanten.aspx</w:t>
      </w:r>
    </w:p>
  </w:footnote>
  <w:footnote w:id="7">
    <w:p w:rsidR="004B586B" w:rsidRDefault="004B586B" w:rsidP="00C8662E">
      <w:pPr>
        <w:pStyle w:val="Fodnotetekst"/>
      </w:pPr>
      <w:r>
        <w:rPr>
          <w:rStyle w:val="Fodnotehenvisning"/>
        </w:rPr>
        <w:footnoteRef/>
      </w:r>
      <w:r>
        <w:t xml:space="preserve"> </w:t>
      </w:r>
      <w:r w:rsidRPr="008A7CD9">
        <w:t>http://da.wikipedia.org/wiki/Northern_Rock</w:t>
      </w:r>
    </w:p>
  </w:footnote>
  <w:footnote w:id="8">
    <w:p w:rsidR="004B586B" w:rsidRPr="00C60782" w:rsidRDefault="004B586B" w:rsidP="00C8662E">
      <w:pPr>
        <w:pStyle w:val="Fodnotetekst"/>
        <w:rPr>
          <w:lang w:val="en-US"/>
        </w:rPr>
      </w:pPr>
      <w:r>
        <w:rPr>
          <w:rStyle w:val="Fodnotehenvisning"/>
        </w:rPr>
        <w:footnoteRef/>
      </w:r>
      <w:r w:rsidRPr="00C60782">
        <w:rPr>
          <w:lang w:val="en-US"/>
        </w:rPr>
        <w:t xml:space="preserve"> Commercial B</w:t>
      </w:r>
      <w:r>
        <w:rPr>
          <w:lang w:val="en-US"/>
        </w:rPr>
        <w:t>anking, s. 268</w:t>
      </w:r>
    </w:p>
  </w:footnote>
  <w:footnote w:id="9">
    <w:p w:rsidR="004B586B" w:rsidRPr="00DE2485" w:rsidRDefault="004B586B" w:rsidP="00C8662E">
      <w:pPr>
        <w:pStyle w:val="Fodnotetekst"/>
        <w:rPr>
          <w:lang w:val="en-US"/>
        </w:rPr>
      </w:pPr>
      <w:r>
        <w:rPr>
          <w:rStyle w:val="Fodnotehenvisning"/>
        </w:rPr>
        <w:footnoteRef/>
      </w:r>
      <w:r w:rsidRPr="00DE2485">
        <w:rPr>
          <w:lang w:val="en-US"/>
        </w:rPr>
        <w:t xml:space="preserve"> Commercial Banking, s. 365</w:t>
      </w:r>
    </w:p>
  </w:footnote>
  <w:footnote w:id="10">
    <w:p w:rsidR="004B586B" w:rsidRPr="00DE2485" w:rsidRDefault="004B586B" w:rsidP="00C8662E">
      <w:pPr>
        <w:pStyle w:val="Fodnotetekst"/>
        <w:rPr>
          <w:lang w:val="en-US"/>
        </w:rPr>
      </w:pPr>
      <w:r>
        <w:rPr>
          <w:rStyle w:val="Fodnotehenvisning"/>
        </w:rPr>
        <w:footnoteRef/>
      </w:r>
      <w:r w:rsidRPr="00DE2485">
        <w:rPr>
          <w:lang w:val="en-US"/>
        </w:rPr>
        <w:t xml:space="preserve"> Commercial Banking, s. 64 - 65</w:t>
      </w:r>
    </w:p>
  </w:footnote>
  <w:footnote w:id="11">
    <w:p w:rsidR="004B586B" w:rsidRPr="00DE2485" w:rsidRDefault="004B586B" w:rsidP="00C8662E">
      <w:pPr>
        <w:pStyle w:val="Fodnotetekst"/>
        <w:rPr>
          <w:lang w:val="en-US"/>
        </w:rPr>
      </w:pPr>
      <w:r>
        <w:rPr>
          <w:rStyle w:val="Fodnotehenvisning"/>
        </w:rPr>
        <w:footnoteRef/>
      </w:r>
      <w:r w:rsidRPr="00DE2485">
        <w:rPr>
          <w:lang w:val="en-US"/>
        </w:rPr>
        <w:t xml:space="preserve"> Commercial Banking, s. 71 + 122 - 124</w:t>
      </w:r>
    </w:p>
  </w:footnote>
  <w:footnote w:id="12">
    <w:p w:rsidR="004B586B" w:rsidRPr="00DE2485" w:rsidRDefault="004B586B" w:rsidP="00C8662E">
      <w:pPr>
        <w:pStyle w:val="Fodnotetekst"/>
        <w:rPr>
          <w:lang w:val="en-US"/>
        </w:rPr>
      </w:pPr>
      <w:r>
        <w:rPr>
          <w:rStyle w:val="Fodnotehenvisning"/>
        </w:rPr>
        <w:footnoteRef/>
      </w:r>
      <w:r w:rsidRPr="00DE2485">
        <w:rPr>
          <w:lang w:val="en-US"/>
        </w:rPr>
        <w:t xml:space="preserve"> Commercial Banking, s. 124</w:t>
      </w:r>
    </w:p>
  </w:footnote>
  <w:footnote w:id="13">
    <w:p w:rsidR="004B586B" w:rsidRPr="002E0B07" w:rsidRDefault="004B586B" w:rsidP="00C8662E">
      <w:pPr>
        <w:pStyle w:val="Fodnotetekst"/>
        <w:rPr>
          <w:lang w:val="en-US"/>
        </w:rPr>
      </w:pPr>
      <w:r>
        <w:rPr>
          <w:rStyle w:val="Fodnotehenvisning"/>
        </w:rPr>
        <w:footnoteRef/>
      </w:r>
      <w:r w:rsidRPr="002E0B07">
        <w:rPr>
          <w:lang w:val="en-US"/>
        </w:rPr>
        <w:t xml:space="preserve"> </w:t>
      </w:r>
      <w:proofErr w:type="gramStart"/>
      <w:r w:rsidRPr="002E0B07">
        <w:rPr>
          <w:lang w:val="en-US"/>
        </w:rPr>
        <w:t>Commercial Banking, s. 67 + 68.</w:t>
      </w:r>
      <w:proofErr w:type="gramEnd"/>
    </w:p>
  </w:footnote>
  <w:footnote w:id="14">
    <w:p w:rsidR="004B586B" w:rsidRPr="0017482A" w:rsidRDefault="004B586B">
      <w:pPr>
        <w:pStyle w:val="Fodnotetekst"/>
        <w:rPr>
          <w:lang w:val="en-US"/>
        </w:rPr>
      </w:pPr>
      <w:r>
        <w:rPr>
          <w:rStyle w:val="Fodnotehenvisning"/>
        </w:rPr>
        <w:footnoteRef/>
      </w:r>
      <w:r w:rsidRPr="0017482A">
        <w:rPr>
          <w:lang w:val="en-US"/>
        </w:rPr>
        <w:t xml:space="preserve"> Organisationsteori, s. 161 - 173</w:t>
      </w:r>
    </w:p>
  </w:footnote>
  <w:footnote w:id="15">
    <w:p w:rsidR="004B586B" w:rsidRDefault="004B586B" w:rsidP="00344293">
      <w:pPr>
        <w:pStyle w:val="Fodnotetekst"/>
      </w:pPr>
      <w:r>
        <w:rPr>
          <w:rStyle w:val="Fodnotehenvisning"/>
        </w:rPr>
        <w:footnoteRef/>
      </w:r>
      <w:r>
        <w:t xml:space="preserve"> </w:t>
      </w:r>
      <w:hyperlink r:id="rId1" w:history="1">
        <w:r w:rsidRPr="00BC10D9">
          <w:rPr>
            <w:rStyle w:val="Hyperlink"/>
            <w:color w:val="auto"/>
            <w:u w:val="none"/>
          </w:rPr>
          <w:t>www.denjyskesparekasse.dk</w:t>
        </w:r>
      </w:hyperlink>
      <w:r w:rsidRPr="00BC10D9">
        <w:t>,</w:t>
      </w:r>
      <w:r>
        <w:t xml:space="preserve"> samt Årsrapport 2012</w:t>
      </w:r>
    </w:p>
  </w:footnote>
  <w:footnote w:id="16">
    <w:p w:rsidR="004B586B" w:rsidRPr="004970A3" w:rsidRDefault="004B586B" w:rsidP="00344293">
      <w:pPr>
        <w:pStyle w:val="Fodnotetekst"/>
      </w:pPr>
      <w:r>
        <w:rPr>
          <w:rStyle w:val="Fodnotehenvisning"/>
        </w:rPr>
        <w:footnoteRef/>
      </w:r>
      <w:r w:rsidRPr="004970A3">
        <w:t xml:space="preserve"> www.dronspar.dk</w:t>
      </w:r>
    </w:p>
  </w:footnote>
  <w:footnote w:id="17">
    <w:p w:rsidR="004B586B" w:rsidRPr="008A07CB" w:rsidRDefault="004B586B" w:rsidP="00344293">
      <w:pPr>
        <w:pStyle w:val="Fodnotetekst"/>
      </w:pPr>
      <w:r>
        <w:rPr>
          <w:rStyle w:val="Fodnotehenvisning"/>
        </w:rPr>
        <w:footnoteRef/>
      </w:r>
      <w:r w:rsidRPr="008A07CB">
        <w:t xml:space="preserve"> http://finanswatch.dk.zorac.aub.aau.dk/secure/Finansnyt/Pengeinstitutter/article5214430.ece</w:t>
      </w:r>
    </w:p>
  </w:footnote>
  <w:footnote w:id="18">
    <w:p w:rsidR="004B586B" w:rsidRPr="008A07CB" w:rsidRDefault="004B586B">
      <w:pPr>
        <w:pStyle w:val="Fodnotetekst"/>
      </w:pPr>
      <w:r>
        <w:rPr>
          <w:rStyle w:val="Fodnotehenvisning"/>
        </w:rPr>
        <w:footnoteRef/>
      </w:r>
      <w:r w:rsidRPr="008A07CB">
        <w:t xml:space="preserve"> http://www.finanstilsynet.dk/da/Temaer/~/media/Temaer/2012/Vejledning_om_tilsynsdiamanten2012.ashx</w:t>
      </w:r>
    </w:p>
  </w:footnote>
  <w:footnote w:id="19">
    <w:p w:rsidR="004B586B" w:rsidRDefault="004B586B">
      <w:pPr>
        <w:pStyle w:val="Fodnotetekst"/>
      </w:pPr>
      <w:r>
        <w:rPr>
          <w:rStyle w:val="Fodnotehenvisning"/>
        </w:rPr>
        <w:footnoteRef/>
      </w:r>
      <w:r>
        <w:t xml:space="preserve"> </w:t>
      </w:r>
      <w:r w:rsidRPr="00D12D6E">
        <w:t>http://nationalbanken.statistikbank.dk/nbf/104107</w:t>
      </w:r>
    </w:p>
  </w:footnote>
  <w:footnote w:id="20">
    <w:p w:rsidR="004B586B" w:rsidRDefault="004B586B">
      <w:pPr>
        <w:pStyle w:val="Fodnotetekst"/>
      </w:pPr>
      <w:r>
        <w:rPr>
          <w:rStyle w:val="Fodnotehenvisning"/>
        </w:rPr>
        <w:footnoteRef/>
      </w:r>
      <w:r>
        <w:t xml:space="preserve"> </w:t>
      </w:r>
      <w:r w:rsidRPr="003B1104">
        <w:t>http://www.dst.dk/pukora/epub/Nyt/2013/NR153.pdf</w:t>
      </w:r>
    </w:p>
  </w:footnote>
  <w:footnote w:id="21">
    <w:p w:rsidR="004B586B" w:rsidRPr="008A07CB" w:rsidRDefault="004B586B">
      <w:pPr>
        <w:pStyle w:val="Fodnotetekst"/>
      </w:pPr>
      <w:r>
        <w:rPr>
          <w:rStyle w:val="Fodnotehenvisning"/>
        </w:rPr>
        <w:footnoteRef/>
      </w:r>
      <w:r w:rsidRPr="008A07CB">
        <w:t xml:space="preserve"> http://www.dr.dk/Nyheder/Penge/2012/09/18/151944.htm</w:t>
      </w:r>
    </w:p>
  </w:footnote>
  <w:footnote w:id="22">
    <w:p w:rsidR="004B586B" w:rsidRDefault="004B586B">
      <w:pPr>
        <w:pStyle w:val="Fodnotetekst"/>
      </w:pPr>
      <w:r>
        <w:rPr>
          <w:rStyle w:val="Fodnotehenvisning"/>
        </w:rPr>
        <w:footnoteRef/>
      </w:r>
      <w:r>
        <w:t xml:space="preserve"> Årsrapport 2012, Den Jyske Sparekasse</w:t>
      </w:r>
    </w:p>
  </w:footnote>
  <w:footnote w:id="23">
    <w:p w:rsidR="004B586B" w:rsidRDefault="004B586B">
      <w:pPr>
        <w:pStyle w:val="Fodnotetekst"/>
      </w:pPr>
      <w:r>
        <w:rPr>
          <w:rStyle w:val="Fodnotehenvisning"/>
        </w:rPr>
        <w:footnoteRef/>
      </w:r>
      <w:r>
        <w:t xml:space="preserve"> Årsrapport Den Jyske Sparekasse, s. 63</w:t>
      </w:r>
    </w:p>
  </w:footnote>
  <w:footnote w:id="24">
    <w:p w:rsidR="004B586B" w:rsidRDefault="004B586B" w:rsidP="00AA72C0">
      <w:pPr>
        <w:pStyle w:val="Fodnotetekst"/>
      </w:pPr>
      <w:r>
        <w:rPr>
          <w:rStyle w:val="Fodnotehenvisning"/>
        </w:rPr>
        <w:footnoteRef/>
      </w:r>
      <w:r>
        <w:t xml:space="preserve"> </w:t>
      </w:r>
      <w:r w:rsidRPr="002A0022">
        <w:t>http://finanswatch.dk.zorac.aub.aau.dk/secure/Finansnyt/Pengeinstitutter/article5322801.ece</w:t>
      </w:r>
    </w:p>
  </w:footnote>
  <w:footnote w:id="25">
    <w:p w:rsidR="004B586B" w:rsidRDefault="004B586B" w:rsidP="00AA72C0">
      <w:pPr>
        <w:pStyle w:val="Fodnotetekst"/>
      </w:pPr>
      <w:r>
        <w:rPr>
          <w:rStyle w:val="Fodnotehenvisning"/>
        </w:rPr>
        <w:footnoteRef/>
      </w:r>
      <w:r>
        <w:t xml:space="preserve"> </w:t>
      </w:r>
      <w:r w:rsidRPr="002A0022">
        <w:t>http://finanswatch.dk.zorac.aub.aau.dk/secure/Finansnyt/Pengeinstitutter/article5322845.ece</w:t>
      </w:r>
    </w:p>
  </w:footnote>
  <w:footnote w:id="26">
    <w:p w:rsidR="004B586B" w:rsidRPr="00B319AA" w:rsidRDefault="004B586B" w:rsidP="00AA72C0">
      <w:pPr>
        <w:pStyle w:val="Fodnotetekst"/>
      </w:pPr>
      <w:r>
        <w:rPr>
          <w:rStyle w:val="Fodnotehenvisning"/>
        </w:rPr>
        <w:footnoteRef/>
      </w:r>
      <w:r w:rsidRPr="00B319AA">
        <w:t xml:space="preserve"> </w:t>
      </w:r>
      <w:hyperlink r:id="rId2" w:history="1">
        <w:r w:rsidRPr="00DE2473">
          <w:rPr>
            <w:rStyle w:val="Hyperlink"/>
            <w:color w:val="auto"/>
            <w:u w:val="none"/>
          </w:rPr>
          <w:t>http://vbn.aau.dk.zorac.aub.aau.dk/files/75431285/Risikoanalyse_pengeinstitutter_11042013.pdf</w:t>
        </w:r>
      </w:hyperlink>
      <w:r w:rsidRPr="00DE2473">
        <w:t>, slide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B" w:rsidRPr="00176BE9" w:rsidRDefault="004B586B" w:rsidP="0096559F">
    <w:pPr>
      <w:pStyle w:val="Sidehoved"/>
      <w:pBdr>
        <w:between w:val="single" w:sz="4" w:space="1" w:color="4F81BD" w:themeColor="accent1"/>
      </w:pBdr>
      <w:tabs>
        <w:tab w:val="clear" w:pos="9638"/>
        <w:tab w:val="left" w:pos="6113"/>
      </w:tabs>
      <w:spacing w:line="276" w:lineRule="auto"/>
      <w:jc w:val="left"/>
      <w:rPr>
        <w:sz w:val="20"/>
        <w:szCs w:val="20"/>
      </w:rPr>
    </w:pPr>
    <w:r>
      <w:rPr>
        <w:sz w:val="20"/>
        <w:szCs w:val="20"/>
      </w:rPr>
      <w:t>Camilla Søndergaard, Hovedopgave i HD Finansiel Rådgivning, AAU, d. 30. april 2013</w:t>
    </w:r>
  </w:p>
  <w:p w:rsidR="004B586B" w:rsidRDefault="004B586B" w:rsidP="0096559F">
    <w:pPr>
      <w:pStyle w:val="Sidehoved"/>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980"/>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9CE629F"/>
    <w:multiLevelType w:val="multilevel"/>
    <w:tmpl w:val="6748CD82"/>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5E6F4A"/>
    <w:multiLevelType w:val="multilevel"/>
    <w:tmpl w:val="F416A926"/>
    <w:lvl w:ilvl="0">
      <w:start w:val="1"/>
      <w:numFmt w:val="decimal"/>
      <w:lvlText w:val="%1."/>
      <w:lvlJc w:val="left"/>
      <w:pPr>
        <w:ind w:left="360" w:hanging="360"/>
      </w:pPr>
      <w:rPr>
        <w:rFonts w:ascii="Verdana" w:eastAsiaTheme="majorEastAsia" w:hAnsi="Verdana" w:cstheme="majorBidi"/>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32F6992"/>
    <w:multiLevelType w:val="multilevel"/>
    <w:tmpl w:val="5880A28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5957A35"/>
    <w:multiLevelType w:val="hybridMultilevel"/>
    <w:tmpl w:val="38AC68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A832E58"/>
    <w:multiLevelType w:val="multilevel"/>
    <w:tmpl w:val="F416A926"/>
    <w:lvl w:ilvl="0">
      <w:start w:val="1"/>
      <w:numFmt w:val="decimal"/>
      <w:lvlText w:val="%1."/>
      <w:lvlJc w:val="left"/>
      <w:pPr>
        <w:ind w:left="360" w:hanging="360"/>
      </w:pPr>
      <w:rPr>
        <w:rFonts w:ascii="Verdana" w:eastAsiaTheme="majorEastAsia" w:hAnsi="Verdana" w:cstheme="majorBidi"/>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C01EA4"/>
    <w:multiLevelType w:val="multilevel"/>
    <w:tmpl w:val="79FC19E6"/>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E0B0F2F"/>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FBC7C0E"/>
    <w:multiLevelType w:val="hybridMultilevel"/>
    <w:tmpl w:val="E6DAC0AE"/>
    <w:lvl w:ilvl="0" w:tplc="FE5245CA">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1B07C8F"/>
    <w:multiLevelType w:val="hybridMultilevel"/>
    <w:tmpl w:val="A7AAB8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9C12BE"/>
    <w:multiLevelType w:val="multilevel"/>
    <w:tmpl w:val="F416A926"/>
    <w:lvl w:ilvl="0">
      <w:start w:val="1"/>
      <w:numFmt w:val="decimal"/>
      <w:lvlText w:val="%1."/>
      <w:lvlJc w:val="left"/>
      <w:pPr>
        <w:ind w:left="360" w:hanging="360"/>
      </w:pPr>
      <w:rPr>
        <w:rFonts w:ascii="Verdana" w:eastAsiaTheme="majorEastAsia" w:hAnsi="Verdana" w:cstheme="majorBidi"/>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A6E41D6"/>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E1C75B2"/>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2B55435"/>
    <w:multiLevelType w:val="multilevel"/>
    <w:tmpl w:val="5880A28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46131C58"/>
    <w:multiLevelType w:val="multilevel"/>
    <w:tmpl w:val="5880A28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48EA6DFB"/>
    <w:multiLevelType w:val="hybridMultilevel"/>
    <w:tmpl w:val="306E62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CAB056D"/>
    <w:multiLevelType w:val="hybridMultilevel"/>
    <w:tmpl w:val="B2C268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2CC1E94"/>
    <w:multiLevelType w:val="hybridMultilevel"/>
    <w:tmpl w:val="A99C4940"/>
    <w:lvl w:ilvl="0" w:tplc="9E90724E">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566C31EF"/>
    <w:multiLevelType w:val="multilevel"/>
    <w:tmpl w:val="9856C8D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9B84407"/>
    <w:multiLevelType w:val="hybridMultilevel"/>
    <w:tmpl w:val="3F2E2A6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C295434"/>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D345EB1"/>
    <w:multiLevelType w:val="hybridMultilevel"/>
    <w:tmpl w:val="01BA82AC"/>
    <w:lvl w:ilvl="0" w:tplc="8FD6B0C4">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61012C82"/>
    <w:multiLevelType w:val="hybridMultilevel"/>
    <w:tmpl w:val="4C944A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13A4744"/>
    <w:multiLevelType w:val="multilevel"/>
    <w:tmpl w:val="5880A28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62BE62ED"/>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2D66C57"/>
    <w:multiLevelType w:val="hybridMultilevel"/>
    <w:tmpl w:val="2772A0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57C2311"/>
    <w:multiLevelType w:val="hybridMultilevel"/>
    <w:tmpl w:val="D9C02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D301EB8"/>
    <w:multiLevelType w:val="multilevel"/>
    <w:tmpl w:val="6E5AF3C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B280063"/>
    <w:multiLevelType w:val="multilevel"/>
    <w:tmpl w:val="29E49282"/>
    <w:lvl w:ilvl="0">
      <w:start w:val="2"/>
      <w:numFmt w:val="decimal"/>
      <w:lvlText w:val="%1."/>
      <w:lvlJc w:val="left"/>
      <w:pPr>
        <w:ind w:left="360" w:hanging="360"/>
      </w:pPr>
      <w:rPr>
        <w:rFonts w:ascii="Verdana" w:eastAsiaTheme="majorEastAsia" w:hAnsi="Verdana" w:cstheme="majorBidi"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DF577ED"/>
    <w:multiLevelType w:val="multilevel"/>
    <w:tmpl w:val="29E49282"/>
    <w:lvl w:ilvl="0">
      <w:start w:val="2"/>
      <w:numFmt w:val="decimal"/>
      <w:lvlText w:val="%1."/>
      <w:lvlJc w:val="left"/>
      <w:pPr>
        <w:ind w:left="360" w:hanging="360"/>
      </w:pPr>
      <w:rPr>
        <w:rFonts w:ascii="Verdana" w:eastAsiaTheme="majorEastAsia" w:hAnsi="Verdana" w:cstheme="majorBidi"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26"/>
  </w:num>
  <w:num w:numId="3">
    <w:abstractNumId w:val="4"/>
  </w:num>
  <w:num w:numId="4">
    <w:abstractNumId w:val="17"/>
  </w:num>
  <w:num w:numId="5">
    <w:abstractNumId w:val="19"/>
  </w:num>
  <w:num w:numId="6">
    <w:abstractNumId w:val="6"/>
  </w:num>
  <w:num w:numId="7">
    <w:abstractNumId w:val="1"/>
  </w:num>
  <w:num w:numId="8">
    <w:abstractNumId w:val="23"/>
  </w:num>
  <w:num w:numId="9">
    <w:abstractNumId w:val="18"/>
  </w:num>
  <w:num w:numId="10">
    <w:abstractNumId w:val="11"/>
  </w:num>
  <w:num w:numId="11">
    <w:abstractNumId w:val="10"/>
  </w:num>
  <w:num w:numId="12">
    <w:abstractNumId w:val="21"/>
  </w:num>
  <w:num w:numId="13">
    <w:abstractNumId w:val="5"/>
  </w:num>
  <w:num w:numId="14">
    <w:abstractNumId w:val="28"/>
  </w:num>
  <w:num w:numId="15">
    <w:abstractNumId w:val="29"/>
  </w:num>
  <w:num w:numId="16">
    <w:abstractNumId w:val="0"/>
  </w:num>
  <w:num w:numId="17">
    <w:abstractNumId w:val="27"/>
  </w:num>
  <w:num w:numId="18">
    <w:abstractNumId w:val="7"/>
  </w:num>
  <w:num w:numId="19">
    <w:abstractNumId w:val="12"/>
  </w:num>
  <w:num w:numId="20">
    <w:abstractNumId w:val="8"/>
  </w:num>
  <w:num w:numId="21">
    <w:abstractNumId w:val="22"/>
  </w:num>
  <w:num w:numId="22">
    <w:abstractNumId w:val="15"/>
  </w:num>
  <w:num w:numId="23">
    <w:abstractNumId w:val="13"/>
  </w:num>
  <w:num w:numId="24">
    <w:abstractNumId w:val="14"/>
  </w:num>
  <w:num w:numId="25">
    <w:abstractNumId w:val="3"/>
  </w:num>
  <w:num w:numId="26">
    <w:abstractNumId w:val="20"/>
  </w:num>
  <w:num w:numId="27">
    <w:abstractNumId w:val="16"/>
  </w:num>
  <w:num w:numId="28">
    <w:abstractNumId w:val="9"/>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1304"/>
  <w:hyphenationZone w:val="425"/>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3E49E5"/>
    <w:rsid w:val="00000BA9"/>
    <w:rsid w:val="00002F21"/>
    <w:rsid w:val="0000592E"/>
    <w:rsid w:val="00006075"/>
    <w:rsid w:val="00007773"/>
    <w:rsid w:val="00011A6C"/>
    <w:rsid w:val="0001267D"/>
    <w:rsid w:val="0001326F"/>
    <w:rsid w:val="00014921"/>
    <w:rsid w:val="00016961"/>
    <w:rsid w:val="00016AF9"/>
    <w:rsid w:val="00021694"/>
    <w:rsid w:val="00023D88"/>
    <w:rsid w:val="00024ACB"/>
    <w:rsid w:val="000268A5"/>
    <w:rsid w:val="00030196"/>
    <w:rsid w:val="000303AD"/>
    <w:rsid w:val="0003732A"/>
    <w:rsid w:val="0004019E"/>
    <w:rsid w:val="00043AD8"/>
    <w:rsid w:val="000467C6"/>
    <w:rsid w:val="00046A51"/>
    <w:rsid w:val="00047E5E"/>
    <w:rsid w:val="00050A34"/>
    <w:rsid w:val="00052422"/>
    <w:rsid w:val="00054276"/>
    <w:rsid w:val="00054EE9"/>
    <w:rsid w:val="000555C0"/>
    <w:rsid w:val="00056FE0"/>
    <w:rsid w:val="00062448"/>
    <w:rsid w:val="00067480"/>
    <w:rsid w:val="00067525"/>
    <w:rsid w:val="000675FB"/>
    <w:rsid w:val="00071CA0"/>
    <w:rsid w:val="0007314B"/>
    <w:rsid w:val="00073A6D"/>
    <w:rsid w:val="0008230A"/>
    <w:rsid w:val="0008707A"/>
    <w:rsid w:val="00090C8B"/>
    <w:rsid w:val="00092D01"/>
    <w:rsid w:val="0009344F"/>
    <w:rsid w:val="000949BF"/>
    <w:rsid w:val="00094B4C"/>
    <w:rsid w:val="000A227E"/>
    <w:rsid w:val="000A3614"/>
    <w:rsid w:val="000A36D7"/>
    <w:rsid w:val="000A69AB"/>
    <w:rsid w:val="000A6C71"/>
    <w:rsid w:val="000A73DF"/>
    <w:rsid w:val="000A7B74"/>
    <w:rsid w:val="000B1717"/>
    <w:rsid w:val="000B5085"/>
    <w:rsid w:val="000B6713"/>
    <w:rsid w:val="000B6837"/>
    <w:rsid w:val="000B6F52"/>
    <w:rsid w:val="000B7C3B"/>
    <w:rsid w:val="000C07AE"/>
    <w:rsid w:val="000C0FC0"/>
    <w:rsid w:val="000C4141"/>
    <w:rsid w:val="000C4D00"/>
    <w:rsid w:val="000C7A42"/>
    <w:rsid w:val="000D1382"/>
    <w:rsid w:val="000D194C"/>
    <w:rsid w:val="000D3215"/>
    <w:rsid w:val="000D43C8"/>
    <w:rsid w:val="000D4BD6"/>
    <w:rsid w:val="000D7438"/>
    <w:rsid w:val="000E0953"/>
    <w:rsid w:val="000E79E9"/>
    <w:rsid w:val="000F100B"/>
    <w:rsid w:val="000F4535"/>
    <w:rsid w:val="000F58F9"/>
    <w:rsid w:val="000F5ED7"/>
    <w:rsid w:val="000F63E8"/>
    <w:rsid w:val="000F7000"/>
    <w:rsid w:val="00101C39"/>
    <w:rsid w:val="00103674"/>
    <w:rsid w:val="00104039"/>
    <w:rsid w:val="00107511"/>
    <w:rsid w:val="00107F00"/>
    <w:rsid w:val="001129B1"/>
    <w:rsid w:val="00113EF7"/>
    <w:rsid w:val="001209DC"/>
    <w:rsid w:val="00124152"/>
    <w:rsid w:val="00137E88"/>
    <w:rsid w:val="001416AA"/>
    <w:rsid w:val="00141B2A"/>
    <w:rsid w:val="00143029"/>
    <w:rsid w:val="00147F9E"/>
    <w:rsid w:val="00150369"/>
    <w:rsid w:val="001546BB"/>
    <w:rsid w:val="0015645B"/>
    <w:rsid w:val="00160BB8"/>
    <w:rsid w:val="001625BC"/>
    <w:rsid w:val="00163CF3"/>
    <w:rsid w:val="00164761"/>
    <w:rsid w:val="001649AB"/>
    <w:rsid w:val="00165B59"/>
    <w:rsid w:val="00170A5A"/>
    <w:rsid w:val="00173266"/>
    <w:rsid w:val="0017475C"/>
    <w:rsid w:val="0017482A"/>
    <w:rsid w:val="0017693C"/>
    <w:rsid w:val="00176BE9"/>
    <w:rsid w:val="00176BF0"/>
    <w:rsid w:val="00177AC9"/>
    <w:rsid w:val="00182ACF"/>
    <w:rsid w:val="00184482"/>
    <w:rsid w:val="0018527A"/>
    <w:rsid w:val="00186D4B"/>
    <w:rsid w:val="0018729E"/>
    <w:rsid w:val="001908F1"/>
    <w:rsid w:val="001918D0"/>
    <w:rsid w:val="00194EC8"/>
    <w:rsid w:val="00196534"/>
    <w:rsid w:val="00197672"/>
    <w:rsid w:val="001A16CA"/>
    <w:rsid w:val="001A2D26"/>
    <w:rsid w:val="001A639E"/>
    <w:rsid w:val="001A7ADC"/>
    <w:rsid w:val="001A7D70"/>
    <w:rsid w:val="001B16FB"/>
    <w:rsid w:val="001B19AA"/>
    <w:rsid w:val="001C29BE"/>
    <w:rsid w:val="001C319C"/>
    <w:rsid w:val="001C5846"/>
    <w:rsid w:val="001C5B18"/>
    <w:rsid w:val="001C69B6"/>
    <w:rsid w:val="001C7566"/>
    <w:rsid w:val="001D040D"/>
    <w:rsid w:val="001D1595"/>
    <w:rsid w:val="001D2D15"/>
    <w:rsid w:val="001D3336"/>
    <w:rsid w:val="001D351F"/>
    <w:rsid w:val="001D3A23"/>
    <w:rsid w:val="001D45C6"/>
    <w:rsid w:val="001D54C6"/>
    <w:rsid w:val="001D7BDB"/>
    <w:rsid w:val="001E0F4F"/>
    <w:rsid w:val="001E1D01"/>
    <w:rsid w:val="001E33FE"/>
    <w:rsid w:val="001F0A47"/>
    <w:rsid w:val="001F0E10"/>
    <w:rsid w:val="001F29AC"/>
    <w:rsid w:val="001F5677"/>
    <w:rsid w:val="002013C9"/>
    <w:rsid w:val="0020153D"/>
    <w:rsid w:val="002029C1"/>
    <w:rsid w:val="00203B3A"/>
    <w:rsid w:val="002077F5"/>
    <w:rsid w:val="00211531"/>
    <w:rsid w:val="0021184F"/>
    <w:rsid w:val="002137E1"/>
    <w:rsid w:val="00213D94"/>
    <w:rsid w:val="002146B3"/>
    <w:rsid w:val="00214E2C"/>
    <w:rsid w:val="00215872"/>
    <w:rsid w:val="00216058"/>
    <w:rsid w:val="00216816"/>
    <w:rsid w:val="002179BF"/>
    <w:rsid w:val="002238F3"/>
    <w:rsid w:val="00223D2A"/>
    <w:rsid w:val="00225167"/>
    <w:rsid w:val="002267A4"/>
    <w:rsid w:val="00227D4D"/>
    <w:rsid w:val="00235B40"/>
    <w:rsid w:val="0023603D"/>
    <w:rsid w:val="00240183"/>
    <w:rsid w:val="002429F5"/>
    <w:rsid w:val="00243889"/>
    <w:rsid w:val="0024561E"/>
    <w:rsid w:val="00245D3C"/>
    <w:rsid w:val="00251D0C"/>
    <w:rsid w:val="00252A4D"/>
    <w:rsid w:val="00253B8A"/>
    <w:rsid w:val="00253CC5"/>
    <w:rsid w:val="002544D2"/>
    <w:rsid w:val="0025600B"/>
    <w:rsid w:val="002574F3"/>
    <w:rsid w:val="00257E1F"/>
    <w:rsid w:val="00265C5E"/>
    <w:rsid w:val="00266993"/>
    <w:rsid w:val="00272148"/>
    <w:rsid w:val="00274087"/>
    <w:rsid w:val="002747D5"/>
    <w:rsid w:val="00276651"/>
    <w:rsid w:val="002770C8"/>
    <w:rsid w:val="00277D58"/>
    <w:rsid w:val="00281032"/>
    <w:rsid w:val="00282411"/>
    <w:rsid w:val="00282794"/>
    <w:rsid w:val="00284193"/>
    <w:rsid w:val="00284AAF"/>
    <w:rsid w:val="00285C74"/>
    <w:rsid w:val="00286109"/>
    <w:rsid w:val="002862CE"/>
    <w:rsid w:val="00287435"/>
    <w:rsid w:val="002876EF"/>
    <w:rsid w:val="00290B9F"/>
    <w:rsid w:val="00290CCE"/>
    <w:rsid w:val="00290F69"/>
    <w:rsid w:val="00291452"/>
    <w:rsid w:val="0029708F"/>
    <w:rsid w:val="002A0022"/>
    <w:rsid w:val="002A5EED"/>
    <w:rsid w:val="002B2DC9"/>
    <w:rsid w:val="002B5B80"/>
    <w:rsid w:val="002C00BA"/>
    <w:rsid w:val="002C18D5"/>
    <w:rsid w:val="002C4B3F"/>
    <w:rsid w:val="002D08E1"/>
    <w:rsid w:val="002D2D75"/>
    <w:rsid w:val="002D3395"/>
    <w:rsid w:val="002D3E4F"/>
    <w:rsid w:val="002D7371"/>
    <w:rsid w:val="002E0398"/>
    <w:rsid w:val="002E0B07"/>
    <w:rsid w:val="002E15AA"/>
    <w:rsid w:val="002E3652"/>
    <w:rsid w:val="002E61B5"/>
    <w:rsid w:val="002F0591"/>
    <w:rsid w:val="002F739D"/>
    <w:rsid w:val="00300248"/>
    <w:rsid w:val="003015BE"/>
    <w:rsid w:val="003017E4"/>
    <w:rsid w:val="00302301"/>
    <w:rsid w:val="003046A5"/>
    <w:rsid w:val="003059DD"/>
    <w:rsid w:val="0030689F"/>
    <w:rsid w:val="00306ECC"/>
    <w:rsid w:val="0030791E"/>
    <w:rsid w:val="00311287"/>
    <w:rsid w:val="00314D25"/>
    <w:rsid w:val="00317846"/>
    <w:rsid w:val="00317FCC"/>
    <w:rsid w:val="00320FD1"/>
    <w:rsid w:val="003220B1"/>
    <w:rsid w:val="003222E9"/>
    <w:rsid w:val="0032288D"/>
    <w:rsid w:val="00324BA7"/>
    <w:rsid w:val="00333DF0"/>
    <w:rsid w:val="00335B56"/>
    <w:rsid w:val="00336CA1"/>
    <w:rsid w:val="00336F22"/>
    <w:rsid w:val="0034077C"/>
    <w:rsid w:val="00341C02"/>
    <w:rsid w:val="00344293"/>
    <w:rsid w:val="00346013"/>
    <w:rsid w:val="003472F4"/>
    <w:rsid w:val="00353142"/>
    <w:rsid w:val="003543CE"/>
    <w:rsid w:val="003549DB"/>
    <w:rsid w:val="00354B1C"/>
    <w:rsid w:val="00354B78"/>
    <w:rsid w:val="00355EC7"/>
    <w:rsid w:val="003565B3"/>
    <w:rsid w:val="00356EC3"/>
    <w:rsid w:val="00356FF8"/>
    <w:rsid w:val="00357FB0"/>
    <w:rsid w:val="00361E91"/>
    <w:rsid w:val="00361F55"/>
    <w:rsid w:val="00362917"/>
    <w:rsid w:val="00367744"/>
    <w:rsid w:val="00371858"/>
    <w:rsid w:val="00372665"/>
    <w:rsid w:val="00375EC5"/>
    <w:rsid w:val="00380614"/>
    <w:rsid w:val="00382419"/>
    <w:rsid w:val="00386692"/>
    <w:rsid w:val="00386E74"/>
    <w:rsid w:val="0038770E"/>
    <w:rsid w:val="003902E0"/>
    <w:rsid w:val="003922DA"/>
    <w:rsid w:val="00394778"/>
    <w:rsid w:val="00396B6D"/>
    <w:rsid w:val="00397563"/>
    <w:rsid w:val="003A0A2E"/>
    <w:rsid w:val="003A156C"/>
    <w:rsid w:val="003A2D87"/>
    <w:rsid w:val="003A2F27"/>
    <w:rsid w:val="003A6A0D"/>
    <w:rsid w:val="003A72E7"/>
    <w:rsid w:val="003B0478"/>
    <w:rsid w:val="003B1104"/>
    <w:rsid w:val="003B29CB"/>
    <w:rsid w:val="003B77C3"/>
    <w:rsid w:val="003C11E4"/>
    <w:rsid w:val="003C3019"/>
    <w:rsid w:val="003C3D92"/>
    <w:rsid w:val="003C5E64"/>
    <w:rsid w:val="003C64C4"/>
    <w:rsid w:val="003D36EA"/>
    <w:rsid w:val="003D43AA"/>
    <w:rsid w:val="003D4F23"/>
    <w:rsid w:val="003D5890"/>
    <w:rsid w:val="003D596B"/>
    <w:rsid w:val="003D787D"/>
    <w:rsid w:val="003E0AA5"/>
    <w:rsid w:val="003E1274"/>
    <w:rsid w:val="003E26E5"/>
    <w:rsid w:val="003E37D8"/>
    <w:rsid w:val="003E49E5"/>
    <w:rsid w:val="003E5395"/>
    <w:rsid w:val="003F0F95"/>
    <w:rsid w:val="003F317E"/>
    <w:rsid w:val="003F46A2"/>
    <w:rsid w:val="003F56A9"/>
    <w:rsid w:val="003F7D4C"/>
    <w:rsid w:val="003F7E63"/>
    <w:rsid w:val="004021F1"/>
    <w:rsid w:val="00402D1C"/>
    <w:rsid w:val="00403F00"/>
    <w:rsid w:val="00407BB9"/>
    <w:rsid w:val="00410B4F"/>
    <w:rsid w:val="0041201A"/>
    <w:rsid w:val="004145CB"/>
    <w:rsid w:val="00415CAB"/>
    <w:rsid w:val="004165F7"/>
    <w:rsid w:val="00420E37"/>
    <w:rsid w:val="004211C5"/>
    <w:rsid w:val="004216E5"/>
    <w:rsid w:val="00421BBA"/>
    <w:rsid w:val="00422AD4"/>
    <w:rsid w:val="00423BC2"/>
    <w:rsid w:val="004241D7"/>
    <w:rsid w:val="004254DA"/>
    <w:rsid w:val="0042581F"/>
    <w:rsid w:val="00425D59"/>
    <w:rsid w:val="00426B9C"/>
    <w:rsid w:val="00431830"/>
    <w:rsid w:val="00433B58"/>
    <w:rsid w:val="00433E5B"/>
    <w:rsid w:val="00434857"/>
    <w:rsid w:val="00435986"/>
    <w:rsid w:val="00437402"/>
    <w:rsid w:val="004378EE"/>
    <w:rsid w:val="0044148A"/>
    <w:rsid w:val="004421AA"/>
    <w:rsid w:val="0044373F"/>
    <w:rsid w:val="00445CF8"/>
    <w:rsid w:val="00446543"/>
    <w:rsid w:val="00446846"/>
    <w:rsid w:val="00451681"/>
    <w:rsid w:val="00452249"/>
    <w:rsid w:val="00452347"/>
    <w:rsid w:val="004540A0"/>
    <w:rsid w:val="0045762E"/>
    <w:rsid w:val="00463FA3"/>
    <w:rsid w:val="00467429"/>
    <w:rsid w:val="004675C8"/>
    <w:rsid w:val="00467D0C"/>
    <w:rsid w:val="004714AD"/>
    <w:rsid w:val="0047317C"/>
    <w:rsid w:val="00473495"/>
    <w:rsid w:val="00474D6A"/>
    <w:rsid w:val="00475C58"/>
    <w:rsid w:val="00476479"/>
    <w:rsid w:val="004765F2"/>
    <w:rsid w:val="0047792D"/>
    <w:rsid w:val="00477D8B"/>
    <w:rsid w:val="00480645"/>
    <w:rsid w:val="00480F7E"/>
    <w:rsid w:val="00481005"/>
    <w:rsid w:val="004836CF"/>
    <w:rsid w:val="00484739"/>
    <w:rsid w:val="00486509"/>
    <w:rsid w:val="00487C10"/>
    <w:rsid w:val="0049307F"/>
    <w:rsid w:val="004940C0"/>
    <w:rsid w:val="004970A3"/>
    <w:rsid w:val="004A1AC6"/>
    <w:rsid w:val="004A27D4"/>
    <w:rsid w:val="004A3523"/>
    <w:rsid w:val="004A35E3"/>
    <w:rsid w:val="004A3C69"/>
    <w:rsid w:val="004A5ACB"/>
    <w:rsid w:val="004B3124"/>
    <w:rsid w:val="004B44C7"/>
    <w:rsid w:val="004B586B"/>
    <w:rsid w:val="004B5974"/>
    <w:rsid w:val="004C0C08"/>
    <w:rsid w:val="004C17AA"/>
    <w:rsid w:val="004C213F"/>
    <w:rsid w:val="004C2F09"/>
    <w:rsid w:val="004C3F00"/>
    <w:rsid w:val="004C4D35"/>
    <w:rsid w:val="004D70AB"/>
    <w:rsid w:val="004E07A5"/>
    <w:rsid w:val="004E1DD8"/>
    <w:rsid w:val="004E59B0"/>
    <w:rsid w:val="004E69E7"/>
    <w:rsid w:val="004E6B82"/>
    <w:rsid w:val="004F18D6"/>
    <w:rsid w:val="004F362C"/>
    <w:rsid w:val="00500BB9"/>
    <w:rsid w:val="00501418"/>
    <w:rsid w:val="005056A7"/>
    <w:rsid w:val="00505C40"/>
    <w:rsid w:val="00510028"/>
    <w:rsid w:val="00510CF9"/>
    <w:rsid w:val="00514589"/>
    <w:rsid w:val="00515C4C"/>
    <w:rsid w:val="0051725F"/>
    <w:rsid w:val="00517AC5"/>
    <w:rsid w:val="00522DCF"/>
    <w:rsid w:val="005237A9"/>
    <w:rsid w:val="00526E59"/>
    <w:rsid w:val="00530278"/>
    <w:rsid w:val="005310B0"/>
    <w:rsid w:val="00531362"/>
    <w:rsid w:val="00536539"/>
    <w:rsid w:val="00536940"/>
    <w:rsid w:val="00537C8E"/>
    <w:rsid w:val="00537DBE"/>
    <w:rsid w:val="005415B5"/>
    <w:rsid w:val="00551727"/>
    <w:rsid w:val="00555E7D"/>
    <w:rsid w:val="00556714"/>
    <w:rsid w:val="00560FAD"/>
    <w:rsid w:val="005626AB"/>
    <w:rsid w:val="00563C7B"/>
    <w:rsid w:val="00564CDA"/>
    <w:rsid w:val="00566D8E"/>
    <w:rsid w:val="00570296"/>
    <w:rsid w:val="005707AB"/>
    <w:rsid w:val="00570D56"/>
    <w:rsid w:val="00573700"/>
    <w:rsid w:val="00574906"/>
    <w:rsid w:val="00577B43"/>
    <w:rsid w:val="0058193B"/>
    <w:rsid w:val="005829D2"/>
    <w:rsid w:val="00583C32"/>
    <w:rsid w:val="00585A93"/>
    <w:rsid w:val="0059054F"/>
    <w:rsid w:val="00590AA9"/>
    <w:rsid w:val="005916B5"/>
    <w:rsid w:val="00593DE2"/>
    <w:rsid w:val="00594C1C"/>
    <w:rsid w:val="00597191"/>
    <w:rsid w:val="005A0965"/>
    <w:rsid w:val="005A22D0"/>
    <w:rsid w:val="005A30A8"/>
    <w:rsid w:val="005A5562"/>
    <w:rsid w:val="005A5AC4"/>
    <w:rsid w:val="005A62C8"/>
    <w:rsid w:val="005A714E"/>
    <w:rsid w:val="005A72E8"/>
    <w:rsid w:val="005B1F33"/>
    <w:rsid w:val="005B557E"/>
    <w:rsid w:val="005B5AA0"/>
    <w:rsid w:val="005B5DEC"/>
    <w:rsid w:val="005C03DA"/>
    <w:rsid w:val="005C1BF5"/>
    <w:rsid w:val="005C3667"/>
    <w:rsid w:val="005C6423"/>
    <w:rsid w:val="005D0F2B"/>
    <w:rsid w:val="005D2D48"/>
    <w:rsid w:val="005D2FDC"/>
    <w:rsid w:val="005D3A1E"/>
    <w:rsid w:val="005D4787"/>
    <w:rsid w:val="005E1CF2"/>
    <w:rsid w:val="005E2EEB"/>
    <w:rsid w:val="005E33C5"/>
    <w:rsid w:val="005E4F96"/>
    <w:rsid w:val="005E5049"/>
    <w:rsid w:val="005E7410"/>
    <w:rsid w:val="005F24F0"/>
    <w:rsid w:val="005F2AA6"/>
    <w:rsid w:val="005F6E84"/>
    <w:rsid w:val="00600CE4"/>
    <w:rsid w:val="006029A1"/>
    <w:rsid w:val="00602EC7"/>
    <w:rsid w:val="00605B59"/>
    <w:rsid w:val="0060651D"/>
    <w:rsid w:val="0060791F"/>
    <w:rsid w:val="00607DB0"/>
    <w:rsid w:val="0061050D"/>
    <w:rsid w:val="00610B94"/>
    <w:rsid w:val="0061122E"/>
    <w:rsid w:val="00612802"/>
    <w:rsid w:val="006129EC"/>
    <w:rsid w:val="00613C78"/>
    <w:rsid w:val="00614572"/>
    <w:rsid w:val="00615DEA"/>
    <w:rsid w:val="006171CA"/>
    <w:rsid w:val="00621391"/>
    <w:rsid w:val="0062281C"/>
    <w:rsid w:val="00622DD2"/>
    <w:rsid w:val="006238D0"/>
    <w:rsid w:val="0062447F"/>
    <w:rsid w:val="00625AEE"/>
    <w:rsid w:val="00627873"/>
    <w:rsid w:val="0063200E"/>
    <w:rsid w:val="00632FB2"/>
    <w:rsid w:val="006341FC"/>
    <w:rsid w:val="0063420D"/>
    <w:rsid w:val="0063499B"/>
    <w:rsid w:val="00635AA7"/>
    <w:rsid w:val="00636012"/>
    <w:rsid w:val="00642593"/>
    <w:rsid w:val="006471CF"/>
    <w:rsid w:val="00650D5E"/>
    <w:rsid w:val="006528F9"/>
    <w:rsid w:val="00652F70"/>
    <w:rsid w:val="0065305B"/>
    <w:rsid w:val="00654139"/>
    <w:rsid w:val="006550C9"/>
    <w:rsid w:val="006558A5"/>
    <w:rsid w:val="006561A0"/>
    <w:rsid w:val="00656BF9"/>
    <w:rsid w:val="00662021"/>
    <w:rsid w:val="00663E4E"/>
    <w:rsid w:val="006652D3"/>
    <w:rsid w:val="00666D7A"/>
    <w:rsid w:val="0066793F"/>
    <w:rsid w:val="00673D81"/>
    <w:rsid w:val="00680661"/>
    <w:rsid w:val="00683E85"/>
    <w:rsid w:val="006872BF"/>
    <w:rsid w:val="00687DED"/>
    <w:rsid w:val="0069388E"/>
    <w:rsid w:val="00694902"/>
    <w:rsid w:val="006A1247"/>
    <w:rsid w:val="006A30C8"/>
    <w:rsid w:val="006A47C3"/>
    <w:rsid w:val="006B14EE"/>
    <w:rsid w:val="006B1836"/>
    <w:rsid w:val="006B1E90"/>
    <w:rsid w:val="006B64AA"/>
    <w:rsid w:val="006C1F7E"/>
    <w:rsid w:val="006C3CF7"/>
    <w:rsid w:val="006C5C85"/>
    <w:rsid w:val="006C6C9F"/>
    <w:rsid w:val="006D0D81"/>
    <w:rsid w:val="006D3988"/>
    <w:rsid w:val="006D528E"/>
    <w:rsid w:val="006D6FD9"/>
    <w:rsid w:val="006D72AF"/>
    <w:rsid w:val="006D7D4A"/>
    <w:rsid w:val="006E0390"/>
    <w:rsid w:val="006E1C14"/>
    <w:rsid w:val="006E21B4"/>
    <w:rsid w:val="006E234F"/>
    <w:rsid w:val="006E337D"/>
    <w:rsid w:val="006E58A1"/>
    <w:rsid w:val="006E7FF6"/>
    <w:rsid w:val="006F2BC1"/>
    <w:rsid w:val="006F4070"/>
    <w:rsid w:val="006F44E3"/>
    <w:rsid w:val="006F6E1C"/>
    <w:rsid w:val="00704D52"/>
    <w:rsid w:val="00706679"/>
    <w:rsid w:val="0070736F"/>
    <w:rsid w:val="00707E85"/>
    <w:rsid w:val="007104DE"/>
    <w:rsid w:val="00713C1A"/>
    <w:rsid w:val="00717018"/>
    <w:rsid w:val="00721815"/>
    <w:rsid w:val="007230F5"/>
    <w:rsid w:val="007263F6"/>
    <w:rsid w:val="00726ED4"/>
    <w:rsid w:val="00730C3C"/>
    <w:rsid w:val="00730EDF"/>
    <w:rsid w:val="00733332"/>
    <w:rsid w:val="0073338F"/>
    <w:rsid w:val="00733760"/>
    <w:rsid w:val="00740E22"/>
    <w:rsid w:val="00741B9E"/>
    <w:rsid w:val="007427EA"/>
    <w:rsid w:val="00746ACE"/>
    <w:rsid w:val="00747EEF"/>
    <w:rsid w:val="00751DBA"/>
    <w:rsid w:val="007542C1"/>
    <w:rsid w:val="00756483"/>
    <w:rsid w:val="00762605"/>
    <w:rsid w:val="00762614"/>
    <w:rsid w:val="0076286B"/>
    <w:rsid w:val="00763BC6"/>
    <w:rsid w:val="00764EDC"/>
    <w:rsid w:val="00767C1E"/>
    <w:rsid w:val="007709AE"/>
    <w:rsid w:val="0077139B"/>
    <w:rsid w:val="0077210E"/>
    <w:rsid w:val="00774928"/>
    <w:rsid w:val="00775DFF"/>
    <w:rsid w:val="0078039F"/>
    <w:rsid w:val="00780FC0"/>
    <w:rsid w:val="007820AE"/>
    <w:rsid w:val="00783341"/>
    <w:rsid w:val="00784DE3"/>
    <w:rsid w:val="00785327"/>
    <w:rsid w:val="00790380"/>
    <w:rsid w:val="00793AF4"/>
    <w:rsid w:val="00793B21"/>
    <w:rsid w:val="007947AC"/>
    <w:rsid w:val="007957C9"/>
    <w:rsid w:val="00795F4A"/>
    <w:rsid w:val="007A4182"/>
    <w:rsid w:val="007A419F"/>
    <w:rsid w:val="007A460D"/>
    <w:rsid w:val="007A4D3D"/>
    <w:rsid w:val="007A4E41"/>
    <w:rsid w:val="007A5653"/>
    <w:rsid w:val="007A79F8"/>
    <w:rsid w:val="007A7D07"/>
    <w:rsid w:val="007B037B"/>
    <w:rsid w:val="007B0516"/>
    <w:rsid w:val="007C154E"/>
    <w:rsid w:val="007C1AF7"/>
    <w:rsid w:val="007C1F34"/>
    <w:rsid w:val="007C4D1B"/>
    <w:rsid w:val="007C55EF"/>
    <w:rsid w:val="007C6AAE"/>
    <w:rsid w:val="007D19FC"/>
    <w:rsid w:val="007D348B"/>
    <w:rsid w:val="007D5AB7"/>
    <w:rsid w:val="007E08EF"/>
    <w:rsid w:val="007E2258"/>
    <w:rsid w:val="007E2790"/>
    <w:rsid w:val="007E4983"/>
    <w:rsid w:val="007E60E5"/>
    <w:rsid w:val="007F096C"/>
    <w:rsid w:val="007F282E"/>
    <w:rsid w:val="007F554F"/>
    <w:rsid w:val="007F668F"/>
    <w:rsid w:val="007F6A93"/>
    <w:rsid w:val="007F7910"/>
    <w:rsid w:val="0080471A"/>
    <w:rsid w:val="008075F5"/>
    <w:rsid w:val="008106AD"/>
    <w:rsid w:val="00811BA2"/>
    <w:rsid w:val="00811E29"/>
    <w:rsid w:val="00815753"/>
    <w:rsid w:val="00815979"/>
    <w:rsid w:val="008206F4"/>
    <w:rsid w:val="00820E13"/>
    <w:rsid w:val="00825D9A"/>
    <w:rsid w:val="00826C03"/>
    <w:rsid w:val="00827757"/>
    <w:rsid w:val="008320DE"/>
    <w:rsid w:val="00833CB2"/>
    <w:rsid w:val="008349E1"/>
    <w:rsid w:val="008351AC"/>
    <w:rsid w:val="0083753C"/>
    <w:rsid w:val="00840DD6"/>
    <w:rsid w:val="0084543C"/>
    <w:rsid w:val="008468D2"/>
    <w:rsid w:val="00846916"/>
    <w:rsid w:val="008471BF"/>
    <w:rsid w:val="00853C4E"/>
    <w:rsid w:val="00857B24"/>
    <w:rsid w:val="00857CE0"/>
    <w:rsid w:val="00860148"/>
    <w:rsid w:val="00861575"/>
    <w:rsid w:val="00861628"/>
    <w:rsid w:val="00867983"/>
    <w:rsid w:val="00867AB8"/>
    <w:rsid w:val="0087151E"/>
    <w:rsid w:val="0087263A"/>
    <w:rsid w:val="00872DBE"/>
    <w:rsid w:val="0087402E"/>
    <w:rsid w:val="0087410F"/>
    <w:rsid w:val="00881DC2"/>
    <w:rsid w:val="00881FB3"/>
    <w:rsid w:val="00881FC6"/>
    <w:rsid w:val="008820F4"/>
    <w:rsid w:val="00883080"/>
    <w:rsid w:val="00885DDB"/>
    <w:rsid w:val="00887AB7"/>
    <w:rsid w:val="008937C3"/>
    <w:rsid w:val="0089388C"/>
    <w:rsid w:val="00895026"/>
    <w:rsid w:val="008A07CB"/>
    <w:rsid w:val="008A369D"/>
    <w:rsid w:val="008A4080"/>
    <w:rsid w:val="008A7CD9"/>
    <w:rsid w:val="008B16FB"/>
    <w:rsid w:val="008B4177"/>
    <w:rsid w:val="008B5FC6"/>
    <w:rsid w:val="008B6298"/>
    <w:rsid w:val="008B6D8A"/>
    <w:rsid w:val="008B70F8"/>
    <w:rsid w:val="008C085B"/>
    <w:rsid w:val="008C095F"/>
    <w:rsid w:val="008C1B7F"/>
    <w:rsid w:val="008C63E6"/>
    <w:rsid w:val="008D0964"/>
    <w:rsid w:val="008D4A5F"/>
    <w:rsid w:val="008D57F4"/>
    <w:rsid w:val="008D61C0"/>
    <w:rsid w:val="008E42DF"/>
    <w:rsid w:val="008E44E9"/>
    <w:rsid w:val="008E4D8E"/>
    <w:rsid w:val="008F0757"/>
    <w:rsid w:val="008F0FD8"/>
    <w:rsid w:val="008F3DBE"/>
    <w:rsid w:val="008F796F"/>
    <w:rsid w:val="009005AE"/>
    <w:rsid w:val="00900A19"/>
    <w:rsid w:val="00904D03"/>
    <w:rsid w:val="00905477"/>
    <w:rsid w:val="0090610B"/>
    <w:rsid w:val="00911BD6"/>
    <w:rsid w:val="0091206A"/>
    <w:rsid w:val="009136A1"/>
    <w:rsid w:val="009141AD"/>
    <w:rsid w:val="009210F7"/>
    <w:rsid w:val="00925778"/>
    <w:rsid w:val="009259C7"/>
    <w:rsid w:val="00926E44"/>
    <w:rsid w:val="00934521"/>
    <w:rsid w:val="00934873"/>
    <w:rsid w:val="00934AAB"/>
    <w:rsid w:val="00935CAD"/>
    <w:rsid w:val="009369B1"/>
    <w:rsid w:val="00941BDE"/>
    <w:rsid w:val="009461D5"/>
    <w:rsid w:val="009471BB"/>
    <w:rsid w:val="00950B9F"/>
    <w:rsid w:val="0095276C"/>
    <w:rsid w:val="009543A3"/>
    <w:rsid w:val="00954901"/>
    <w:rsid w:val="00960D70"/>
    <w:rsid w:val="009610A9"/>
    <w:rsid w:val="00962FC4"/>
    <w:rsid w:val="009638C7"/>
    <w:rsid w:val="0096559F"/>
    <w:rsid w:val="00965F94"/>
    <w:rsid w:val="00965FDF"/>
    <w:rsid w:val="00967799"/>
    <w:rsid w:val="00970686"/>
    <w:rsid w:val="00971E5C"/>
    <w:rsid w:val="009721A3"/>
    <w:rsid w:val="00974CB9"/>
    <w:rsid w:val="009755DB"/>
    <w:rsid w:val="00980697"/>
    <w:rsid w:val="0098096F"/>
    <w:rsid w:val="00982756"/>
    <w:rsid w:val="009853BF"/>
    <w:rsid w:val="00987F3F"/>
    <w:rsid w:val="00991488"/>
    <w:rsid w:val="0099290D"/>
    <w:rsid w:val="00996E74"/>
    <w:rsid w:val="009A1873"/>
    <w:rsid w:val="009A1B9F"/>
    <w:rsid w:val="009A3E55"/>
    <w:rsid w:val="009A577D"/>
    <w:rsid w:val="009A73F8"/>
    <w:rsid w:val="009A7544"/>
    <w:rsid w:val="009B0F00"/>
    <w:rsid w:val="009B4712"/>
    <w:rsid w:val="009B4D0C"/>
    <w:rsid w:val="009C153D"/>
    <w:rsid w:val="009C46A8"/>
    <w:rsid w:val="009C5D8B"/>
    <w:rsid w:val="009D0FB0"/>
    <w:rsid w:val="009D276F"/>
    <w:rsid w:val="009D3332"/>
    <w:rsid w:val="009D6F11"/>
    <w:rsid w:val="009E0D41"/>
    <w:rsid w:val="009E1F97"/>
    <w:rsid w:val="009E35DE"/>
    <w:rsid w:val="009E6BE1"/>
    <w:rsid w:val="009F39FE"/>
    <w:rsid w:val="00A004E6"/>
    <w:rsid w:val="00A016FF"/>
    <w:rsid w:val="00A115DC"/>
    <w:rsid w:val="00A12935"/>
    <w:rsid w:val="00A12E4C"/>
    <w:rsid w:val="00A14320"/>
    <w:rsid w:val="00A14680"/>
    <w:rsid w:val="00A173D8"/>
    <w:rsid w:val="00A234C9"/>
    <w:rsid w:val="00A23792"/>
    <w:rsid w:val="00A238F6"/>
    <w:rsid w:val="00A25212"/>
    <w:rsid w:val="00A25869"/>
    <w:rsid w:val="00A315F4"/>
    <w:rsid w:val="00A33232"/>
    <w:rsid w:val="00A34267"/>
    <w:rsid w:val="00A3633D"/>
    <w:rsid w:val="00A400F0"/>
    <w:rsid w:val="00A44742"/>
    <w:rsid w:val="00A52CD5"/>
    <w:rsid w:val="00A553A3"/>
    <w:rsid w:val="00A55680"/>
    <w:rsid w:val="00A577F6"/>
    <w:rsid w:val="00A57DBC"/>
    <w:rsid w:val="00A60FA3"/>
    <w:rsid w:val="00A61479"/>
    <w:rsid w:val="00A65196"/>
    <w:rsid w:val="00A65689"/>
    <w:rsid w:val="00A66561"/>
    <w:rsid w:val="00A6659E"/>
    <w:rsid w:val="00A66A08"/>
    <w:rsid w:val="00A66FDE"/>
    <w:rsid w:val="00A6741D"/>
    <w:rsid w:val="00A67D0C"/>
    <w:rsid w:val="00A67DC2"/>
    <w:rsid w:val="00A70511"/>
    <w:rsid w:val="00A70BAA"/>
    <w:rsid w:val="00A71431"/>
    <w:rsid w:val="00A71C09"/>
    <w:rsid w:val="00A723F8"/>
    <w:rsid w:val="00A75662"/>
    <w:rsid w:val="00A7683D"/>
    <w:rsid w:val="00A77AA0"/>
    <w:rsid w:val="00A81192"/>
    <w:rsid w:val="00A85245"/>
    <w:rsid w:val="00A857C6"/>
    <w:rsid w:val="00A866A5"/>
    <w:rsid w:val="00A87E88"/>
    <w:rsid w:val="00A90548"/>
    <w:rsid w:val="00A90696"/>
    <w:rsid w:val="00A907CC"/>
    <w:rsid w:val="00A90FBB"/>
    <w:rsid w:val="00A92133"/>
    <w:rsid w:val="00A94160"/>
    <w:rsid w:val="00A94308"/>
    <w:rsid w:val="00A95343"/>
    <w:rsid w:val="00A958C7"/>
    <w:rsid w:val="00AA090F"/>
    <w:rsid w:val="00AA18DD"/>
    <w:rsid w:val="00AA2773"/>
    <w:rsid w:val="00AA3589"/>
    <w:rsid w:val="00AA72C0"/>
    <w:rsid w:val="00AB1B1F"/>
    <w:rsid w:val="00AB1B71"/>
    <w:rsid w:val="00AB3395"/>
    <w:rsid w:val="00AB4655"/>
    <w:rsid w:val="00AB5720"/>
    <w:rsid w:val="00AC089A"/>
    <w:rsid w:val="00AC13FF"/>
    <w:rsid w:val="00AC18CA"/>
    <w:rsid w:val="00AC29DC"/>
    <w:rsid w:val="00AC3527"/>
    <w:rsid w:val="00AC599F"/>
    <w:rsid w:val="00AC5A95"/>
    <w:rsid w:val="00AC6231"/>
    <w:rsid w:val="00AD2389"/>
    <w:rsid w:val="00AD335F"/>
    <w:rsid w:val="00AD3C3D"/>
    <w:rsid w:val="00AD5DD5"/>
    <w:rsid w:val="00AD6513"/>
    <w:rsid w:val="00AE3145"/>
    <w:rsid w:val="00AE6A39"/>
    <w:rsid w:val="00AF1DE8"/>
    <w:rsid w:val="00AF24DA"/>
    <w:rsid w:val="00AF3E4D"/>
    <w:rsid w:val="00B00959"/>
    <w:rsid w:val="00B0629C"/>
    <w:rsid w:val="00B074FB"/>
    <w:rsid w:val="00B15F1F"/>
    <w:rsid w:val="00B15FDC"/>
    <w:rsid w:val="00B17AD9"/>
    <w:rsid w:val="00B17B7C"/>
    <w:rsid w:val="00B251A1"/>
    <w:rsid w:val="00B25C4F"/>
    <w:rsid w:val="00B26BC3"/>
    <w:rsid w:val="00B30483"/>
    <w:rsid w:val="00B319AA"/>
    <w:rsid w:val="00B33407"/>
    <w:rsid w:val="00B3382A"/>
    <w:rsid w:val="00B33C8C"/>
    <w:rsid w:val="00B3498B"/>
    <w:rsid w:val="00B34D70"/>
    <w:rsid w:val="00B364FB"/>
    <w:rsid w:val="00B4087D"/>
    <w:rsid w:val="00B41ADE"/>
    <w:rsid w:val="00B42843"/>
    <w:rsid w:val="00B42ABF"/>
    <w:rsid w:val="00B45AAE"/>
    <w:rsid w:val="00B473B7"/>
    <w:rsid w:val="00B51908"/>
    <w:rsid w:val="00B52FA8"/>
    <w:rsid w:val="00B553A9"/>
    <w:rsid w:val="00B56C85"/>
    <w:rsid w:val="00B578D0"/>
    <w:rsid w:val="00B63457"/>
    <w:rsid w:val="00B63D13"/>
    <w:rsid w:val="00B6432A"/>
    <w:rsid w:val="00B755D3"/>
    <w:rsid w:val="00B801C6"/>
    <w:rsid w:val="00B81BEE"/>
    <w:rsid w:val="00B82227"/>
    <w:rsid w:val="00B84092"/>
    <w:rsid w:val="00B850E2"/>
    <w:rsid w:val="00B86BCE"/>
    <w:rsid w:val="00B93A6A"/>
    <w:rsid w:val="00B958E7"/>
    <w:rsid w:val="00BA2304"/>
    <w:rsid w:val="00BA2C73"/>
    <w:rsid w:val="00BA3110"/>
    <w:rsid w:val="00BA4777"/>
    <w:rsid w:val="00BA5DB3"/>
    <w:rsid w:val="00BA72A9"/>
    <w:rsid w:val="00BA780F"/>
    <w:rsid w:val="00BB2C09"/>
    <w:rsid w:val="00BB5D11"/>
    <w:rsid w:val="00BB743B"/>
    <w:rsid w:val="00BB7CD8"/>
    <w:rsid w:val="00BC02D1"/>
    <w:rsid w:val="00BC10D9"/>
    <w:rsid w:val="00BC2BBB"/>
    <w:rsid w:val="00BC31DA"/>
    <w:rsid w:val="00BC4F35"/>
    <w:rsid w:val="00BC5133"/>
    <w:rsid w:val="00BD1334"/>
    <w:rsid w:val="00BD1A9F"/>
    <w:rsid w:val="00BD4DB2"/>
    <w:rsid w:val="00BD5281"/>
    <w:rsid w:val="00BE09AA"/>
    <w:rsid w:val="00BE0DD1"/>
    <w:rsid w:val="00BE22CD"/>
    <w:rsid w:val="00BE4287"/>
    <w:rsid w:val="00BE54CE"/>
    <w:rsid w:val="00BE6806"/>
    <w:rsid w:val="00BF0D04"/>
    <w:rsid w:val="00BF11EE"/>
    <w:rsid w:val="00BF2370"/>
    <w:rsid w:val="00BF260A"/>
    <w:rsid w:val="00BF26D0"/>
    <w:rsid w:val="00BF29F1"/>
    <w:rsid w:val="00BF4695"/>
    <w:rsid w:val="00BF6BD3"/>
    <w:rsid w:val="00BF7B05"/>
    <w:rsid w:val="00C03584"/>
    <w:rsid w:val="00C0569C"/>
    <w:rsid w:val="00C06920"/>
    <w:rsid w:val="00C10B80"/>
    <w:rsid w:val="00C11A1F"/>
    <w:rsid w:val="00C11AB7"/>
    <w:rsid w:val="00C146BE"/>
    <w:rsid w:val="00C15CCB"/>
    <w:rsid w:val="00C210FB"/>
    <w:rsid w:val="00C219F1"/>
    <w:rsid w:val="00C228AD"/>
    <w:rsid w:val="00C23600"/>
    <w:rsid w:val="00C27D82"/>
    <w:rsid w:val="00C318E7"/>
    <w:rsid w:val="00C36E58"/>
    <w:rsid w:val="00C36E73"/>
    <w:rsid w:val="00C3734B"/>
    <w:rsid w:val="00C40807"/>
    <w:rsid w:val="00C465C4"/>
    <w:rsid w:val="00C52CBD"/>
    <w:rsid w:val="00C52F9F"/>
    <w:rsid w:val="00C531BB"/>
    <w:rsid w:val="00C55E98"/>
    <w:rsid w:val="00C56529"/>
    <w:rsid w:val="00C571DC"/>
    <w:rsid w:val="00C57E3B"/>
    <w:rsid w:val="00C60782"/>
    <w:rsid w:val="00C63EEE"/>
    <w:rsid w:val="00C663EC"/>
    <w:rsid w:val="00C66937"/>
    <w:rsid w:val="00C67388"/>
    <w:rsid w:val="00C67A4E"/>
    <w:rsid w:val="00C70557"/>
    <w:rsid w:val="00C73172"/>
    <w:rsid w:val="00C734AB"/>
    <w:rsid w:val="00C7398A"/>
    <w:rsid w:val="00C744B6"/>
    <w:rsid w:val="00C749BC"/>
    <w:rsid w:val="00C77C64"/>
    <w:rsid w:val="00C77DE4"/>
    <w:rsid w:val="00C8197E"/>
    <w:rsid w:val="00C8662E"/>
    <w:rsid w:val="00C91093"/>
    <w:rsid w:val="00C935AA"/>
    <w:rsid w:val="00C93CDB"/>
    <w:rsid w:val="00C9410F"/>
    <w:rsid w:val="00CA066F"/>
    <w:rsid w:val="00CA14B2"/>
    <w:rsid w:val="00CA1E57"/>
    <w:rsid w:val="00CA2650"/>
    <w:rsid w:val="00CA26DE"/>
    <w:rsid w:val="00CA62D7"/>
    <w:rsid w:val="00CA67BC"/>
    <w:rsid w:val="00CA6F9C"/>
    <w:rsid w:val="00CB0640"/>
    <w:rsid w:val="00CB0A5E"/>
    <w:rsid w:val="00CB23CF"/>
    <w:rsid w:val="00CB3019"/>
    <w:rsid w:val="00CB3D28"/>
    <w:rsid w:val="00CB4721"/>
    <w:rsid w:val="00CB6532"/>
    <w:rsid w:val="00CC425A"/>
    <w:rsid w:val="00CC4E94"/>
    <w:rsid w:val="00CC5D42"/>
    <w:rsid w:val="00CC6E2A"/>
    <w:rsid w:val="00CC7E86"/>
    <w:rsid w:val="00CD0C4C"/>
    <w:rsid w:val="00CD0C91"/>
    <w:rsid w:val="00CD17F4"/>
    <w:rsid w:val="00CD1D49"/>
    <w:rsid w:val="00CD1DAF"/>
    <w:rsid w:val="00CD25EA"/>
    <w:rsid w:val="00CD27A4"/>
    <w:rsid w:val="00CD4F4C"/>
    <w:rsid w:val="00CD5EC9"/>
    <w:rsid w:val="00CD6067"/>
    <w:rsid w:val="00CD6E1C"/>
    <w:rsid w:val="00CD74FE"/>
    <w:rsid w:val="00CD7C9D"/>
    <w:rsid w:val="00CE1F68"/>
    <w:rsid w:val="00CE20CD"/>
    <w:rsid w:val="00CE251F"/>
    <w:rsid w:val="00CE3A07"/>
    <w:rsid w:val="00CE6CFD"/>
    <w:rsid w:val="00CF038B"/>
    <w:rsid w:val="00CF22AC"/>
    <w:rsid w:val="00CF253C"/>
    <w:rsid w:val="00CF5D1D"/>
    <w:rsid w:val="00D00C03"/>
    <w:rsid w:val="00D01C7E"/>
    <w:rsid w:val="00D05CB6"/>
    <w:rsid w:val="00D11F1B"/>
    <w:rsid w:val="00D12D6E"/>
    <w:rsid w:val="00D16F48"/>
    <w:rsid w:val="00D1744A"/>
    <w:rsid w:val="00D17C9A"/>
    <w:rsid w:val="00D215FC"/>
    <w:rsid w:val="00D21C5D"/>
    <w:rsid w:val="00D2570D"/>
    <w:rsid w:val="00D26701"/>
    <w:rsid w:val="00D27C7E"/>
    <w:rsid w:val="00D3005C"/>
    <w:rsid w:val="00D33217"/>
    <w:rsid w:val="00D3458F"/>
    <w:rsid w:val="00D43498"/>
    <w:rsid w:val="00D439BB"/>
    <w:rsid w:val="00D44671"/>
    <w:rsid w:val="00D45474"/>
    <w:rsid w:val="00D45FAA"/>
    <w:rsid w:val="00D4718A"/>
    <w:rsid w:val="00D47436"/>
    <w:rsid w:val="00D51926"/>
    <w:rsid w:val="00D543CD"/>
    <w:rsid w:val="00D550EC"/>
    <w:rsid w:val="00D56C8F"/>
    <w:rsid w:val="00D60B8D"/>
    <w:rsid w:val="00D61529"/>
    <w:rsid w:val="00D63723"/>
    <w:rsid w:val="00D66EE9"/>
    <w:rsid w:val="00D74F15"/>
    <w:rsid w:val="00D76C1E"/>
    <w:rsid w:val="00D779A9"/>
    <w:rsid w:val="00D85AAA"/>
    <w:rsid w:val="00D909F2"/>
    <w:rsid w:val="00D90F97"/>
    <w:rsid w:val="00D94E90"/>
    <w:rsid w:val="00D96500"/>
    <w:rsid w:val="00DA1C9F"/>
    <w:rsid w:val="00DA2364"/>
    <w:rsid w:val="00DA2912"/>
    <w:rsid w:val="00DA5501"/>
    <w:rsid w:val="00DA5D44"/>
    <w:rsid w:val="00DB4147"/>
    <w:rsid w:val="00DC293F"/>
    <w:rsid w:val="00DC4A90"/>
    <w:rsid w:val="00DC4DFB"/>
    <w:rsid w:val="00DC5715"/>
    <w:rsid w:val="00DC6296"/>
    <w:rsid w:val="00DD4436"/>
    <w:rsid w:val="00DD4833"/>
    <w:rsid w:val="00DD5102"/>
    <w:rsid w:val="00DD5A61"/>
    <w:rsid w:val="00DD695A"/>
    <w:rsid w:val="00DD741B"/>
    <w:rsid w:val="00DE19A2"/>
    <w:rsid w:val="00DE2473"/>
    <w:rsid w:val="00DE2485"/>
    <w:rsid w:val="00DE5BBB"/>
    <w:rsid w:val="00DE6B73"/>
    <w:rsid w:val="00DE7B3B"/>
    <w:rsid w:val="00DF13A1"/>
    <w:rsid w:val="00DF2211"/>
    <w:rsid w:val="00DF30A2"/>
    <w:rsid w:val="00DF3B3B"/>
    <w:rsid w:val="00DF6BAA"/>
    <w:rsid w:val="00E008EA"/>
    <w:rsid w:val="00E02921"/>
    <w:rsid w:val="00E05653"/>
    <w:rsid w:val="00E100E0"/>
    <w:rsid w:val="00E10E2F"/>
    <w:rsid w:val="00E127F2"/>
    <w:rsid w:val="00E13FC4"/>
    <w:rsid w:val="00E15BA0"/>
    <w:rsid w:val="00E1649F"/>
    <w:rsid w:val="00E203CA"/>
    <w:rsid w:val="00E258C1"/>
    <w:rsid w:val="00E25FEE"/>
    <w:rsid w:val="00E265A8"/>
    <w:rsid w:val="00E30543"/>
    <w:rsid w:val="00E30B00"/>
    <w:rsid w:val="00E32AF4"/>
    <w:rsid w:val="00E33D6A"/>
    <w:rsid w:val="00E371CE"/>
    <w:rsid w:val="00E40029"/>
    <w:rsid w:val="00E40799"/>
    <w:rsid w:val="00E4263F"/>
    <w:rsid w:val="00E427BE"/>
    <w:rsid w:val="00E449FC"/>
    <w:rsid w:val="00E50D03"/>
    <w:rsid w:val="00E51A6E"/>
    <w:rsid w:val="00E54586"/>
    <w:rsid w:val="00E56262"/>
    <w:rsid w:val="00E5782F"/>
    <w:rsid w:val="00E6297B"/>
    <w:rsid w:val="00E63992"/>
    <w:rsid w:val="00E6430A"/>
    <w:rsid w:val="00E66463"/>
    <w:rsid w:val="00E705FE"/>
    <w:rsid w:val="00E723B0"/>
    <w:rsid w:val="00E73D09"/>
    <w:rsid w:val="00E744BE"/>
    <w:rsid w:val="00E74AE8"/>
    <w:rsid w:val="00E7696B"/>
    <w:rsid w:val="00E76C7A"/>
    <w:rsid w:val="00E822AA"/>
    <w:rsid w:val="00E822F9"/>
    <w:rsid w:val="00E82C4E"/>
    <w:rsid w:val="00E84896"/>
    <w:rsid w:val="00E8563A"/>
    <w:rsid w:val="00E86C46"/>
    <w:rsid w:val="00E93443"/>
    <w:rsid w:val="00E9364E"/>
    <w:rsid w:val="00E94F02"/>
    <w:rsid w:val="00E95354"/>
    <w:rsid w:val="00EA169E"/>
    <w:rsid w:val="00EA27BD"/>
    <w:rsid w:val="00EA2C26"/>
    <w:rsid w:val="00EA3328"/>
    <w:rsid w:val="00EB17BF"/>
    <w:rsid w:val="00EB1A9B"/>
    <w:rsid w:val="00EB1AEC"/>
    <w:rsid w:val="00EB1C18"/>
    <w:rsid w:val="00EB1F69"/>
    <w:rsid w:val="00EB289D"/>
    <w:rsid w:val="00EB3581"/>
    <w:rsid w:val="00EB400A"/>
    <w:rsid w:val="00EB48E4"/>
    <w:rsid w:val="00EB4FFF"/>
    <w:rsid w:val="00EB5D53"/>
    <w:rsid w:val="00EB675A"/>
    <w:rsid w:val="00EB7FEE"/>
    <w:rsid w:val="00EC2A12"/>
    <w:rsid w:val="00EC5BF8"/>
    <w:rsid w:val="00EC648C"/>
    <w:rsid w:val="00EC78F1"/>
    <w:rsid w:val="00EC7B88"/>
    <w:rsid w:val="00ED1BA2"/>
    <w:rsid w:val="00ED2DED"/>
    <w:rsid w:val="00ED78F6"/>
    <w:rsid w:val="00EE1554"/>
    <w:rsid w:val="00EE2641"/>
    <w:rsid w:val="00EE2DFE"/>
    <w:rsid w:val="00EE67D1"/>
    <w:rsid w:val="00EE689A"/>
    <w:rsid w:val="00EE7EF8"/>
    <w:rsid w:val="00EF00C2"/>
    <w:rsid w:val="00EF3B46"/>
    <w:rsid w:val="00F0108F"/>
    <w:rsid w:val="00F015E3"/>
    <w:rsid w:val="00F023A0"/>
    <w:rsid w:val="00F037D2"/>
    <w:rsid w:val="00F0542C"/>
    <w:rsid w:val="00F054CC"/>
    <w:rsid w:val="00F055E5"/>
    <w:rsid w:val="00F063CC"/>
    <w:rsid w:val="00F12DA4"/>
    <w:rsid w:val="00F1397E"/>
    <w:rsid w:val="00F13DE3"/>
    <w:rsid w:val="00F16063"/>
    <w:rsid w:val="00F17F90"/>
    <w:rsid w:val="00F214D3"/>
    <w:rsid w:val="00F216B9"/>
    <w:rsid w:val="00F216C4"/>
    <w:rsid w:val="00F22264"/>
    <w:rsid w:val="00F23465"/>
    <w:rsid w:val="00F27360"/>
    <w:rsid w:val="00F32F7C"/>
    <w:rsid w:val="00F35C2A"/>
    <w:rsid w:val="00F36FE3"/>
    <w:rsid w:val="00F40477"/>
    <w:rsid w:val="00F40C91"/>
    <w:rsid w:val="00F41270"/>
    <w:rsid w:val="00F44098"/>
    <w:rsid w:val="00F46A79"/>
    <w:rsid w:val="00F501CD"/>
    <w:rsid w:val="00F5096F"/>
    <w:rsid w:val="00F52BCA"/>
    <w:rsid w:val="00F606BE"/>
    <w:rsid w:val="00F628B6"/>
    <w:rsid w:val="00F62CA2"/>
    <w:rsid w:val="00F64309"/>
    <w:rsid w:val="00F65A5F"/>
    <w:rsid w:val="00F67BC4"/>
    <w:rsid w:val="00F70946"/>
    <w:rsid w:val="00F722A8"/>
    <w:rsid w:val="00F756BC"/>
    <w:rsid w:val="00F80948"/>
    <w:rsid w:val="00F8343C"/>
    <w:rsid w:val="00F83BA1"/>
    <w:rsid w:val="00F848CC"/>
    <w:rsid w:val="00F875FF"/>
    <w:rsid w:val="00F87FEF"/>
    <w:rsid w:val="00F90DCD"/>
    <w:rsid w:val="00F972C2"/>
    <w:rsid w:val="00FA27DD"/>
    <w:rsid w:val="00FA71FD"/>
    <w:rsid w:val="00FB2828"/>
    <w:rsid w:val="00FB3B23"/>
    <w:rsid w:val="00FB68B6"/>
    <w:rsid w:val="00FC0552"/>
    <w:rsid w:val="00FC110F"/>
    <w:rsid w:val="00FC1C9E"/>
    <w:rsid w:val="00FC49DE"/>
    <w:rsid w:val="00FC4B8F"/>
    <w:rsid w:val="00FC5A57"/>
    <w:rsid w:val="00FC5B67"/>
    <w:rsid w:val="00FD4794"/>
    <w:rsid w:val="00FD4DD2"/>
    <w:rsid w:val="00FD4EC0"/>
    <w:rsid w:val="00FD516A"/>
    <w:rsid w:val="00FD7D27"/>
    <w:rsid w:val="00FE2A61"/>
    <w:rsid w:val="00FE337A"/>
    <w:rsid w:val="00FE3AFF"/>
    <w:rsid w:val="00FE4826"/>
    <w:rsid w:val="00FE572C"/>
    <w:rsid w:val="00FF10F9"/>
    <w:rsid w:val="00FF1EA8"/>
    <w:rsid w:val="00FF1FA7"/>
    <w:rsid w:val="00FF459D"/>
    <w:rsid w:val="00FF548F"/>
    <w:rsid w:val="00FF5DFD"/>
    <w:rsid w:val="00FF5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72"/>
    <w:pPr>
      <w:spacing w:line="360" w:lineRule="auto"/>
      <w:jc w:val="both"/>
    </w:pPr>
    <w:rPr>
      <w:sz w:val="24"/>
      <w:szCs w:val="24"/>
    </w:rPr>
  </w:style>
  <w:style w:type="paragraph" w:styleId="Overskrift1">
    <w:name w:val="heading 1"/>
    <w:basedOn w:val="Normal"/>
    <w:next w:val="Normal"/>
    <w:link w:val="Overskrift1Tegn"/>
    <w:qFormat/>
    <w:rsid w:val="003220B1"/>
    <w:pPr>
      <w:keepNext/>
      <w:spacing w:before="240" w:after="60"/>
      <w:outlineLvl w:val="0"/>
    </w:pPr>
    <w:rPr>
      <w:rFonts w:ascii="Verdana" w:eastAsiaTheme="majorEastAsia" w:hAnsi="Verdana" w:cstheme="majorBidi"/>
      <w:b/>
      <w:bCs/>
      <w:kern w:val="32"/>
      <w:sz w:val="28"/>
      <w:szCs w:val="32"/>
    </w:rPr>
  </w:style>
  <w:style w:type="paragraph" w:styleId="Overskrift2">
    <w:name w:val="heading 2"/>
    <w:basedOn w:val="Normal"/>
    <w:next w:val="Normal"/>
    <w:link w:val="Overskrift2Tegn"/>
    <w:unhideWhenUsed/>
    <w:qFormat/>
    <w:rsid w:val="003E49E5"/>
    <w:pPr>
      <w:keepNext/>
      <w:keepLines/>
      <w:spacing w:before="200"/>
      <w:outlineLvl w:val="1"/>
    </w:pPr>
    <w:rPr>
      <w:rFonts w:ascii="Verdana" w:eastAsiaTheme="majorEastAsia" w:hAnsi="Verdana" w:cstheme="majorBidi"/>
      <w:b/>
      <w:bCs/>
      <w:i/>
      <w:szCs w:val="26"/>
    </w:rPr>
  </w:style>
  <w:style w:type="paragraph" w:styleId="Overskrift3">
    <w:name w:val="heading 3"/>
    <w:basedOn w:val="Normal"/>
    <w:next w:val="Normal"/>
    <w:link w:val="Overskrift3Tegn"/>
    <w:unhideWhenUsed/>
    <w:qFormat/>
    <w:rsid w:val="007A419F"/>
    <w:pPr>
      <w:keepNext/>
      <w:keepLines/>
      <w:spacing w:before="200"/>
      <w:outlineLvl w:val="2"/>
    </w:pPr>
    <w:rPr>
      <w:rFonts w:ascii="Verdana" w:eastAsiaTheme="majorEastAsia" w:hAnsi="Verdana" w:cstheme="majorBidi"/>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220B1"/>
    <w:rPr>
      <w:rFonts w:ascii="Verdana" w:eastAsiaTheme="majorEastAsia" w:hAnsi="Verdana" w:cstheme="majorBidi"/>
      <w:b/>
      <w:bCs/>
      <w:kern w:val="32"/>
      <w:sz w:val="28"/>
      <w:szCs w:val="32"/>
    </w:rPr>
  </w:style>
  <w:style w:type="paragraph" w:styleId="Undertitel">
    <w:name w:val="Subtitle"/>
    <w:basedOn w:val="Normal"/>
    <w:next w:val="Normal"/>
    <w:link w:val="UndertitelTegn"/>
    <w:qFormat/>
    <w:rsid w:val="00615DEA"/>
    <w:pPr>
      <w:spacing w:after="60"/>
      <w:jc w:val="center"/>
      <w:outlineLvl w:val="1"/>
    </w:pPr>
    <w:rPr>
      <w:rFonts w:asciiTheme="majorHAnsi" w:eastAsiaTheme="majorEastAsia" w:hAnsiTheme="majorHAnsi" w:cstheme="majorBidi"/>
    </w:rPr>
  </w:style>
  <w:style w:type="character" w:customStyle="1" w:styleId="UndertitelTegn">
    <w:name w:val="Undertitel Tegn"/>
    <w:basedOn w:val="Standardskrifttypeiafsnit"/>
    <w:link w:val="Undertitel"/>
    <w:rsid w:val="00615DEA"/>
    <w:rPr>
      <w:rFonts w:asciiTheme="majorHAnsi" w:eastAsiaTheme="majorEastAsia" w:hAnsiTheme="majorHAnsi" w:cstheme="majorBidi"/>
      <w:sz w:val="24"/>
      <w:szCs w:val="24"/>
    </w:rPr>
  </w:style>
  <w:style w:type="character" w:styleId="Strk">
    <w:name w:val="Strong"/>
    <w:basedOn w:val="Standardskrifttypeiafsnit"/>
    <w:qFormat/>
    <w:rsid w:val="00615DEA"/>
    <w:rPr>
      <w:rFonts w:ascii="Verdana" w:hAnsi="Verdana"/>
      <w:b/>
      <w:bCs/>
      <w:sz w:val="22"/>
    </w:rPr>
  </w:style>
  <w:style w:type="paragraph" w:styleId="Overskrift">
    <w:name w:val="TOC Heading"/>
    <w:basedOn w:val="Overskrift1"/>
    <w:next w:val="Normal"/>
    <w:uiPriority w:val="39"/>
    <w:semiHidden/>
    <w:unhideWhenUsed/>
    <w:qFormat/>
    <w:rsid w:val="00615DEA"/>
    <w:pPr>
      <w:keepLines/>
      <w:spacing w:before="480" w:after="0" w:line="276" w:lineRule="auto"/>
      <w:outlineLvl w:val="9"/>
    </w:pPr>
    <w:rPr>
      <w:rFonts w:asciiTheme="majorHAnsi" w:hAnsiTheme="majorHAnsi"/>
      <w:color w:val="365F91" w:themeColor="accent1" w:themeShade="BF"/>
      <w:kern w:val="0"/>
      <w:szCs w:val="28"/>
      <w:lang w:eastAsia="en-US"/>
    </w:rPr>
  </w:style>
  <w:style w:type="paragraph" w:styleId="Sidehoved">
    <w:name w:val="header"/>
    <w:basedOn w:val="Normal"/>
    <w:link w:val="SidehovedTegn"/>
    <w:uiPriority w:val="99"/>
    <w:unhideWhenUsed/>
    <w:rsid w:val="003E49E5"/>
    <w:pPr>
      <w:tabs>
        <w:tab w:val="center" w:pos="4819"/>
        <w:tab w:val="right" w:pos="9638"/>
      </w:tabs>
    </w:pPr>
  </w:style>
  <w:style w:type="character" w:customStyle="1" w:styleId="SidehovedTegn">
    <w:name w:val="Sidehoved Tegn"/>
    <w:basedOn w:val="Standardskrifttypeiafsnit"/>
    <w:link w:val="Sidehoved"/>
    <w:uiPriority w:val="99"/>
    <w:rsid w:val="003E49E5"/>
    <w:rPr>
      <w:sz w:val="24"/>
      <w:szCs w:val="24"/>
    </w:rPr>
  </w:style>
  <w:style w:type="paragraph" w:styleId="Sidefod">
    <w:name w:val="footer"/>
    <w:basedOn w:val="Normal"/>
    <w:link w:val="SidefodTegn"/>
    <w:uiPriority w:val="99"/>
    <w:unhideWhenUsed/>
    <w:rsid w:val="003E49E5"/>
    <w:pPr>
      <w:tabs>
        <w:tab w:val="center" w:pos="4819"/>
        <w:tab w:val="right" w:pos="9638"/>
      </w:tabs>
    </w:pPr>
  </w:style>
  <w:style w:type="character" w:customStyle="1" w:styleId="SidefodTegn">
    <w:name w:val="Sidefod Tegn"/>
    <w:basedOn w:val="Standardskrifttypeiafsnit"/>
    <w:link w:val="Sidefod"/>
    <w:uiPriority w:val="99"/>
    <w:rsid w:val="003E49E5"/>
    <w:rPr>
      <w:sz w:val="24"/>
      <w:szCs w:val="24"/>
    </w:rPr>
  </w:style>
  <w:style w:type="character" w:customStyle="1" w:styleId="Overskrift2Tegn">
    <w:name w:val="Overskrift 2 Tegn"/>
    <w:basedOn w:val="Standardskrifttypeiafsnit"/>
    <w:link w:val="Overskrift2"/>
    <w:rsid w:val="003E49E5"/>
    <w:rPr>
      <w:rFonts w:ascii="Verdana" w:eastAsiaTheme="majorEastAsia" w:hAnsi="Verdana" w:cstheme="majorBidi"/>
      <w:b/>
      <w:bCs/>
      <w:i/>
      <w:sz w:val="24"/>
      <w:szCs w:val="26"/>
    </w:rPr>
  </w:style>
  <w:style w:type="paragraph" w:styleId="Listeafsnit">
    <w:name w:val="List Paragraph"/>
    <w:basedOn w:val="Normal"/>
    <w:uiPriority w:val="34"/>
    <w:qFormat/>
    <w:rsid w:val="003E49E5"/>
    <w:pPr>
      <w:ind w:left="720"/>
      <w:contextualSpacing/>
    </w:pPr>
  </w:style>
  <w:style w:type="paragraph" w:styleId="Fodnotetekst">
    <w:name w:val="footnote text"/>
    <w:basedOn w:val="Normal"/>
    <w:link w:val="FodnotetekstTegn"/>
    <w:uiPriority w:val="99"/>
    <w:semiHidden/>
    <w:unhideWhenUsed/>
    <w:rsid w:val="00AC089A"/>
    <w:pPr>
      <w:spacing w:line="240" w:lineRule="auto"/>
    </w:pPr>
    <w:rPr>
      <w:sz w:val="20"/>
      <w:szCs w:val="20"/>
    </w:rPr>
  </w:style>
  <w:style w:type="character" w:customStyle="1" w:styleId="FodnotetekstTegn">
    <w:name w:val="Fodnotetekst Tegn"/>
    <w:basedOn w:val="Standardskrifttypeiafsnit"/>
    <w:link w:val="Fodnotetekst"/>
    <w:uiPriority w:val="99"/>
    <w:semiHidden/>
    <w:rsid w:val="00AC089A"/>
  </w:style>
  <w:style w:type="character" w:styleId="Fodnotehenvisning">
    <w:name w:val="footnote reference"/>
    <w:basedOn w:val="Standardskrifttypeiafsnit"/>
    <w:uiPriority w:val="99"/>
    <w:semiHidden/>
    <w:unhideWhenUsed/>
    <w:rsid w:val="00AC089A"/>
    <w:rPr>
      <w:vertAlign w:val="superscript"/>
    </w:rPr>
  </w:style>
  <w:style w:type="paragraph" w:styleId="Markeringsbobletekst">
    <w:name w:val="Balloon Text"/>
    <w:basedOn w:val="Normal"/>
    <w:link w:val="MarkeringsbobletekstTegn"/>
    <w:uiPriority w:val="99"/>
    <w:semiHidden/>
    <w:unhideWhenUsed/>
    <w:rsid w:val="002D3E4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E4F"/>
    <w:rPr>
      <w:rFonts w:ascii="Tahoma" w:hAnsi="Tahoma" w:cs="Tahoma"/>
      <w:sz w:val="16"/>
      <w:szCs w:val="16"/>
    </w:rPr>
  </w:style>
  <w:style w:type="character" w:customStyle="1" w:styleId="Overskrift3Tegn">
    <w:name w:val="Overskrift 3 Tegn"/>
    <w:basedOn w:val="Standardskrifttypeiafsnit"/>
    <w:link w:val="Overskrift3"/>
    <w:rsid w:val="007A419F"/>
    <w:rPr>
      <w:rFonts w:ascii="Verdana" w:eastAsiaTheme="majorEastAsia" w:hAnsi="Verdana" w:cstheme="majorBidi"/>
      <w:b/>
      <w:bCs/>
      <w:szCs w:val="24"/>
    </w:rPr>
  </w:style>
  <w:style w:type="paragraph" w:styleId="Indholdsfortegnelse1">
    <w:name w:val="toc 1"/>
    <w:basedOn w:val="Normal"/>
    <w:next w:val="Normal"/>
    <w:autoRedefine/>
    <w:uiPriority w:val="39"/>
    <w:unhideWhenUsed/>
    <w:rsid w:val="00056FE0"/>
    <w:pPr>
      <w:tabs>
        <w:tab w:val="left" w:pos="390"/>
        <w:tab w:val="right" w:leader="dot" w:pos="9062"/>
      </w:tabs>
      <w:spacing w:before="360" w:after="360" w:line="240" w:lineRule="auto"/>
      <w:jc w:val="left"/>
    </w:pPr>
    <w:rPr>
      <w:rFonts w:asciiTheme="minorHAnsi" w:hAnsiTheme="minorHAnsi"/>
      <w:b/>
      <w:bCs/>
      <w:caps/>
      <w:sz w:val="22"/>
      <w:szCs w:val="22"/>
      <w:u w:val="single"/>
    </w:rPr>
  </w:style>
  <w:style w:type="paragraph" w:styleId="Indholdsfortegnelse2">
    <w:name w:val="toc 2"/>
    <w:basedOn w:val="Normal"/>
    <w:next w:val="Normal"/>
    <w:autoRedefine/>
    <w:uiPriority w:val="39"/>
    <w:unhideWhenUsed/>
    <w:rsid w:val="00056FE0"/>
    <w:pPr>
      <w:tabs>
        <w:tab w:val="left" w:pos="502"/>
        <w:tab w:val="right" w:leader="dot" w:pos="9062"/>
      </w:tabs>
      <w:spacing w:line="240" w:lineRule="auto"/>
      <w:jc w:val="left"/>
    </w:pPr>
    <w:rPr>
      <w:rFonts w:asciiTheme="minorHAnsi" w:hAnsiTheme="minorHAnsi"/>
      <w:b/>
      <w:bCs/>
      <w:smallCaps/>
      <w:sz w:val="22"/>
      <w:szCs w:val="22"/>
    </w:rPr>
  </w:style>
  <w:style w:type="paragraph" w:styleId="Indholdsfortegnelse3">
    <w:name w:val="toc 3"/>
    <w:basedOn w:val="Normal"/>
    <w:next w:val="Normal"/>
    <w:autoRedefine/>
    <w:uiPriority w:val="39"/>
    <w:unhideWhenUsed/>
    <w:rsid w:val="0087410F"/>
    <w:pPr>
      <w:tabs>
        <w:tab w:val="left" w:pos="666"/>
        <w:tab w:val="right" w:leader="dot" w:pos="9062"/>
      </w:tabs>
      <w:spacing w:line="240" w:lineRule="auto"/>
      <w:jc w:val="left"/>
    </w:pPr>
    <w:rPr>
      <w:rFonts w:asciiTheme="minorHAnsi" w:hAnsiTheme="minorHAnsi"/>
      <w:smallCaps/>
      <w:sz w:val="22"/>
      <w:szCs w:val="22"/>
    </w:rPr>
  </w:style>
  <w:style w:type="paragraph" w:styleId="Indholdsfortegnelse4">
    <w:name w:val="toc 4"/>
    <w:basedOn w:val="Normal"/>
    <w:next w:val="Normal"/>
    <w:autoRedefine/>
    <w:uiPriority w:val="39"/>
    <w:unhideWhenUsed/>
    <w:rsid w:val="00056FE0"/>
    <w:pPr>
      <w:jc w:val="left"/>
    </w:pPr>
    <w:rPr>
      <w:rFonts w:asciiTheme="minorHAnsi" w:hAnsiTheme="minorHAnsi"/>
      <w:sz w:val="22"/>
      <w:szCs w:val="22"/>
    </w:rPr>
  </w:style>
  <w:style w:type="paragraph" w:styleId="Indholdsfortegnelse5">
    <w:name w:val="toc 5"/>
    <w:basedOn w:val="Normal"/>
    <w:next w:val="Normal"/>
    <w:autoRedefine/>
    <w:uiPriority w:val="39"/>
    <w:unhideWhenUsed/>
    <w:rsid w:val="00056FE0"/>
    <w:pPr>
      <w:jc w:val="left"/>
    </w:pPr>
    <w:rPr>
      <w:rFonts w:asciiTheme="minorHAnsi" w:hAnsiTheme="minorHAnsi"/>
      <w:sz w:val="22"/>
      <w:szCs w:val="22"/>
    </w:rPr>
  </w:style>
  <w:style w:type="paragraph" w:styleId="Indholdsfortegnelse6">
    <w:name w:val="toc 6"/>
    <w:basedOn w:val="Normal"/>
    <w:next w:val="Normal"/>
    <w:autoRedefine/>
    <w:uiPriority w:val="39"/>
    <w:unhideWhenUsed/>
    <w:rsid w:val="00056FE0"/>
    <w:pPr>
      <w:jc w:val="left"/>
    </w:pPr>
    <w:rPr>
      <w:rFonts w:asciiTheme="minorHAnsi" w:hAnsiTheme="minorHAnsi"/>
      <w:sz w:val="22"/>
      <w:szCs w:val="22"/>
    </w:rPr>
  </w:style>
  <w:style w:type="paragraph" w:styleId="Indholdsfortegnelse7">
    <w:name w:val="toc 7"/>
    <w:basedOn w:val="Normal"/>
    <w:next w:val="Normal"/>
    <w:autoRedefine/>
    <w:uiPriority w:val="39"/>
    <w:unhideWhenUsed/>
    <w:rsid w:val="00056FE0"/>
    <w:pPr>
      <w:jc w:val="left"/>
    </w:pPr>
    <w:rPr>
      <w:rFonts w:asciiTheme="minorHAnsi" w:hAnsiTheme="minorHAnsi"/>
      <w:sz w:val="22"/>
      <w:szCs w:val="22"/>
    </w:rPr>
  </w:style>
  <w:style w:type="paragraph" w:styleId="Indholdsfortegnelse8">
    <w:name w:val="toc 8"/>
    <w:basedOn w:val="Normal"/>
    <w:next w:val="Normal"/>
    <w:autoRedefine/>
    <w:uiPriority w:val="39"/>
    <w:unhideWhenUsed/>
    <w:rsid w:val="00056FE0"/>
    <w:pPr>
      <w:jc w:val="left"/>
    </w:pPr>
    <w:rPr>
      <w:rFonts w:asciiTheme="minorHAnsi" w:hAnsiTheme="minorHAnsi"/>
      <w:sz w:val="22"/>
      <w:szCs w:val="22"/>
    </w:rPr>
  </w:style>
  <w:style w:type="paragraph" w:styleId="Indholdsfortegnelse9">
    <w:name w:val="toc 9"/>
    <w:basedOn w:val="Normal"/>
    <w:next w:val="Normal"/>
    <w:autoRedefine/>
    <w:uiPriority w:val="39"/>
    <w:unhideWhenUsed/>
    <w:rsid w:val="00056FE0"/>
    <w:pPr>
      <w:jc w:val="left"/>
    </w:pPr>
    <w:rPr>
      <w:rFonts w:asciiTheme="minorHAnsi" w:hAnsiTheme="minorHAnsi"/>
      <w:sz w:val="22"/>
      <w:szCs w:val="22"/>
    </w:rPr>
  </w:style>
  <w:style w:type="paragraph" w:styleId="Ingenafstand">
    <w:name w:val="No Spacing"/>
    <w:link w:val="IngenafstandTegn"/>
    <w:uiPriority w:val="1"/>
    <w:qFormat/>
    <w:rsid w:val="0096559F"/>
    <w:rPr>
      <w:rFonts w:asciiTheme="minorHAnsi" w:eastAsiaTheme="minorEastAsia" w:hAnsiTheme="minorHAnsi" w:cstheme="minorBidi"/>
      <w:sz w:val="22"/>
      <w:szCs w:val="22"/>
      <w:lang w:eastAsia="en-US"/>
    </w:rPr>
  </w:style>
  <w:style w:type="character" w:customStyle="1" w:styleId="IngenafstandTegn">
    <w:name w:val="Ingen afstand Tegn"/>
    <w:basedOn w:val="Standardskrifttypeiafsnit"/>
    <w:link w:val="Ingenafstand"/>
    <w:uiPriority w:val="1"/>
    <w:rsid w:val="0096559F"/>
    <w:rPr>
      <w:rFonts w:asciiTheme="minorHAnsi" w:eastAsiaTheme="minorEastAsia" w:hAnsiTheme="minorHAnsi" w:cstheme="minorBidi"/>
      <w:sz w:val="22"/>
      <w:szCs w:val="22"/>
      <w:lang w:eastAsia="en-US"/>
    </w:rPr>
  </w:style>
  <w:style w:type="character" w:styleId="Pladsholdertekst">
    <w:name w:val="Placeholder Text"/>
    <w:basedOn w:val="Standardskrifttypeiafsnit"/>
    <w:uiPriority w:val="99"/>
    <w:semiHidden/>
    <w:rsid w:val="00163CF3"/>
    <w:rPr>
      <w:color w:val="808080"/>
    </w:rPr>
  </w:style>
  <w:style w:type="table" w:styleId="Tabel-Gitter">
    <w:name w:val="Table Grid"/>
    <w:basedOn w:val="Tabel-Normal"/>
    <w:uiPriority w:val="59"/>
    <w:rsid w:val="00137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fremhvningsfarve4">
    <w:name w:val="Light Shading Accent 4"/>
    <w:basedOn w:val="Tabel-Normal"/>
    <w:uiPriority w:val="60"/>
    <w:rsid w:val="00137E8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37E8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liste-fremhvningsfarve5">
    <w:name w:val="Light List Accent 5"/>
    <w:basedOn w:val="Tabel-Normal"/>
    <w:uiPriority w:val="61"/>
    <w:rsid w:val="00137E8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fremhvningsfarve5">
    <w:name w:val="Light Grid Accent 5"/>
    <w:basedOn w:val="Tabel-Normal"/>
    <w:uiPriority w:val="62"/>
    <w:rsid w:val="00137E8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itter1-fremhvningsfarve1">
    <w:name w:val="Medium Grid 1 Accent 1"/>
    <w:basedOn w:val="Tabel-Normal"/>
    <w:uiPriority w:val="67"/>
    <w:rsid w:val="00F13D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Standardskrifttypeiafsnit"/>
    <w:uiPriority w:val="99"/>
    <w:unhideWhenUsed/>
    <w:rsid w:val="00C60782"/>
    <w:rPr>
      <w:color w:val="0000FF" w:themeColor="hyperlink"/>
      <w:u w:val="single"/>
    </w:rPr>
  </w:style>
  <w:style w:type="character" w:styleId="Kommentarhenvisning">
    <w:name w:val="annotation reference"/>
    <w:basedOn w:val="Standardskrifttypeiafsnit"/>
    <w:uiPriority w:val="99"/>
    <w:semiHidden/>
    <w:unhideWhenUsed/>
    <w:rsid w:val="00B473B7"/>
    <w:rPr>
      <w:sz w:val="16"/>
      <w:szCs w:val="16"/>
    </w:rPr>
  </w:style>
  <w:style w:type="paragraph" w:styleId="Kommentartekst">
    <w:name w:val="annotation text"/>
    <w:basedOn w:val="Normal"/>
    <w:link w:val="KommentartekstTegn"/>
    <w:uiPriority w:val="99"/>
    <w:semiHidden/>
    <w:unhideWhenUsed/>
    <w:rsid w:val="00B473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73B7"/>
  </w:style>
  <w:style w:type="character" w:customStyle="1" w:styleId="span9">
    <w:name w:val="span9"/>
    <w:rsid w:val="00522DCF"/>
  </w:style>
  <w:style w:type="paragraph" w:customStyle="1" w:styleId="ecxmsonormal">
    <w:name w:val="ecxmsonormal"/>
    <w:basedOn w:val="Normal"/>
    <w:rsid w:val="00164761"/>
    <w:pPr>
      <w:spacing w:after="324" w:line="240" w:lineRule="auto"/>
      <w:jc w:val="left"/>
    </w:pPr>
  </w:style>
  <w:style w:type="character" w:customStyle="1" w:styleId="ecxspan9">
    <w:name w:val="ecxspan9"/>
    <w:basedOn w:val="Standardskrifttypeiafsnit"/>
    <w:rsid w:val="0016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33041613">
      <w:bodyDiv w:val="1"/>
      <w:marLeft w:val="0"/>
      <w:marRight w:val="0"/>
      <w:marTop w:val="0"/>
      <w:marBottom w:val="0"/>
      <w:divBdr>
        <w:top w:val="none" w:sz="0" w:space="0" w:color="auto"/>
        <w:left w:val="none" w:sz="0" w:space="0" w:color="auto"/>
        <w:bottom w:val="none" w:sz="0" w:space="0" w:color="auto"/>
        <w:right w:val="none" w:sz="0" w:space="0" w:color="auto"/>
      </w:divBdr>
    </w:div>
    <w:div w:id="45879725">
      <w:bodyDiv w:val="1"/>
      <w:marLeft w:val="0"/>
      <w:marRight w:val="0"/>
      <w:marTop w:val="0"/>
      <w:marBottom w:val="0"/>
      <w:divBdr>
        <w:top w:val="none" w:sz="0" w:space="0" w:color="auto"/>
        <w:left w:val="none" w:sz="0" w:space="0" w:color="auto"/>
        <w:bottom w:val="none" w:sz="0" w:space="0" w:color="auto"/>
        <w:right w:val="none" w:sz="0" w:space="0" w:color="auto"/>
      </w:divBdr>
    </w:div>
    <w:div w:id="68313748">
      <w:bodyDiv w:val="1"/>
      <w:marLeft w:val="0"/>
      <w:marRight w:val="0"/>
      <w:marTop w:val="0"/>
      <w:marBottom w:val="0"/>
      <w:divBdr>
        <w:top w:val="none" w:sz="0" w:space="0" w:color="auto"/>
        <w:left w:val="none" w:sz="0" w:space="0" w:color="auto"/>
        <w:bottom w:val="none" w:sz="0" w:space="0" w:color="auto"/>
        <w:right w:val="none" w:sz="0" w:space="0" w:color="auto"/>
      </w:divBdr>
      <w:divsChild>
        <w:div w:id="779757868">
          <w:marLeft w:val="0"/>
          <w:marRight w:val="0"/>
          <w:marTop w:val="0"/>
          <w:marBottom w:val="0"/>
          <w:divBdr>
            <w:top w:val="none" w:sz="0" w:space="0" w:color="auto"/>
            <w:left w:val="none" w:sz="0" w:space="0" w:color="auto"/>
            <w:bottom w:val="none" w:sz="0" w:space="0" w:color="auto"/>
            <w:right w:val="none" w:sz="0" w:space="0" w:color="auto"/>
          </w:divBdr>
          <w:divsChild>
            <w:div w:id="44335084">
              <w:marLeft w:val="0"/>
              <w:marRight w:val="0"/>
              <w:marTop w:val="0"/>
              <w:marBottom w:val="0"/>
              <w:divBdr>
                <w:top w:val="none" w:sz="0" w:space="0" w:color="auto"/>
                <w:left w:val="none" w:sz="0" w:space="0" w:color="auto"/>
                <w:bottom w:val="none" w:sz="0" w:space="0" w:color="auto"/>
                <w:right w:val="none" w:sz="0" w:space="0" w:color="auto"/>
              </w:divBdr>
              <w:divsChild>
                <w:div w:id="758257689">
                  <w:marLeft w:val="0"/>
                  <w:marRight w:val="0"/>
                  <w:marTop w:val="0"/>
                  <w:marBottom w:val="0"/>
                  <w:divBdr>
                    <w:top w:val="none" w:sz="0" w:space="0" w:color="auto"/>
                    <w:left w:val="none" w:sz="0" w:space="0" w:color="auto"/>
                    <w:bottom w:val="none" w:sz="0" w:space="0" w:color="auto"/>
                    <w:right w:val="none" w:sz="0" w:space="0" w:color="auto"/>
                  </w:divBdr>
                  <w:divsChild>
                    <w:div w:id="1114059641">
                      <w:marLeft w:val="0"/>
                      <w:marRight w:val="0"/>
                      <w:marTop w:val="0"/>
                      <w:marBottom w:val="0"/>
                      <w:divBdr>
                        <w:top w:val="none" w:sz="0" w:space="0" w:color="auto"/>
                        <w:left w:val="none" w:sz="0" w:space="0" w:color="auto"/>
                        <w:bottom w:val="none" w:sz="0" w:space="0" w:color="auto"/>
                        <w:right w:val="none" w:sz="0" w:space="0" w:color="auto"/>
                      </w:divBdr>
                      <w:divsChild>
                        <w:div w:id="1498964196">
                          <w:marLeft w:val="0"/>
                          <w:marRight w:val="0"/>
                          <w:marTop w:val="0"/>
                          <w:marBottom w:val="0"/>
                          <w:divBdr>
                            <w:top w:val="none" w:sz="0" w:space="0" w:color="auto"/>
                            <w:left w:val="none" w:sz="0" w:space="0" w:color="auto"/>
                            <w:bottom w:val="none" w:sz="0" w:space="0" w:color="auto"/>
                            <w:right w:val="none" w:sz="0" w:space="0" w:color="auto"/>
                          </w:divBdr>
                          <w:divsChild>
                            <w:div w:id="1722510466">
                              <w:marLeft w:val="0"/>
                              <w:marRight w:val="0"/>
                              <w:marTop w:val="0"/>
                              <w:marBottom w:val="0"/>
                              <w:divBdr>
                                <w:top w:val="none" w:sz="0" w:space="0" w:color="auto"/>
                                <w:left w:val="none" w:sz="0" w:space="0" w:color="auto"/>
                                <w:bottom w:val="none" w:sz="0" w:space="0" w:color="auto"/>
                                <w:right w:val="none" w:sz="0" w:space="0" w:color="auto"/>
                              </w:divBdr>
                              <w:divsChild>
                                <w:div w:id="1440492323">
                                  <w:marLeft w:val="0"/>
                                  <w:marRight w:val="0"/>
                                  <w:marTop w:val="0"/>
                                  <w:marBottom w:val="0"/>
                                  <w:divBdr>
                                    <w:top w:val="none" w:sz="0" w:space="0" w:color="auto"/>
                                    <w:left w:val="none" w:sz="0" w:space="0" w:color="auto"/>
                                    <w:bottom w:val="none" w:sz="0" w:space="0" w:color="auto"/>
                                    <w:right w:val="none" w:sz="0" w:space="0" w:color="auto"/>
                                  </w:divBdr>
                                  <w:divsChild>
                                    <w:div w:id="132411225">
                                      <w:marLeft w:val="0"/>
                                      <w:marRight w:val="0"/>
                                      <w:marTop w:val="0"/>
                                      <w:marBottom w:val="0"/>
                                      <w:divBdr>
                                        <w:top w:val="none" w:sz="0" w:space="0" w:color="auto"/>
                                        <w:left w:val="none" w:sz="0" w:space="0" w:color="auto"/>
                                        <w:bottom w:val="none" w:sz="0" w:space="0" w:color="auto"/>
                                        <w:right w:val="none" w:sz="0" w:space="0" w:color="auto"/>
                                      </w:divBdr>
                                      <w:divsChild>
                                        <w:div w:id="184902503">
                                          <w:marLeft w:val="0"/>
                                          <w:marRight w:val="0"/>
                                          <w:marTop w:val="0"/>
                                          <w:marBottom w:val="0"/>
                                          <w:divBdr>
                                            <w:top w:val="none" w:sz="0" w:space="0" w:color="auto"/>
                                            <w:left w:val="none" w:sz="0" w:space="0" w:color="auto"/>
                                            <w:bottom w:val="none" w:sz="0" w:space="0" w:color="auto"/>
                                            <w:right w:val="none" w:sz="0" w:space="0" w:color="auto"/>
                                          </w:divBdr>
                                          <w:divsChild>
                                            <w:div w:id="1929457808">
                                              <w:marLeft w:val="0"/>
                                              <w:marRight w:val="0"/>
                                              <w:marTop w:val="0"/>
                                              <w:marBottom w:val="0"/>
                                              <w:divBdr>
                                                <w:top w:val="single" w:sz="6" w:space="0" w:color="F5F5F5"/>
                                                <w:left w:val="single" w:sz="6" w:space="0" w:color="F5F5F5"/>
                                                <w:bottom w:val="single" w:sz="6" w:space="0" w:color="F5F5F5"/>
                                                <w:right w:val="single" w:sz="6" w:space="0" w:color="F5F5F5"/>
                                              </w:divBdr>
                                              <w:divsChild>
                                                <w:div w:id="244808639">
                                                  <w:marLeft w:val="0"/>
                                                  <w:marRight w:val="0"/>
                                                  <w:marTop w:val="0"/>
                                                  <w:marBottom w:val="0"/>
                                                  <w:divBdr>
                                                    <w:top w:val="none" w:sz="0" w:space="0" w:color="auto"/>
                                                    <w:left w:val="none" w:sz="0" w:space="0" w:color="auto"/>
                                                    <w:bottom w:val="none" w:sz="0" w:space="0" w:color="auto"/>
                                                    <w:right w:val="none" w:sz="0" w:space="0" w:color="auto"/>
                                                  </w:divBdr>
                                                  <w:divsChild>
                                                    <w:div w:id="11010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02208">
      <w:bodyDiv w:val="1"/>
      <w:marLeft w:val="0"/>
      <w:marRight w:val="0"/>
      <w:marTop w:val="0"/>
      <w:marBottom w:val="0"/>
      <w:divBdr>
        <w:top w:val="none" w:sz="0" w:space="0" w:color="auto"/>
        <w:left w:val="none" w:sz="0" w:space="0" w:color="auto"/>
        <w:bottom w:val="none" w:sz="0" w:space="0" w:color="auto"/>
        <w:right w:val="none" w:sz="0" w:space="0" w:color="auto"/>
      </w:divBdr>
    </w:div>
    <w:div w:id="106123166">
      <w:bodyDiv w:val="1"/>
      <w:marLeft w:val="0"/>
      <w:marRight w:val="0"/>
      <w:marTop w:val="0"/>
      <w:marBottom w:val="0"/>
      <w:divBdr>
        <w:top w:val="none" w:sz="0" w:space="0" w:color="auto"/>
        <w:left w:val="none" w:sz="0" w:space="0" w:color="auto"/>
        <w:bottom w:val="none" w:sz="0" w:space="0" w:color="auto"/>
        <w:right w:val="none" w:sz="0" w:space="0" w:color="auto"/>
      </w:divBdr>
    </w:div>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201787706">
      <w:bodyDiv w:val="1"/>
      <w:marLeft w:val="0"/>
      <w:marRight w:val="0"/>
      <w:marTop w:val="0"/>
      <w:marBottom w:val="0"/>
      <w:divBdr>
        <w:top w:val="none" w:sz="0" w:space="0" w:color="auto"/>
        <w:left w:val="none" w:sz="0" w:space="0" w:color="auto"/>
        <w:bottom w:val="none" w:sz="0" w:space="0" w:color="auto"/>
        <w:right w:val="none" w:sz="0" w:space="0" w:color="auto"/>
      </w:divBdr>
    </w:div>
    <w:div w:id="231624544">
      <w:bodyDiv w:val="1"/>
      <w:marLeft w:val="0"/>
      <w:marRight w:val="0"/>
      <w:marTop w:val="0"/>
      <w:marBottom w:val="0"/>
      <w:divBdr>
        <w:top w:val="none" w:sz="0" w:space="0" w:color="auto"/>
        <w:left w:val="none" w:sz="0" w:space="0" w:color="auto"/>
        <w:bottom w:val="none" w:sz="0" w:space="0" w:color="auto"/>
        <w:right w:val="none" w:sz="0" w:space="0" w:color="auto"/>
      </w:divBdr>
    </w:div>
    <w:div w:id="248004565">
      <w:bodyDiv w:val="1"/>
      <w:marLeft w:val="0"/>
      <w:marRight w:val="0"/>
      <w:marTop w:val="0"/>
      <w:marBottom w:val="0"/>
      <w:divBdr>
        <w:top w:val="none" w:sz="0" w:space="0" w:color="auto"/>
        <w:left w:val="none" w:sz="0" w:space="0" w:color="auto"/>
        <w:bottom w:val="none" w:sz="0" w:space="0" w:color="auto"/>
        <w:right w:val="none" w:sz="0" w:space="0" w:color="auto"/>
      </w:divBdr>
    </w:div>
    <w:div w:id="266936856">
      <w:bodyDiv w:val="1"/>
      <w:marLeft w:val="0"/>
      <w:marRight w:val="0"/>
      <w:marTop w:val="0"/>
      <w:marBottom w:val="0"/>
      <w:divBdr>
        <w:top w:val="none" w:sz="0" w:space="0" w:color="auto"/>
        <w:left w:val="none" w:sz="0" w:space="0" w:color="auto"/>
        <w:bottom w:val="none" w:sz="0" w:space="0" w:color="auto"/>
        <w:right w:val="none" w:sz="0" w:space="0" w:color="auto"/>
      </w:divBdr>
    </w:div>
    <w:div w:id="277564065">
      <w:bodyDiv w:val="1"/>
      <w:marLeft w:val="0"/>
      <w:marRight w:val="0"/>
      <w:marTop w:val="0"/>
      <w:marBottom w:val="0"/>
      <w:divBdr>
        <w:top w:val="none" w:sz="0" w:space="0" w:color="auto"/>
        <w:left w:val="none" w:sz="0" w:space="0" w:color="auto"/>
        <w:bottom w:val="none" w:sz="0" w:space="0" w:color="auto"/>
        <w:right w:val="none" w:sz="0" w:space="0" w:color="auto"/>
      </w:divBdr>
    </w:div>
    <w:div w:id="287398709">
      <w:bodyDiv w:val="1"/>
      <w:marLeft w:val="0"/>
      <w:marRight w:val="0"/>
      <w:marTop w:val="0"/>
      <w:marBottom w:val="0"/>
      <w:divBdr>
        <w:top w:val="none" w:sz="0" w:space="0" w:color="auto"/>
        <w:left w:val="none" w:sz="0" w:space="0" w:color="auto"/>
        <w:bottom w:val="none" w:sz="0" w:space="0" w:color="auto"/>
        <w:right w:val="none" w:sz="0" w:space="0" w:color="auto"/>
      </w:divBdr>
    </w:div>
    <w:div w:id="298464542">
      <w:bodyDiv w:val="1"/>
      <w:marLeft w:val="0"/>
      <w:marRight w:val="0"/>
      <w:marTop w:val="0"/>
      <w:marBottom w:val="0"/>
      <w:divBdr>
        <w:top w:val="none" w:sz="0" w:space="0" w:color="auto"/>
        <w:left w:val="none" w:sz="0" w:space="0" w:color="auto"/>
        <w:bottom w:val="none" w:sz="0" w:space="0" w:color="auto"/>
        <w:right w:val="none" w:sz="0" w:space="0" w:color="auto"/>
      </w:divBdr>
      <w:divsChild>
        <w:div w:id="299728595">
          <w:marLeft w:val="0"/>
          <w:marRight w:val="0"/>
          <w:marTop w:val="0"/>
          <w:marBottom w:val="0"/>
          <w:divBdr>
            <w:top w:val="none" w:sz="0" w:space="0" w:color="auto"/>
            <w:left w:val="none" w:sz="0" w:space="0" w:color="auto"/>
            <w:bottom w:val="none" w:sz="0" w:space="0" w:color="auto"/>
            <w:right w:val="none" w:sz="0" w:space="0" w:color="auto"/>
          </w:divBdr>
          <w:divsChild>
            <w:div w:id="697319299">
              <w:marLeft w:val="0"/>
              <w:marRight w:val="0"/>
              <w:marTop w:val="0"/>
              <w:marBottom w:val="0"/>
              <w:divBdr>
                <w:top w:val="none" w:sz="0" w:space="0" w:color="auto"/>
                <w:left w:val="none" w:sz="0" w:space="0" w:color="auto"/>
                <w:bottom w:val="none" w:sz="0" w:space="0" w:color="auto"/>
                <w:right w:val="none" w:sz="0" w:space="0" w:color="auto"/>
              </w:divBdr>
              <w:divsChild>
                <w:div w:id="983436844">
                  <w:marLeft w:val="0"/>
                  <w:marRight w:val="0"/>
                  <w:marTop w:val="0"/>
                  <w:marBottom w:val="0"/>
                  <w:divBdr>
                    <w:top w:val="none" w:sz="0" w:space="0" w:color="auto"/>
                    <w:left w:val="none" w:sz="0" w:space="0" w:color="auto"/>
                    <w:bottom w:val="none" w:sz="0" w:space="0" w:color="auto"/>
                    <w:right w:val="none" w:sz="0" w:space="0" w:color="auto"/>
                  </w:divBdr>
                  <w:divsChild>
                    <w:div w:id="1719087826">
                      <w:marLeft w:val="0"/>
                      <w:marRight w:val="0"/>
                      <w:marTop w:val="0"/>
                      <w:marBottom w:val="0"/>
                      <w:divBdr>
                        <w:top w:val="none" w:sz="0" w:space="0" w:color="auto"/>
                        <w:left w:val="none" w:sz="0" w:space="0" w:color="auto"/>
                        <w:bottom w:val="none" w:sz="0" w:space="0" w:color="auto"/>
                        <w:right w:val="none" w:sz="0" w:space="0" w:color="auto"/>
                      </w:divBdr>
                      <w:divsChild>
                        <w:div w:id="1428774875">
                          <w:marLeft w:val="0"/>
                          <w:marRight w:val="0"/>
                          <w:marTop w:val="0"/>
                          <w:marBottom w:val="0"/>
                          <w:divBdr>
                            <w:top w:val="none" w:sz="0" w:space="0" w:color="auto"/>
                            <w:left w:val="none" w:sz="0" w:space="0" w:color="auto"/>
                            <w:bottom w:val="none" w:sz="0" w:space="0" w:color="auto"/>
                            <w:right w:val="none" w:sz="0" w:space="0" w:color="auto"/>
                          </w:divBdr>
                          <w:divsChild>
                            <w:div w:id="1602226219">
                              <w:marLeft w:val="0"/>
                              <w:marRight w:val="0"/>
                              <w:marTop w:val="0"/>
                              <w:marBottom w:val="0"/>
                              <w:divBdr>
                                <w:top w:val="none" w:sz="0" w:space="0" w:color="auto"/>
                                <w:left w:val="none" w:sz="0" w:space="0" w:color="auto"/>
                                <w:bottom w:val="none" w:sz="0" w:space="0" w:color="auto"/>
                                <w:right w:val="none" w:sz="0" w:space="0" w:color="auto"/>
                              </w:divBdr>
                              <w:divsChild>
                                <w:div w:id="1441998436">
                                  <w:marLeft w:val="0"/>
                                  <w:marRight w:val="0"/>
                                  <w:marTop w:val="0"/>
                                  <w:marBottom w:val="0"/>
                                  <w:divBdr>
                                    <w:top w:val="none" w:sz="0" w:space="0" w:color="auto"/>
                                    <w:left w:val="none" w:sz="0" w:space="0" w:color="auto"/>
                                    <w:bottom w:val="none" w:sz="0" w:space="0" w:color="auto"/>
                                    <w:right w:val="none" w:sz="0" w:space="0" w:color="auto"/>
                                  </w:divBdr>
                                  <w:divsChild>
                                    <w:div w:id="342168973">
                                      <w:marLeft w:val="0"/>
                                      <w:marRight w:val="0"/>
                                      <w:marTop w:val="0"/>
                                      <w:marBottom w:val="0"/>
                                      <w:divBdr>
                                        <w:top w:val="none" w:sz="0" w:space="0" w:color="auto"/>
                                        <w:left w:val="none" w:sz="0" w:space="0" w:color="auto"/>
                                        <w:bottom w:val="none" w:sz="0" w:space="0" w:color="auto"/>
                                        <w:right w:val="none" w:sz="0" w:space="0" w:color="auto"/>
                                      </w:divBdr>
                                      <w:divsChild>
                                        <w:div w:id="524290513">
                                          <w:marLeft w:val="0"/>
                                          <w:marRight w:val="0"/>
                                          <w:marTop w:val="0"/>
                                          <w:marBottom w:val="0"/>
                                          <w:divBdr>
                                            <w:top w:val="none" w:sz="0" w:space="0" w:color="auto"/>
                                            <w:left w:val="none" w:sz="0" w:space="0" w:color="auto"/>
                                            <w:bottom w:val="none" w:sz="0" w:space="0" w:color="auto"/>
                                            <w:right w:val="none" w:sz="0" w:space="0" w:color="auto"/>
                                          </w:divBdr>
                                          <w:divsChild>
                                            <w:div w:id="357002348">
                                              <w:marLeft w:val="0"/>
                                              <w:marRight w:val="0"/>
                                              <w:marTop w:val="0"/>
                                              <w:marBottom w:val="0"/>
                                              <w:divBdr>
                                                <w:top w:val="single" w:sz="6" w:space="0" w:color="F5F5F5"/>
                                                <w:left w:val="single" w:sz="6" w:space="0" w:color="F5F5F5"/>
                                                <w:bottom w:val="single" w:sz="6" w:space="0" w:color="F5F5F5"/>
                                                <w:right w:val="single" w:sz="6" w:space="0" w:color="F5F5F5"/>
                                              </w:divBdr>
                                              <w:divsChild>
                                                <w:div w:id="851338478">
                                                  <w:marLeft w:val="0"/>
                                                  <w:marRight w:val="0"/>
                                                  <w:marTop w:val="0"/>
                                                  <w:marBottom w:val="0"/>
                                                  <w:divBdr>
                                                    <w:top w:val="none" w:sz="0" w:space="0" w:color="auto"/>
                                                    <w:left w:val="none" w:sz="0" w:space="0" w:color="auto"/>
                                                    <w:bottom w:val="none" w:sz="0" w:space="0" w:color="auto"/>
                                                    <w:right w:val="none" w:sz="0" w:space="0" w:color="auto"/>
                                                  </w:divBdr>
                                                  <w:divsChild>
                                                    <w:div w:id="1435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436525">
      <w:bodyDiv w:val="1"/>
      <w:marLeft w:val="0"/>
      <w:marRight w:val="0"/>
      <w:marTop w:val="0"/>
      <w:marBottom w:val="0"/>
      <w:divBdr>
        <w:top w:val="none" w:sz="0" w:space="0" w:color="auto"/>
        <w:left w:val="none" w:sz="0" w:space="0" w:color="auto"/>
        <w:bottom w:val="none" w:sz="0" w:space="0" w:color="auto"/>
        <w:right w:val="none" w:sz="0" w:space="0" w:color="auto"/>
      </w:divBdr>
    </w:div>
    <w:div w:id="327101947">
      <w:bodyDiv w:val="1"/>
      <w:marLeft w:val="0"/>
      <w:marRight w:val="0"/>
      <w:marTop w:val="0"/>
      <w:marBottom w:val="0"/>
      <w:divBdr>
        <w:top w:val="none" w:sz="0" w:space="0" w:color="auto"/>
        <w:left w:val="none" w:sz="0" w:space="0" w:color="auto"/>
        <w:bottom w:val="none" w:sz="0" w:space="0" w:color="auto"/>
        <w:right w:val="none" w:sz="0" w:space="0" w:color="auto"/>
      </w:divBdr>
    </w:div>
    <w:div w:id="327828114">
      <w:bodyDiv w:val="1"/>
      <w:marLeft w:val="0"/>
      <w:marRight w:val="0"/>
      <w:marTop w:val="0"/>
      <w:marBottom w:val="0"/>
      <w:divBdr>
        <w:top w:val="none" w:sz="0" w:space="0" w:color="auto"/>
        <w:left w:val="none" w:sz="0" w:space="0" w:color="auto"/>
        <w:bottom w:val="none" w:sz="0" w:space="0" w:color="auto"/>
        <w:right w:val="none" w:sz="0" w:space="0" w:color="auto"/>
      </w:divBdr>
    </w:div>
    <w:div w:id="419765297">
      <w:bodyDiv w:val="1"/>
      <w:marLeft w:val="0"/>
      <w:marRight w:val="0"/>
      <w:marTop w:val="0"/>
      <w:marBottom w:val="0"/>
      <w:divBdr>
        <w:top w:val="none" w:sz="0" w:space="0" w:color="auto"/>
        <w:left w:val="none" w:sz="0" w:space="0" w:color="auto"/>
        <w:bottom w:val="none" w:sz="0" w:space="0" w:color="auto"/>
        <w:right w:val="none" w:sz="0" w:space="0" w:color="auto"/>
      </w:divBdr>
    </w:div>
    <w:div w:id="430440513">
      <w:bodyDiv w:val="1"/>
      <w:marLeft w:val="0"/>
      <w:marRight w:val="0"/>
      <w:marTop w:val="0"/>
      <w:marBottom w:val="0"/>
      <w:divBdr>
        <w:top w:val="none" w:sz="0" w:space="0" w:color="auto"/>
        <w:left w:val="none" w:sz="0" w:space="0" w:color="auto"/>
        <w:bottom w:val="none" w:sz="0" w:space="0" w:color="auto"/>
        <w:right w:val="none" w:sz="0" w:space="0" w:color="auto"/>
      </w:divBdr>
    </w:div>
    <w:div w:id="431585595">
      <w:bodyDiv w:val="1"/>
      <w:marLeft w:val="0"/>
      <w:marRight w:val="0"/>
      <w:marTop w:val="0"/>
      <w:marBottom w:val="0"/>
      <w:divBdr>
        <w:top w:val="none" w:sz="0" w:space="0" w:color="auto"/>
        <w:left w:val="none" w:sz="0" w:space="0" w:color="auto"/>
        <w:bottom w:val="none" w:sz="0" w:space="0" w:color="auto"/>
        <w:right w:val="none" w:sz="0" w:space="0" w:color="auto"/>
      </w:divBdr>
    </w:div>
    <w:div w:id="438374865">
      <w:bodyDiv w:val="1"/>
      <w:marLeft w:val="0"/>
      <w:marRight w:val="0"/>
      <w:marTop w:val="0"/>
      <w:marBottom w:val="0"/>
      <w:divBdr>
        <w:top w:val="none" w:sz="0" w:space="0" w:color="auto"/>
        <w:left w:val="none" w:sz="0" w:space="0" w:color="auto"/>
        <w:bottom w:val="none" w:sz="0" w:space="0" w:color="auto"/>
        <w:right w:val="none" w:sz="0" w:space="0" w:color="auto"/>
      </w:divBdr>
    </w:div>
    <w:div w:id="482625615">
      <w:bodyDiv w:val="1"/>
      <w:marLeft w:val="0"/>
      <w:marRight w:val="0"/>
      <w:marTop w:val="0"/>
      <w:marBottom w:val="0"/>
      <w:divBdr>
        <w:top w:val="none" w:sz="0" w:space="0" w:color="auto"/>
        <w:left w:val="none" w:sz="0" w:space="0" w:color="auto"/>
        <w:bottom w:val="none" w:sz="0" w:space="0" w:color="auto"/>
        <w:right w:val="none" w:sz="0" w:space="0" w:color="auto"/>
      </w:divBdr>
    </w:div>
    <w:div w:id="552666968">
      <w:bodyDiv w:val="1"/>
      <w:marLeft w:val="0"/>
      <w:marRight w:val="0"/>
      <w:marTop w:val="0"/>
      <w:marBottom w:val="0"/>
      <w:divBdr>
        <w:top w:val="none" w:sz="0" w:space="0" w:color="auto"/>
        <w:left w:val="none" w:sz="0" w:space="0" w:color="auto"/>
        <w:bottom w:val="none" w:sz="0" w:space="0" w:color="auto"/>
        <w:right w:val="none" w:sz="0" w:space="0" w:color="auto"/>
      </w:divBdr>
    </w:div>
    <w:div w:id="568998662">
      <w:bodyDiv w:val="1"/>
      <w:marLeft w:val="0"/>
      <w:marRight w:val="0"/>
      <w:marTop w:val="0"/>
      <w:marBottom w:val="0"/>
      <w:divBdr>
        <w:top w:val="none" w:sz="0" w:space="0" w:color="auto"/>
        <w:left w:val="none" w:sz="0" w:space="0" w:color="auto"/>
        <w:bottom w:val="none" w:sz="0" w:space="0" w:color="auto"/>
        <w:right w:val="none" w:sz="0" w:space="0" w:color="auto"/>
      </w:divBdr>
    </w:div>
    <w:div w:id="572207256">
      <w:bodyDiv w:val="1"/>
      <w:marLeft w:val="0"/>
      <w:marRight w:val="0"/>
      <w:marTop w:val="0"/>
      <w:marBottom w:val="0"/>
      <w:divBdr>
        <w:top w:val="none" w:sz="0" w:space="0" w:color="auto"/>
        <w:left w:val="none" w:sz="0" w:space="0" w:color="auto"/>
        <w:bottom w:val="none" w:sz="0" w:space="0" w:color="auto"/>
        <w:right w:val="none" w:sz="0" w:space="0" w:color="auto"/>
      </w:divBdr>
    </w:div>
    <w:div w:id="573777460">
      <w:bodyDiv w:val="1"/>
      <w:marLeft w:val="0"/>
      <w:marRight w:val="0"/>
      <w:marTop w:val="0"/>
      <w:marBottom w:val="0"/>
      <w:divBdr>
        <w:top w:val="none" w:sz="0" w:space="0" w:color="auto"/>
        <w:left w:val="none" w:sz="0" w:space="0" w:color="auto"/>
        <w:bottom w:val="none" w:sz="0" w:space="0" w:color="auto"/>
        <w:right w:val="none" w:sz="0" w:space="0" w:color="auto"/>
      </w:divBdr>
    </w:div>
    <w:div w:id="598026709">
      <w:bodyDiv w:val="1"/>
      <w:marLeft w:val="0"/>
      <w:marRight w:val="0"/>
      <w:marTop w:val="0"/>
      <w:marBottom w:val="0"/>
      <w:divBdr>
        <w:top w:val="none" w:sz="0" w:space="0" w:color="auto"/>
        <w:left w:val="none" w:sz="0" w:space="0" w:color="auto"/>
        <w:bottom w:val="none" w:sz="0" w:space="0" w:color="auto"/>
        <w:right w:val="none" w:sz="0" w:space="0" w:color="auto"/>
      </w:divBdr>
    </w:div>
    <w:div w:id="609364413">
      <w:bodyDiv w:val="1"/>
      <w:marLeft w:val="0"/>
      <w:marRight w:val="0"/>
      <w:marTop w:val="0"/>
      <w:marBottom w:val="0"/>
      <w:divBdr>
        <w:top w:val="none" w:sz="0" w:space="0" w:color="auto"/>
        <w:left w:val="none" w:sz="0" w:space="0" w:color="auto"/>
        <w:bottom w:val="none" w:sz="0" w:space="0" w:color="auto"/>
        <w:right w:val="none" w:sz="0" w:space="0" w:color="auto"/>
      </w:divBdr>
    </w:div>
    <w:div w:id="624582299">
      <w:bodyDiv w:val="1"/>
      <w:marLeft w:val="0"/>
      <w:marRight w:val="0"/>
      <w:marTop w:val="0"/>
      <w:marBottom w:val="0"/>
      <w:divBdr>
        <w:top w:val="none" w:sz="0" w:space="0" w:color="auto"/>
        <w:left w:val="none" w:sz="0" w:space="0" w:color="auto"/>
        <w:bottom w:val="none" w:sz="0" w:space="0" w:color="auto"/>
        <w:right w:val="none" w:sz="0" w:space="0" w:color="auto"/>
      </w:divBdr>
    </w:div>
    <w:div w:id="627392033">
      <w:bodyDiv w:val="1"/>
      <w:marLeft w:val="0"/>
      <w:marRight w:val="0"/>
      <w:marTop w:val="0"/>
      <w:marBottom w:val="0"/>
      <w:divBdr>
        <w:top w:val="none" w:sz="0" w:space="0" w:color="auto"/>
        <w:left w:val="none" w:sz="0" w:space="0" w:color="auto"/>
        <w:bottom w:val="none" w:sz="0" w:space="0" w:color="auto"/>
        <w:right w:val="none" w:sz="0" w:space="0" w:color="auto"/>
      </w:divBdr>
    </w:div>
    <w:div w:id="685063817">
      <w:bodyDiv w:val="1"/>
      <w:marLeft w:val="0"/>
      <w:marRight w:val="0"/>
      <w:marTop w:val="0"/>
      <w:marBottom w:val="0"/>
      <w:divBdr>
        <w:top w:val="none" w:sz="0" w:space="0" w:color="auto"/>
        <w:left w:val="none" w:sz="0" w:space="0" w:color="auto"/>
        <w:bottom w:val="none" w:sz="0" w:space="0" w:color="auto"/>
        <w:right w:val="none" w:sz="0" w:space="0" w:color="auto"/>
      </w:divBdr>
    </w:div>
    <w:div w:id="896286984">
      <w:bodyDiv w:val="1"/>
      <w:marLeft w:val="0"/>
      <w:marRight w:val="0"/>
      <w:marTop w:val="0"/>
      <w:marBottom w:val="0"/>
      <w:divBdr>
        <w:top w:val="none" w:sz="0" w:space="0" w:color="auto"/>
        <w:left w:val="none" w:sz="0" w:space="0" w:color="auto"/>
        <w:bottom w:val="none" w:sz="0" w:space="0" w:color="auto"/>
        <w:right w:val="none" w:sz="0" w:space="0" w:color="auto"/>
      </w:divBdr>
    </w:div>
    <w:div w:id="922033963">
      <w:bodyDiv w:val="1"/>
      <w:marLeft w:val="0"/>
      <w:marRight w:val="0"/>
      <w:marTop w:val="0"/>
      <w:marBottom w:val="0"/>
      <w:divBdr>
        <w:top w:val="none" w:sz="0" w:space="0" w:color="auto"/>
        <w:left w:val="none" w:sz="0" w:space="0" w:color="auto"/>
        <w:bottom w:val="none" w:sz="0" w:space="0" w:color="auto"/>
        <w:right w:val="none" w:sz="0" w:space="0" w:color="auto"/>
      </w:divBdr>
    </w:div>
    <w:div w:id="932784664">
      <w:bodyDiv w:val="1"/>
      <w:marLeft w:val="0"/>
      <w:marRight w:val="0"/>
      <w:marTop w:val="0"/>
      <w:marBottom w:val="0"/>
      <w:divBdr>
        <w:top w:val="none" w:sz="0" w:space="0" w:color="auto"/>
        <w:left w:val="none" w:sz="0" w:space="0" w:color="auto"/>
        <w:bottom w:val="none" w:sz="0" w:space="0" w:color="auto"/>
        <w:right w:val="none" w:sz="0" w:space="0" w:color="auto"/>
      </w:divBdr>
    </w:div>
    <w:div w:id="934284443">
      <w:bodyDiv w:val="1"/>
      <w:marLeft w:val="0"/>
      <w:marRight w:val="0"/>
      <w:marTop w:val="0"/>
      <w:marBottom w:val="0"/>
      <w:divBdr>
        <w:top w:val="none" w:sz="0" w:space="0" w:color="auto"/>
        <w:left w:val="none" w:sz="0" w:space="0" w:color="auto"/>
        <w:bottom w:val="none" w:sz="0" w:space="0" w:color="auto"/>
        <w:right w:val="none" w:sz="0" w:space="0" w:color="auto"/>
      </w:divBdr>
    </w:div>
    <w:div w:id="940527566">
      <w:bodyDiv w:val="1"/>
      <w:marLeft w:val="0"/>
      <w:marRight w:val="0"/>
      <w:marTop w:val="0"/>
      <w:marBottom w:val="0"/>
      <w:divBdr>
        <w:top w:val="none" w:sz="0" w:space="0" w:color="auto"/>
        <w:left w:val="none" w:sz="0" w:space="0" w:color="auto"/>
        <w:bottom w:val="none" w:sz="0" w:space="0" w:color="auto"/>
        <w:right w:val="none" w:sz="0" w:space="0" w:color="auto"/>
      </w:divBdr>
    </w:div>
    <w:div w:id="968122966">
      <w:bodyDiv w:val="1"/>
      <w:marLeft w:val="0"/>
      <w:marRight w:val="0"/>
      <w:marTop w:val="0"/>
      <w:marBottom w:val="0"/>
      <w:divBdr>
        <w:top w:val="none" w:sz="0" w:space="0" w:color="auto"/>
        <w:left w:val="none" w:sz="0" w:space="0" w:color="auto"/>
        <w:bottom w:val="none" w:sz="0" w:space="0" w:color="auto"/>
        <w:right w:val="none" w:sz="0" w:space="0" w:color="auto"/>
      </w:divBdr>
    </w:div>
    <w:div w:id="970791568">
      <w:bodyDiv w:val="1"/>
      <w:marLeft w:val="0"/>
      <w:marRight w:val="0"/>
      <w:marTop w:val="0"/>
      <w:marBottom w:val="0"/>
      <w:divBdr>
        <w:top w:val="none" w:sz="0" w:space="0" w:color="auto"/>
        <w:left w:val="none" w:sz="0" w:space="0" w:color="auto"/>
        <w:bottom w:val="none" w:sz="0" w:space="0" w:color="auto"/>
        <w:right w:val="none" w:sz="0" w:space="0" w:color="auto"/>
      </w:divBdr>
    </w:div>
    <w:div w:id="1009991822">
      <w:bodyDiv w:val="1"/>
      <w:marLeft w:val="0"/>
      <w:marRight w:val="0"/>
      <w:marTop w:val="0"/>
      <w:marBottom w:val="0"/>
      <w:divBdr>
        <w:top w:val="none" w:sz="0" w:space="0" w:color="auto"/>
        <w:left w:val="none" w:sz="0" w:space="0" w:color="auto"/>
        <w:bottom w:val="none" w:sz="0" w:space="0" w:color="auto"/>
        <w:right w:val="none" w:sz="0" w:space="0" w:color="auto"/>
      </w:divBdr>
    </w:div>
    <w:div w:id="1079131293">
      <w:bodyDiv w:val="1"/>
      <w:marLeft w:val="0"/>
      <w:marRight w:val="0"/>
      <w:marTop w:val="0"/>
      <w:marBottom w:val="0"/>
      <w:divBdr>
        <w:top w:val="none" w:sz="0" w:space="0" w:color="auto"/>
        <w:left w:val="none" w:sz="0" w:space="0" w:color="auto"/>
        <w:bottom w:val="none" w:sz="0" w:space="0" w:color="auto"/>
        <w:right w:val="none" w:sz="0" w:space="0" w:color="auto"/>
      </w:divBdr>
    </w:div>
    <w:div w:id="1085997661">
      <w:bodyDiv w:val="1"/>
      <w:marLeft w:val="0"/>
      <w:marRight w:val="0"/>
      <w:marTop w:val="0"/>
      <w:marBottom w:val="0"/>
      <w:divBdr>
        <w:top w:val="none" w:sz="0" w:space="0" w:color="auto"/>
        <w:left w:val="none" w:sz="0" w:space="0" w:color="auto"/>
        <w:bottom w:val="none" w:sz="0" w:space="0" w:color="auto"/>
        <w:right w:val="none" w:sz="0" w:space="0" w:color="auto"/>
      </w:divBdr>
    </w:div>
    <w:div w:id="1121651505">
      <w:bodyDiv w:val="1"/>
      <w:marLeft w:val="0"/>
      <w:marRight w:val="0"/>
      <w:marTop w:val="0"/>
      <w:marBottom w:val="0"/>
      <w:divBdr>
        <w:top w:val="none" w:sz="0" w:space="0" w:color="auto"/>
        <w:left w:val="none" w:sz="0" w:space="0" w:color="auto"/>
        <w:bottom w:val="none" w:sz="0" w:space="0" w:color="auto"/>
        <w:right w:val="none" w:sz="0" w:space="0" w:color="auto"/>
      </w:divBdr>
      <w:divsChild>
        <w:div w:id="1832327768">
          <w:marLeft w:val="0"/>
          <w:marRight w:val="0"/>
          <w:marTop w:val="0"/>
          <w:marBottom w:val="0"/>
          <w:divBdr>
            <w:top w:val="none" w:sz="0" w:space="0" w:color="auto"/>
            <w:left w:val="none" w:sz="0" w:space="0" w:color="auto"/>
            <w:bottom w:val="none" w:sz="0" w:space="0" w:color="auto"/>
            <w:right w:val="none" w:sz="0" w:space="0" w:color="auto"/>
          </w:divBdr>
          <w:divsChild>
            <w:div w:id="1215969357">
              <w:marLeft w:val="0"/>
              <w:marRight w:val="0"/>
              <w:marTop w:val="0"/>
              <w:marBottom w:val="0"/>
              <w:divBdr>
                <w:top w:val="none" w:sz="0" w:space="0" w:color="auto"/>
                <w:left w:val="none" w:sz="0" w:space="0" w:color="auto"/>
                <w:bottom w:val="none" w:sz="0" w:space="0" w:color="auto"/>
                <w:right w:val="none" w:sz="0" w:space="0" w:color="auto"/>
              </w:divBdr>
              <w:divsChild>
                <w:div w:id="603655614">
                  <w:marLeft w:val="0"/>
                  <w:marRight w:val="0"/>
                  <w:marTop w:val="0"/>
                  <w:marBottom w:val="0"/>
                  <w:divBdr>
                    <w:top w:val="none" w:sz="0" w:space="0" w:color="auto"/>
                    <w:left w:val="none" w:sz="0" w:space="0" w:color="auto"/>
                    <w:bottom w:val="none" w:sz="0" w:space="0" w:color="auto"/>
                    <w:right w:val="none" w:sz="0" w:space="0" w:color="auto"/>
                  </w:divBdr>
                  <w:divsChild>
                    <w:div w:id="800920531">
                      <w:marLeft w:val="0"/>
                      <w:marRight w:val="0"/>
                      <w:marTop w:val="0"/>
                      <w:marBottom w:val="0"/>
                      <w:divBdr>
                        <w:top w:val="none" w:sz="0" w:space="0" w:color="auto"/>
                        <w:left w:val="none" w:sz="0" w:space="0" w:color="auto"/>
                        <w:bottom w:val="none" w:sz="0" w:space="0" w:color="auto"/>
                        <w:right w:val="none" w:sz="0" w:space="0" w:color="auto"/>
                      </w:divBdr>
                      <w:divsChild>
                        <w:div w:id="31737799">
                          <w:marLeft w:val="0"/>
                          <w:marRight w:val="0"/>
                          <w:marTop w:val="0"/>
                          <w:marBottom w:val="0"/>
                          <w:divBdr>
                            <w:top w:val="none" w:sz="0" w:space="0" w:color="auto"/>
                            <w:left w:val="none" w:sz="0" w:space="0" w:color="auto"/>
                            <w:bottom w:val="none" w:sz="0" w:space="0" w:color="auto"/>
                            <w:right w:val="none" w:sz="0" w:space="0" w:color="auto"/>
                          </w:divBdr>
                          <w:divsChild>
                            <w:div w:id="1076828458">
                              <w:marLeft w:val="0"/>
                              <w:marRight w:val="0"/>
                              <w:marTop w:val="0"/>
                              <w:marBottom w:val="0"/>
                              <w:divBdr>
                                <w:top w:val="none" w:sz="0" w:space="0" w:color="auto"/>
                                <w:left w:val="none" w:sz="0" w:space="0" w:color="auto"/>
                                <w:bottom w:val="none" w:sz="0" w:space="0" w:color="auto"/>
                                <w:right w:val="none" w:sz="0" w:space="0" w:color="auto"/>
                              </w:divBdr>
                              <w:divsChild>
                                <w:div w:id="977026684">
                                  <w:marLeft w:val="0"/>
                                  <w:marRight w:val="0"/>
                                  <w:marTop w:val="0"/>
                                  <w:marBottom w:val="0"/>
                                  <w:divBdr>
                                    <w:top w:val="none" w:sz="0" w:space="0" w:color="auto"/>
                                    <w:left w:val="none" w:sz="0" w:space="0" w:color="auto"/>
                                    <w:bottom w:val="none" w:sz="0" w:space="0" w:color="auto"/>
                                    <w:right w:val="none" w:sz="0" w:space="0" w:color="auto"/>
                                  </w:divBdr>
                                  <w:divsChild>
                                    <w:div w:id="347414672">
                                      <w:marLeft w:val="0"/>
                                      <w:marRight w:val="0"/>
                                      <w:marTop w:val="0"/>
                                      <w:marBottom w:val="0"/>
                                      <w:divBdr>
                                        <w:top w:val="none" w:sz="0" w:space="0" w:color="auto"/>
                                        <w:left w:val="none" w:sz="0" w:space="0" w:color="auto"/>
                                        <w:bottom w:val="none" w:sz="0" w:space="0" w:color="auto"/>
                                        <w:right w:val="none" w:sz="0" w:space="0" w:color="auto"/>
                                      </w:divBdr>
                                      <w:divsChild>
                                        <w:div w:id="236208136">
                                          <w:marLeft w:val="0"/>
                                          <w:marRight w:val="0"/>
                                          <w:marTop w:val="0"/>
                                          <w:marBottom w:val="0"/>
                                          <w:divBdr>
                                            <w:top w:val="none" w:sz="0" w:space="0" w:color="auto"/>
                                            <w:left w:val="none" w:sz="0" w:space="0" w:color="auto"/>
                                            <w:bottom w:val="none" w:sz="0" w:space="0" w:color="auto"/>
                                            <w:right w:val="none" w:sz="0" w:space="0" w:color="auto"/>
                                          </w:divBdr>
                                          <w:divsChild>
                                            <w:div w:id="33507520">
                                              <w:marLeft w:val="0"/>
                                              <w:marRight w:val="0"/>
                                              <w:marTop w:val="0"/>
                                              <w:marBottom w:val="0"/>
                                              <w:divBdr>
                                                <w:top w:val="single" w:sz="6" w:space="0" w:color="F5F5F5"/>
                                                <w:left w:val="single" w:sz="6" w:space="0" w:color="F5F5F5"/>
                                                <w:bottom w:val="single" w:sz="6" w:space="0" w:color="F5F5F5"/>
                                                <w:right w:val="single" w:sz="6" w:space="0" w:color="F5F5F5"/>
                                              </w:divBdr>
                                              <w:divsChild>
                                                <w:div w:id="1328286103">
                                                  <w:marLeft w:val="0"/>
                                                  <w:marRight w:val="0"/>
                                                  <w:marTop w:val="0"/>
                                                  <w:marBottom w:val="0"/>
                                                  <w:divBdr>
                                                    <w:top w:val="none" w:sz="0" w:space="0" w:color="auto"/>
                                                    <w:left w:val="none" w:sz="0" w:space="0" w:color="auto"/>
                                                    <w:bottom w:val="none" w:sz="0" w:space="0" w:color="auto"/>
                                                    <w:right w:val="none" w:sz="0" w:space="0" w:color="auto"/>
                                                  </w:divBdr>
                                                  <w:divsChild>
                                                    <w:div w:id="18308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15353">
      <w:bodyDiv w:val="1"/>
      <w:marLeft w:val="0"/>
      <w:marRight w:val="0"/>
      <w:marTop w:val="0"/>
      <w:marBottom w:val="0"/>
      <w:divBdr>
        <w:top w:val="none" w:sz="0" w:space="0" w:color="auto"/>
        <w:left w:val="none" w:sz="0" w:space="0" w:color="auto"/>
        <w:bottom w:val="none" w:sz="0" w:space="0" w:color="auto"/>
        <w:right w:val="none" w:sz="0" w:space="0" w:color="auto"/>
      </w:divBdr>
    </w:div>
    <w:div w:id="1126243129">
      <w:bodyDiv w:val="1"/>
      <w:marLeft w:val="0"/>
      <w:marRight w:val="0"/>
      <w:marTop w:val="0"/>
      <w:marBottom w:val="0"/>
      <w:divBdr>
        <w:top w:val="none" w:sz="0" w:space="0" w:color="auto"/>
        <w:left w:val="none" w:sz="0" w:space="0" w:color="auto"/>
        <w:bottom w:val="none" w:sz="0" w:space="0" w:color="auto"/>
        <w:right w:val="none" w:sz="0" w:space="0" w:color="auto"/>
      </w:divBdr>
      <w:divsChild>
        <w:div w:id="117649930">
          <w:marLeft w:val="0"/>
          <w:marRight w:val="0"/>
          <w:marTop w:val="0"/>
          <w:marBottom w:val="0"/>
          <w:divBdr>
            <w:top w:val="none" w:sz="0" w:space="0" w:color="auto"/>
            <w:left w:val="none" w:sz="0" w:space="0" w:color="auto"/>
            <w:bottom w:val="none" w:sz="0" w:space="0" w:color="auto"/>
            <w:right w:val="none" w:sz="0" w:space="0" w:color="auto"/>
          </w:divBdr>
          <w:divsChild>
            <w:div w:id="190998562">
              <w:marLeft w:val="0"/>
              <w:marRight w:val="0"/>
              <w:marTop w:val="0"/>
              <w:marBottom w:val="0"/>
              <w:divBdr>
                <w:top w:val="none" w:sz="0" w:space="0" w:color="auto"/>
                <w:left w:val="none" w:sz="0" w:space="0" w:color="auto"/>
                <w:bottom w:val="none" w:sz="0" w:space="0" w:color="auto"/>
                <w:right w:val="none" w:sz="0" w:space="0" w:color="auto"/>
              </w:divBdr>
              <w:divsChild>
                <w:div w:id="1875539052">
                  <w:marLeft w:val="0"/>
                  <w:marRight w:val="0"/>
                  <w:marTop w:val="0"/>
                  <w:marBottom w:val="0"/>
                  <w:divBdr>
                    <w:top w:val="none" w:sz="0" w:space="0" w:color="auto"/>
                    <w:left w:val="none" w:sz="0" w:space="0" w:color="auto"/>
                    <w:bottom w:val="none" w:sz="0" w:space="0" w:color="auto"/>
                    <w:right w:val="none" w:sz="0" w:space="0" w:color="auto"/>
                  </w:divBdr>
                  <w:divsChild>
                    <w:div w:id="1502040443">
                      <w:marLeft w:val="0"/>
                      <w:marRight w:val="0"/>
                      <w:marTop w:val="0"/>
                      <w:marBottom w:val="0"/>
                      <w:divBdr>
                        <w:top w:val="none" w:sz="0" w:space="0" w:color="auto"/>
                        <w:left w:val="none" w:sz="0" w:space="0" w:color="auto"/>
                        <w:bottom w:val="none" w:sz="0" w:space="0" w:color="auto"/>
                        <w:right w:val="none" w:sz="0" w:space="0" w:color="auto"/>
                      </w:divBdr>
                      <w:divsChild>
                        <w:div w:id="621955943">
                          <w:marLeft w:val="0"/>
                          <w:marRight w:val="0"/>
                          <w:marTop w:val="0"/>
                          <w:marBottom w:val="0"/>
                          <w:divBdr>
                            <w:top w:val="none" w:sz="0" w:space="0" w:color="auto"/>
                            <w:left w:val="none" w:sz="0" w:space="0" w:color="auto"/>
                            <w:bottom w:val="none" w:sz="0" w:space="0" w:color="auto"/>
                            <w:right w:val="none" w:sz="0" w:space="0" w:color="auto"/>
                          </w:divBdr>
                          <w:divsChild>
                            <w:div w:id="127553873">
                              <w:marLeft w:val="0"/>
                              <w:marRight w:val="0"/>
                              <w:marTop w:val="0"/>
                              <w:marBottom w:val="0"/>
                              <w:divBdr>
                                <w:top w:val="none" w:sz="0" w:space="0" w:color="auto"/>
                                <w:left w:val="none" w:sz="0" w:space="0" w:color="auto"/>
                                <w:bottom w:val="none" w:sz="0" w:space="0" w:color="auto"/>
                                <w:right w:val="none" w:sz="0" w:space="0" w:color="auto"/>
                              </w:divBdr>
                              <w:divsChild>
                                <w:div w:id="1421297813">
                                  <w:marLeft w:val="0"/>
                                  <w:marRight w:val="0"/>
                                  <w:marTop w:val="0"/>
                                  <w:marBottom w:val="0"/>
                                  <w:divBdr>
                                    <w:top w:val="none" w:sz="0" w:space="0" w:color="auto"/>
                                    <w:left w:val="none" w:sz="0" w:space="0" w:color="auto"/>
                                    <w:bottom w:val="none" w:sz="0" w:space="0" w:color="auto"/>
                                    <w:right w:val="none" w:sz="0" w:space="0" w:color="auto"/>
                                  </w:divBdr>
                                  <w:divsChild>
                                    <w:div w:id="987904229">
                                      <w:marLeft w:val="0"/>
                                      <w:marRight w:val="0"/>
                                      <w:marTop w:val="0"/>
                                      <w:marBottom w:val="0"/>
                                      <w:divBdr>
                                        <w:top w:val="none" w:sz="0" w:space="0" w:color="auto"/>
                                        <w:left w:val="none" w:sz="0" w:space="0" w:color="auto"/>
                                        <w:bottom w:val="none" w:sz="0" w:space="0" w:color="auto"/>
                                        <w:right w:val="none" w:sz="0" w:space="0" w:color="auto"/>
                                      </w:divBdr>
                                      <w:divsChild>
                                        <w:div w:id="1940135533">
                                          <w:marLeft w:val="0"/>
                                          <w:marRight w:val="0"/>
                                          <w:marTop w:val="0"/>
                                          <w:marBottom w:val="0"/>
                                          <w:divBdr>
                                            <w:top w:val="none" w:sz="0" w:space="0" w:color="auto"/>
                                            <w:left w:val="none" w:sz="0" w:space="0" w:color="auto"/>
                                            <w:bottom w:val="none" w:sz="0" w:space="0" w:color="auto"/>
                                            <w:right w:val="none" w:sz="0" w:space="0" w:color="auto"/>
                                          </w:divBdr>
                                          <w:divsChild>
                                            <w:div w:id="2065636460">
                                              <w:marLeft w:val="0"/>
                                              <w:marRight w:val="0"/>
                                              <w:marTop w:val="0"/>
                                              <w:marBottom w:val="0"/>
                                              <w:divBdr>
                                                <w:top w:val="single" w:sz="6" w:space="0" w:color="F5F5F5"/>
                                                <w:left w:val="single" w:sz="6" w:space="0" w:color="F5F5F5"/>
                                                <w:bottom w:val="single" w:sz="6" w:space="0" w:color="F5F5F5"/>
                                                <w:right w:val="single" w:sz="6" w:space="0" w:color="F5F5F5"/>
                                              </w:divBdr>
                                              <w:divsChild>
                                                <w:div w:id="1860848448">
                                                  <w:marLeft w:val="0"/>
                                                  <w:marRight w:val="0"/>
                                                  <w:marTop w:val="0"/>
                                                  <w:marBottom w:val="0"/>
                                                  <w:divBdr>
                                                    <w:top w:val="none" w:sz="0" w:space="0" w:color="auto"/>
                                                    <w:left w:val="none" w:sz="0" w:space="0" w:color="auto"/>
                                                    <w:bottom w:val="none" w:sz="0" w:space="0" w:color="auto"/>
                                                    <w:right w:val="none" w:sz="0" w:space="0" w:color="auto"/>
                                                  </w:divBdr>
                                                  <w:divsChild>
                                                    <w:div w:id="1888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854904">
      <w:bodyDiv w:val="1"/>
      <w:marLeft w:val="0"/>
      <w:marRight w:val="0"/>
      <w:marTop w:val="0"/>
      <w:marBottom w:val="0"/>
      <w:divBdr>
        <w:top w:val="none" w:sz="0" w:space="0" w:color="auto"/>
        <w:left w:val="none" w:sz="0" w:space="0" w:color="auto"/>
        <w:bottom w:val="none" w:sz="0" w:space="0" w:color="auto"/>
        <w:right w:val="none" w:sz="0" w:space="0" w:color="auto"/>
      </w:divBdr>
    </w:div>
    <w:div w:id="1145388170">
      <w:bodyDiv w:val="1"/>
      <w:marLeft w:val="0"/>
      <w:marRight w:val="0"/>
      <w:marTop w:val="0"/>
      <w:marBottom w:val="0"/>
      <w:divBdr>
        <w:top w:val="none" w:sz="0" w:space="0" w:color="auto"/>
        <w:left w:val="none" w:sz="0" w:space="0" w:color="auto"/>
        <w:bottom w:val="none" w:sz="0" w:space="0" w:color="auto"/>
        <w:right w:val="none" w:sz="0" w:space="0" w:color="auto"/>
      </w:divBdr>
      <w:divsChild>
        <w:div w:id="1516269220">
          <w:marLeft w:val="0"/>
          <w:marRight w:val="0"/>
          <w:marTop w:val="0"/>
          <w:marBottom w:val="0"/>
          <w:divBdr>
            <w:top w:val="none" w:sz="0" w:space="0" w:color="auto"/>
            <w:left w:val="none" w:sz="0" w:space="0" w:color="auto"/>
            <w:bottom w:val="none" w:sz="0" w:space="0" w:color="auto"/>
            <w:right w:val="none" w:sz="0" w:space="0" w:color="auto"/>
          </w:divBdr>
          <w:divsChild>
            <w:div w:id="1056859729">
              <w:marLeft w:val="0"/>
              <w:marRight w:val="0"/>
              <w:marTop w:val="0"/>
              <w:marBottom w:val="0"/>
              <w:divBdr>
                <w:top w:val="none" w:sz="0" w:space="0" w:color="auto"/>
                <w:left w:val="none" w:sz="0" w:space="0" w:color="auto"/>
                <w:bottom w:val="none" w:sz="0" w:space="0" w:color="auto"/>
                <w:right w:val="none" w:sz="0" w:space="0" w:color="auto"/>
              </w:divBdr>
              <w:divsChild>
                <w:div w:id="166362449">
                  <w:marLeft w:val="0"/>
                  <w:marRight w:val="0"/>
                  <w:marTop w:val="0"/>
                  <w:marBottom w:val="0"/>
                  <w:divBdr>
                    <w:top w:val="none" w:sz="0" w:space="0" w:color="auto"/>
                    <w:left w:val="none" w:sz="0" w:space="0" w:color="auto"/>
                    <w:bottom w:val="none" w:sz="0" w:space="0" w:color="auto"/>
                    <w:right w:val="none" w:sz="0" w:space="0" w:color="auto"/>
                  </w:divBdr>
                  <w:divsChild>
                    <w:div w:id="559904073">
                      <w:marLeft w:val="0"/>
                      <w:marRight w:val="0"/>
                      <w:marTop w:val="0"/>
                      <w:marBottom w:val="0"/>
                      <w:divBdr>
                        <w:top w:val="none" w:sz="0" w:space="0" w:color="auto"/>
                        <w:left w:val="none" w:sz="0" w:space="0" w:color="auto"/>
                        <w:bottom w:val="none" w:sz="0" w:space="0" w:color="auto"/>
                        <w:right w:val="none" w:sz="0" w:space="0" w:color="auto"/>
                      </w:divBdr>
                      <w:divsChild>
                        <w:div w:id="1621262129">
                          <w:marLeft w:val="0"/>
                          <w:marRight w:val="0"/>
                          <w:marTop w:val="0"/>
                          <w:marBottom w:val="0"/>
                          <w:divBdr>
                            <w:top w:val="none" w:sz="0" w:space="0" w:color="auto"/>
                            <w:left w:val="none" w:sz="0" w:space="0" w:color="auto"/>
                            <w:bottom w:val="none" w:sz="0" w:space="0" w:color="auto"/>
                            <w:right w:val="none" w:sz="0" w:space="0" w:color="auto"/>
                          </w:divBdr>
                          <w:divsChild>
                            <w:div w:id="1813137913">
                              <w:marLeft w:val="0"/>
                              <w:marRight w:val="0"/>
                              <w:marTop w:val="0"/>
                              <w:marBottom w:val="0"/>
                              <w:divBdr>
                                <w:top w:val="none" w:sz="0" w:space="0" w:color="auto"/>
                                <w:left w:val="none" w:sz="0" w:space="0" w:color="auto"/>
                                <w:bottom w:val="none" w:sz="0" w:space="0" w:color="auto"/>
                                <w:right w:val="none" w:sz="0" w:space="0" w:color="auto"/>
                              </w:divBdr>
                              <w:divsChild>
                                <w:div w:id="2133938922">
                                  <w:marLeft w:val="0"/>
                                  <w:marRight w:val="0"/>
                                  <w:marTop w:val="0"/>
                                  <w:marBottom w:val="0"/>
                                  <w:divBdr>
                                    <w:top w:val="none" w:sz="0" w:space="0" w:color="auto"/>
                                    <w:left w:val="none" w:sz="0" w:space="0" w:color="auto"/>
                                    <w:bottom w:val="none" w:sz="0" w:space="0" w:color="auto"/>
                                    <w:right w:val="none" w:sz="0" w:space="0" w:color="auto"/>
                                  </w:divBdr>
                                  <w:divsChild>
                                    <w:div w:id="976422535">
                                      <w:marLeft w:val="0"/>
                                      <w:marRight w:val="0"/>
                                      <w:marTop w:val="0"/>
                                      <w:marBottom w:val="0"/>
                                      <w:divBdr>
                                        <w:top w:val="none" w:sz="0" w:space="0" w:color="auto"/>
                                        <w:left w:val="none" w:sz="0" w:space="0" w:color="auto"/>
                                        <w:bottom w:val="none" w:sz="0" w:space="0" w:color="auto"/>
                                        <w:right w:val="none" w:sz="0" w:space="0" w:color="auto"/>
                                      </w:divBdr>
                                      <w:divsChild>
                                        <w:div w:id="1417946059">
                                          <w:marLeft w:val="0"/>
                                          <w:marRight w:val="0"/>
                                          <w:marTop w:val="0"/>
                                          <w:marBottom w:val="0"/>
                                          <w:divBdr>
                                            <w:top w:val="none" w:sz="0" w:space="0" w:color="auto"/>
                                            <w:left w:val="none" w:sz="0" w:space="0" w:color="auto"/>
                                            <w:bottom w:val="none" w:sz="0" w:space="0" w:color="auto"/>
                                            <w:right w:val="none" w:sz="0" w:space="0" w:color="auto"/>
                                          </w:divBdr>
                                          <w:divsChild>
                                            <w:div w:id="185139622">
                                              <w:marLeft w:val="0"/>
                                              <w:marRight w:val="0"/>
                                              <w:marTop w:val="0"/>
                                              <w:marBottom w:val="0"/>
                                              <w:divBdr>
                                                <w:top w:val="none" w:sz="0" w:space="0" w:color="auto"/>
                                                <w:left w:val="none" w:sz="0" w:space="0" w:color="auto"/>
                                                <w:bottom w:val="none" w:sz="0" w:space="0" w:color="auto"/>
                                                <w:right w:val="none" w:sz="0" w:space="0" w:color="auto"/>
                                              </w:divBdr>
                                              <w:divsChild>
                                                <w:div w:id="737023388">
                                                  <w:marLeft w:val="0"/>
                                                  <w:marRight w:val="0"/>
                                                  <w:marTop w:val="0"/>
                                                  <w:marBottom w:val="0"/>
                                                  <w:divBdr>
                                                    <w:top w:val="none" w:sz="0" w:space="0" w:color="auto"/>
                                                    <w:left w:val="none" w:sz="0" w:space="0" w:color="auto"/>
                                                    <w:bottom w:val="none" w:sz="0" w:space="0" w:color="auto"/>
                                                    <w:right w:val="none" w:sz="0" w:space="0" w:color="auto"/>
                                                  </w:divBdr>
                                                  <w:divsChild>
                                                    <w:div w:id="632179999">
                                                      <w:marLeft w:val="0"/>
                                                      <w:marRight w:val="400"/>
                                                      <w:marTop w:val="0"/>
                                                      <w:marBottom w:val="0"/>
                                                      <w:divBdr>
                                                        <w:top w:val="none" w:sz="0" w:space="0" w:color="auto"/>
                                                        <w:left w:val="none" w:sz="0" w:space="0" w:color="auto"/>
                                                        <w:bottom w:val="none" w:sz="0" w:space="0" w:color="auto"/>
                                                        <w:right w:val="none" w:sz="0" w:space="0" w:color="auto"/>
                                                      </w:divBdr>
                                                      <w:divsChild>
                                                        <w:div w:id="1434595723">
                                                          <w:marLeft w:val="0"/>
                                                          <w:marRight w:val="0"/>
                                                          <w:marTop w:val="0"/>
                                                          <w:marBottom w:val="0"/>
                                                          <w:divBdr>
                                                            <w:top w:val="none" w:sz="0" w:space="0" w:color="auto"/>
                                                            <w:left w:val="none" w:sz="0" w:space="0" w:color="auto"/>
                                                            <w:bottom w:val="none" w:sz="0" w:space="0" w:color="auto"/>
                                                            <w:right w:val="none" w:sz="0" w:space="0" w:color="auto"/>
                                                          </w:divBdr>
                                                          <w:divsChild>
                                                            <w:div w:id="325208762">
                                                              <w:marLeft w:val="0"/>
                                                              <w:marRight w:val="0"/>
                                                              <w:marTop w:val="0"/>
                                                              <w:marBottom w:val="0"/>
                                                              <w:divBdr>
                                                                <w:top w:val="none" w:sz="0" w:space="0" w:color="auto"/>
                                                                <w:left w:val="none" w:sz="0" w:space="0" w:color="auto"/>
                                                                <w:bottom w:val="none" w:sz="0" w:space="0" w:color="auto"/>
                                                                <w:right w:val="none" w:sz="0" w:space="0" w:color="auto"/>
                                                              </w:divBdr>
                                                              <w:divsChild>
                                                                <w:div w:id="612516282">
                                                                  <w:marLeft w:val="0"/>
                                                                  <w:marRight w:val="0"/>
                                                                  <w:marTop w:val="0"/>
                                                                  <w:marBottom w:val="0"/>
                                                                  <w:divBdr>
                                                                    <w:top w:val="none" w:sz="0" w:space="0" w:color="auto"/>
                                                                    <w:left w:val="none" w:sz="0" w:space="0" w:color="auto"/>
                                                                    <w:bottom w:val="none" w:sz="0" w:space="0" w:color="auto"/>
                                                                    <w:right w:val="none" w:sz="0" w:space="0" w:color="auto"/>
                                                                  </w:divBdr>
                                                                  <w:divsChild>
                                                                    <w:div w:id="646981896">
                                                                      <w:marLeft w:val="0"/>
                                                                      <w:marRight w:val="0"/>
                                                                      <w:marTop w:val="0"/>
                                                                      <w:marBottom w:val="480"/>
                                                                      <w:divBdr>
                                                                        <w:top w:val="single" w:sz="8" w:space="0" w:color="CCCCCC"/>
                                                                        <w:left w:val="none" w:sz="0" w:space="0" w:color="auto"/>
                                                                        <w:bottom w:val="none" w:sz="0" w:space="0" w:color="auto"/>
                                                                        <w:right w:val="none" w:sz="0" w:space="0" w:color="auto"/>
                                                                      </w:divBdr>
                                                                      <w:divsChild>
                                                                        <w:div w:id="490559535">
                                                                          <w:marLeft w:val="0"/>
                                                                          <w:marRight w:val="0"/>
                                                                          <w:marTop w:val="0"/>
                                                                          <w:marBottom w:val="0"/>
                                                                          <w:divBdr>
                                                                            <w:top w:val="none" w:sz="0" w:space="0" w:color="auto"/>
                                                                            <w:left w:val="none" w:sz="0" w:space="0" w:color="auto"/>
                                                                            <w:bottom w:val="none" w:sz="0" w:space="0" w:color="auto"/>
                                                                            <w:right w:val="none" w:sz="0" w:space="0" w:color="auto"/>
                                                                          </w:divBdr>
                                                                          <w:divsChild>
                                                                            <w:div w:id="1281183093">
                                                                              <w:marLeft w:val="0"/>
                                                                              <w:marRight w:val="0"/>
                                                                              <w:marTop w:val="0"/>
                                                                              <w:marBottom w:val="0"/>
                                                                              <w:divBdr>
                                                                                <w:top w:val="none" w:sz="0" w:space="0" w:color="auto"/>
                                                                                <w:left w:val="none" w:sz="0" w:space="0" w:color="auto"/>
                                                                                <w:bottom w:val="none" w:sz="0" w:space="0" w:color="auto"/>
                                                                                <w:right w:val="none" w:sz="0" w:space="0" w:color="auto"/>
                                                                              </w:divBdr>
                                                                              <w:divsChild>
                                                                                <w:div w:id="713961851">
                                                                                  <w:marLeft w:val="0"/>
                                                                                  <w:marRight w:val="0"/>
                                                                                  <w:marTop w:val="0"/>
                                                                                  <w:marBottom w:val="0"/>
                                                                                  <w:divBdr>
                                                                                    <w:top w:val="none" w:sz="0" w:space="0" w:color="auto"/>
                                                                                    <w:left w:val="none" w:sz="0" w:space="0" w:color="auto"/>
                                                                                    <w:bottom w:val="none" w:sz="0" w:space="0" w:color="auto"/>
                                                                                    <w:right w:val="none" w:sz="0" w:space="0" w:color="auto"/>
                                                                                  </w:divBdr>
                                                                                  <w:divsChild>
                                                                                    <w:div w:id="687485533">
                                                                                      <w:marLeft w:val="0"/>
                                                                                      <w:marRight w:val="0"/>
                                                                                      <w:marTop w:val="0"/>
                                                                                      <w:marBottom w:val="0"/>
                                                                                      <w:divBdr>
                                                                                        <w:top w:val="none" w:sz="0" w:space="0" w:color="auto"/>
                                                                                        <w:left w:val="none" w:sz="0" w:space="0" w:color="auto"/>
                                                                                        <w:bottom w:val="none" w:sz="0" w:space="0" w:color="auto"/>
                                                                                        <w:right w:val="none" w:sz="0" w:space="0" w:color="auto"/>
                                                                                      </w:divBdr>
                                                                                      <w:divsChild>
                                                                                        <w:div w:id="475997971">
                                                                                          <w:marLeft w:val="0"/>
                                                                                          <w:marRight w:val="0"/>
                                                                                          <w:marTop w:val="0"/>
                                                                                          <w:marBottom w:val="0"/>
                                                                                          <w:divBdr>
                                                                                            <w:top w:val="none" w:sz="0" w:space="0" w:color="auto"/>
                                                                                            <w:left w:val="none" w:sz="0" w:space="0" w:color="auto"/>
                                                                                            <w:bottom w:val="none" w:sz="0" w:space="0" w:color="auto"/>
                                                                                            <w:right w:val="none" w:sz="0" w:space="0" w:color="auto"/>
                                                                                          </w:divBdr>
                                                                                          <w:divsChild>
                                                                                            <w:div w:id="183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406011">
      <w:bodyDiv w:val="1"/>
      <w:marLeft w:val="0"/>
      <w:marRight w:val="0"/>
      <w:marTop w:val="0"/>
      <w:marBottom w:val="0"/>
      <w:divBdr>
        <w:top w:val="none" w:sz="0" w:space="0" w:color="auto"/>
        <w:left w:val="none" w:sz="0" w:space="0" w:color="auto"/>
        <w:bottom w:val="none" w:sz="0" w:space="0" w:color="auto"/>
        <w:right w:val="none" w:sz="0" w:space="0" w:color="auto"/>
      </w:divBdr>
    </w:div>
    <w:div w:id="1171605795">
      <w:bodyDiv w:val="1"/>
      <w:marLeft w:val="0"/>
      <w:marRight w:val="0"/>
      <w:marTop w:val="0"/>
      <w:marBottom w:val="0"/>
      <w:divBdr>
        <w:top w:val="none" w:sz="0" w:space="0" w:color="auto"/>
        <w:left w:val="none" w:sz="0" w:space="0" w:color="auto"/>
        <w:bottom w:val="none" w:sz="0" w:space="0" w:color="auto"/>
        <w:right w:val="none" w:sz="0" w:space="0" w:color="auto"/>
      </w:divBdr>
    </w:div>
    <w:div w:id="1194541244">
      <w:bodyDiv w:val="1"/>
      <w:marLeft w:val="0"/>
      <w:marRight w:val="0"/>
      <w:marTop w:val="0"/>
      <w:marBottom w:val="0"/>
      <w:divBdr>
        <w:top w:val="none" w:sz="0" w:space="0" w:color="auto"/>
        <w:left w:val="none" w:sz="0" w:space="0" w:color="auto"/>
        <w:bottom w:val="none" w:sz="0" w:space="0" w:color="auto"/>
        <w:right w:val="none" w:sz="0" w:space="0" w:color="auto"/>
      </w:divBdr>
    </w:div>
    <w:div w:id="1199664112">
      <w:bodyDiv w:val="1"/>
      <w:marLeft w:val="0"/>
      <w:marRight w:val="0"/>
      <w:marTop w:val="0"/>
      <w:marBottom w:val="0"/>
      <w:divBdr>
        <w:top w:val="none" w:sz="0" w:space="0" w:color="auto"/>
        <w:left w:val="none" w:sz="0" w:space="0" w:color="auto"/>
        <w:bottom w:val="none" w:sz="0" w:space="0" w:color="auto"/>
        <w:right w:val="none" w:sz="0" w:space="0" w:color="auto"/>
      </w:divBdr>
    </w:div>
    <w:div w:id="1228760245">
      <w:bodyDiv w:val="1"/>
      <w:marLeft w:val="0"/>
      <w:marRight w:val="0"/>
      <w:marTop w:val="0"/>
      <w:marBottom w:val="0"/>
      <w:divBdr>
        <w:top w:val="none" w:sz="0" w:space="0" w:color="auto"/>
        <w:left w:val="none" w:sz="0" w:space="0" w:color="auto"/>
        <w:bottom w:val="none" w:sz="0" w:space="0" w:color="auto"/>
        <w:right w:val="none" w:sz="0" w:space="0" w:color="auto"/>
      </w:divBdr>
    </w:div>
    <w:div w:id="1237132057">
      <w:bodyDiv w:val="1"/>
      <w:marLeft w:val="0"/>
      <w:marRight w:val="0"/>
      <w:marTop w:val="0"/>
      <w:marBottom w:val="0"/>
      <w:divBdr>
        <w:top w:val="none" w:sz="0" w:space="0" w:color="auto"/>
        <w:left w:val="none" w:sz="0" w:space="0" w:color="auto"/>
        <w:bottom w:val="none" w:sz="0" w:space="0" w:color="auto"/>
        <w:right w:val="none" w:sz="0" w:space="0" w:color="auto"/>
      </w:divBdr>
    </w:div>
    <w:div w:id="1258946738">
      <w:bodyDiv w:val="1"/>
      <w:marLeft w:val="0"/>
      <w:marRight w:val="0"/>
      <w:marTop w:val="0"/>
      <w:marBottom w:val="0"/>
      <w:divBdr>
        <w:top w:val="none" w:sz="0" w:space="0" w:color="auto"/>
        <w:left w:val="none" w:sz="0" w:space="0" w:color="auto"/>
        <w:bottom w:val="none" w:sz="0" w:space="0" w:color="auto"/>
        <w:right w:val="none" w:sz="0" w:space="0" w:color="auto"/>
      </w:divBdr>
    </w:div>
    <w:div w:id="1268931277">
      <w:bodyDiv w:val="1"/>
      <w:marLeft w:val="0"/>
      <w:marRight w:val="0"/>
      <w:marTop w:val="0"/>
      <w:marBottom w:val="0"/>
      <w:divBdr>
        <w:top w:val="none" w:sz="0" w:space="0" w:color="auto"/>
        <w:left w:val="none" w:sz="0" w:space="0" w:color="auto"/>
        <w:bottom w:val="none" w:sz="0" w:space="0" w:color="auto"/>
        <w:right w:val="none" w:sz="0" w:space="0" w:color="auto"/>
      </w:divBdr>
    </w:div>
    <w:div w:id="1319766958">
      <w:bodyDiv w:val="1"/>
      <w:marLeft w:val="0"/>
      <w:marRight w:val="0"/>
      <w:marTop w:val="0"/>
      <w:marBottom w:val="0"/>
      <w:divBdr>
        <w:top w:val="none" w:sz="0" w:space="0" w:color="auto"/>
        <w:left w:val="none" w:sz="0" w:space="0" w:color="auto"/>
        <w:bottom w:val="none" w:sz="0" w:space="0" w:color="auto"/>
        <w:right w:val="none" w:sz="0" w:space="0" w:color="auto"/>
      </w:divBdr>
    </w:div>
    <w:div w:id="1334144290">
      <w:bodyDiv w:val="1"/>
      <w:marLeft w:val="0"/>
      <w:marRight w:val="0"/>
      <w:marTop w:val="0"/>
      <w:marBottom w:val="0"/>
      <w:divBdr>
        <w:top w:val="none" w:sz="0" w:space="0" w:color="auto"/>
        <w:left w:val="none" w:sz="0" w:space="0" w:color="auto"/>
        <w:bottom w:val="none" w:sz="0" w:space="0" w:color="auto"/>
        <w:right w:val="none" w:sz="0" w:space="0" w:color="auto"/>
      </w:divBdr>
    </w:div>
    <w:div w:id="1376391256">
      <w:bodyDiv w:val="1"/>
      <w:marLeft w:val="0"/>
      <w:marRight w:val="0"/>
      <w:marTop w:val="0"/>
      <w:marBottom w:val="0"/>
      <w:divBdr>
        <w:top w:val="none" w:sz="0" w:space="0" w:color="auto"/>
        <w:left w:val="none" w:sz="0" w:space="0" w:color="auto"/>
        <w:bottom w:val="none" w:sz="0" w:space="0" w:color="auto"/>
        <w:right w:val="none" w:sz="0" w:space="0" w:color="auto"/>
      </w:divBdr>
    </w:div>
    <w:div w:id="1398554180">
      <w:bodyDiv w:val="1"/>
      <w:marLeft w:val="0"/>
      <w:marRight w:val="0"/>
      <w:marTop w:val="0"/>
      <w:marBottom w:val="0"/>
      <w:divBdr>
        <w:top w:val="none" w:sz="0" w:space="0" w:color="auto"/>
        <w:left w:val="none" w:sz="0" w:space="0" w:color="auto"/>
        <w:bottom w:val="none" w:sz="0" w:space="0" w:color="auto"/>
        <w:right w:val="none" w:sz="0" w:space="0" w:color="auto"/>
      </w:divBdr>
    </w:div>
    <w:div w:id="1424570785">
      <w:bodyDiv w:val="1"/>
      <w:marLeft w:val="0"/>
      <w:marRight w:val="0"/>
      <w:marTop w:val="0"/>
      <w:marBottom w:val="0"/>
      <w:divBdr>
        <w:top w:val="none" w:sz="0" w:space="0" w:color="auto"/>
        <w:left w:val="none" w:sz="0" w:space="0" w:color="auto"/>
        <w:bottom w:val="none" w:sz="0" w:space="0" w:color="auto"/>
        <w:right w:val="none" w:sz="0" w:space="0" w:color="auto"/>
      </w:divBdr>
    </w:div>
    <w:div w:id="1479612615">
      <w:bodyDiv w:val="1"/>
      <w:marLeft w:val="0"/>
      <w:marRight w:val="0"/>
      <w:marTop w:val="0"/>
      <w:marBottom w:val="0"/>
      <w:divBdr>
        <w:top w:val="none" w:sz="0" w:space="0" w:color="auto"/>
        <w:left w:val="none" w:sz="0" w:space="0" w:color="auto"/>
        <w:bottom w:val="none" w:sz="0" w:space="0" w:color="auto"/>
        <w:right w:val="none" w:sz="0" w:space="0" w:color="auto"/>
      </w:divBdr>
    </w:div>
    <w:div w:id="1527405450">
      <w:bodyDiv w:val="1"/>
      <w:marLeft w:val="0"/>
      <w:marRight w:val="0"/>
      <w:marTop w:val="0"/>
      <w:marBottom w:val="0"/>
      <w:divBdr>
        <w:top w:val="none" w:sz="0" w:space="0" w:color="auto"/>
        <w:left w:val="none" w:sz="0" w:space="0" w:color="auto"/>
        <w:bottom w:val="none" w:sz="0" w:space="0" w:color="auto"/>
        <w:right w:val="none" w:sz="0" w:space="0" w:color="auto"/>
      </w:divBdr>
    </w:div>
    <w:div w:id="1529641772">
      <w:bodyDiv w:val="1"/>
      <w:marLeft w:val="0"/>
      <w:marRight w:val="0"/>
      <w:marTop w:val="0"/>
      <w:marBottom w:val="0"/>
      <w:divBdr>
        <w:top w:val="none" w:sz="0" w:space="0" w:color="auto"/>
        <w:left w:val="none" w:sz="0" w:space="0" w:color="auto"/>
        <w:bottom w:val="none" w:sz="0" w:space="0" w:color="auto"/>
        <w:right w:val="none" w:sz="0" w:space="0" w:color="auto"/>
      </w:divBdr>
    </w:div>
    <w:div w:id="1534926281">
      <w:bodyDiv w:val="1"/>
      <w:marLeft w:val="0"/>
      <w:marRight w:val="0"/>
      <w:marTop w:val="0"/>
      <w:marBottom w:val="0"/>
      <w:divBdr>
        <w:top w:val="none" w:sz="0" w:space="0" w:color="auto"/>
        <w:left w:val="none" w:sz="0" w:space="0" w:color="auto"/>
        <w:bottom w:val="none" w:sz="0" w:space="0" w:color="auto"/>
        <w:right w:val="none" w:sz="0" w:space="0" w:color="auto"/>
      </w:divBdr>
    </w:div>
    <w:div w:id="1595942383">
      <w:bodyDiv w:val="1"/>
      <w:marLeft w:val="0"/>
      <w:marRight w:val="0"/>
      <w:marTop w:val="0"/>
      <w:marBottom w:val="0"/>
      <w:divBdr>
        <w:top w:val="none" w:sz="0" w:space="0" w:color="auto"/>
        <w:left w:val="none" w:sz="0" w:space="0" w:color="auto"/>
        <w:bottom w:val="none" w:sz="0" w:space="0" w:color="auto"/>
        <w:right w:val="none" w:sz="0" w:space="0" w:color="auto"/>
      </w:divBdr>
    </w:div>
    <w:div w:id="1619023430">
      <w:bodyDiv w:val="1"/>
      <w:marLeft w:val="0"/>
      <w:marRight w:val="0"/>
      <w:marTop w:val="0"/>
      <w:marBottom w:val="0"/>
      <w:divBdr>
        <w:top w:val="none" w:sz="0" w:space="0" w:color="auto"/>
        <w:left w:val="none" w:sz="0" w:space="0" w:color="auto"/>
        <w:bottom w:val="none" w:sz="0" w:space="0" w:color="auto"/>
        <w:right w:val="none" w:sz="0" w:space="0" w:color="auto"/>
      </w:divBdr>
    </w:div>
    <w:div w:id="1624917484">
      <w:bodyDiv w:val="1"/>
      <w:marLeft w:val="0"/>
      <w:marRight w:val="0"/>
      <w:marTop w:val="0"/>
      <w:marBottom w:val="0"/>
      <w:divBdr>
        <w:top w:val="none" w:sz="0" w:space="0" w:color="auto"/>
        <w:left w:val="none" w:sz="0" w:space="0" w:color="auto"/>
        <w:bottom w:val="none" w:sz="0" w:space="0" w:color="auto"/>
        <w:right w:val="none" w:sz="0" w:space="0" w:color="auto"/>
      </w:divBdr>
    </w:div>
    <w:div w:id="1630935472">
      <w:bodyDiv w:val="1"/>
      <w:marLeft w:val="0"/>
      <w:marRight w:val="0"/>
      <w:marTop w:val="0"/>
      <w:marBottom w:val="0"/>
      <w:divBdr>
        <w:top w:val="none" w:sz="0" w:space="0" w:color="auto"/>
        <w:left w:val="none" w:sz="0" w:space="0" w:color="auto"/>
        <w:bottom w:val="none" w:sz="0" w:space="0" w:color="auto"/>
        <w:right w:val="none" w:sz="0" w:space="0" w:color="auto"/>
      </w:divBdr>
    </w:div>
    <w:div w:id="1692102076">
      <w:bodyDiv w:val="1"/>
      <w:marLeft w:val="0"/>
      <w:marRight w:val="0"/>
      <w:marTop w:val="0"/>
      <w:marBottom w:val="0"/>
      <w:divBdr>
        <w:top w:val="none" w:sz="0" w:space="0" w:color="auto"/>
        <w:left w:val="none" w:sz="0" w:space="0" w:color="auto"/>
        <w:bottom w:val="none" w:sz="0" w:space="0" w:color="auto"/>
        <w:right w:val="none" w:sz="0" w:space="0" w:color="auto"/>
      </w:divBdr>
    </w:div>
    <w:div w:id="1722748973">
      <w:bodyDiv w:val="1"/>
      <w:marLeft w:val="0"/>
      <w:marRight w:val="0"/>
      <w:marTop w:val="0"/>
      <w:marBottom w:val="0"/>
      <w:divBdr>
        <w:top w:val="none" w:sz="0" w:space="0" w:color="auto"/>
        <w:left w:val="none" w:sz="0" w:space="0" w:color="auto"/>
        <w:bottom w:val="none" w:sz="0" w:space="0" w:color="auto"/>
        <w:right w:val="none" w:sz="0" w:space="0" w:color="auto"/>
      </w:divBdr>
    </w:div>
    <w:div w:id="1738742826">
      <w:bodyDiv w:val="1"/>
      <w:marLeft w:val="0"/>
      <w:marRight w:val="0"/>
      <w:marTop w:val="0"/>
      <w:marBottom w:val="0"/>
      <w:divBdr>
        <w:top w:val="none" w:sz="0" w:space="0" w:color="auto"/>
        <w:left w:val="none" w:sz="0" w:space="0" w:color="auto"/>
        <w:bottom w:val="none" w:sz="0" w:space="0" w:color="auto"/>
        <w:right w:val="none" w:sz="0" w:space="0" w:color="auto"/>
      </w:divBdr>
    </w:div>
    <w:div w:id="1749301634">
      <w:bodyDiv w:val="1"/>
      <w:marLeft w:val="0"/>
      <w:marRight w:val="0"/>
      <w:marTop w:val="0"/>
      <w:marBottom w:val="0"/>
      <w:divBdr>
        <w:top w:val="none" w:sz="0" w:space="0" w:color="auto"/>
        <w:left w:val="none" w:sz="0" w:space="0" w:color="auto"/>
        <w:bottom w:val="none" w:sz="0" w:space="0" w:color="auto"/>
        <w:right w:val="none" w:sz="0" w:space="0" w:color="auto"/>
      </w:divBdr>
    </w:div>
    <w:div w:id="1753164694">
      <w:bodyDiv w:val="1"/>
      <w:marLeft w:val="0"/>
      <w:marRight w:val="0"/>
      <w:marTop w:val="0"/>
      <w:marBottom w:val="0"/>
      <w:divBdr>
        <w:top w:val="none" w:sz="0" w:space="0" w:color="auto"/>
        <w:left w:val="none" w:sz="0" w:space="0" w:color="auto"/>
        <w:bottom w:val="none" w:sz="0" w:space="0" w:color="auto"/>
        <w:right w:val="none" w:sz="0" w:space="0" w:color="auto"/>
      </w:divBdr>
    </w:div>
    <w:div w:id="1776827635">
      <w:bodyDiv w:val="1"/>
      <w:marLeft w:val="0"/>
      <w:marRight w:val="0"/>
      <w:marTop w:val="0"/>
      <w:marBottom w:val="0"/>
      <w:divBdr>
        <w:top w:val="none" w:sz="0" w:space="0" w:color="auto"/>
        <w:left w:val="none" w:sz="0" w:space="0" w:color="auto"/>
        <w:bottom w:val="none" w:sz="0" w:space="0" w:color="auto"/>
        <w:right w:val="none" w:sz="0" w:space="0" w:color="auto"/>
      </w:divBdr>
    </w:div>
    <w:div w:id="1858157168">
      <w:bodyDiv w:val="1"/>
      <w:marLeft w:val="0"/>
      <w:marRight w:val="0"/>
      <w:marTop w:val="0"/>
      <w:marBottom w:val="0"/>
      <w:divBdr>
        <w:top w:val="none" w:sz="0" w:space="0" w:color="auto"/>
        <w:left w:val="none" w:sz="0" w:space="0" w:color="auto"/>
        <w:bottom w:val="none" w:sz="0" w:space="0" w:color="auto"/>
        <w:right w:val="none" w:sz="0" w:space="0" w:color="auto"/>
      </w:divBdr>
    </w:div>
    <w:div w:id="1915552548">
      <w:bodyDiv w:val="1"/>
      <w:marLeft w:val="0"/>
      <w:marRight w:val="0"/>
      <w:marTop w:val="0"/>
      <w:marBottom w:val="0"/>
      <w:divBdr>
        <w:top w:val="none" w:sz="0" w:space="0" w:color="auto"/>
        <w:left w:val="none" w:sz="0" w:space="0" w:color="auto"/>
        <w:bottom w:val="none" w:sz="0" w:space="0" w:color="auto"/>
        <w:right w:val="none" w:sz="0" w:space="0" w:color="auto"/>
      </w:divBdr>
    </w:div>
    <w:div w:id="1946688464">
      <w:bodyDiv w:val="1"/>
      <w:marLeft w:val="0"/>
      <w:marRight w:val="0"/>
      <w:marTop w:val="0"/>
      <w:marBottom w:val="0"/>
      <w:divBdr>
        <w:top w:val="none" w:sz="0" w:space="0" w:color="auto"/>
        <w:left w:val="none" w:sz="0" w:space="0" w:color="auto"/>
        <w:bottom w:val="none" w:sz="0" w:space="0" w:color="auto"/>
        <w:right w:val="none" w:sz="0" w:space="0" w:color="auto"/>
      </w:divBdr>
    </w:div>
    <w:div w:id="1984192378">
      <w:bodyDiv w:val="1"/>
      <w:marLeft w:val="0"/>
      <w:marRight w:val="0"/>
      <w:marTop w:val="0"/>
      <w:marBottom w:val="0"/>
      <w:divBdr>
        <w:top w:val="none" w:sz="0" w:space="0" w:color="auto"/>
        <w:left w:val="none" w:sz="0" w:space="0" w:color="auto"/>
        <w:bottom w:val="none" w:sz="0" w:space="0" w:color="auto"/>
        <w:right w:val="none" w:sz="0" w:space="0" w:color="auto"/>
      </w:divBdr>
    </w:div>
    <w:div w:id="2007902835">
      <w:bodyDiv w:val="1"/>
      <w:marLeft w:val="0"/>
      <w:marRight w:val="0"/>
      <w:marTop w:val="0"/>
      <w:marBottom w:val="0"/>
      <w:divBdr>
        <w:top w:val="none" w:sz="0" w:space="0" w:color="auto"/>
        <w:left w:val="none" w:sz="0" w:space="0" w:color="auto"/>
        <w:bottom w:val="none" w:sz="0" w:space="0" w:color="auto"/>
        <w:right w:val="none" w:sz="0" w:space="0" w:color="auto"/>
      </w:divBdr>
    </w:div>
    <w:div w:id="2021810812">
      <w:bodyDiv w:val="1"/>
      <w:marLeft w:val="0"/>
      <w:marRight w:val="0"/>
      <w:marTop w:val="0"/>
      <w:marBottom w:val="0"/>
      <w:divBdr>
        <w:top w:val="none" w:sz="0" w:space="0" w:color="auto"/>
        <w:left w:val="none" w:sz="0" w:space="0" w:color="auto"/>
        <w:bottom w:val="none" w:sz="0" w:space="0" w:color="auto"/>
        <w:right w:val="none" w:sz="0" w:space="0" w:color="auto"/>
      </w:divBdr>
    </w:div>
    <w:div w:id="2032880727">
      <w:bodyDiv w:val="1"/>
      <w:marLeft w:val="0"/>
      <w:marRight w:val="0"/>
      <w:marTop w:val="0"/>
      <w:marBottom w:val="0"/>
      <w:divBdr>
        <w:top w:val="none" w:sz="0" w:space="0" w:color="auto"/>
        <w:left w:val="none" w:sz="0" w:space="0" w:color="auto"/>
        <w:bottom w:val="none" w:sz="0" w:space="0" w:color="auto"/>
        <w:right w:val="none" w:sz="0" w:space="0" w:color="auto"/>
      </w:divBdr>
    </w:div>
    <w:div w:id="2053653776">
      <w:bodyDiv w:val="1"/>
      <w:marLeft w:val="0"/>
      <w:marRight w:val="0"/>
      <w:marTop w:val="0"/>
      <w:marBottom w:val="0"/>
      <w:divBdr>
        <w:top w:val="none" w:sz="0" w:space="0" w:color="auto"/>
        <w:left w:val="none" w:sz="0" w:space="0" w:color="auto"/>
        <w:bottom w:val="none" w:sz="0" w:space="0" w:color="auto"/>
        <w:right w:val="none" w:sz="0" w:space="0" w:color="auto"/>
      </w:divBdr>
    </w:div>
    <w:div w:id="2077437866">
      <w:bodyDiv w:val="1"/>
      <w:marLeft w:val="0"/>
      <w:marRight w:val="0"/>
      <w:marTop w:val="0"/>
      <w:marBottom w:val="0"/>
      <w:divBdr>
        <w:top w:val="none" w:sz="0" w:space="0" w:color="auto"/>
        <w:left w:val="none" w:sz="0" w:space="0" w:color="auto"/>
        <w:bottom w:val="none" w:sz="0" w:space="0" w:color="auto"/>
        <w:right w:val="none" w:sz="0" w:space="0" w:color="auto"/>
      </w:divBdr>
    </w:div>
    <w:div w:id="2099130584">
      <w:bodyDiv w:val="1"/>
      <w:marLeft w:val="0"/>
      <w:marRight w:val="0"/>
      <w:marTop w:val="0"/>
      <w:marBottom w:val="0"/>
      <w:divBdr>
        <w:top w:val="none" w:sz="0" w:space="0" w:color="auto"/>
        <w:left w:val="none" w:sz="0" w:space="0" w:color="auto"/>
        <w:bottom w:val="none" w:sz="0" w:space="0" w:color="auto"/>
        <w:right w:val="none" w:sz="0" w:space="0" w:color="auto"/>
      </w:divBdr>
    </w:div>
    <w:div w:id="2100635319">
      <w:bodyDiv w:val="1"/>
      <w:marLeft w:val="0"/>
      <w:marRight w:val="0"/>
      <w:marTop w:val="0"/>
      <w:marBottom w:val="0"/>
      <w:divBdr>
        <w:top w:val="none" w:sz="0" w:space="0" w:color="auto"/>
        <w:left w:val="none" w:sz="0" w:space="0" w:color="auto"/>
        <w:bottom w:val="none" w:sz="0" w:space="0" w:color="auto"/>
        <w:right w:val="none" w:sz="0" w:space="0" w:color="auto"/>
      </w:divBdr>
    </w:div>
    <w:div w:id="2106805949">
      <w:bodyDiv w:val="1"/>
      <w:marLeft w:val="0"/>
      <w:marRight w:val="0"/>
      <w:marTop w:val="0"/>
      <w:marBottom w:val="0"/>
      <w:divBdr>
        <w:top w:val="none" w:sz="0" w:space="0" w:color="auto"/>
        <w:left w:val="none" w:sz="0" w:space="0" w:color="auto"/>
        <w:bottom w:val="none" w:sz="0" w:space="0" w:color="auto"/>
        <w:right w:val="none" w:sz="0" w:space="0" w:color="auto"/>
      </w:divBdr>
      <w:divsChild>
        <w:div w:id="1408068649">
          <w:marLeft w:val="0"/>
          <w:marRight w:val="0"/>
          <w:marTop w:val="0"/>
          <w:marBottom w:val="0"/>
          <w:divBdr>
            <w:top w:val="none" w:sz="0" w:space="0" w:color="auto"/>
            <w:left w:val="none" w:sz="0" w:space="0" w:color="auto"/>
            <w:bottom w:val="none" w:sz="0" w:space="0" w:color="auto"/>
            <w:right w:val="none" w:sz="0" w:space="0" w:color="auto"/>
          </w:divBdr>
          <w:divsChild>
            <w:div w:id="586618900">
              <w:marLeft w:val="0"/>
              <w:marRight w:val="0"/>
              <w:marTop w:val="0"/>
              <w:marBottom w:val="0"/>
              <w:divBdr>
                <w:top w:val="none" w:sz="0" w:space="0" w:color="auto"/>
                <w:left w:val="none" w:sz="0" w:space="0" w:color="auto"/>
                <w:bottom w:val="none" w:sz="0" w:space="0" w:color="auto"/>
                <w:right w:val="none" w:sz="0" w:space="0" w:color="auto"/>
              </w:divBdr>
              <w:divsChild>
                <w:div w:id="1824007465">
                  <w:marLeft w:val="0"/>
                  <w:marRight w:val="0"/>
                  <w:marTop w:val="0"/>
                  <w:marBottom w:val="0"/>
                  <w:divBdr>
                    <w:top w:val="none" w:sz="0" w:space="0" w:color="auto"/>
                    <w:left w:val="none" w:sz="0" w:space="0" w:color="auto"/>
                    <w:bottom w:val="none" w:sz="0" w:space="0" w:color="auto"/>
                    <w:right w:val="none" w:sz="0" w:space="0" w:color="auto"/>
                  </w:divBdr>
                  <w:divsChild>
                    <w:div w:id="1124537391">
                      <w:marLeft w:val="0"/>
                      <w:marRight w:val="0"/>
                      <w:marTop w:val="0"/>
                      <w:marBottom w:val="0"/>
                      <w:divBdr>
                        <w:top w:val="none" w:sz="0" w:space="0" w:color="auto"/>
                        <w:left w:val="none" w:sz="0" w:space="0" w:color="auto"/>
                        <w:bottom w:val="none" w:sz="0" w:space="0" w:color="auto"/>
                        <w:right w:val="none" w:sz="0" w:space="0" w:color="auto"/>
                      </w:divBdr>
                      <w:divsChild>
                        <w:div w:id="1951929037">
                          <w:marLeft w:val="0"/>
                          <w:marRight w:val="0"/>
                          <w:marTop w:val="0"/>
                          <w:marBottom w:val="0"/>
                          <w:divBdr>
                            <w:top w:val="none" w:sz="0" w:space="0" w:color="auto"/>
                            <w:left w:val="none" w:sz="0" w:space="0" w:color="auto"/>
                            <w:bottom w:val="none" w:sz="0" w:space="0" w:color="auto"/>
                            <w:right w:val="none" w:sz="0" w:space="0" w:color="auto"/>
                          </w:divBdr>
                          <w:divsChild>
                            <w:div w:id="249506175">
                              <w:marLeft w:val="0"/>
                              <w:marRight w:val="0"/>
                              <w:marTop w:val="0"/>
                              <w:marBottom w:val="0"/>
                              <w:divBdr>
                                <w:top w:val="none" w:sz="0" w:space="0" w:color="auto"/>
                                <w:left w:val="none" w:sz="0" w:space="0" w:color="auto"/>
                                <w:bottom w:val="none" w:sz="0" w:space="0" w:color="auto"/>
                                <w:right w:val="none" w:sz="0" w:space="0" w:color="auto"/>
                              </w:divBdr>
                              <w:divsChild>
                                <w:div w:id="1334838783">
                                  <w:marLeft w:val="0"/>
                                  <w:marRight w:val="0"/>
                                  <w:marTop w:val="0"/>
                                  <w:marBottom w:val="0"/>
                                  <w:divBdr>
                                    <w:top w:val="none" w:sz="0" w:space="0" w:color="auto"/>
                                    <w:left w:val="none" w:sz="0" w:space="0" w:color="auto"/>
                                    <w:bottom w:val="none" w:sz="0" w:space="0" w:color="auto"/>
                                    <w:right w:val="none" w:sz="0" w:space="0" w:color="auto"/>
                                  </w:divBdr>
                                  <w:divsChild>
                                    <w:div w:id="459611397">
                                      <w:marLeft w:val="0"/>
                                      <w:marRight w:val="0"/>
                                      <w:marTop w:val="0"/>
                                      <w:marBottom w:val="0"/>
                                      <w:divBdr>
                                        <w:top w:val="none" w:sz="0" w:space="0" w:color="auto"/>
                                        <w:left w:val="none" w:sz="0" w:space="0" w:color="auto"/>
                                        <w:bottom w:val="none" w:sz="0" w:space="0" w:color="auto"/>
                                        <w:right w:val="none" w:sz="0" w:space="0" w:color="auto"/>
                                      </w:divBdr>
                                      <w:divsChild>
                                        <w:div w:id="597252069">
                                          <w:marLeft w:val="0"/>
                                          <w:marRight w:val="0"/>
                                          <w:marTop w:val="0"/>
                                          <w:marBottom w:val="0"/>
                                          <w:divBdr>
                                            <w:top w:val="none" w:sz="0" w:space="0" w:color="auto"/>
                                            <w:left w:val="none" w:sz="0" w:space="0" w:color="auto"/>
                                            <w:bottom w:val="none" w:sz="0" w:space="0" w:color="auto"/>
                                            <w:right w:val="none" w:sz="0" w:space="0" w:color="auto"/>
                                          </w:divBdr>
                                          <w:divsChild>
                                            <w:div w:id="1924685828">
                                              <w:marLeft w:val="0"/>
                                              <w:marRight w:val="0"/>
                                              <w:marTop w:val="0"/>
                                              <w:marBottom w:val="0"/>
                                              <w:divBdr>
                                                <w:top w:val="single" w:sz="6" w:space="0" w:color="F5F5F5"/>
                                                <w:left w:val="single" w:sz="6" w:space="0" w:color="F5F5F5"/>
                                                <w:bottom w:val="single" w:sz="6" w:space="0" w:color="F5F5F5"/>
                                                <w:right w:val="single" w:sz="6" w:space="0" w:color="F5F5F5"/>
                                              </w:divBdr>
                                              <w:divsChild>
                                                <w:div w:id="75320418">
                                                  <w:marLeft w:val="0"/>
                                                  <w:marRight w:val="0"/>
                                                  <w:marTop w:val="0"/>
                                                  <w:marBottom w:val="0"/>
                                                  <w:divBdr>
                                                    <w:top w:val="none" w:sz="0" w:space="0" w:color="auto"/>
                                                    <w:left w:val="none" w:sz="0" w:space="0" w:color="auto"/>
                                                    <w:bottom w:val="none" w:sz="0" w:space="0" w:color="auto"/>
                                                    <w:right w:val="none" w:sz="0" w:space="0" w:color="auto"/>
                                                  </w:divBdr>
                                                  <w:divsChild>
                                                    <w:div w:id="515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20568">
      <w:bodyDiv w:val="1"/>
      <w:marLeft w:val="0"/>
      <w:marRight w:val="0"/>
      <w:marTop w:val="0"/>
      <w:marBottom w:val="0"/>
      <w:divBdr>
        <w:top w:val="none" w:sz="0" w:space="0" w:color="auto"/>
        <w:left w:val="none" w:sz="0" w:space="0" w:color="auto"/>
        <w:bottom w:val="none" w:sz="0" w:space="0" w:color="auto"/>
        <w:right w:val="none" w:sz="0" w:space="0" w:color="auto"/>
      </w:divBdr>
    </w:div>
    <w:div w:id="2127381325">
      <w:bodyDiv w:val="1"/>
      <w:marLeft w:val="0"/>
      <w:marRight w:val="0"/>
      <w:marTop w:val="0"/>
      <w:marBottom w:val="0"/>
      <w:divBdr>
        <w:top w:val="none" w:sz="0" w:space="0" w:color="auto"/>
        <w:left w:val="none" w:sz="0" w:space="0" w:color="auto"/>
        <w:bottom w:val="none" w:sz="0" w:space="0" w:color="auto"/>
        <w:right w:val="none" w:sz="0" w:space="0" w:color="auto"/>
      </w:divBdr>
    </w:div>
    <w:div w:id="21305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www.nordjyskebank.dk" TargetMode="External"/><Relationship Id="rId26" Type="http://schemas.openxmlformats.org/officeDocument/2006/relationships/chart" Target="charts/chart1.xm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hyperlink" Target="http://www.nordjyskebank.dk"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yperlink" Target="http://www.dronspar.dk" TargetMode="External"/><Relationship Id="rId33" Type="http://schemas.openxmlformats.org/officeDocument/2006/relationships/hyperlink" Target="http://www.finanswatch.dk" TargetMode="External"/><Relationship Id="rId38" Type="http://schemas.openxmlformats.org/officeDocument/2006/relationships/hyperlink" Target="http://www.dronspar.d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hyperlink" Target="http://www.denjyskesparekasse.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denjyskesparekasse.dk" TargetMode="External"/><Relationship Id="rId32" Type="http://schemas.openxmlformats.org/officeDocument/2006/relationships/hyperlink" Target="http://www.da.wikipedia.org" TargetMode="External"/><Relationship Id="rId37" Type="http://schemas.openxmlformats.org/officeDocument/2006/relationships/hyperlink" Target="http://www.denjyskesparekasse.dk"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hyperlink" Target="http://www.dronspar.dk" TargetMode="External"/><Relationship Id="rId36" Type="http://schemas.openxmlformats.org/officeDocument/2006/relationships/hyperlink" Target="http://www.dst.dk"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www.dst.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image" Target="media/image7.png"/><Relationship Id="rId27" Type="http://schemas.openxmlformats.org/officeDocument/2006/relationships/hyperlink" Target="http://www.dst.dk" TargetMode="External"/><Relationship Id="rId30" Type="http://schemas.openxmlformats.org/officeDocument/2006/relationships/hyperlink" Target="http://www.retsinfo.dk" TargetMode="External"/><Relationship Id="rId35" Type="http://schemas.openxmlformats.org/officeDocument/2006/relationships/hyperlink" Target="http://www.dronspar.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bn.aau.dk.zorac.aub.aau.dk/files/75431285/Risikoanalyse_pengeinstitutter_11042013.pdf" TargetMode="External"/><Relationship Id="rId1" Type="http://schemas.openxmlformats.org/officeDocument/2006/relationships/hyperlink" Target="http://www.denjyskesparekasse.d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CAM\HD%20Hovedopgave\hmrrudregninge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CIBOR3 vs. WACC</a:t>
            </a:r>
          </a:p>
        </c:rich>
      </c:tx>
      <c:overlay val="0"/>
    </c:title>
    <c:autoTitleDeleted val="0"/>
    <c:plotArea>
      <c:layout/>
      <c:lineChart>
        <c:grouping val="standard"/>
        <c:varyColors val="0"/>
        <c:ser>
          <c:idx val="0"/>
          <c:order val="0"/>
          <c:tx>
            <c:strRef>
              <c:f>Beregning!$B$55:$C$55</c:f>
              <c:strCache>
                <c:ptCount val="1"/>
                <c:pt idx="0">
                  <c:v>Cibor3</c:v>
                </c:pt>
              </c:strCache>
            </c:strRef>
          </c:tx>
          <c:marker>
            <c:symbol val="none"/>
          </c:marker>
          <c:cat>
            <c:numRef>
              <c:f>Beregning!$D$54:$H$54</c:f>
              <c:numCache>
                <c:formatCode>General</c:formatCode>
                <c:ptCount val="5"/>
                <c:pt idx="0">
                  <c:v>2008</c:v>
                </c:pt>
                <c:pt idx="1">
                  <c:v>2009</c:v>
                </c:pt>
                <c:pt idx="2">
                  <c:v>2010</c:v>
                </c:pt>
                <c:pt idx="3">
                  <c:v>2011</c:v>
                </c:pt>
                <c:pt idx="4">
                  <c:v>2012</c:v>
                </c:pt>
              </c:numCache>
            </c:numRef>
          </c:cat>
          <c:val>
            <c:numRef>
              <c:f>Beregning!$D$55:$H$55</c:f>
              <c:numCache>
                <c:formatCode>0.00%</c:formatCode>
                <c:ptCount val="5"/>
                <c:pt idx="0">
                  <c:v>5.275700000000013E-2</c:v>
                </c:pt>
                <c:pt idx="1">
                  <c:v>2.4824000000000002E-2</c:v>
                </c:pt>
                <c:pt idx="2">
                  <c:v>1.2455000000000001E-2</c:v>
                </c:pt>
                <c:pt idx="3">
                  <c:v>1.3847000000000026E-2</c:v>
                </c:pt>
                <c:pt idx="4">
                  <c:v>6.1609999999999998E-3</c:v>
                </c:pt>
              </c:numCache>
            </c:numRef>
          </c:val>
          <c:smooth val="0"/>
        </c:ser>
        <c:ser>
          <c:idx val="1"/>
          <c:order val="1"/>
          <c:tx>
            <c:strRef>
              <c:f>Beregning!$B$56:$C$56</c:f>
              <c:strCache>
                <c:ptCount val="1"/>
                <c:pt idx="0">
                  <c:v>WACC - Den Jyske</c:v>
                </c:pt>
              </c:strCache>
            </c:strRef>
          </c:tx>
          <c:marker>
            <c:symbol val="none"/>
          </c:marker>
          <c:cat>
            <c:numRef>
              <c:f>Beregning!$D$54:$H$54</c:f>
              <c:numCache>
                <c:formatCode>General</c:formatCode>
                <c:ptCount val="5"/>
                <c:pt idx="0">
                  <c:v>2008</c:v>
                </c:pt>
                <c:pt idx="1">
                  <c:v>2009</c:v>
                </c:pt>
                <c:pt idx="2">
                  <c:v>2010</c:v>
                </c:pt>
                <c:pt idx="3">
                  <c:v>2011</c:v>
                </c:pt>
                <c:pt idx="4">
                  <c:v>2012</c:v>
                </c:pt>
              </c:numCache>
            </c:numRef>
          </c:cat>
          <c:val>
            <c:numRef>
              <c:f>Beregning!$D$56:$H$56</c:f>
              <c:numCache>
                <c:formatCode>0.00%</c:formatCode>
                <c:ptCount val="5"/>
                <c:pt idx="0">
                  <c:v>2.983602434909308E-2</c:v>
                </c:pt>
                <c:pt idx="1">
                  <c:v>2.2938763382360779E-2</c:v>
                </c:pt>
                <c:pt idx="2">
                  <c:v>1.7783416976157592E-2</c:v>
                </c:pt>
                <c:pt idx="3">
                  <c:v>2.2489705251502581E-2</c:v>
                </c:pt>
                <c:pt idx="4">
                  <c:v>1.7172693056104343E-2</c:v>
                </c:pt>
              </c:numCache>
            </c:numRef>
          </c:val>
          <c:smooth val="0"/>
        </c:ser>
        <c:ser>
          <c:idx val="2"/>
          <c:order val="2"/>
          <c:tx>
            <c:strRef>
              <c:f>Beregning!$B$57:$C$57</c:f>
              <c:strCache>
                <c:ptCount val="1"/>
                <c:pt idx="0">
                  <c:v>WACC - DS</c:v>
                </c:pt>
              </c:strCache>
            </c:strRef>
          </c:tx>
          <c:marker>
            <c:symbol val="none"/>
          </c:marker>
          <c:cat>
            <c:numRef>
              <c:f>Beregning!$D$54:$H$54</c:f>
              <c:numCache>
                <c:formatCode>General</c:formatCode>
                <c:ptCount val="5"/>
                <c:pt idx="0">
                  <c:v>2008</c:v>
                </c:pt>
                <c:pt idx="1">
                  <c:v>2009</c:v>
                </c:pt>
                <c:pt idx="2">
                  <c:v>2010</c:v>
                </c:pt>
                <c:pt idx="3">
                  <c:v>2011</c:v>
                </c:pt>
                <c:pt idx="4">
                  <c:v>2012</c:v>
                </c:pt>
              </c:numCache>
            </c:numRef>
          </c:cat>
          <c:val>
            <c:numRef>
              <c:f>Beregning!$D$57:$H$57</c:f>
              <c:numCache>
                <c:formatCode>0.00%</c:formatCode>
                <c:ptCount val="5"/>
                <c:pt idx="0">
                  <c:v>3.4923580426425044E-2</c:v>
                </c:pt>
                <c:pt idx="1">
                  <c:v>2.3700059106241473E-2</c:v>
                </c:pt>
                <c:pt idx="2">
                  <c:v>2.1092950612877175E-2</c:v>
                </c:pt>
                <c:pt idx="3">
                  <c:v>2.1610685758781192E-2</c:v>
                </c:pt>
                <c:pt idx="4">
                  <c:v>2.1617626717560515E-2</c:v>
                </c:pt>
              </c:numCache>
            </c:numRef>
          </c:val>
          <c:smooth val="0"/>
        </c:ser>
        <c:dLbls>
          <c:showLegendKey val="0"/>
          <c:showVal val="0"/>
          <c:showCatName val="0"/>
          <c:showSerName val="0"/>
          <c:showPercent val="0"/>
          <c:showBubbleSize val="0"/>
        </c:dLbls>
        <c:marker val="1"/>
        <c:smooth val="0"/>
        <c:axId val="91826432"/>
        <c:axId val="91832320"/>
      </c:lineChart>
      <c:catAx>
        <c:axId val="91826432"/>
        <c:scaling>
          <c:orientation val="minMax"/>
        </c:scaling>
        <c:delete val="0"/>
        <c:axPos val="b"/>
        <c:numFmt formatCode="General" sourceLinked="1"/>
        <c:majorTickMark val="none"/>
        <c:minorTickMark val="none"/>
        <c:tickLblPos val="nextTo"/>
        <c:crossAx val="91832320"/>
        <c:crosses val="autoZero"/>
        <c:auto val="1"/>
        <c:lblAlgn val="ctr"/>
        <c:lblOffset val="100"/>
        <c:noMultiLvlLbl val="0"/>
      </c:catAx>
      <c:valAx>
        <c:axId val="91832320"/>
        <c:scaling>
          <c:orientation val="minMax"/>
        </c:scaling>
        <c:delete val="0"/>
        <c:axPos val="l"/>
        <c:majorGridlines/>
        <c:title>
          <c:tx>
            <c:rich>
              <a:bodyPr/>
              <a:lstStyle/>
              <a:p>
                <a:pPr>
                  <a:defRPr/>
                </a:pPr>
                <a:r>
                  <a:rPr lang="en-US"/>
                  <a:t>%</a:t>
                </a:r>
              </a:p>
            </c:rich>
          </c:tx>
          <c:overlay val="0"/>
        </c:title>
        <c:numFmt formatCode="0.00%" sourceLinked="1"/>
        <c:majorTickMark val="none"/>
        <c:minorTickMark val="none"/>
        <c:tickLblPos val="nextTo"/>
        <c:crossAx val="9182643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da-DK"/>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190FD7-0134-465B-9A08-03ECA61B6F6D}" type="doc">
      <dgm:prSet loTypeId="urn:microsoft.com/office/officeart/2005/8/layout/process2" loCatId="process" qsTypeId="urn:microsoft.com/office/officeart/2005/8/quickstyle/3d1" qsCatId="3D" csTypeId="urn:microsoft.com/office/officeart/2005/8/colors/accent1_2" csCatId="accent1" phldr="1"/>
      <dgm:spPr/>
    </dgm:pt>
    <dgm:pt modelId="{C6514231-0A71-4422-BFF2-761C5343F59A}">
      <dgm:prSet phldrT="[Tekst]"/>
      <dgm:spPr/>
      <dgm:t>
        <a:bodyPr/>
        <a:lstStyle/>
        <a:p>
          <a:r>
            <a:rPr lang="da-DK"/>
            <a:t>Teori</a:t>
          </a:r>
        </a:p>
      </dgm:t>
    </dgm:pt>
    <dgm:pt modelId="{83B73384-6DBD-41EE-97E3-5C4991C40701}" type="parTrans" cxnId="{EB65E256-8E31-472C-B8D8-E6F5DD44C05D}">
      <dgm:prSet/>
      <dgm:spPr/>
      <dgm:t>
        <a:bodyPr/>
        <a:lstStyle/>
        <a:p>
          <a:endParaRPr lang="da-DK"/>
        </a:p>
      </dgm:t>
    </dgm:pt>
    <dgm:pt modelId="{1FC4AEC9-222A-48B8-A4EA-A85CFCE8D45C}" type="sibTrans" cxnId="{EB65E256-8E31-472C-B8D8-E6F5DD44C05D}">
      <dgm:prSet/>
      <dgm:spPr/>
      <dgm:t>
        <a:bodyPr/>
        <a:lstStyle/>
        <a:p>
          <a:endParaRPr lang="da-DK"/>
        </a:p>
      </dgm:t>
    </dgm:pt>
    <dgm:pt modelId="{F4F2F416-3755-47B1-9662-A0E9ECE198DD}">
      <dgm:prSet phldrT="[Tekst]"/>
      <dgm:spPr/>
      <dgm:t>
        <a:bodyPr/>
        <a:lstStyle/>
        <a:p>
          <a:r>
            <a:rPr lang="da-DK"/>
            <a:t>Behandling/Analyse</a:t>
          </a:r>
        </a:p>
      </dgm:t>
    </dgm:pt>
    <dgm:pt modelId="{D294940F-CE48-4F4E-83F2-8843E17E2857}" type="parTrans" cxnId="{F342A561-9730-49A1-8A40-A0116B2A4CDB}">
      <dgm:prSet/>
      <dgm:spPr/>
      <dgm:t>
        <a:bodyPr/>
        <a:lstStyle/>
        <a:p>
          <a:endParaRPr lang="da-DK"/>
        </a:p>
      </dgm:t>
    </dgm:pt>
    <dgm:pt modelId="{6A4EF0E6-141A-437F-BAF1-AEA041396B86}" type="sibTrans" cxnId="{F342A561-9730-49A1-8A40-A0116B2A4CDB}">
      <dgm:prSet/>
      <dgm:spPr/>
      <dgm:t>
        <a:bodyPr/>
        <a:lstStyle/>
        <a:p>
          <a:endParaRPr lang="da-DK"/>
        </a:p>
      </dgm:t>
    </dgm:pt>
    <dgm:pt modelId="{77A6997F-43BE-451F-9774-1BB397AA274D}">
      <dgm:prSet/>
      <dgm:spPr/>
      <dgm:t>
        <a:bodyPr/>
        <a:lstStyle/>
        <a:p>
          <a:r>
            <a:rPr lang="da-DK"/>
            <a:t>Fusion</a:t>
          </a:r>
        </a:p>
      </dgm:t>
    </dgm:pt>
    <dgm:pt modelId="{3136DA1E-D7FF-4D40-80E8-0457D6DDB26E}" type="parTrans" cxnId="{496CC728-602C-4A03-95E4-E7FFA68B0010}">
      <dgm:prSet/>
      <dgm:spPr/>
      <dgm:t>
        <a:bodyPr/>
        <a:lstStyle/>
        <a:p>
          <a:endParaRPr lang="da-DK"/>
        </a:p>
      </dgm:t>
    </dgm:pt>
    <dgm:pt modelId="{2725557E-FBB1-4D23-9B30-C2805DB97E6E}" type="sibTrans" cxnId="{496CC728-602C-4A03-95E4-E7FFA68B0010}">
      <dgm:prSet/>
      <dgm:spPr/>
      <dgm:t>
        <a:bodyPr/>
        <a:lstStyle/>
        <a:p>
          <a:endParaRPr lang="da-DK"/>
        </a:p>
      </dgm:t>
    </dgm:pt>
    <dgm:pt modelId="{C084D20D-3E8E-4EA7-8C90-AB3E87D83023}">
      <dgm:prSet/>
      <dgm:spPr/>
      <dgm:t>
        <a:bodyPr/>
        <a:lstStyle/>
        <a:p>
          <a:r>
            <a:rPr lang="da-DK"/>
            <a:t>Rentabilitet efter fusion</a:t>
          </a:r>
        </a:p>
      </dgm:t>
    </dgm:pt>
    <dgm:pt modelId="{B9BFFF92-BAD0-4DAA-8473-53A0E9F8D261}" type="parTrans" cxnId="{C990CD70-B4D1-4342-8BEC-5DCE99EF48D5}">
      <dgm:prSet/>
      <dgm:spPr/>
      <dgm:t>
        <a:bodyPr/>
        <a:lstStyle/>
        <a:p>
          <a:endParaRPr lang="da-DK"/>
        </a:p>
      </dgm:t>
    </dgm:pt>
    <dgm:pt modelId="{13745CEF-CC63-4806-A80D-71E890156A73}" type="sibTrans" cxnId="{C990CD70-B4D1-4342-8BEC-5DCE99EF48D5}">
      <dgm:prSet/>
      <dgm:spPr/>
      <dgm:t>
        <a:bodyPr/>
        <a:lstStyle/>
        <a:p>
          <a:endParaRPr lang="da-DK"/>
        </a:p>
      </dgm:t>
    </dgm:pt>
    <dgm:pt modelId="{2E541A17-175F-4500-89FC-93C2C4DF6FFF}">
      <dgm:prSet/>
      <dgm:spPr/>
      <dgm:t>
        <a:bodyPr/>
        <a:lstStyle/>
        <a:p>
          <a:r>
            <a:rPr lang="da-DK"/>
            <a:t>Organisation</a:t>
          </a:r>
        </a:p>
      </dgm:t>
    </dgm:pt>
    <dgm:pt modelId="{0FD7A94D-B502-42AF-B032-98A533F5C702}" type="parTrans" cxnId="{0F0380FD-54C4-4A0E-A255-AB53C6BFB1E5}">
      <dgm:prSet/>
      <dgm:spPr/>
      <dgm:t>
        <a:bodyPr/>
        <a:lstStyle/>
        <a:p>
          <a:endParaRPr lang="da-DK"/>
        </a:p>
      </dgm:t>
    </dgm:pt>
    <dgm:pt modelId="{0FA8B841-D88B-4B8A-BADD-844BA7E73578}" type="sibTrans" cxnId="{0F0380FD-54C4-4A0E-A255-AB53C6BFB1E5}">
      <dgm:prSet/>
      <dgm:spPr/>
      <dgm:t>
        <a:bodyPr/>
        <a:lstStyle/>
        <a:p>
          <a:endParaRPr lang="da-DK"/>
        </a:p>
      </dgm:t>
    </dgm:pt>
    <dgm:pt modelId="{4512BF81-5868-4F57-906F-F671494F41D5}">
      <dgm:prSet/>
      <dgm:spPr/>
      <dgm:t>
        <a:bodyPr/>
        <a:lstStyle/>
        <a:p>
          <a:r>
            <a:rPr lang="da-DK"/>
            <a:t>Konklusion</a:t>
          </a:r>
        </a:p>
      </dgm:t>
    </dgm:pt>
    <dgm:pt modelId="{5A0FD2F4-5EAB-4090-AF38-5AC288FD881E}" type="parTrans" cxnId="{16D78007-B687-4ACA-BDDF-2DDF780AA622}">
      <dgm:prSet/>
      <dgm:spPr/>
      <dgm:t>
        <a:bodyPr/>
        <a:lstStyle/>
        <a:p>
          <a:endParaRPr lang="da-DK"/>
        </a:p>
      </dgm:t>
    </dgm:pt>
    <dgm:pt modelId="{3647BC4B-A507-414E-97BC-0A7925AA7970}" type="sibTrans" cxnId="{16D78007-B687-4ACA-BDDF-2DDF780AA622}">
      <dgm:prSet/>
      <dgm:spPr/>
      <dgm:t>
        <a:bodyPr/>
        <a:lstStyle/>
        <a:p>
          <a:endParaRPr lang="da-DK"/>
        </a:p>
      </dgm:t>
    </dgm:pt>
    <dgm:pt modelId="{01B91B8C-1A92-4E20-BCD0-DDD53A9A454E}">
      <dgm:prSet/>
      <dgm:spPr/>
      <dgm:t>
        <a:bodyPr/>
        <a:lstStyle/>
        <a:p>
          <a:r>
            <a:rPr lang="da-DK"/>
            <a:t>Perspektivering</a:t>
          </a:r>
        </a:p>
      </dgm:t>
    </dgm:pt>
    <dgm:pt modelId="{B2F8D260-7C30-4E3C-869F-D7F55903B800}" type="parTrans" cxnId="{829FBABD-F06C-452A-A85B-AC20F81F147A}">
      <dgm:prSet/>
      <dgm:spPr/>
      <dgm:t>
        <a:bodyPr/>
        <a:lstStyle/>
        <a:p>
          <a:endParaRPr lang="da-DK"/>
        </a:p>
      </dgm:t>
    </dgm:pt>
    <dgm:pt modelId="{5361EAC4-FE31-4048-944C-CA2707646644}" type="sibTrans" cxnId="{829FBABD-F06C-452A-A85B-AC20F81F147A}">
      <dgm:prSet/>
      <dgm:spPr/>
      <dgm:t>
        <a:bodyPr/>
        <a:lstStyle/>
        <a:p>
          <a:endParaRPr lang="da-DK"/>
        </a:p>
      </dgm:t>
    </dgm:pt>
    <dgm:pt modelId="{B9A1AAC1-D01B-4A84-9C1A-70802C59EE2A}" type="pres">
      <dgm:prSet presAssocID="{0D190FD7-0134-465B-9A08-03ECA61B6F6D}" presName="linearFlow" presStyleCnt="0">
        <dgm:presLayoutVars>
          <dgm:resizeHandles val="exact"/>
        </dgm:presLayoutVars>
      </dgm:prSet>
      <dgm:spPr/>
    </dgm:pt>
    <dgm:pt modelId="{5899B88F-D5F7-4687-97AB-F22B4911DA90}" type="pres">
      <dgm:prSet presAssocID="{C6514231-0A71-4422-BFF2-761C5343F59A}" presName="node" presStyleLbl="node1" presStyleIdx="0" presStyleCnt="7">
        <dgm:presLayoutVars>
          <dgm:bulletEnabled val="1"/>
        </dgm:presLayoutVars>
      </dgm:prSet>
      <dgm:spPr/>
      <dgm:t>
        <a:bodyPr/>
        <a:lstStyle/>
        <a:p>
          <a:endParaRPr lang="da-DK"/>
        </a:p>
      </dgm:t>
    </dgm:pt>
    <dgm:pt modelId="{229D672B-0B37-4605-8467-63345EAC80E9}" type="pres">
      <dgm:prSet presAssocID="{1FC4AEC9-222A-48B8-A4EA-A85CFCE8D45C}" presName="sibTrans" presStyleLbl="sibTrans2D1" presStyleIdx="0" presStyleCnt="6"/>
      <dgm:spPr/>
      <dgm:t>
        <a:bodyPr/>
        <a:lstStyle/>
        <a:p>
          <a:endParaRPr lang="da-DK"/>
        </a:p>
      </dgm:t>
    </dgm:pt>
    <dgm:pt modelId="{F236830A-715B-4EA8-9B90-54C0C50EB791}" type="pres">
      <dgm:prSet presAssocID="{1FC4AEC9-222A-48B8-A4EA-A85CFCE8D45C}" presName="connectorText" presStyleLbl="sibTrans2D1" presStyleIdx="0" presStyleCnt="6"/>
      <dgm:spPr/>
      <dgm:t>
        <a:bodyPr/>
        <a:lstStyle/>
        <a:p>
          <a:endParaRPr lang="da-DK"/>
        </a:p>
      </dgm:t>
    </dgm:pt>
    <dgm:pt modelId="{1DB04A8F-2AE4-47B4-82D9-2DDCCF5E3B4F}" type="pres">
      <dgm:prSet presAssocID="{F4F2F416-3755-47B1-9662-A0E9ECE198DD}" presName="node" presStyleLbl="node1" presStyleIdx="1" presStyleCnt="7" custLinFactNeighborY="-3586">
        <dgm:presLayoutVars>
          <dgm:bulletEnabled val="1"/>
        </dgm:presLayoutVars>
      </dgm:prSet>
      <dgm:spPr/>
      <dgm:t>
        <a:bodyPr/>
        <a:lstStyle/>
        <a:p>
          <a:endParaRPr lang="da-DK"/>
        </a:p>
      </dgm:t>
    </dgm:pt>
    <dgm:pt modelId="{5EC1951D-1423-4FF6-BB60-E637078E7631}" type="pres">
      <dgm:prSet presAssocID="{6A4EF0E6-141A-437F-BAF1-AEA041396B86}" presName="sibTrans" presStyleLbl="sibTrans2D1" presStyleIdx="1" presStyleCnt="6"/>
      <dgm:spPr/>
      <dgm:t>
        <a:bodyPr/>
        <a:lstStyle/>
        <a:p>
          <a:endParaRPr lang="da-DK"/>
        </a:p>
      </dgm:t>
    </dgm:pt>
    <dgm:pt modelId="{B20375AA-7A72-4662-BEC3-86EB939F2C3A}" type="pres">
      <dgm:prSet presAssocID="{6A4EF0E6-141A-437F-BAF1-AEA041396B86}" presName="connectorText" presStyleLbl="sibTrans2D1" presStyleIdx="1" presStyleCnt="6"/>
      <dgm:spPr/>
      <dgm:t>
        <a:bodyPr/>
        <a:lstStyle/>
        <a:p>
          <a:endParaRPr lang="da-DK"/>
        </a:p>
      </dgm:t>
    </dgm:pt>
    <dgm:pt modelId="{5635E292-F9A2-4853-A581-729C246018CA}" type="pres">
      <dgm:prSet presAssocID="{77A6997F-43BE-451F-9774-1BB397AA274D}" presName="node" presStyleLbl="node1" presStyleIdx="2" presStyleCnt="7">
        <dgm:presLayoutVars>
          <dgm:bulletEnabled val="1"/>
        </dgm:presLayoutVars>
      </dgm:prSet>
      <dgm:spPr/>
      <dgm:t>
        <a:bodyPr/>
        <a:lstStyle/>
        <a:p>
          <a:endParaRPr lang="da-DK"/>
        </a:p>
      </dgm:t>
    </dgm:pt>
    <dgm:pt modelId="{1D541494-2994-4A1E-8EB7-EAF82A244815}" type="pres">
      <dgm:prSet presAssocID="{2725557E-FBB1-4D23-9B30-C2805DB97E6E}" presName="sibTrans" presStyleLbl="sibTrans2D1" presStyleIdx="2" presStyleCnt="6"/>
      <dgm:spPr/>
      <dgm:t>
        <a:bodyPr/>
        <a:lstStyle/>
        <a:p>
          <a:endParaRPr lang="da-DK"/>
        </a:p>
      </dgm:t>
    </dgm:pt>
    <dgm:pt modelId="{33C16178-9879-4A24-894B-7D570C03C3DB}" type="pres">
      <dgm:prSet presAssocID="{2725557E-FBB1-4D23-9B30-C2805DB97E6E}" presName="connectorText" presStyleLbl="sibTrans2D1" presStyleIdx="2" presStyleCnt="6"/>
      <dgm:spPr/>
      <dgm:t>
        <a:bodyPr/>
        <a:lstStyle/>
        <a:p>
          <a:endParaRPr lang="da-DK"/>
        </a:p>
      </dgm:t>
    </dgm:pt>
    <dgm:pt modelId="{336AAAF4-E6CB-4ACE-AF93-8BCCE6980DF0}" type="pres">
      <dgm:prSet presAssocID="{C084D20D-3E8E-4EA7-8C90-AB3E87D83023}" presName="node" presStyleLbl="node1" presStyleIdx="3" presStyleCnt="7">
        <dgm:presLayoutVars>
          <dgm:bulletEnabled val="1"/>
        </dgm:presLayoutVars>
      </dgm:prSet>
      <dgm:spPr/>
      <dgm:t>
        <a:bodyPr/>
        <a:lstStyle/>
        <a:p>
          <a:endParaRPr lang="da-DK"/>
        </a:p>
      </dgm:t>
    </dgm:pt>
    <dgm:pt modelId="{30A4465E-F3BE-4A30-A807-DF86C7568D2D}" type="pres">
      <dgm:prSet presAssocID="{13745CEF-CC63-4806-A80D-71E890156A73}" presName="sibTrans" presStyleLbl="sibTrans2D1" presStyleIdx="3" presStyleCnt="6"/>
      <dgm:spPr/>
      <dgm:t>
        <a:bodyPr/>
        <a:lstStyle/>
        <a:p>
          <a:endParaRPr lang="da-DK"/>
        </a:p>
      </dgm:t>
    </dgm:pt>
    <dgm:pt modelId="{564DBC5F-8680-4463-B5FD-3548A5D56430}" type="pres">
      <dgm:prSet presAssocID="{13745CEF-CC63-4806-A80D-71E890156A73}" presName="connectorText" presStyleLbl="sibTrans2D1" presStyleIdx="3" presStyleCnt="6"/>
      <dgm:spPr/>
      <dgm:t>
        <a:bodyPr/>
        <a:lstStyle/>
        <a:p>
          <a:endParaRPr lang="da-DK"/>
        </a:p>
      </dgm:t>
    </dgm:pt>
    <dgm:pt modelId="{66D436E9-1FE1-4BB1-AB4C-65B46775211D}" type="pres">
      <dgm:prSet presAssocID="{2E541A17-175F-4500-89FC-93C2C4DF6FFF}" presName="node" presStyleLbl="node1" presStyleIdx="4" presStyleCnt="7">
        <dgm:presLayoutVars>
          <dgm:bulletEnabled val="1"/>
        </dgm:presLayoutVars>
      </dgm:prSet>
      <dgm:spPr/>
      <dgm:t>
        <a:bodyPr/>
        <a:lstStyle/>
        <a:p>
          <a:endParaRPr lang="da-DK"/>
        </a:p>
      </dgm:t>
    </dgm:pt>
    <dgm:pt modelId="{EB5F7CAB-843B-441C-8586-76640523086B}" type="pres">
      <dgm:prSet presAssocID="{0FA8B841-D88B-4B8A-BADD-844BA7E73578}" presName="sibTrans" presStyleLbl="sibTrans2D1" presStyleIdx="4" presStyleCnt="6"/>
      <dgm:spPr/>
      <dgm:t>
        <a:bodyPr/>
        <a:lstStyle/>
        <a:p>
          <a:endParaRPr lang="da-DK"/>
        </a:p>
      </dgm:t>
    </dgm:pt>
    <dgm:pt modelId="{A0240F25-5EE7-493F-AC90-785E747280B1}" type="pres">
      <dgm:prSet presAssocID="{0FA8B841-D88B-4B8A-BADD-844BA7E73578}" presName="connectorText" presStyleLbl="sibTrans2D1" presStyleIdx="4" presStyleCnt="6"/>
      <dgm:spPr/>
      <dgm:t>
        <a:bodyPr/>
        <a:lstStyle/>
        <a:p>
          <a:endParaRPr lang="da-DK"/>
        </a:p>
      </dgm:t>
    </dgm:pt>
    <dgm:pt modelId="{E4FBF59D-69EE-4C58-97E6-C137228FE862}" type="pres">
      <dgm:prSet presAssocID="{4512BF81-5868-4F57-906F-F671494F41D5}" presName="node" presStyleLbl="node1" presStyleIdx="5" presStyleCnt="7" custLinFactNeighborY="-8676">
        <dgm:presLayoutVars>
          <dgm:bulletEnabled val="1"/>
        </dgm:presLayoutVars>
      </dgm:prSet>
      <dgm:spPr/>
      <dgm:t>
        <a:bodyPr/>
        <a:lstStyle/>
        <a:p>
          <a:endParaRPr lang="da-DK"/>
        </a:p>
      </dgm:t>
    </dgm:pt>
    <dgm:pt modelId="{945D5CEA-005F-493D-AC89-BCE6D0F4346C}" type="pres">
      <dgm:prSet presAssocID="{3647BC4B-A507-414E-97BC-0A7925AA7970}" presName="sibTrans" presStyleLbl="sibTrans2D1" presStyleIdx="5" presStyleCnt="6"/>
      <dgm:spPr/>
      <dgm:t>
        <a:bodyPr/>
        <a:lstStyle/>
        <a:p>
          <a:endParaRPr lang="da-DK"/>
        </a:p>
      </dgm:t>
    </dgm:pt>
    <dgm:pt modelId="{5A4622A6-0DC6-483E-94E9-4DCACA56F023}" type="pres">
      <dgm:prSet presAssocID="{3647BC4B-A507-414E-97BC-0A7925AA7970}" presName="connectorText" presStyleLbl="sibTrans2D1" presStyleIdx="5" presStyleCnt="6"/>
      <dgm:spPr/>
      <dgm:t>
        <a:bodyPr/>
        <a:lstStyle/>
        <a:p>
          <a:endParaRPr lang="da-DK"/>
        </a:p>
      </dgm:t>
    </dgm:pt>
    <dgm:pt modelId="{8D38371F-371D-4EE0-9FC3-06B43A59D5DC}" type="pres">
      <dgm:prSet presAssocID="{01B91B8C-1A92-4E20-BCD0-DDD53A9A454E}" presName="node" presStyleLbl="node1" presStyleIdx="6" presStyleCnt="7">
        <dgm:presLayoutVars>
          <dgm:bulletEnabled val="1"/>
        </dgm:presLayoutVars>
      </dgm:prSet>
      <dgm:spPr/>
      <dgm:t>
        <a:bodyPr/>
        <a:lstStyle/>
        <a:p>
          <a:endParaRPr lang="da-DK"/>
        </a:p>
      </dgm:t>
    </dgm:pt>
  </dgm:ptLst>
  <dgm:cxnLst>
    <dgm:cxn modelId="{C990CD70-B4D1-4342-8BEC-5DCE99EF48D5}" srcId="{0D190FD7-0134-465B-9A08-03ECA61B6F6D}" destId="{C084D20D-3E8E-4EA7-8C90-AB3E87D83023}" srcOrd="3" destOrd="0" parTransId="{B9BFFF92-BAD0-4DAA-8473-53A0E9F8D261}" sibTransId="{13745CEF-CC63-4806-A80D-71E890156A73}"/>
    <dgm:cxn modelId="{EDBC5503-170B-4C81-947E-5D212529C69F}" type="presOf" srcId="{0FA8B841-D88B-4B8A-BADD-844BA7E73578}" destId="{A0240F25-5EE7-493F-AC90-785E747280B1}" srcOrd="1" destOrd="0" presId="urn:microsoft.com/office/officeart/2005/8/layout/process2"/>
    <dgm:cxn modelId="{FA7D4EA6-F165-48CE-81E6-62F565AC826D}" type="presOf" srcId="{4512BF81-5868-4F57-906F-F671494F41D5}" destId="{E4FBF59D-69EE-4C58-97E6-C137228FE862}" srcOrd="0" destOrd="0" presId="urn:microsoft.com/office/officeart/2005/8/layout/process2"/>
    <dgm:cxn modelId="{DA8FFEE2-34C5-4C7A-8073-0342A261BBDA}" type="presOf" srcId="{C084D20D-3E8E-4EA7-8C90-AB3E87D83023}" destId="{336AAAF4-E6CB-4ACE-AF93-8BCCE6980DF0}" srcOrd="0" destOrd="0" presId="urn:microsoft.com/office/officeart/2005/8/layout/process2"/>
    <dgm:cxn modelId="{BF01C38D-B36F-4C0E-8DF0-738EC52FB6BE}" type="presOf" srcId="{3647BC4B-A507-414E-97BC-0A7925AA7970}" destId="{5A4622A6-0DC6-483E-94E9-4DCACA56F023}" srcOrd="1" destOrd="0" presId="urn:microsoft.com/office/officeart/2005/8/layout/process2"/>
    <dgm:cxn modelId="{7B84C69C-BE87-474D-89D0-13D95B6D53DD}" type="presOf" srcId="{6A4EF0E6-141A-437F-BAF1-AEA041396B86}" destId="{B20375AA-7A72-4662-BEC3-86EB939F2C3A}" srcOrd="1" destOrd="0" presId="urn:microsoft.com/office/officeart/2005/8/layout/process2"/>
    <dgm:cxn modelId="{62A68762-0E3F-402A-80C7-A35BCFBE4D96}" type="presOf" srcId="{01B91B8C-1A92-4E20-BCD0-DDD53A9A454E}" destId="{8D38371F-371D-4EE0-9FC3-06B43A59D5DC}" srcOrd="0" destOrd="0" presId="urn:microsoft.com/office/officeart/2005/8/layout/process2"/>
    <dgm:cxn modelId="{638FED7D-FC6E-4F7A-9363-86D65E8E0204}" type="presOf" srcId="{0FA8B841-D88B-4B8A-BADD-844BA7E73578}" destId="{EB5F7CAB-843B-441C-8586-76640523086B}" srcOrd="0" destOrd="0" presId="urn:microsoft.com/office/officeart/2005/8/layout/process2"/>
    <dgm:cxn modelId="{829FBABD-F06C-452A-A85B-AC20F81F147A}" srcId="{0D190FD7-0134-465B-9A08-03ECA61B6F6D}" destId="{01B91B8C-1A92-4E20-BCD0-DDD53A9A454E}" srcOrd="6" destOrd="0" parTransId="{B2F8D260-7C30-4E3C-869F-D7F55903B800}" sibTransId="{5361EAC4-FE31-4048-944C-CA2707646644}"/>
    <dgm:cxn modelId="{496CC728-602C-4A03-95E4-E7FFA68B0010}" srcId="{0D190FD7-0134-465B-9A08-03ECA61B6F6D}" destId="{77A6997F-43BE-451F-9774-1BB397AA274D}" srcOrd="2" destOrd="0" parTransId="{3136DA1E-D7FF-4D40-80E8-0457D6DDB26E}" sibTransId="{2725557E-FBB1-4D23-9B30-C2805DB97E6E}"/>
    <dgm:cxn modelId="{52457BCE-2CD2-4920-87BC-EDA6198EBD0B}" type="presOf" srcId="{77A6997F-43BE-451F-9774-1BB397AA274D}" destId="{5635E292-F9A2-4853-A581-729C246018CA}" srcOrd="0" destOrd="0" presId="urn:microsoft.com/office/officeart/2005/8/layout/process2"/>
    <dgm:cxn modelId="{F31AF442-BA7B-46DE-ABB2-17A1221D7A47}" type="presOf" srcId="{C6514231-0A71-4422-BFF2-761C5343F59A}" destId="{5899B88F-D5F7-4687-97AB-F22B4911DA90}" srcOrd="0" destOrd="0" presId="urn:microsoft.com/office/officeart/2005/8/layout/process2"/>
    <dgm:cxn modelId="{EB65E256-8E31-472C-B8D8-E6F5DD44C05D}" srcId="{0D190FD7-0134-465B-9A08-03ECA61B6F6D}" destId="{C6514231-0A71-4422-BFF2-761C5343F59A}" srcOrd="0" destOrd="0" parTransId="{83B73384-6DBD-41EE-97E3-5C4991C40701}" sibTransId="{1FC4AEC9-222A-48B8-A4EA-A85CFCE8D45C}"/>
    <dgm:cxn modelId="{B8CF9BF1-4894-48A3-9377-9C6AB0E08E23}" type="presOf" srcId="{13745CEF-CC63-4806-A80D-71E890156A73}" destId="{30A4465E-F3BE-4A30-A807-DF86C7568D2D}" srcOrd="0" destOrd="0" presId="urn:microsoft.com/office/officeart/2005/8/layout/process2"/>
    <dgm:cxn modelId="{C3C589C9-57B5-4726-B329-59DB5CCFDFB4}" type="presOf" srcId="{2725557E-FBB1-4D23-9B30-C2805DB97E6E}" destId="{1D541494-2994-4A1E-8EB7-EAF82A244815}" srcOrd="0" destOrd="0" presId="urn:microsoft.com/office/officeart/2005/8/layout/process2"/>
    <dgm:cxn modelId="{83C21498-1CFE-4969-B94F-95CC3C66995D}" type="presOf" srcId="{1FC4AEC9-222A-48B8-A4EA-A85CFCE8D45C}" destId="{229D672B-0B37-4605-8467-63345EAC80E9}" srcOrd="0" destOrd="0" presId="urn:microsoft.com/office/officeart/2005/8/layout/process2"/>
    <dgm:cxn modelId="{0F0380FD-54C4-4A0E-A255-AB53C6BFB1E5}" srcId="{0D190FD7-0134-465B-9A08-03ECA61B6F6D}" destId="{2E541A17-175F-4500-89FC-93C2C4DF6FFF}" srcOrd="4" destOrd="0" parTransId="{0FD7A94D-B502-42AF-B032-98A533F5C702}" sibTransId="{0FA8B841-D88B-4B8A-BADD-844BA7E73578}"/>
    <dgm:cxn modelId="{2485D877-4632-4153-92F9-AA5518F55883}" type="presOf" srcId="{6A4EF0E6-141A-437F-BAF1-AEA041396B86}" destId="{5EC1951D-1423-4FF6-BB60-E637078E7631}" srcOrd="0" destOrd="0" presId="urn:microsoft.com/office/officeart/2005/8/layout/process2"/>
    <dgm:cxn modelId="{D54F0934-407B-4FE2-8BDF-98C69DEAC907}" type="presOf" srcId="{13745CEF-CC63-4806-A80D-71E890156A73}" destId="{564DBC5F-8680-4463-B5FD-3548A5D56430}" srcOrd="1" destOrd="0" presId="urn:microsoft.com/office/officeart/2005/8/layout/process2"/>
    <dgm:cxn modelId="{AC2B5537-8A77-433B-AE8F-8DE7801FA24F}" type="presOf" srcId="{2E541A17-175F-4500-89FC-93C2C4DF6FFF}" destId="{66D436E9-1FE1-4BB1-AB4C-65B46775211D}" srcOrd="0" destOrd="0" presId="urn:microsoft.com/office/officeart/2005/8/layout/process2"/>
    <dgm:cxn modelId="{F342A561-9730-49A1-8A40-A0116B2A4CDB}" srcId="{0D190FD7-0134-465B-9A08-03ECA61B6F6D}" destId="{F4F2F416-3755-47B1-9662-A0E9ECE198DD}" srcOrd="1" destOrd="0" parTransId="{D294940F-CE48-4F4E-83F2-8843E17E2857}" sibTransId="{6A4EF0E6-141A-437F-BAF1-AEA041396B86}"/>
    <dgm:cxn modelId="{73D11A94-6D48-4613-81AF-20479FDCB95D}" type="presOf" srcId="{2725557E-FBB1-4D23-9B30-C2805DB97E6E}" destId="{33C16178-9879-4A24-894B-7D570C03C3DB}" srcOrd="1" destOrd="0" presId="urn:microsoft.com/office/officeart/2005/8/layout/process2"/>
    <dgm:cxn modelId="{16D78007-B687-4ACA-BDDF-2DDF780AA622}" srcId="{0D190FD7-0134-465B-9A08-03ECA61B6F6D}" destId="{4512BF81-5868-4F57-906F-F671494F41D5}" srcOrd="5" destOrd="0" parTransId="{5A0FD2F4-5EAB-4090-AF38-5AC288FD881E}" sibTransId="{3647BC4B-A507-414E-97BC-0A7925AA7970}"/>
    <dgm:cxn modelId="{C306222C-4C14-48B4-B05B-C91250412C84}" type="presOf" srcId="{F4F2F416-3755-47B1-9662-A0E9ECE198DD}" destId="{1DB04A8F-2AE4-47B4-82D9-2DDCCF5E3B4F}" srcOrd="0" destOrd="0" presId="urn:microsoft.com/office/officeart/2005/8/layout/process2"/>
    <dgm:cxn modelId="{E5F46D1D-303A-4E4D-8F98-7C43A373EF44}" type="presOf" srcId="{1FC4AEC9-222A-48B8-A4EA-A85CFCE8D45C}" destId="{F236830A-715B-4EA8-9B90-54C0C50EB791}" srcOrd="1" destOrd="0" presId="urn:microsoft.com/office/officeart/2005/8/layout/process2"/>
    <dgm:cxn modelId="{9248554D-ADAE-4113-AA0B-6BE3000D3A3C}" type="presOf" srcId="{0D190FD7-0134-465B-9A08-03ECA61B6F6D}" destId="{B9A1AAC1-D01B-4A84-9C1A-70802C59EE2A}" srcOrd="0" destOrd="0" presId="urn:microsoft.com/office/officeart/2005/8/layout/process2"/>
    <dgm:cxn modelId="{26A2B5AE-C6ED-4C64-94C6-D615D513FF36}" type="presOf" srcId="{3647BC4B-A507-414E-97BC-0A7925AA7970}" destId="{945D5CEA-005F-493D-AC89-BCE6D0F4346C}" srcOrd="0" destOrd="0" presId="urn:microsoft.com/office/officeart/2005/8/layout/process2"/>
    <dgm:cxn modelId="{97C9075F-E8A3-4F07-8DB5-8655351BB760}" type="presParOf" srcId="{B9A1AAC1-D01B-4A84-9C1A-70802C59EE2A}" destId="{5899B88F-D5F7-4687-97AB-F22B4911DA90}" srcOrd="0" destOrd="0" presId="urn:microsoft.com/office/officeart/2005/8/layout/process2"/>
    <dgm:cxn modelId="{A68CB3F9-DB94-4A5C-9389-55F79268B1F3}" type="presParOf" srcId="{B9A1AAC1-D01B-4A84-9C1A-70802C59EE2A}" destId="{229D672B-0B37-4605-8467-63345EAC80E9}" srcOrd="1" destOrd="0" presId="urn:microsoft.com/office/officeart/2005/8/layout/process2"/>
    <dgm:cxn modelId="{F1D94D99-0256-4D46-80FF-565193542FEF}" type="presParOf" srcId="{229D672B-0B37-4605-8467-63345EAC80E9}" destId="{F236830A-715B-4EA8-9B90-54C0C50EB791}" srcOrd="0" destOrd="0" presId="urn:microsoft.com/office/officeart/2005/8/layout/process2"/>
    <dgm:cxn modelId="{AA43A27D-2570-4F4C-AE00-F940FF815202}" type="presParOf" srcId="{B9A1AAC1-D01B-4A84-9C1A-70802C59EE2A}" destId="{1DB04A8F-2AE4-47B4-82D9-2DDCCF5E3B4F}" srcOrd="2" destOrd="0" presId="urn:microsoft.com/office/officeart/2005/8/layout/process2"/>
    <dgm:cxn modelId="{CF5226BA-BFFD-4416-B5EE-0FFF19158FE3}" type="presParOf" srcId="{B9A1AAC1-D01B-4A84-9C1A-70802C59EE2A}" destId="{5EC1951D-1423-4FF6-BB60-E637078E7631}" srcOrd="3" destOrd="0" presId="urn:microsoft.com/office/officeart/2005/8/layout/process2"/>
    <dgm:cxn modelId="{01389C43-D6FF-439D-9F9F-715A7A230A30}" type="presParOf" srcId="{5EC1951D-1423-4FF6-BB60-E637078E7631}" destId="{B20375AA-7A72-4662-BEC3-86EB939F2C3A}" srcOrd="0" destOrd="0" presId="urn:microsoft.com/office/officeart/2005/8/layout/process2"/>
    <dgm:cxn modelId="{09FA8F70-9054-4539-B833-0D6877231BD4}" type="presParOf" srcId="{B9A1AAC1-D01B-4A84-9C1A-70802C59EE2A}" destId="{5635E292-F9A2-4853-A581-729C246018CA}" srcOrd="4" destOrd="0" presId="urn:microsoft.com/office/officeart/2005/8/layout/process2"/>
    <dgm:cxn modelId="{58A06950-FC95-4485-BAA4-8FA17A8E000F}" type="presParOf" srcId="{B9A1AAC1-D01B-4A84-9C1A-70802C59EE2A}" destId="{1D541494-2994-4A1E-8EB7-EAF82A244815}" srcOrd="5" destOrd="0" presId="urn:microsoft.com/office/officeart/2005/8/layout/process2"/>
    <dgm:cxn modelId="{14DC455F-2D50-4059-892F-B802684A9757}" type="presParOf" srcId="{1D541494-2994-4A1E-8EB7-EAF82A244815}" destId="{33C16178-9879-4A24-894B-7D570C03C3DB}" srcOrd="0" destOrd="0" presId="urn:microsoft.com/office/officeart/2005/8/layout/process2"/>
    <dgm:cxn modelId="{550296E4-896F-4FF0-997E-993DAE48DDD1}" type="presParOf" srcId="{B9A1AAC1-D01B-4A84-9C1A-70802C59EE2A}" destId="{336AAAF4-E6CB-4ACE-AF93-8BCCE6980DF0}" srcOrd="6" destOrd="0" presId="urn:microsoft.com/office/officeart/2005/8/layout/process2"/>
    <dgm:cxn modelId="{7A6AEA4B-C79E-470F-816A-4003F16D07FB}" type="presParOf" srcId="{B9A1AAC1-D01B-4A84-9C1A-70802C59EE2A}" destId="{30A4465E-F3BE-4A30-A807-DF86C7568D2D}" srcOrd="7" destOrd="0" presId="urn:microsoft.com/office/officeart/2005/8/layout/process2"/>
    <dgm:cxn modelId="{06CBD881-03B3-4698-BE18-4E41E7939755}" type="presParOf" srcId="{30A4465E-F3BE-4A30-A807-DF86C7568D2D}" destId="{564DBC5F-8680-4463-B5FD-3548A5D56430}" srcOrd="0" destOrd="0" presId="urn:microsoft.com/office/officeart/2005/8/layout/process2"/>
    <dgm:cxn modelId="{5A0904CB-380B-4981-91D4-033BA48AE3C7}" type="presParOf" srcId="{B9A1AAC1-D01B-4A84-9C1A-70802C59EE2A}" destId="{66D436E9-1FE1-4BB1-AB4C-65B46775211D}" srcOrd="8" destOrd="0" presId="urn:microsoft.com/office/officeart/2005/8/layout/process2"/>
    <dgm:cxn modelId="{20983146-452B-4C12-86A1-F22CBBD0F9F6}" type="presParOf" srcId="{B9A1AAC1-D01B-4A84-9C1A-70802C59EE2A}" destId="{EB5F7CAB-843B-441C-8586-76640523086B}" srcOrd="9" destOrd="0" presId="urn:microsoft.com/office/officeart/2005/8/layout/process2"/>
    <dgm:cxn modelId="{DC6FC353-8BFD-4421-8349-B100D136FB18}" type="presParOf" srcId="{EB5F7CAB-843B-441C-8586-76640523086B}" destId="{A0240F25-5EE7-493F-AC90-785E747280B1}" srcOrd="0" destOrd="0" presId="urn:microsoft.com/office/officeart/2005/8/layout/process2"/>
    <dgm:cxn modelId="{B663FDCD-23FF-4783-8777-B3A613F93C8B}" type="presParOf" srcId="{B9A1AAC1-D01B-4A84-9C1A-70802C59EE2A}" destId="{E4FBF59D-69EE-4C58-97E6-C137228FE862}" srcOrd="10" destOrd="0" presId="urn:microsoft.com/office/officeart/2005/8/layout/process2"/>
    <dgm:cxn modelId="{9CEBE16E-CD57-4816-B0A6-7B9A8C1F869C}" type="presParOf" srcId="{B9A1AAC1-D01B-4A84-9C1A-70802C59EE2A}" destId="{945D5CEA-005F-493D-AC89-BCE6D0F4346C}" srcOrd="11" destOrd="0" presId="urn:microsoft.com/office/officeart/2005/8/layout/process2"/>
    <dgm:cxn modelId="{F6F53211-2DF8-49BE-8590-C1B7CBB14B3E}" type="presParOf" srcId="{945D5CEA-005F-493D-AC89-BCE6D0F4346C}" destId="{5A4622A6-0DC6-483E-94E9-4DCACA56F023}" srcOrd="0" destOrd="0" presId="urn:microsoft.com/office/officeart/2005/8/layout/process2"/>
    <dgm:cxn modelId="{CAC67EFB-5394-4AE8-AE22-2E0A1F0F7D74}" type="presParOf" srcId="{B9A1AAC1-D01B-4A84-9C1A-70802C59EE2A}" destId="{8D38371F-371D-4EE0-9FC3-06B43A59D5DC}" srcOrd="12"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9B88F-D5F7-4687-97AB-F22B4911DA90}">
      <dsp:nvSpPr>
        <dsp:cNvPr id="0" name=""/>
        <dsp:cNvSpPr/>
      </dsp:nvSpPr>
      <dsp:spPr>
        <a:xfrm>
          <a:off x="2041164" y="493"/>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Teori</a:t>
          </a:r>
        </a:p>
      </dsp:txBody>
      <dsp:txXfrm>
        <a:off x="2053000" y="12329"/>
        <a:ext cx="1561554" cy="380448"/>
      </dsp:txXfrm>
    </dsp:sp>
    <dsp:sp modelId="{229D672B-0B37-4605-8467-63345EAC80E9}">
      <dsp:nvSpPr>
        <dsp:cNvPr id="0" name=""/>
        <dsp:cNvSpPr/>
      </dsp:nvSpPr>
      <dsp:spPr>
        <a:xfrm rot="5400000">
          <a:off x="2760722" y="411094"/>
          <a:ext cx="146110"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5400000">
        <a:off x="2779222" y="428966"/>
        <a:ext cx="109112" cy="102277"/>
      </dsp:txXfrm>
    </dsp:sp>
    <dsp:sp modelId="{1DB04A8F-2AE4-47B4-82D9-2DDCCF5E3B4F}">
      <dsp:nvSpPr>
        <dsp:cNvPr id="0" name=""/>
        <dsp:cNvSpPr/>
      </dsp:nvSpPr>
      <dsp:spPr>
        <a:xfrm>
          <a:off x="2041164" y="599428"/>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Behandling/Analyse</a:t>
          </a:r>
        </a:p>
      </dsp:txBody>
      <dsp:txXfrm>
        <a:off x="2053000" y="611264"/>
        <a:ext cx="1561554" cy="380448"/>
      </dsp:txXfrm>
    </dsp:sp>
    <dsp:sp modelId="{5EC1951D-1423-4FF6-BB60-E637078E7631}">
      <dsp:nvSpPr>
        <dsp:cNvPr id="0" name=""/>
        <dsp:cNvSpPr/>
      </dsp:nvSpPr>
      <dsp:spPr>
        <a:xfrm rot="5400000">
          <a:off x="2755287" y="1017275"/>
          <a:ext cx="156979"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5400000">
        <a:off x="2779220" y="1029713"/>
        <a:ext cx="109112" cy="109885"/>
      </dsp:txXfrm>
    </dsp:sp>
    <dsp:sp modelId="{5635E292-F9A2-4853-A581-729C246018CA}">
      <dsp:nvSpPr>
        <dsp:cNvPr id="0" name=""/>
        <dsp:cNvSpPr/>
      </dsp:nvSpPr>
      <dsp:spPr>
        <a:xfrm>
          <a:off x="2041164" y="1212855"/>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Fusion</a:t>
          </a:r>
        </a:p>
      </dsp:txBody>
      <dsp:txXfrm>
        <a:off x="2053000" y="1224691"/>
        <a:ext cx="1561554" cy="380448"/>
      </dsp:txXfrm>
    </dsp:sp>
    <dsp:sp modelId="{1D541494-2994-4A1E-8EB7-EAF82A244815}">
      <dsp:nvSpPr>
        <dsp:cNvPr id="0" name=""/>
        <dsp:cNvSpPr/>
      </dsp:nvSpPr>
      <dsp:spPr>
        <a:xfrm rot="5400000">
          <a:off x="2758004" y="1627079"/>
          <a:ext cx="151545"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5400000">
        <a:off x="2779221" y="1642234"/>
        <a:ext cx="109112" cy="106082"/>
      </dsp:txXfrm>
    </dsp:sp>
    <dsp:sp modelId="{336AAAF4-E6CB-4ACE-AF93-8BCCE6980DF0}">
      <dsp:nvSpPr>
        <dsp:cNvPr id="0" name=""/>
        <dsp:cNvSpPr/>
      </dsp:nvSpPr>
      <dsp:spPr>
        <a:xfrm>
          <a:off x="2041164" y="1819036"/>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Rentabilitet efter fusion</a:t>
          </a:r>
        </a:p>
      </dsp:txBody>
      <dsp:txXfrm>
        <a:off x="2053000" y="1830872"/>
        <a:ext cx="1561554" cy="380448"/>
      </dsp:txXfrm>
    </dsp:sp>
    <dsp:sp modelId="{30A4465E-F3BE-4A30-A807-DF86C7568D2D}">
      <dsp:nvSpPr>
        <dsp:cNvPr id="0" name=""/>
        <dsp:cNvSpPr/>
      </dsp:nvSpPr>
      <dsp:spPr>
        <a:xfrm rot="5400000">
          <a:off x="2758004" y="2233260"/>
          <a:ext cx="151545"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5400000">
        <a:off x="2779221" y="2248415"/>
        <a:ext cx="109112" cy="106082"/>
      </dsp:txXfrm>
    </dsp:sp>
    <dsp:sp modelId="{66D436E9-1FE1-4BB1-AB4C-65B46775211D}">
      <dsp:nvSpPr>
        <dsp:cNvPr id="0" name=""/>
        <dsp:cNvSpPr/>
      </dsp:nvSpPr>
      <dsp:spPr>
        <a:xfrm>
          <a:off x="2041164" y="2425217"/>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Organisation</a:t>
          </a:r>
        </a:p>
      </dsp:txBody>
      <dsp:txXfrm>
        <a:off x="2053000" y="2437053"/>
        <a:ext cx="1561554" cy="380448"/>
      </dsp:txXfrm>
    </dsp:sp>
    <dsp:sp modelId="{EB5F7CAB-843B-441C-8586-76640523086B}">
      <dsp:nvSpPr>
        <dsp:cNvPr id="0" name=""/>
        <dsp:cNvSpPr/>
      </dsp:nvSpPr>
      <dsp:spPr>
        <a:xfrm rot="5400000">
          <a:off x="2764578" y="2830676"/>
          <a:ext cx="138397"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a-DK" sz="600" kern="1200"/>
        </a:p>
      </dsp:txBody>
      <dsp:txXfrm rot="-5400000">
        <a:off x="2779221" y="2852405"/>
        <a:ext cx="109112" cy="96878"/>
      </dsp:txXfrm>
    </dsp:sp>
    <dsp:sp modelId="{E4FBF59D-69EE-4C58-97E6-C137228FE862}">
      <dsp:nvSpPr>
        <dsp:cNvPr id="0" name=""/>
        <dsp:cNvSpPr/>
      </dsp:nvSpPr>
      <dsp:spPr>
        <a:xfrm>
          <a:off x="2041164" y="3013868"/>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Konklusion</a:t>
          </a:r>
        </a:p>
      </dsp:txBody>
      <dsp:txXfrm>
        <a:off x="2053000" y="3025704"/>
        <a:ext cx="1561554" cy="380448"/>
      </dsp:txXfrm>
    </dsp:sp>
    <dsp:sp modelId="{945D5CEA-005F-493D-AC89-BCE6D0F4346C}">
      <dsp:nvSpPr>
        <dsp:cNvPr id="0" name=""/>
        <dsp:cNvSpPr/>
      </dsp:nvSpPr>
      <dsp:spPr>
        <a:xfrm rot="5400000">
          <a:off x="2751430" y="3436857"/>
          <a:ext cx="164693" cy="18185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a-DK" sz="800" kern="1200"/>
        </a:p>
      </dsp:txBody>
      <dsp:txXfrm rot="-5400000">
        <a:off x="2779220" y="3445438"/>
        <a:ext cx="109112" cy="115285"/>
      </dsp:txXfrm>
    </dsp:sp>
    <dsp:sp modelId="{8D38371F-371D-4EE0-9FC3-06B43A59D5DC}">
      <dsp:nvSpPr>
        <dsp:cNvPr id="0" name=""/>
        <dsp:cNvSpPr/>
      </dsp:nvSpPr>
      <dsp:spPr>
        <a:xfrm>
          <a:off x="2041164" y="3637579"/>
          <a:ext cx="1585226" cy="4041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Perspektivering</a:t>
          </a:r>
        </a:p>
      </dsp:txBody>
      <dsp:txXfrm>
        <a:off x="2053000" y="3649415"/>
        <a:ext cx="1561554" cy="3804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2013-04-30T00:00:00</PublishDate>
  <Abstract/>
  <CompanyAddress>Vejleder: Jesper Raalskov</CompanyAddress>
  <CompanyPhone>30. april 2013</CompanyPhone>
  <CompanyFax>Udarbejdet af Camilla Søndergaard, studie nr.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26480-A812-480E-98AB-3369F4B4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EA2CD6D7</Template>
  <TotalTime>324</TotalTime>
  <Pages>82</Pages>
  <Words>19431</Words>
  <Characters>118531</Characters>
  <Application>Microsoft Office Word</Application>
  <DocSecurity>0</DocSecurity>
  <Lines>987</Lines>
  <Paragraphs>275</Paragraphs>
  <ScaleCrop>false</ScaleCrop>
  <HeadingPairs>
    <vt:vector size="2" baseType="variant">
      <vt:variant>
        <vt:lpstr>Titel</vt:lpstr>
      </vt:variant>
      <vt:variant>
        <vt:i4>1</vt:i4>
      </vt:variant>
    </vt:vector>
  </HeadingPairs>
  <TitlesOfParts>
    <vt:vector size="1" baseType="lpstr">
      <vt:lpstr>Fusion mellem Den Jyske Sparekasse og Dronninglund Sparekasse.</vt:lpstr>
    </vt:vector>
  </TitlesOfParts>
  <Company/>
  <LinksUpToDate>false</LinksUpToDate>
  <CharactersWithSpaces>137687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mellem Den Jyske Sparekasse og Dronninglund Sparekasse.</dc:title>
  <dc:subject/>
  <dc:creator>Hvedopgave i HD Finansiel Rådgivning, Aalborg Universit</dc:creator>
  <cp:keywords/>
  <dc:description/>
  <cp:lastModifiedBy>Camilla Søndergaard</cp:lastModifiedBy>
  <cp:revision>34</cp:revision>
  <cp:lastPrinted>2013-04-25T13:44:00Z</cp:lastPrinted>
  <dcterms:created xsi:type="dcterms:W3CDTF">2013-04-23T18:39:00Z</dcterms:created>
  <dcterms:modified xsi:type="dcterms:W3CDTF">2013-04-25T13:47:00Z</dcterms:modified>
</cp:coreProperties>
</file>