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Times New Roman"/>
          <w:b w:val="0"/>
          <w:bCs w:val="0"/>
          <w:color w:val="auto"/>
          <w:sz w:val="24"/>
          <w:szCs w:val="24"/>
        </w:rPr>
        <w:id w:val="1113169724"/>
        <w:docPartObj>
          <w:docPartGallery w:val="Table of Contents"/>
          <w:docPartUnique/>
        </w:docPartObj>
      </w:sdtPr>
      <w:sdtEndPr>
        <w:rPr>
          <w:noProof/>
        </w:rPr>
      </w:sdtEndPr>
      <w:sdtContent>
        <w:p w14:paraId="04849442" w14:textId="77777777" w:rsidR="00520D1A" w:rsidRPr="003D7E0F" w:rsidRDefault="00520D1A" w:rsidP="001A79AD">
          <w:pPr>
            <w:pStyle w:val="Overskrift"/>
            <w:spacing w:line="336" w:lineRule="auto"/>
            <w:rPr>
              <w:rFonts w:cs="Times New Roman"/>
            </w:rPr>
          </w:pPr>
          <w:r w:rsidRPr="003D7E0F">
            <w:rPr>
              <w:rFonts w:cs="Times New Roman"/>
            </w:rPr>
            <w:t>Indholdsfortegnelse</w:t>
          </w:r>
        </w:p>
        <w:p w14:paraId="00305AF5" w14:textId="77777777" w:rsidR="00B47086" w:rsidRDefault="00E74891">
          <w:pPr>
            <w:pStyle w:val="Indholdsfortegnelse1"/>
            <w:rPr>
              <w:b w:val="0"/>
              <w:noProof/>
              <w:lang w:eastAsia="ja-JP"/>
            </w:rPr>
          </w:pPr>
          <w:r>
            <w:rPr>
              <w:b w:val="0"/>
            </w:rPr>
            <w:fldChar w:fldCharType="begin"/>
          </w:r>
          <w:r>
            <w:rPr>
              <w:b w:val="0"/>
            </w:rPr>
            <w:instrText xml:space="preserve"> TOC \o "1-4" </w:instrText>
          </w:r>
          <w:r>
            <w:rPr>
              <w:b w:val="0"/>
            </w:rPr>
            <w:fldChar w:fldCharType="separate"/>
          </w:r>
          <w:bookmarkStart w:id="0" w:name="_GoBack"/>
          <w:bookmarkEnd w:id="0"/>
          <w:r w:rsidR="00B47086" w:rsidRPr="00BB7478">
            <w:rPr>
              <w:rFonts w:cs="Times New Roman"/>
              <w:noProof/>
            </w:rPr>
            <w:t>Forkortelser</w:t>
          </w:r>
          <w:r w:rsidR="00B47086">
            <w:rPr>
              <w:noProof/>
            </w:rPr>
            <w:tab/>
          </w:r>
          <w:r w:rsidR="00B47086">
            <w:rPr>
              <w:noProof/>
            </w:rPr>
            <w:fldChar w:fldCharType="begin"/>
          </w:r>
          <w:r w:rsidR="00B47086">
            <w:rPr>
              <w:noProof/>
            </w:rPr>
            <w:instrText xml:space="preserve"> PAGEREF _Toc179963404 \h </w:instrText>
          </w:r>
          <w:r w:rsidR="00B47086">
            <w:rPr>
              <w:noProof/>
            </w:rPr>
          </w:r>
          <w:r w:rsidR="00B47086">
            <w:rPr>
              <w:noProof/>
            </w:rPr>
            <w:fldChar w:fldCharType="separate"/>
          </w:r>
          <w:r w:rsidR="00B47086">
            <w:rPr>
              <w:noProof/>
            </w:rPr>
            <w:t>3</w:t>
          </w:r>
          <w:r w:rsidR="00B47086">
            <w:rPr>
              <w:noProof/>
            </w:rPr>
            <w:fldChar w:fldCharType="end"/>
          </w:r>
        </w:p>
        <w:p w14:paraId="5A1E1F1A" w14:textId="77777777" w:rsidR="00B47086" w:rsidRDefault="00B47086">
          <w:pPr>
            <w:pStyle w:val="Indholdsfortegnelse1"/>
            <w:rPr>
              <w:b w:val="0"/>
              <w:noProof/>
              <w:lang w:eastAsia="ja-JP"/>
            </w:rPr>
          </w:pPr>
          <w:r w:rsidRPr="00BB7478">
            <w:rPr>
              <w:rFonts w:cs="Times New Roman"/>
              <w:noProof/>
            </w:rPr>
            <w:t>1.0 Indledning</w:t>
          </w:r>
          <w:r>
            <w:rPr>
              <w:noProof/>
            </w:rPr>
            <w:tab/>
          </w:r>
          <w:r>
            <w:rPr>
              <w:noProof/>
            </w:rPr>
            <w:fldChar w:fldCharType="begin"/>
          </w:r>
          <w:r>
            <w:rPr>
              <w:noProof/>
            </w:rPr>
            <w:instrText xml:space="preserve"> PAGEREF _Toc179963405 \h </w:instrText>
          </w:r>
          <w:r>
            <w:rPr>
              <w:noProof/>
            </w:rPr>
          </w:r>
          <w:r>
            <w:rPr>
              <w:noProof/>
            </w:rPr>
            <w:fldChar w:fldCharType="separate"/>
          </w:r>
          <w:r>
            <w:rPr>
              <w:noProof/>
            </w:rPr>
            <w:t>4</w:t>
          </w:r>
          <w:r>
            <w:rPr>
              <w:noProof/>
            </w:rPr>
            <w:fldChar w:fldCharType="end"/>
          </w:r>
        </w:p>
        <w:p w14:paraId="509C07D4"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1.1 Afgrænsning</w:t>
          </w:r>
          <w:r>
            <w:rPr>
              <w:noProof/>
            </w:rPr>
            <w:tab/>
          </w:r>
          <w:r>
            <w:rPr>
              <w:noProof/>
            </w:rPr>
            <w:fldChar w:fldCharType="begin"/>
          </w:r>
          <w:r>
            <w:rPr>
              <w:noProof/>
            </w:rPr>
            <w:instrText xml:space="preserve"> PAGEREF _Toc179963406 \h </w:instrText>
          </w:r>
          <w:r>
            <w:rPr>
              <w:noProof/>
            </w:rPr>
          </w:r>
          <w:r>
            <w:rPr>
              <w:noProof/>
            </w:rPr>
            <w:fldChar w:fldCharType="separate"/>
          </w:r>
          <w:r>
            <w:rPr>
              <w:noProof/>
            </w:rPr>
            <w:t>5</w:t>
          </w:r>
          <w:r>
            <w:rPr>
              <w:noProof/>
            </w:rPr>
            <w:fldChar w:fldCharType="end"/>
          </w:r>
        </w:p>
        <w:p w14:paraId="0CE54103"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1.2 Metode og systematik</w:t>
          </w:r>
          <w:r>
            <w:rPr>
              <w:noProof/>
            </w:rPr>
            <w:tab/>
          </w:r>
          <w:r>
            <w:rPr>
              <w:noProof/>
            </w:rPr>
            <w:fldChar w:fldCharType="begin"/>
          </w:r>
          <w:r>
            <w:rPr>
              <w:noProof/>
            </w:rPr>
            <w:instrText xml:space="preserve"> PAGEREF _Toc179963407 \h </w:instrText>
          </w:r>
          <w:r>
            <w:rPr>
              <w:noProof/>
            </w:rPr>
          </w:r>
          <w:r>
            <w:rPr>
              <w:noProof/>
            </w:rPr>
            <w:fldChar w:fldCharType="separate"/>
          </w:r>
          <w:r>
            <w:rPr>
              <w:noProof/>
            </w:rPr>
            <w:t>5</w:t>
          </w:r>
          <w:r>
            <w:rPr>
              <w:noProof/>
            </w:rPr>
            <w:fldChar w:fldCharType="end"/>
          </w:r>
        </w:p>
        <w:p w14:paraId="51FBC045" w14:textId="77777777" w:rsidR="00B47086" w:rsidRDefault="00B47086">
          <w:pPr>
            <w:pStyle w:val="Indholdsfortegnelse2"/>
            <w:tabs>
              <w:tab w:val="right" w:leader="dot" w:pos="9622"/>
            </w:tabs>
            <w:rPr>
              <w:b w:val="0"/>
              <w:noProof/>
              <w:sz w:val="24"/>
              <w:szCs w:val="24"/>
              <w:lang w:eastAsia="ja-JP"/>
            </w:rPr>
          </w:pPr>
          <w:r>
            <w:rPr>
              <w:noProof/>
            </w:rPr>
            <w:t>1.3 Begreber</w:t>
          </w:r>
          <w:r>
            <w:rPr>
              <w:noProof/>
            </w:rPr>
            <w:tab/>
          </w:r>
          <w:r>
            <w:rPr>
              <w:noProof/>
            </w:rPr>
            <w:fldChar w:fldCharType="begin"/>
          </w:r>
          <w:r>
            <w:rPr>
              <w:noProof/>
            </w:rPr>
            <w:instrText xml:space="preserve"> PAGEREF _Toc179963408 \h </w:instrText>
          </w:r>
          <w:r>
            <w:rPr>
              <w:noProof/>
            </w:rPr>
          </w:r>
          <w:r>
            <w:rPr>
              <w:noProof/>
            </w:rPr>
            <w:fldChar w:fldCharType="separate"/>
          </w:r>
          <w:r>
            <w:rPr>
              <w:noProof/>
            </w:rPr>
            <w:t>7</w:t>
          </w:r>
          <w:r>
            <w:rPr>
              <w:noProof/>
            </w:rPr>
            <w:fldChar w:fldCharType="end"/>
          </w:r>
        </w:p>
        <w:p w14:paraId="420BE90A" w14:textId="77777777" w:rsidR="00B47086" w:rsidRDefault="00B47086">
          <w:pPr>
            <w:pStyle w:val="Indholdsfortegnelse3"/>
            <w:tabs>
              <w:tab w:val="right" w:leader="dot" w:pos="9622"/>
            </w:tabs>
            <w:rPr>
              <w:noProof/>
              <w:sz w:val="24"/>
              <w:szCs w:val="24"/>
              <w:lang w:eastAsia="ja-JP"/>
            </w:rPr>
          </w:pPr>
          <w:r>
            <w:rPr>
              <w:noProof/>
            </w:rPr>
            <w:t>1.3.1 Fast ejendom</w:t>
          </w:r>
          <w:r>
            <w:rPr>
              <w:noProof/>
            </w:rPr>
            <w:tab/>
          </w:r>
          <w:r>
            <w:rPr>
              <w:noProof/>
            </w:rPr>
            <w:fldChar w:fldCharType="begin"/>
          </w:r>
          <w:r>
            <w:rPr>
              <w:noProof/>
            </w:rPr>
            <w:instrText xml:space="preserve"> PAGEREF _Toc179963409 \h </w:instrText>
          </w:r>
          <w:r>
            <w:rPr>
              <w:noProof/>
            </w:rPr>
          </w:r>
          <w:r>
            <w:rPr>
              <w:noProof/>
            </w:rPr>
            <w:fldChar w:fldCharType="separate"/>
          </w:r>
          <w:r>
            <w:rPr>
              <w:noProof/>
            </w:rPr>
            <w:t>7</w:t>
          </w:r>
          <w:r>
            <w:rPr>
              <w:noProof/>
            </w:rPr>
            <w:fldChar w:fldCharType="end"/>
          </w:r>
        </w:p>
        <w:p w14:paraId="5DF7F388" w14:textId="77777777" w:rsidR="00B47086" w:rsidRDefault="00B47086">
          <w:pPr>
            <w:pStyle w:val="Indholdsfortegnelse3"/>
            <w:tabs>
              <w:tab w:val="right" w:leader="dot" w:pos="9622"/>
            </w:tabs>
            <w:rPr>
              <w:noProof/>
              <w:sz w:val="24"/>
              <w:szCs w:val="24"/>
              <w:lang w:eastAsia="ja-JP"/>
            </w:rPr>
          </w:pPr>
          <w:r>
            <w:rPr>
              <w:noProof/>
            </w:rPr>
            <w:t>1.3.2 Skade</w:t>
          </w:r>
          <w:r>
            <w:rPr>
              <w:noProof/>
            </w:rPr>
            <w:tab/>
          </w:r>
          <w:r>
            <w:rPr>
              <w:noProof/>
            </w:rPr>
            <w:fldChar w:fldCharType="begin"/>
          </w:r>
          <w:r>
            <w:rPr>
              <w:noProof/>
            </w:rPr>
            <w:instrText xml:space="preserve"> PAGEREF _Toc179963410 \h </w:instrText>
          </w:r>
          <w:r>
            <w:rPr>
              <w:noProof/>
            </w:rPr>
          </w:r>
          <w:r>
            <w:rPr>
              <w:noProof/>
            </w:rPr>
            <w:fldChar w:fldCharType="separate"/>
          </w:r>
          <w:r>
            <w:rPr>
              <w:noProof/>
            </w:rPr>
            <w:t>7</w:t>
          </w:r>
          <w:r>
            <w:rPr>
              <w:noProof/>
            </w:rPr>
            <w:fldChar w:fldCharType="end"/>
          </w:r>
        </w:p>
        <w:p w14:paraId="0C468C84" w14:textId="77777777" w:rsidR="00B47086" w:rsidRDefault="00B47086">
          <w:pPr>
            <w:pStyle w:val="Indholdsfortegnelse3"/>
            <w:tabs>
              <w:tab w:val="right" w:leader="dot" w:pos="9622"/>
            </w:tabs>
            <w:rPr>
              <w:noProof/>
              <w:sz w:val="24"/>
              <w:szCs w:val="24"/>
              <w:lang w:eastAsia="ja-JP"/>
            </w:rPr>
          </w:pPr>
          <w:r>
            <w:rPr>
              <w:noProof/>
            </w:rPr>
            <w:t>1.3.3 Bygning</w:t>
          </w:r>
          <w:r>
            <w:rPr>
              <w:noProof/>
            </w:rPr>
            <w:tab/>
          </w:r>
          <w:r>
            <w:rPr>
              <w:noProof/>
            </w:rPr>
            <w:fldChar w:fldCharType="begin"/>
          </w:r>
          <w:r>
            <w:rPr>
              <w:noProof/>
            </w:rPr>
            <w:instrText xml:space="preserve"> PAGEREF _Toc179963411 \h </w:instrText>
          </w:r>
          <w:r>
            <w:rPr>
              <w:noProof/>
            </w:rPr>
          </w:r>
          <w:r>
            <w:rPr>
              <w:noProof/>
            </w:rPr>
            <w:fldChar w:fldCharType="separate"/>
          </w:r>
          <w:r>
            <w:rPr>
              <w:noProof/>
            </w:rPr>
            <w:t>8</w:t>
          </w:r>
          <w:r>
            <w:rPr>
              <w:noProof/>
            </w:rPr>
            <w:fldChar w:fldCharType="end"/>
          </w:r>
        </w:p>
        <w:p w14:paraId="09894AD8" w14:textId="77777777" w:rsidR="00B47086" w:rsidRDefault="00B47086">
          <w:pPr>
            <w:pStyle w:val="Indholdsfortegnelse3"/>
            <w:tabs>
              <w:tab w:val="right" w:leader="dot" w:pos="9622"/>
            </w:tabs>
            <w:rPr>
              <w:noProof/>
              <w:sz w:val="24"/>
              <w:szCs w:val="24"/>
              <w:lang w:eastAsia="ja-JP"/>
            </w:rPr>
          </w:pPr>
          <w:r>
            <w:rPr>
              <w:noProof/>
            </w:rPr>
            <w:t>1.3.4 Fysisk tilstand</w:t>
          </w:r>
          <w:r>
            <w:rPr>
              <w:noProof/>
            </w:rPr>
            <w:tab/>
          </w:r>
          <w:r>
            <w:rPr>
              <w:noProof/>
            </w:rPr>
            <w:fldChar w:fldCharType="begin"/>
          </w:r>
          <w:r>
            <w:rPr>
              <w:noProof/>
            </w:rPr>
            <w:instrText xml:space="preserve"> PAGEREF _Toc179963412 \h </w:instrText>
          </w:r>
          <w:r>
            <w:rPr>
              <w:noProof/>
            </w:rPr>
          </w:r>
          <w:r>
            <w:rPr>
              <w:noProof/>
            </w:rPr>
            <w:fldChar w:fldCharType="separate"/>
          </w:r>
          <w:r>
            <w:rPr>
              <w:noProof/>
            </w:rPr>
            <w:t>8</w:t>
          </w:r>
          <w:r>
            <w:rPr>
              <w:noProof/>
            </w:rPr>
            <w:fldChar w:fldCharType="end"/>
          </w:r>
        </w:p>
        <w:p w14:paraId="7308FE5B" w14:textId="77777777" w:rsidR="00B47086" w:rsidRDefault="00B47086">
          <w:pPr>
            <w:pStyle w:val="Indholdsfortegnelse1"/>
            <w:rPr>
              <w:b w:val="0"/>
              <w:noProof/>
              <w:lang w:eastAsia="ja-JP"/>
            </w:rPr>
          </w:pPr>
          <w:r w:rsidRPr="00BB7478">
            <w:rPr>
              <w:rFonts w:cs="Times New Roman"/>
              <w:noProof/>
            </w:rPr>
            <w:t>2.0 Huseftersynsordningen</w:t>
          </w:r>
          <w:r>
            <w:rPr>
              <w:noProof/>
            </w:rPr>
            <w:tab/>
          </w:r>
          <w:r>
            <w:rPr>
              <w:noProof/>
            </w:rPr>
            <w:fldChar w:fldCharType="begin"/>
          </w:r>
          <w:r>
            <w:rPr>
              <w:noProof/>
            </w:rPr>
            <w:instrText xml:space="preserve"> PAGEREF _Toc179963413 \h </w:instrText>
          </w:r>
          <w:r>
            <w:rPr>
              <w:noProof/>
            </w:rPr>
          </w:r>
          <w:r>
            <w:rPr>
              <w:noProof/>
            </w:rPr>
            <w:fldChar w:fldCharType="separate"/>
          </w:r>
          <w:r>
            <w:rPr>
              <w:noProof/>
            </w:rPr>
            <w:t>9</w:t>
          </w:r>
          <w:r>
            <w:rPr>
              <w:noProof/>
            </w:rPr>
            <w:fldChar w:fldCharType="end"/>
          </w:r>
        </w:p>
        <w:p w14:paraId="3B12EA9C"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2.1 Anvendelsesområde for LFFE’s kap. 1</w:t>
          </w:r>
          <w:r>
            <w:rPr>
              <w:noProof/>
            </w:rPr>
            <w:tab/>
          </w:r>
          <w:r>
            <w:rPr>
              <w:noProof/>
            </w:rPr>
            <w:fldChar w:fldCharType="begin"/>
          </w:r>
          <w:r>
            <w:rPr>
              <w:noProof/>
            </w:rPr>
            <w:instrText xml:space="preserve"> PAGEREF _Toc179963414 \h </w:instrText>
          </w:r>
          <w:r>
            <w:rPr>
              <w:noProof/>
            </w:rPr>
          </w:r>
          <w:r>
            <w:rPr>
              <w:noProof/>
            </w:rPr>
            <w:fldChar w:fldCharType="separate"/>
          </w:r>
          <w:r>
            <w:rPr>
              <w:noProof/>
            </w:rPr>
            <w:t>9</w:t>
          </w:r>
          <w:r>
            <w:rPr>
              <w:noProof/>
            </w:rPr>
            <w:fldChar w:fldCharType="end"/>
          </w:r>
        </w:p>
        <w:p w14:paraId="5FBF3EC2"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2.2 Sælgerbeskyttelsens udstrækning</w:t>
          </w:r>
          <w:r>
            <w:rPr>
              <w:noProof/>
            </w:rPr>
            <w:tab/>
          </w:r>
          <w:r>
            <w:rPr>
              <w:noProof/>
            </w:rPr>
            <w:fldChar w:fldCharType="begin"/>
          </w:r>
          <w:r>
            <w:rPr>
              <w:noProof/>
            </w:rPr>
            <w:instrText xml:space="preserve"> PAGEREF _Toc179963415 \h </w:instrText>
          </w:r>
          <w:r>
            <w:rPr>
              <w:noProof/>
            </w:rPr>
          </w:r>
          <w:r>
            <w:rPr>
              <w:noProof/>
            </w:rPr>
            <w:fldChar w:fldCharType="separate"/>
          </w:r>
          <w:r>
            <w:rPr>
              <w:noProof/>
            </w:rPr>
            <w:t>10</w:t>
          </w:r>
          <w:r>
            <w:rPr>
              <w:noProof/>
            </w:rPr>
            <w:fldChar w:fldCharType="end"/>
          </w:r>
        </w:p>
        <w:p w14:paraId="46D77B62" w14:textId="77777777" w:rsidR="00B47086" w:rsidRDefault="00B47086">
          <w:pPr>
            <w:pStyle w:val="Indholdsfortegnelse3"/>
            <w:tabs>
              <w:tab w:val="right" w:leader="dot" w:pos="9622"/>
            </w:tabs>
            <w:rPr>
              <w:noProof/>
              <w:sz w:val="24"/>
              <w:szCs w:val="24"/>
              <w:lang w:eastAsia="ja-JP"/>
            </w:rPr>
          </w:pPr>
          <w:r>
            <w:rPr>
              <w:noProof/>
            </w:rPr>
            <w:t>2.2.1 Bygningens fysiske tilstand</w:t>
          </w:r>
          <w:r>
            <w:rPr>
              <w:noProof/>
            </w:rPr>
            <w:tab/>
          </w:r>
          <w:r>
            <w:rPr>
              <w:noProof/>
            </w:rPr>
            <w:fldChar w:fldCharType="begin"/>
          </w:r>
          <w:r>
            <w:rPr>
              <w:noProof/>
            </w:rPr>
            <w:instrText xml:space="preserve"> PAGEREF _Toc179963416 \h </w:instrText>
          </w:r>
          <w:r>
            <w:rPr>
              <w:noProof/>
            </w:rPr>
          </w:r>
          <w:r>
            <w:rPr>
              <w:noProof/>
            </w:rPr>
            <w:fldChar w:fldCharType="separate"/>
          </w:r>
          <w:r>
            <w:rPr>
              <w:noProof/>
            </w:rPr>
            <w:t>11</w:t>
          </w:r>
          <w:r>
            <w:rPr>
              <w:noProof/>
            </w:rPr>
            <w:fldChar w:fldCharType="end"/>
          </w:r>
        </w:p>
        <w:p w14:paraId="53A52F73" w14:textId="77777777" w:rsidR="00B47086" w:rsidRDefault="00B47086">
          <w:pPr>
            <w:pStyle w:val="Indholdsfortegnelse3"/>
            <w:tabs>
              <w:tab w:val="right" w:leader="dot" w:pos="9622"/>
            </w:tabs>
            <w:rPr>
              <w:noProof/>
              <w:sz w:val="24"/>
              <w:szCs w:val="24"/>
              <w:lang w:eastAsia="ja-JP"/>
            </w:rPr>
          </w:pPr>
          <w:r>
            <w:rPr>
              <w:noProof/>
            </w:rPr>
            <w:t>2.2.2 Fejl der burde have været omtalt i tilstandsrapporten</w:t>
          </w:r>
          <w:r>
            <w:rPr>
              <w:noProof/>
            </w:rPr>
            <w:tab/>
          </w:r>
          <w:r>
            <w:rPr>
              <w:noProof/>
            </w:rPr>
            <w:fldChar w:fldCharType="begin"/>
          </w:r>
          <w:r>
            <w:rPr>
              <w:noProof/>
            </w:rPr>
            <w:instrText xml:space="preserve"> PAGEREF _Toc179963417 \h </w:instrText>
          </w:r>
          <w:r>
            <w:rPr>
              <w:noProof/>
            </w:rPr>
          </w:r>
          <w:r>
            <w:rPr>
              <w:noProof/>
            </w:rPr>
            <w:fldChar w:fldCharType="separate"/>
          </w:r>
          <w:r>
            <w:rPr>
              <w:noProof/>
            </w:rPr>
            <w:t>11</w:t>
          </w:r>
          <w:r>
            <w:rPr>
              <w:noProof/>
            </w:rPr>
            <w:fldChar w:fldCharType="end"/>
          </w:r>
        </w:p>
        <w:p w14:paraId="031A283F"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2.3 Krav for sælgers fritagelse</w:t>
          </w:r>
          <w:r>
            <w:rPr>
              <w:noProof/>
            </w:rPr>
            <w:tab/>
          </w:r>
          <w:r>
            <w:rPr>
              <w:noProof/>
            </w:rPr>
            <w:fldChar w:fldCharType="begin"/>
          </w:r>
          <w:r>
            <w:rPr>
              <w:noProof/>
            </w:rPr>
            <w:instrText xml:space="preserve"> PAGEREF _Toc179963418 \h </w:instrText>
          </w:r>
          <w:r>
            <w:rPr>
              <w:noProof/>
            </w:rPr>
          </w:r>
          <w:r>
            <w:rPr>
              <w:noProof/>
            </w:rPr>
            <w:fldChar w:fldCharType="separate"/>
          </w:r>
          <w:r>
            <w:rPr>
              <w:noProof/>
            </w:rPr>
            <w:t>12</w:t>
          </w:r>
          <w:r>
            <w:rPr>
              <w:noProof/>
            </w:rPr>
            <w:fldChar w:fldCharType="end"/>
          </w:r>
        </w:p>
        <w:p w14:paraId="1D86A7B8" w14:textId="77777777" w:rsidR="00B47086" w:rsidRDefault="00B47086">
          <w:pPr>
            <w:pStyle w:val="Indholdsfortegnelse3"/>
            <w:tabs>
              <w:tab w:val="right" w:leader="dot" w:pos="9622"/>
            </w:tabs>
            <w:rPr>
              <w:noProof/>
              <w:sz w:val="24"/>
              <w:szCs w:val="24"/>
              <w:lang w:eastAsia="ja-JP"/>
            </w:rPr>
          </w:pPr>
          <w:r>
            <w:rPr>
              <w:noProof/>
            </w:rPr>
            <w:t>2.3.1 Tilstandsrapport</w:t>
          </w:r>
          <w:r>
            <w:rPr>
              <w:noProof/>
            </w:rPr>
            <w:tab/>
          </w:r>
          <w:r>
            <w:rPr>
              <w:noProof/>
            </w:rPr>
            <w:fldChar w:fldCharType="begin"/>
          </w:r>
          <w:r>
            <w:rPr>
              <w:noProof/>
            </w:rPr>
            <w:instrText xml:space="preserve"> PAGEREF _Toc179963419 \h </w:instrText>
          </w:r>
          <w:r>
            <w:rPr>
              <w:noProof/>
            </w:rPr>
          </w:r>
          <w:r>
            <w:rPr>
              <w:noProof/>
            </w:rPr>
            <w:fldChar w:fldCharType="separate"/>
          </w:r>
          <w:r>
            <w:rPr>
              <w:noProof/>
            </w:rPr>
            <w:t>12</w:t>
          </w:r>
          <w:r>
            <w:rPr>
              <w:noProof/>
            </w:rPr>
            <w:fldChar w:fldCharType="end"/>
          </w:r>
        </w:p>
        <w:p w14:paraId="51DD057A" w14:textId="77777777" w:rsidR="00B47086" w:rsidRDefault="00B47086">
          <w:pPr>
            <w:pStyle w:val="Indholdsfortegnelse3"/>
            <w:tabs>
              <w:tab w:val="right" w:leader="dot" w:pos="9622"/>
            </w:tabs>
            <w:rPr>
              <w:noProof/>
              <w:sz w:val="24"/>
              <w:szCs w:val="24"/>
              <w:lang w:eastAsia="ja-JP"/>
            </w:rPr>
          </w:pPr>
          <w:r>
            <w:rPr>
              <w:noProof/>
            </w:rPr>
            <w:t>2.3.2 Ejerskifteforsikring</w:t>
          </w:r>
          <w:r>
            <w:rPr>
              <w:noProof/>
            </w:rPr>
            <w:tab/>
          </w:r>
          <w:r>
            <w:rPr>
              <w:noProof/>
            </w:rPr>
            <w:fldChar w:fldCharType="begin"/>
          </w:r>
          <w:r>
            <w:rPr>
              <w:noProof/>
            </w:rPr>
            <w:instrText xml:space="preserve"> PAGEREF _Toc179963420 \h </w:instrText>
          </w:r>
          <w:r>
            <w:rPr>
              <w:noProof/>
            </w:rPr>
          </w:r>
          <w:r>
            <w:rPr>
              <w:noProof/>
            </w:rPr>
            <w:fldChar w:fldCharType="separate"/>
          </w:r>
          <w:r>
            <w:rPr>
              <w:noProof/>
            </w:rPr>
            <w:t>14</w:t>
          </w:r>
          <w:r>
            <w:rPr>
              <w:noProof/>
            </w:rPr>
            <w:fldChar w:fldCharType="end"/>
          </w:r>
        </w:p>
        <w:p w14:paraId="2727FCAD" w14:textId="77777777" w:rsidR="00B47086" w:rsidRDefault="00B47086">
          <w:pPr>
            <w:pStyle w:val="Indholdsfortegnelse3"/>
            <w:tabs>
              <w:tab w:val="right" w:leader="dot" w:pos="9622"/>
            </w:tabs>
            <w:rPr>
              <w:noProof/>
              <w:sz w:val="24"/>
              <w:szCs w:val="24"/>
              <w:lang w:eastAsia="ja-JP"/>
            </w:rPr>
          </w:pPr>
          <w:r>
            <w:rPr>
              <w:noProof/>
            </w:rPr>
            <w:t>2.3.3 Betaling af præmie</w:t>
          </w:r>
          <w:r>
            <w:rPr>
              <w:noProof/>
            </w:rPr>
            <w:tab/>
          </w:r>
          <w:r>
            <w:rPr>
              <w:noProof/>
            </w:rPr>
            <w:fldChar w:fldCharType="begin"/>
          </w:r>
          <w:r>
            <w:rPr>
              <w:noProof/>
            </w:rPr>
            <w:instrText xml:space="preserve"> PAGEREF _Toc179963421 \h </w:instrText>
          </w:r>
          <w:r>
            <w:rPr>
              <w:noProof/>
            </w:rPr>
          </w:r>
          <w:r>
            <w:rPr>
              <w:noProof/>
            </w:rPr>
            <w:fldChar w:fldCharType="separate"/>
          </w:r>
          <w:r>
            <w:rPr>
              <w:noProof/>
            </w:rPr>
            <w:t>15</w:t>
          </w:r>
          <w:r>
            <w:rPr>
              <w:noProof/>
            </w:rPr>
            <w:fldChar w:fldCharType="end"/>
          </w:r>
        </w:p>
        <w:p w14:paraId="44154D24" w14:textId="77777777" w:rsidR="00B47086" w:rsidRDefault="00B47086">
          <w:pPr>
            <w:pStyle w:val="Indholdsfortegnelse3"/>
            <w:tabs>
              <w:tab w:val="right" w:leader="dot" w:pos="9622"/>
            </w:tabs>
            <w:rPr>
              <w:noProof/>
              <w:sz w:val="24"/>
              <w:szCs w:val="24"/>
              <w:lang w:eastAsia="ja-JP"/>
            </w:rPr>
          </w:pPr>
          <w:r>
            <w:rPr>
              <w:noProof/>
            </w:rPr>
            <w:t>2.3.4 Retsvirkningerne</w:t>
          </w:r>
          <w:r>
            <w:rPr>
              <w:noProof/>
            </w:rPr>
            <w:tab/>
          </w:r>
          <w:r>
            <w:rPr>
              <w:noProof/>
            </w:rPr>
            <w:fldChar w:fldCharType="begin"/>
          </w:r>
          <w:r>
            <w:rPr>
              <w:noProof/>
            </w:rPr>
            <w:instrText xml:space="preserve"> PAGEREF _Toc179963422 \h </w:instrText>
          </w:r>
          <w:r>
            <w:rPr>
              <w:noProof/>
            </w:rPr>
          </w:r>
          <w:r>
            <w:rPr>
              <w:noProof/>
            </w:rPr>
            <w:fldChar w:fldCharType="separate"/>
          </w:r>
          <w:r>
            <w:rPr>
              <w:noProof/>
            </w:rPr>
            <w:t>16</w:t>
          </w:r>
          <w:r>
            <w:rPr>
              <w:noProof/>
            </w:rPr>
            <w:fldChar w:fldCharType="end"/>
          </w:r>
        </w:p>
        <w:p w14:paraId="003D452F" w14:textId="77777777" w:rsidR="00B47086" w:rsidRDefault="00B47086">
          <w:pPr>
            <w:pStyle w:val="Indholdsfortegnelse2"/>
            <w:tabs>
              <w:tab w:val="right" w:leader="dot" w:pos="9622"/>
            </w:tabs>
            <w:rPr>
              <w:b w:val="0"/>
              <w:noProof/>
              <w:sz w:val="24"/>
              <w:szCs w:val="24"/>
              <w:lang w:eastAsia="ja-JP"/>
            </w:rPr>
          </w:pPr>
          <w:r>
            <w:rPr>
              <w:noProof/>
            </w:rPr>
            <w:t>2.4 Undtagelserne til sælgerbeskyttelsen</w:t>
          </w:r>
          <w:r>
            <w:rPr>
              <w:noProof/>
            </w:rPr>
            <w:tab/>
          </w:r>
          <w:r>
            <w:rPr>
              <w:noProof/>
            </w:rPr>
            <w:fldChar w:fldCharType="begin"/>
          </w:r>
          <w:r>
            <w:rPr>
              <w:noProof/>
            </w:rPr>
            <w:instrText xml:space="preserve"> PAGEREF _Toc179963423 \h </w:instrText>
          </w:r>
          <w:r>
            <w:rPr>
              <w:noProof/>
            </w:rPr>
          </w:r>
          <w:r>
            <w:rPr>
              <w:noProof/>
            </w:rPr>
            <w:fldChar w:fldCharType="separate"/>
          </w:r>
          <w:r>
            <w:rPr>
              <w:noProof/>
            </w:rPr>
            <w:t>18</w:t>
          </w:r>
          <w:r>
            <w:rPr>
              <w:noProof/>
            </w:rPr>
            <w:fldChar w:fldCharType="end"/>
          </w:r>
        </w:p>
        <w:p w14:paraId="4993CD27" w14:textId="77777777" w:rsidR="00B47086" w:rsidRDefault="00B47086">
          <w:pPr>
            <w:pStyle w:val="Indholdsfortegnelse1"/>
            <w:rPr>
              <w:b w:val="0"/>
              <w:noProof/>
              <w:lang w:eastAsia="ja-JP"/>
            </w:rPr>
          </w:pPr>
          <w:r>
            <w:rPr>
              <w:noProof/>
            </w:rPr>
            <w:t>3.0 Ulovlige elinstallationer i LFFE</w:t>
          </w:r>
          <w:r>
            <w:rPr>
              <w:noProof/>
            </w:rPr>
            <w:tab/>
          </w:r>
          <w:r>
            <w:rPr>
              <w:noProof/>
            </w:rPr>
            <w:fldChar w:fldCharType="begin"/>
          </w:r>
          <w:r>
            <w:rPr>
              <w:noProof/>
            </w:rPr>
            <w:instrText xml:space="preserve"> PAGEREF _Toc179963424 \h </w:instrText>
          </w:r>
          <w:r>
            <w:rPr>
              <w:noProof/>
            </w:rPr>
          </w:r>
          <w:r>
            <w:rPr>
              <w:noProof/>
            </w:rPr>
            <w:fldChar w:fldCharType="separate"/>
          </w:r>
          <w:r>
            <w:rPr>
              <w:noProof/>
            </w:rPr>
            <w:t>20</w:t>
          </w:r>
          <w:r>
            <w:rPr>
              <w:noProof/>
            </w:rPr>
            <w:fldChar w:fldCharType="end"/>
          </w:r>
        </w:p>
        <w:p w14:paraId="46322A09" w14:textId="77777777" w:rsidR="00B47086" w:rsidRDefault="00B47086">
          <w:pPr>
            <w:pStyle w:val="Indholdsfortegnelse2"/>
            <w:tabs>
              <w:tab w:val="right" w:leader="dot" w:pos="9622"/>
            </w:tabs>
            <w:rPr>
              <w:b w:val="0"/>
              <w:noProof/>
              <w:sz w:val="24"/>
              <w:szCs w:val="24"/>
              <w:lang w:eastAsia="ja-JP"/>
            </w:rPr>
          </w:pPr>
          <w:r>
            <w:rPr>
              <w:noProof/>
            </w:rPr>
            <w:t>3.1 Ulovlige bygningsindretninger</w:t>
          </w:r>
          <w:r>
            <w:rPr>
              <w:noProof/>
            </w:rPr>
            <w:tab/>
          </w:r>
          <w:r>
            <w:rPr>
              <w:noProof/>
            </w:rPr>
            <w:fldChar w:fldCharType="begin"/>
          </w:r>
          <w:r>
            <w:rPr>
              <w:noProof/>
            </w:rPr>
            <w:instrText xml:space="preserve"> PAGEREF _Toc179963425 \h </w:instrText>
          </w:r>
          <w:r>
            <w:rPr>
              <w:noProof/>
            </w:rPr>
          </w:r>
          <w:r>
            <w:rPr>
              <w:noProof/>
            </w:rPr>
            <w:fldChar w:fldCharType="separate"/>
          </w:r>
          <w:r>
            <w:rPr>
              <w:noProof/>
            </w:rPr>
            <w:t>20</w:t>
          </w:r>
          <w:r>
            <w:rPr>
              <w:noProof/>
            </w:rPr>
            <w:fldChar w:fldCharType="end"/>
          </w:r>
        </w:p>
        <w:p w14:paraId="0D836D78" w14:textId="77777777" w:rsidR="00B47086" w:rsidRDefault="00B47086">
          <w:pPr>
            <w:pStyle w:val="Indholdsfortegnelse3"/>
            <w:tabs>
              <w:tab w:val="right" w:leader="dot" w:pos="9622"/>
            </w:tabs>
            <w:rPr>
              <w:noProof/>
              <w:sz w:val="24"/>
              <w:szCs w:val="24"/>
              <w:lang w:eastAsia="ja-JP"/>
            </w:rPr>
          </w:pPr>
          <w:r>
            <w:rPr>
              <w:noProof/>
            </w:rPr>
            <w:t>3.1.1 Offentligretlige forskrifter</w:t>
          </w:r>
          <w:r>
            <w:rPr>
              <w:noProof/>
            </w:rPr>
            <w:tab/>
          </w:r>
          <w:r>
            <w:rPr>
              <w:noProof/>
            </w:rPr>
            <w:fldChar w:fldCharType="begin"/>
          </w:r>
          <w:r>
            <w:rPr>
              <w:noProof/>
            </w:rPr>
            <w:instrText xml:space="preserve"> PAGEREF _Toc179963426 \h </w:instrText>
          </w:r>
          <w:r>
            <w:rPr>
              <w:noProof/>
            </w:rPr>
          </w:r>
          <w:r>
            <w:rPr>
              <w:noProof/>
            </w:rPr>
            <w:fldChar w:fldCharType="separate"/>
          </w:r>
          <w:r>
            <w:rPr>
              <w:noProof/>
            </w:rPr>
            <w:t>20</w:t>
          </w:r>
          <w:r>
            <w:rPr>
              <w:noProof/>
            </w:rPr>
            <w:fldChar w:fldCharType="end"/>
          </w:r>
        </w:p>
        <w:p w14:paraId="060B520A" w14:textId="77777777" w:rsidR="00B47086" w:rsidRDefault="00B47086">
          <w:pPr>
            <w:pStyle w:val="Indholdsfortegnelse4"/>
            <w:tabs>
              <w:tab w:val="right" w:leader="dot" w:pos="9622"/>
            </w:tabs>
            <w:rPr>
              <w:noProof/>
              <w:sz w:val="24"/>
              <w:szCs w:val="24"/>
              <w:lang w:eastAsia="ja-JP"/>
            </w:rPr>
          </w:pPr>
          <w:r>
            <w:rPr>
              <w:noProof/>
            </w:rPr>
            <w:t>3.1.1.1 Ulovlige elinstallationer</w:t>
          </w:r>
          <w:r>
            <w:rPr>
              <w:noProof/>
            </w:rPr>
            <w:tab/>
          </w:r>
          <w:r>
            <w:rPr>
              <w:noProof/>
            </w:rPr>
            <w:fldChar w:fldCharType="begin"/>
          </w:r>
          <w:r>
            <w:rPr>
              <w:noProof/>
            </w:rPr>
            <w:instrText xml:space="preserve"> PAGEREF _Toc179963427 \h </w:instrText>
          </w:r>
          <w:r>
            <w:rPr>
              <w:noProof/>
            </w:rPr>
          </w:r>
          <w:r>
            <w:rPr>
              <w:noProof/>
            </w:rPr>
            <w:fldChar w:fldCharType="separate"/>
          </w:r>
          <w:r>
            <w:rPr>
              <w:noProof/>
            </w:rPr>
            <w:t>22</w:t>
          </w:r>
          <w:r>
            <w:rPr>
              <w:noProof/>
            </w:rPr>
            <w:fldChar w:fldCharType="end"/>
          </w:r>
        </w:p>
        <w:p w14:paraId="7B56FB02" w14:textId="77777777" w:rsidR="00B47086" w:rsidRDefault="00B47086">
          <w:pPr>
            <w:pStyle w:val="Indholdsfortegnelse2"/>
            <w:tabs>
              <w:tab w:val="right" w:leader="dot" w:pos="9622"/>
            </w:tabs>
            <w:rPr>
              <w:b w:val="0"/>
              <w:noProof/>
              <w:sz w:val="24"/>
              <w:szCs w:val="24"/>
              <w:lang w:eastAsia="ja-JP"/>
            </w:rPr>
          </w:pPr>
          <w:r>
            <w:rPr>
              <w:noProof/>
            </w:rPr>
            <w:t>3.2 Retlige og faktiske mangler</w:t>
          </w:r>
          <w:r>
            <w:rPr>
              <w:noProof/>
            </w:rPr>
            <w:tab/>
          </w:r>
          <w:r>
            <w:rPr>
              <w:noProof/>
            </w:rPr>
            <w:fldChar w:fldCharType="begin"/>
          </w:r>
          <w:r>
            <w:rPr>
              <w:noProof/>
            </w:rPr>
            <w:instrText xml:space="preserve"> PAGEREF _Toc179963428 \h </w:instrText>
          </w:r>
          <w:r>
            <w:rPr>
              <w:noProof/>
            </w:rPr>
          </w:r>
          <w:r>
            <w:rPr>
              <w:noProof/>
            </w:rPr>
            <w:fldChar w:fldCharType="separate"/>
          </w:r>
          <w:r>
            <w:rPr>
              <w:noProof/>
            </w:rPr>
            <w:t>24</w:t>
          </w:r>
          <w:r>
            <w:rPr>
              <w:noProof/>
            </w:rPr>
            <w:fldChar w:fldCharType="end"/>
          </w:r>
        </w:p>
        <w:p w14:paraId="52E87077" w14:textId="77777777" w:rsidR="00B47086" w:rsidRDefault="00B47086">
          <w:pPr>
            <w:pStyle w:val="Indholdsfortegnelse3"/>
            <w:tabs>
              <w:tab w:val="right" w:leader="dot" w:pos="9622"/>
            </w:tabs>
            <w:rPr>
              <w:noProof/>
              <w:sz w:val="24"/>
              <w:szCs w:val="24"/>
              <w:lang w:eastAsia="ja-JP"/>
            </w:rPr>
          </w:pPr>
          <w:r>
            <w:rPr>
              <w:noProof/>
            </w:rPr>
            <w:t>3.2.1 Ulovlig elinstallation konstateres</w:t>
          </w:r>
          <w:r>
            <w:rPr>
              <w:noProof/>
            </w:rPr>
            <w:tab/>
          </w:r>
          <w:r>
            <w:rPr>
              <w:noProof/>
            </w:rPr>
            <w:fldChar w:fldCharType="begin"/>
          </w:r>
          <w:r>
            <w:rPr>
              <w:noProof/>
            </w:rPr>
            <w:instrText xml:space="preserve"> PAGEREF _Toc179963429 \h </w:instrText>
          </w:r>
          <w:r>
            <w:rPr>
              <w:noProof/>
            </w:rPr>
          </w:r>
          <w:r>
            <w:rPr>
              <w:noProof/>
            </w:rPr>
            <w:fldChar w:fldCharType="separate"/>
          </w:r>
          <w:r>
            <w:rPr>
              <w:noProof/>
            </w:rPr>
            <w:t>24</w:t>
          </w:r>
          <w:r>
            <w:rPr>
              <w:noProof/>
            </w:rPr>
            <w:fldChar w:fldCharType="end"/>
          </w:r>
        </w:p>
        <w:p w14:paraId="3A2F5F12" w14:textId="77777777" w:rsidR="00B47086" w:rsidRDefault="00B47086">
          <w:pPr>
            <w:pStyle w:val="Indholdsfortegnelse3"/>
            <w:tabs>
              <w:tab w:val="right" w:leader="dot" w:pos="9622"/>
            </w:tabs>
            <w:rPr>
              <w:noProof/>
              <w:sz w:val="24"/>
              <w:szCs w:val="24"/>
              <w:lang w:eastAsia="ja-JP"/>
            </w:rPr>
          </w:pPr>
          <w:r>
            <w:rPr>
              <w:noProof/>
            </w:rPr>
            <w:t>3.2.2 Påbud om ændring af elinstallation</w:t>
          </w:r>
          <w:r>
            <w:rPr>
              <w:noProof/>
            </w:rPr>
            <w:tab/>
          </w:r>
          <w:r>
            <w:rPr>
              <w:noProof/>
            </w:rPr>
            <w:fldChar w:fldCharType="begin"/>
          </w:r>
          <w:r>
            <w:rPr>
              <w:noProof/>
            </w:rPr>
            <w:instrText xml:space="preserve"> PAGEREF _Toc179963430 \h </w:instrText>
          </w:r>
          <w:r>
            <w:rPr>
              <w:noProof/>
            </w:rPr>
          </w:r>
          <w:r>
            <w:rPr>
              <w:noProof/>
            </w:rPr>
            <w:fldChar w:fldCharType="separate"/>
          </w:r>
          <w:r>
            <w:rPr>
              <w:noProof/>
            </w:rPr>
            <w:t>26</w:t>
          </w:r>
          <w:r>
            <w:rPr>
              <w:noProof/>
            </w:rPr>
            <w:fldChar w:fldCharType="end"/>
          </w:r>
        </w:p>
        <w:p w14:paraId="465F0736" w14:textId="77777777" w:rsidR="00B47086" w:rsidRDefault="00B47086">
          <w:pPr>
            <w:pStyle w:val="Indholdsfortegnelse3"/>
            <w:tabs>
              <w:tab w:val="right" w:leader="dot" w:pos="9622"/>
            </w:tabs>
            <w:rPr>
              <w:noProof/>
              <w:sz w:val="24"/>
              <w:szCs w:val="24"/>
              <w:lang w:eastAsia="ja-JP"/>
            </w:rPr>
          </w:pPr>
          <w:r>
            <w:rPr>
              <w:noProof/>
            </w:rPr>
            <w:t>3.2.3 Risiko for skade</w:t>
          </w:r>
          <w:r>
            <w:rPr>
              <w:noProof/>
            </w:rPr>
            <w:tab/>
          </w:r>
          <w:r>
            <w:rPr>
              <w:noProof/>
            </w:rPr>
            <w:fldChar w:fldCharType="begin"/>
          </w:r>
          <w:r>
            <w:rPr>
              <w:noProof/>
            </w:rPr>
            <w:instrText xml:space="preserve"> PAGEREF _Toc179963431 \h </w:instrText>
          </w:r>
          <w:r>
            <w:rPr>
              <w:noProof/>
            </w:rPr>
          </w:r>
          <w:r>
            <w:rPr>
              <w:noProof/>
            </w:rPr>
            <w:fldChar w:fldCharType="separate"/>
          </w:r>
          <w:r>
            <w:rPr>
              <w:noProof/>
            </w:rPr>
            <w:t>28</w:t>
          </w:r>
          <w:r>
            <w:rPr>
              <w:noProof/>
            </w:rPr>
            <w:fldChar w:fldCharType="end"/>
          </w:r>
        </w:p>
        <w:p w14:paraId="46A47C02" w14:textId="77777777" w:rsidR="00B47086" w:rsidRDefault="00B47086">
          <w:pPr>
            <w:pStyle w:val="Indholdsfortegnelse3"/>
            <w:tabs>
              <w:tab w:val="right" w:leader="dot" w:pos="9622"/>
            </w:tabs>
            <w:rPr>
              <w:noProof/>
              <w:sz w:val="24"/>
              <w:szCs w:val="24"/>
              <w:lang w:eastAsia="ja-JP"/>
            </w:rPr>
          </w:pPr>
          <w:r>
            <w:rPr>
              <w:noProof/>
            </w:rPr>
            <w:t>3.2.4 Skade</w:t>
          </w:r>
          <w:r>
            <w:rPr>
              <w:noProof/>
            </w:rPr>
            <w:tab/>
          </w:r>
          <w:r>
            <w:rPr>
              <w:noProof/>
            </w:rPr>
            <w:fldChar w:fldCharType="begin"/>
          </w:r>
          <w:r>
            <w:rPr>
              <w:noProof/>
            </w:rPr>
            <w:instrText xml:space="preserve"> PAGEREF _Toc179963432 \h </w:instrText>
          </w:r>
          <w:r>
            <w:rPr>
              <w:noProof/>
            </w:rPr>
          </w:r>
          <w:r>
            <w:rPr>
              <w:noProof/>
            </w:rPr>
            <w:fldChar w:fldCharType="separate"/>
          </w:r>
          <w:r>
            <w:rPr>
              <w:noProof/>
            </w:rPr>
            <w:t>31</w:t>
          </w:r>
          <w:r>
            <w:rPr>
              <w:noProof/>
            </w:rPr>
            <w:fldChar w:fldCharType="end"/>
          </w:r>
        </w:p>
        <w:p w14:paraId="2F3626F4" w14:textId="77777777" w:rsidR="00B47086" w:rsidRDefault="00B47086">
          <w:pPr>
            <w:pStyle w:val="Indholdsfortegnelse3"/>
            <w:tabs>
              <w:tab w:val="right" w:leader="dot" w:pos="9622"/>
            </w:tabs>
            <w:rPr>
              <w:noProof/>
              <w:sz w:val="24"/>
              <w:szCs w:val="24"/>
              <w:lang w:eastAsia="ja-JP"/>
            </w:rPr>
          </w:pPr>
          <w:r>
            <w:rPr>
              <w:noProof/>
            </w:rPr>
            <w:t>3.2.5 Sammenfatning</w:t>
          </w:r>
          <w:r>
            <w:rPr>
              <w:noProof/>
            </w:rPr>
            <w:tab/>
          </w:r>
          <w:r>
            <w:rPr>
              <w:noProof/>
            </w:rPr>
            <w:fldChar w:fldCharType="begin"/>
          </w:r>
          <w:r>
            <w:rPr>
              <w:noProof/>
            </w:rPr>
            <w:instrText xml:space="preserve"> PAGEREF _Toc179963433 \h </w:instrText>
          </w:r>
          <w:r>
            <w:rPr>
              <w:noProof/>
            </w:rPr>
          </w:r>
          <w:r>
            <w:rPr>
              <w:noProof/>
            </w:rPr>
            <w:fldChar w:fldCharType="separate"/>
          </w:r>
          <w:r>
            <w:rPr>
              <w:noProof/>
            </w:rPr>
            <w:t>33</w:t>
          </w:r>
          <w:r>
            <w:rPr>
              <w:noProof/>
            </w:rPr>
            <w:fldChar w:fldCharType="end"/>
          </w:r>
        </w:p>
        <w:p w14:paraId="4B812A65" w14:textId="77777777" w:rsidR="00B47086" w:rsidRDefault="00B47086">
          <w:pPr>
            <w:pStyle w:val="Indholdsfortegnelse2"/>
            <w:tabs>
              <w:tab w:val="right" w:leader="dot" w:pos="9622"/>
            </w:tabs>
            <w:rPr>
              <w:b w:val="0"/>
              <w:noProof/>
              <w:sz w:val="24"/>
              <w:szCs w:val="24"/>
              <w:lang w:eastAsia="ja-JP"/>
            </w:rPr>
          </w:pPr>
          <w:r>
            <w:rPr>
              <w:noProof/>
            </w:rPr>
            <w:t>3.3 Ledende dom - U.2002.828H</w:t>
          </w:r>
          <w:r>
            <w:rPr>
              <w:noProof/>
            </w:rPr>
            <w:tab/>
          </w:r>
          <w:r>
            <w:rPr>
              <w:noProof/>
            </w:rPr>
            <w:fldChar w:fldCharType="begin"/>
          </w:r>
          <w:r>
            <w:rPr>
              <w:noProof/>
            </w:rPr>
            <w:instrText xml:space="preserve"> PAGEREF _Toc179963434 \h </w:instrText>
          </w:r>
          <w:r>
            <w:rPr>
              <w:noProof/>
            </w:rPr>
          </w:r>
          <w:r>
            <w:rPr>
              <w:noProof/>
            </w:rPr>
            <w:fldChar w:fldCharType="separate"/>
          </w:r>
          <w:r>
            <w:rPr>
              <w:noProof/>
            </w:rPr>
            <w:t>34</w:t>
          </w:r>
          <w:r>
            <w:rPr>
              <w:noProof/>
            </w:rPr>
            <w:fldChar w:fldCharType="end"/>
          </w:r>
        </w:p>
        <w:p w14:paraId="354430AB" w14:textId="77777777" w:rsidR="00B47086" w:rsidRDefault="00B47086">
          <w:pPr>
            <w:pStyle w:val="Indholdsfortegnelse3"/>
            <w:tabs>
              <w:tab w:val="right" w:leader="dot" w:pos="9622"/>
            </w:tabs>
            <w:rPr>
              <w:noProof/>
              <w:sz w:val="24"/>
              <w:szCs w:val="24"/>
              <w:lang w:eastAsia="ja-JP"/>
            </w:rPr>
          </w:pPr>
          <w:r>
            <w:rPr>
              <w:noProof/>
            </w:rPr>
            <w:lastRenderedPageBreak/>
            <w:t>3.3.1 Byrettens dom</w:t>
          </w:r>
          <w:r>
            <w:rPr>
              <w:noProof/>
            </w:rPr>
            <w:tab/>
          </w:r>
          <w:r>
            <w:rPr>
              <w:noProof/>
            </w:rPr>
            <w:fldChar w:fldCharType="begin"/>
          </w:r>
          <w:r>
            <w:rPr>
              <w:noProof/>
            </w:rPr>
            <w:instrText xml:space="preserve"> PAGEREF _Toc179963435 \h </w:instrText>
          </w:r>
          <w:r>
            <w:rPr>
              <w:noProof/>
            </w:rPr>
          </w:r>
          <w:r>
            <w:rPr>
              <w:noProof/>
            </w:rPr>
            <w:fldChar w:fldCharType="separate"/>
          </w:r>
          <w:r>
            <w:rPr>
              <w:noProof/>
            </w:rPr>
            <w:t>35</w:t>
          </w:r>
          <w:r>
            <w:rPr>
              <w:noProof/>
            </w:rPr>
            <w:fldChar w:fldCharType="end"/>
          </w:r>
        </w:p>
        <w:p w14:paraId="140BF102" w14:textId="77777777" w:rsidR="00B47086" w:rsidRDefault="00B47086">
          <w:pPr>
            <w:pStyle w:val="Indholdsfortegnelse3"/>
            <w:tabs>
              <w:tab w:val="right" w:leader="dot" w:pos="9622"/>
            </w:tabs>
            <w:rPr>
              <w:noProof/>
              <w:sz w:val="24"/>
              <w:szCs w:val="24"/>
              <w:lang w:eastAsia="ja-JP"/>
            </w:rPr>
          </w:pPr>
          <w:r>
            <w:rPr>
              <w:noProof/>
            </w:rPr>
            <w:t>3.3.2 Landsrettens dom</w:t>
          </w:r>
          <w:r>
            <w:rPr>
              <w:noProof/>
            </w:rPr>
            <w:tab/>
          </w:r>
          <w:r>
            <w:rPr>
              <w:noProof/>
            </w:rPr>
            <w:fldChar w:fldCharType="begin"/>
          </w:r>
          <w:r>
            <w:rPr>
              <w:noProof/>
            </w:rPr>
            <w:instrText xml:space="preserve"> PAGEREF _Toc179963436 \h </w:instrText>
          </w:r>
          <w:r>
            <w:rPr>
              <w:noProof/>
            </w:rPr>
          </w:r>
          <w:r>
            <w:rPr>
              <w:noProof/>
            </w:rPr>
            <w:fldChar w:fldCharType="separate"/>
          </w:r>
          <w:r>
            <w:rPr>
              <w:noProof/>
            </w:rPr>
            <w:t>36</w:t>
          </w:r>
          <w:r>
            <w:rPr>
              <w:noProof/>
            </w:rPr>
            <w:fldChar w:fldCharType="end"/>
          </w:r>
        </w:p>
        <w:p w14:paraId="292987E2" w14:textId="77777777" w:rsidR="00B47086" w:rsidRDefault="00B47086">
          <w:pPr>
            <w:pStyle w:val="Indholdsfortegnelse3"/>
            <w:tabs>
              <w:tab w:val="right" w:leader="dot" w:pos="9622"/>
            </w:tabs>
            <w:rPr>
              <w:noProof/>
              <w:sz w:val="24"/>
              <w:szCs w:val="24"/>
              <w:lang w:eastAsia="ja-JP"/>
            </w:rPr>
          </w:pPr>
          <w:r>
            <w:rPr>
              <w:noProof/>
            </w:rPr>
            <w:t>3.3.3 Højesterets dom</w:t>
          </w:r>
          <w:r>
            <w:rPr>
              <w:noProof/>
            </w:rPr>
            <w:tab/>
          </w:r>
          <w:r>
            <w:rPr>
              <w:noProof/>
            </w:rPr>
            <w:fldChar w:fldCharType="begin"/>
          </w:r>
          <w:r>
            <w:rPr>
              <w:noProof/>
            </w:rPr>
            <w:instrText xml:space="preserve"> PAGEREF _Toc179963437 \h </w:instrText>
          </w:r>
          <w:r>
            <w:rPr>
              <w:noProof/>
            </w:rPr>
          </w:r>
          <w:r>
            <w:rPr>
              <w:noProof/>
            </w:rPr>
            <w:fldChar w:fldCharType="separate"/>
          </w:r>
          <w:r>
            <w:rPr>
              <w:noProof/>
            </w:rPr>
            <w:t>37</w:t>
          </w:r>
          <w:r>
            <w:rPr>
              <w:noProof/>
            </w:rPr>
            <w:fldChar w:fldCharType="end"/>
          </w:r>
        </w:p>
        <w:p w14:paraId="394EBEBF" w14:textId="77777777" w:rsidR="00B47086" w:rsidRDefault="00B47086">
          <w:pPr>
            <w:pStyle w:val="Indholdsfortegnelse3"/>
            <w:tabs>
              <w:tab w:val="right" w:leader="dot" w:pos="9622"/>
            </w:tabs>
            <w:rPr>
              <w:noProof/>
              <w:sz w:val="24"/>
              <w:szCs w:val="24"/>
              <w:lang w:eastAsia="ja-JP"/>
            </w:rPr>
          </w:pPr>
          <w:r>
            <w:rPr>
              <w:noProof/>
            </w:rPr>
            <w:t>3.3.4 Dækningsomfanget for ejerskifteforsikring</w:t>
          </w:r>
          <w:r>
            <w:rPr>
              <w:noProof/>
            </w:rPr>
            <w:tab/>
          </w:r>
          <w:r>
            <w:rPr>
              <w:noProof/>
            </w:rPr>
            <w:fldChar w:fldCharType="begin"/>
          </w:r>
          <w:r>
            <w:rPr>
              <w:noProof/>
            </w:rPr>
            <w:instrText xml:space="preserve"> PAGEREF _Toc179963438 \h </w:instrText>
          </w:r>
          <w:r>
            <w:rPr>
              <w:noProof/>
            </w:rPr>
          </w:r>
          <w:r>
            <w:rPr>
              <w:noProof/>
            </w:rPr>
            <w:fldChar w:fldCharType="separate"/>
          </w:r>
          <w:r>
            <w:rPr>
              <w:noProof/>
            </w:rPr>
            <w:t>40</w:t>
          </w:r>
          <w:r>
            <w:rPr>
              <w:noProof/>
            </w:rPr>
            <w:fldChar w:fldCharType="end"/>
          </w:r>
        </w:p>
        <w:p w14:paraId="1CF87078" w14:textId="77777777" w:rsidR="00B47086" w:rsidRDefault="00B47086">
          <w:pPr>
            <w:pStyle w:val="Indholdsfortegnelse2"/>
            <w:tabs>
              <w:tab w:val="right" w:leader="dot" w:pos="9622"/>
            </w:tabs>
            <w:rPr>
              <w:b w:val="0"/>
              <w:noProof/>
              <w:sz w:val="24"/>
              <w:szCs w:val="24"/>
              <w:lang w:eastAsia="ja-JP"/>
            </w:rPr>
          </w:pPr>
          <w:r>
            <w:rPr>
              <w:noProof/>
            </w:rPr>
            <w:t>3.4 Anvendelsesområdet for LFFE § 2, stk. 5, 1. pkt.</w:t>
          </w:r>
          <w:r>
            <w:rPr>
              <w:noProof/>
            </w:rPr>
            <w:tab/>
          </w:r>
          <w:r>
            <w:rPr>
              <w:noProof/>
            </w:rPr>
            <w:fldChar w:fldCharType="begin"/>
          </w:r>
          <w:r>
            <w:rPr>
              <w:noProof/>
            </w:rPr>
            <w:instrText xml:space="preserve"> PAGEREF _Toc179963439 \h </w:instrText>
          </w:r>
          <w:r>
            <w:rPr>
              <w:noProof/>
            </w:rPr>
          </w:r>
          <w:r>
            <w:rPr>
              <w:noProof/>
            </w:rPr>
            <w:fldChar w:fldCharType="separate"/>
          </w:r>
          <w:r>
            <w:rPr>
              <w:noProof/>
            </w:rPr>
            <w:t>43</w:t>
          </w:r>
          <w:r>
            <w:rPr>
              <w:noProof/>
            </w:rPr>
            <w:fldChar w:fldCharType="end"/>
          </w:r>
        </w:p>
        <w:p w14:paraId="01FF5F39" w14:textId="77777777" w:rsidR="00B47086" w:rsidRDefault="00B47086">
          <w:pPr>
            <w:pStyle w:val="Indholdsfortegnelse1"/>
            <w:rPr>
              <w:b w:val="0"/>
              <w:noProof/>
              <w:lang w:eastAsia="ja-JP"/>
            </w:rPr>
          </w:pPr>
          <w:r>
            <w:rPr>
              <w:noProof/>
            </w:rPr>
            <w:t>4.0 Ulovlige elinstallationer i L89</w:t>
          </w:r>
          <w:r>
            <w:rPr>
              <w:noProof/>
            </w:rPr>
            <w:tab/>
          </w:r>
          <w:r>
            <w:rPr>
              <w:noProof/>
            </w:rPr>
            <w:fldChar w:fldCharType="begin"/>
          </w:r>
          <w:r>
            <w:rPr>
              <w:noProof/>
            </w:rPr>
            <w:instrText xml:space="preserve"> PAGEREF _Toc179963440 \h </w:instrText>
          </w:r>
          <w:r>
            <w:rPr>
              <w:noProof/>
            </w:rPr>
          </w:r>
          <w:r>
            <w:rPr>
              <w:noProof/>
            </w:rPr>
            <w:fldChar w:fldCharType="separate"/>
          </w:r>
          <w:r>
            <w:rPr>
              <w:noProof/>
            </w:rPr>
            <w:t>46</w:t>
          </w:r>
          <w:r>
            <w:rPr>
              <w:noProof/>
            </w:rPr>
            <w:fldChar w:fldCharType="end"/>
          </w:r>
        </w:p>
        <w:p w14:paraId="3CF4C6F4" w14:textId="77777777" w:rsidR="00B47086" w:rsidRDefault="00B47086">
          <w:pPr>
            <w:pStyle w:val="Indholdsfortegnelse2"/>
            <w:tabs>
              <w:tab w:val="right" w:leader="dot" w:pos="9622"/>
            </w:tabs>
            <w:rPr>
              <w:b w:val="0"/>
              <w:noProof/>
              <w:sz w:val="24"/>
              <w:szCs w:val="24"/>
              <w:lang w:eastAsia="ja-JP"/>
            </w:rPr>
          </w:pPr>
          <w:r>
            <w:rPr>
              <w:noProof/>
            </w:rPr>
            <w:t>4.1 Sælgerbeskyttelsen i L89 § 1, stk. 2</w:t>
          </w:r>
          <w:r>
            <w:rPr>
              <w:noProof/>
            </w:rPr>
            <w:tab/>
          </w:r>
          <w:r>
            <w:rPr>
              <w:noProof/>
            </w:rPr>
            <w:fldChar w:fldCharType="begin"/>
          </w:r>
          <w:r>
            <w:rPr>
              <w:noProof/>
            </w:rPr>
            <w:instrText xml:space="preserve"> PAGEREF _Toc179963441 \h </w:instrText>
          </w:r>
          <w:r>
            <w:rPr>
              <w:noProof/>
            </w:rPr>
          </w:r>
          <w:r>
            <w:rPr>
              <w:noProof/>
            </w:rPr>
            <w:fldChar w:fldCharType="separate"/>
          </w:r>
          <w:r>
            <w:rPr>
              <w:noProof/>
            </w:rPr>
            <w:t>47</w:t>
          </w:r>
          <w:r>
            <w:rPr>
              <w:noProof/>
            </w:rPr>
            <w:fldChar w:fldCharType="end"/>
          </w:r>
        </w:p>
        <w:p w14:paraId="15814FCB" w14:textId="77777777" w:rsidR="00B47086" w:rsidRDefault="00B47086">
          <w:pPr>
            <w:pStyle w:val="Indholdsfortegnelse2"/>
            <w:tabs>
              <w:tab w:val="right" w:leader="dot" w:pos="9622"/>
            </w:tabs>
            <w:rPr>
              <w:b w:val="0"/>
              <w:noProof/>
              <w:sz w:val="24"/>
              <w:szCs w:val="24"/>
              <w:lang w:eastAsia="ja-JP"/>
            </w:rPr>
          </w:pPr>
          <w:r>
            <w:rPr>
              <w:noProof/>
            </w:rPr>
            <w:t>4.2 Undtagelsesbestemmelsen i L89 § 1, stk. 4</w:t>
          </w:r>
          <w:r>
            <w:rPr>
              <w:noProof/>
            </w:rPr>
            <w:tab/>
          </w:r>
          <w:r>
            <w:rPr>
              <w:noProof/>
            </w:rPr>
            <w:fldChar w:fldCharType="begin"/>
          </w:r>
          <w:r>
            <w:rPr>
              <w:noProof/>
            </w:rPr>
            <w:instrText xml:space="preserve"> PAGEREF _Toc179963442 \h </w:instrText>
          </w:r>
          <w:r>
            <w:rPr>
              <w:noProof/>
            </w:rPr>
          </w:r>
          <w:r>
            <w:rPr>
              <w:noProof/>
            </w:rPr>
            <w:fldChar w:fldCharType="separate"/>
          </w:r>
          <w:r>
            <w:rPr>
              <w:noProof/>
            </w:rPr>
            <w:t>48</w:t>
          </w:r>
          <w:r>
            <w:rPr>
              <w:noProof/>
            </w:rPr>
            <w:fldChar w:fldCharType="end"/>
          </w:r>
        </w:p>
        <w:p w14:paraId="1CDEDE5D" w14:textId="77777777" w:rsidR="00B47086" w:rsidRDefault="00B47086">
          <w:pPr>
            <w:pStyle w:val="Indholdsfortegnelse2"/>
            <w:tabs>
              <w:tab w:val="right" w:leader="dot" w:pos="9622"/>
            </w:tabs>
            <w:rPr>
              <w:b w:val="0"/>
              <w:noProof/>
              <w:sz w:val="24"/>
              <w:szCs w:val="24"/>
              <w:lang w:eastAsia="ja-JP"/>
            </w:rPr>
          </w:pPr>
          <w:r>
            <w:rPr>
              <w:noProof/>
            </w:rPr>
            <w:t>4.3 Definitioner i L89</w:t>
          </w:r>
          <w:r>
            <w:rPr>
              <w:noProof/>
            </w:rPr>
            <w:tab/>
          </w:r>
          <w:r>
            <w:rPr>
              <w:noProof/>
            </w:rPr>
            <w:fldChar w:fldCharType="begin"/>
          </w:r>
          <w:r>
            <w:rPr>
              <w:noProof/>
            </w:rPr>
            <w:instrText xml:space="preserve"> PAGEREF _Toc179963443 \h </w:instrText>
          </w:r>
          <w:r>
            <w:rPr>
              <w:noProof/>
            </w:rPr>
          </w:r>
          <w:r>
            <w:rPr>
              <w:noProof/>
            </w:rPr>
            <w:fldChar w:fldCharType="separate"/>
          </w:r>
          <w:r>
            <w:rPr>
              <w:noProof/>
            </w:rPr>
            <w:t>49</w:t>
          </w:r>
          <w:r>
            <w:rPr>
              <w:noProof/>
            </w:rPr>
            <w:fldChar w:fldCharType="end"/>
          </w:r>
        </w:p>
        <w:p w14:paraId="2D05516E" w14:textId="77777777" w:rsidR="00B47086" w:rsidRDefault="00B47086">
          <w:pPr>
            <w:pStyle w:val="Indholdsfortegnelse3"/>
            <w:tabs>
              <w:tab w:val="right" w:leader="dot" w:pos="9622"/>
            </w:tabs>
            <w:rPr>
              <w:noProof/>
              <w:sz w:val="24"/>
              <w:szCs w:val="24"/>
              <w:lang w:eastAsia="ja-JP"/>
            </w:rPr>
          </w:pPr>
          <w:r>
            <w:rPr>
              <w:noProof/>
            </w:rPr>
            <w:t>4.3.1 Tilstandsrapport</w:t>
          </w:r>
          <w:r>
            <w:rPr>
              <w:noProof/>
            </w:rPr>
            <w:tab/>
          </w:r>
          <w:r>
            <w:rPr>
              <w:noProof/>
            </w:rPr>
            <w:fldChar w:fldCharType="begin"/>
          </w:r>
          <w:r>
            <w:rPr>
              <w:noProof/>
            </w:rPr>
            <w:instrText xml:space="preserve"> PAGEREF _Toc179963444 \h </w:instrText>
          </w:r>
          <w:r>
            <w:rPr>
              <w:noProof/>
            </w:rPr>
          </w:r>
          <w:r>
            <w:rPr>
              <w:noProof/>
            </w:rPr>
            <w:fldChar w:fldCharType="separate"/>
          </w:r>
          <w:r>
            <w:rPr>
              <w:noProof/>
            </w:rPr>
            <w:t>49</w:t>
          </w:r>
          <w:r>
            <w:rPr>
              <w:noProof/>
            </w:rPr>
            <w:fldChar w:fldCharType="end"/>
          </w:r>
        </w:p>
        <w:p w14:paraId="4011B2EA" w14:textId="77777777" w:rsidR="00B47086" w:rsidRDefault="00B47086">
          <w:pPr>
            <w:pStyle w:val="Indholdsfortegnelse3"/>
            <w:tabs>
              <w:tab w:val="right" w:leader="dot" w:pos="9622"/>
            </w:tabs>
            <w:rPr>
              <w:noProof/>
              <w:sz w:val="24"/>
              <w:szCs w:val="24"/>
              <w:lang w:eastAsia="ja-JP"/>
            </w:rPr>
          </w:pPr>
          <w:r>
            <w:rPr>
              <w:noProof/>
            </w:rPr>
            <w:t>4.3.2 Typebeskrivelse</w:t>
          </w:r>
          <w:r>
            <w:rPr>
              <w:noProof/>
            </w:rPr>
            <w:tab/>
          </w:r>
          <w:r>
            <w:rPr>
              <w:noProof/>
            </w:rPr>
            <w:fldChar w:fldCharType="begin"/>
          </w:r>
          <w:r>
            <w:rPr>
              <w:noProof/>
            </w:rPr>
            <w:instrText xml:space="preserve"> PAGEREF _Toc179963445 \h </w:instrText>
          </w:r>
          <w:r>
            <w:rPr>
              <w:noProof/>
            </w:rPr>
          </w:r>
          <w:r>
            <w:rPr>
              <w:noProof/>
            </w:rPr>
            <w:fldChar w:fldCharType="separate"/>
          </w:r>
          <w:r>
            <w:rPr>
              <w:noProof/>
            </w:rPr>
            <w:t>50</w:t>
          </w:r>
          <w:r>
            <w:rPr>
              <w:noProof/>
            </w:rPr>
            <w:fldChar w:fldCharType="end"/>
          </w:r>
        </w:p>
        <w:p w14:paraId="02099F91" w14:textId="77777777" w:rsidR="00B47086" w:rsidRDefault="00B47086">
          <w:pPr>
            <w:pStyle w:val="Indholdsfortegnelse3"/>
            <w:tabs>
              <w:tab w:val="right" w:leader="dot" w:pos="9622"/>
            </w:tabs>
            <w:rPr>
              <w:noProof/>
              <w:sz w:val="24"/>
              <w:szCs w:val="24"/>
              <w:lang w:eastAsia="ja-JP"/>
            </w:rPr>
          </w:pPr>
          <w:r>
            <w:rPr>
              <w:noProof/>
            </w:rPr>
            <w:t>4.3.3 Elinstallationsrapport</w:t>
          </w:r>
          <w:r>
            <w:rPr>
              <w:noProof/>
            </w:rPr>
            <w:tab/>
          </w:r>
          <w:r>
            <w:rPr>
              <w:noProof/>
            </w:rPr>
            <w:fldChar w:fldCharType="begin"/>
          </w:r>
          <w:r>
            <w:rPr>
              <w:noProof/>
            </w:rPr>
            <w:instrText xml:space="preserve"> PAGEREF _Toc179963446 \h </w:instrText>
          </w:r>
          <w:r>
            <w:rPr>
              <w:noProof/>
            </w:rPr>
          </w:r>
          <w:r>
            <w:rPr>
              <w:noProof/>
            </w:rPr>
            <w:fldChar w:fldCharType="separate"/>
          </w:r>
          <w:r>
            <w:rPr>
              <w:noProof/>
            </w:rPr>
            <w:t>51</w:t>
          </w:r>
          <w:r>
            <w:rPr>
              <w:noProof/>
            </w:rPr>
            <w:fldChar w:fldCharType="end"/>
          </w:r>
        </w:p>
        <w:p w14:paraId="463B2803" w14:textId="77777777" w:rsidR="00B47086" w:rsidRDefault="00B47086">
          <w:pPr>
            <w:pStyle w:val="Indholdsfortegnelse2"/>
            <w:tabs>
              <w:tab w:val="right" w:leader="dot" w:pos="9622"/>
            </w:tabs>
            <w:rPr>
              <w:b w:val="0"/>
              <w:noProof/>
              <w:sz w:val="24"/>
              <w:szCs w:val="24"/>
              <w:lang w:eastAsia="ja-JP"/>
            </w:rPr>
          </w:pPr>
          <w:r>
            <w:rPr>
              <w:noProof/>
            </w:rPr>
            <w:t>4.4 Professionsansvar</w:t>
          </w:r>
          <w:r>
            <w:rPr>
              <w:noProof/>
            </w:rPr>
            <w:tab/>
          </w:r>
          <w:r>
            <w:rPr>
              <w:noProof/>
            </w:rPr>
            <w:fldChar w:fldCharType="begin"/>
          </w:r>
          <w:r>
            <w:rPr>
              <w:noProof/>
            </w:rPr>
            <w:instrText xml:space="preserve"> PAGEREF _Toc179963447 \h </w:instrText>
          </w:r>
          <w:r>
            <w:rPr>
              <w:noProof/>
            </w:rPr>
          </w:r>
          <w:r>
            <w:rPr>
              <w:noProof/>
            </w:rPr>
            <w:fldChar w:fldCharType="separate"/>
          </w:r>
          <w:r>
            <w:rPr>
              <w:noProof/>
            </w:rPr>
            <w:t>52</w:t>
          </w:r>
          <w:r>
            <w:rPr>
              <w:noProof/>
            </w:rPr>
            <w:fldChar w:fldCharType="end"/>
          </w:r>
        </w:p>
        <w:p w14:paraId="667AC69E" w14:textId="77777777" w:rsidR="00B47086" w:rsidRDefault="00B47086">
          <w:pPr>
            <w:pStyle w:val="Indholdsfortegnelse3"/>
            <w:tabs>
              <w:tab w:val="right" w:leader="dot" w:pos="9622"/>
            </w:tabs>
            <w:rPr>
              <w:noProof/>
              <w:sz w:val="24"/>
              <w:szCs w:val="24"/>
              <w:lang w:eastAsia="ja-JP"/>
            </w:rPr>
          </w:pPr>
          <w:r>
            <w:rPr>
              <w:noProof/>
            </w:rPr>
            <w:t>4.4.1 Elinstallatørens professionsansvar</w:t>
          </w:r>
          <w:r>
            <w:rPr>
              <w:noProof/>
            </w:rPr>
            <w:tab/>
          </w:r>
          <w:r>
            <w:rPr>
              <w:noProof/>
            </w:rPr>
            <w:fldChar w:fldCharType="begin"/>
          </w:r>
          <w:r>
            <w:rPr>
              <w:noProof/>
            </w:rPr>
            <w:instrText xml:space="preserve"> PAGEREF _Toc179963448 \h </w:instrText>
          </w:r>
          <w:r>
            <w:rPr>
              <w:noProof/>
            </w:rPr>
          </w:r>
          <w:r>
            <w:rPr>
              <w:noProof/>
            </w:rPr>
            <w:fldChar w:fldCharType="separate"/>
          </w:r>
          <w:r>
            <w:rPr>
              <w:noProof/>
            </w:rPr>
            <w:t>53</w:t>
          </w:r>
          <w:r>
            <w:rPr>
              <w:noProof/>
            </w:rPr>
            <w:fldChar w:fldCharType="end"/>
          </w:r>
        </w:p>
        <w:p w14:paraId="0F228FD7" w14:textId="77777777" w:rsidR="00B47086" w:rsidRDefault="00B47086">
          <w:pPr>
            <w:pStyle w:val="Indholdsfortegnelse2"/>
            <w:tabs>
              <w:tab w:val="right" w:leader="dot" w:pos="9622"/>
            </w:tabs>
            <w:rPr>
              <w:b w:val="0"/>
              <w:noProof/>
              <w:sz w:val="24"/>
              <w:szCs w:val="24"/>
              <w:lang w:eastAsia="ja-JP"/>
            </w:rPr>
          </w:pPr>
          <w:r>
            <w:rPr>
              <w:noProof/>
            </w:rPr>
            <w:t>4.5 Dækningsomfang af ejerskifteforsikringer</w:t>
          </w:r>
          <w:r>
            <w:rPr>
              <w:noProof/>
            </w:rPr>
            <w:tab/>
          </w:r>
          <w:r>
            <w:rPr>
              <w:noProof/>
            </w:rPr>
            <w:fldChar w:fldCharType="begin"/>
          </w:r>
          <w:r>
            <w:rPr>
              <w:noProof/>
            </w:rPr>
            <w:instrText xml:space="preserve"> PAGEREF _Toc179963449 \h </w:instrText>
          </w:r>
          <w:r>
            <w:rPr>
              <w:noProof/>
            </w:rPr>
          </w:r>
          <w:r>
            <w:rPr>
              <w:noProof/>
            </w:rPr>
            <w:fldChar w:fldCharType="separate"/>
          </w:r>
          <w:r>
            <w:rPr>
              <w:noProof/>
            </w:rPr>
            <w:t>54</w:t>
          </w:r>
          <w:r>
            <w:rPr>
              <w:noProof/>
            </w:rPr>
            <w:fldChar w:fldCharType="end"/>
          </w:r>
        </w:p>
        <w:p w14:paraId="3BF4E8EC" w14:textId="77777777" w:rsidR="00B47086" w:rsidRDefault="00B47086">
          <w:pPr>
            <w:pStyle w:val="Indholdsfortegnelse3"/>
            <w:tabs>
              <w:tab w:val="right" w:leader="dot" w:pos="9622"/>
            </w:tabs>
            <w:rPr>
              <w:noProof/>
              <w:sz w:val="24"/>
              <w:szCs w:val="24"/>
              <w:lang w:eastAsia="ja-JP"/>
            </w:rPr>
          </w:pPr>
          <w:r>
            <w:rPr>
              <w:noProof/>
            </w:rPr>
            <w:t>4.5.1 Omfang</w:t>
          </w:r>
          <w:r>
            <w:rPr>
              <w:noProof/>
            </w:rPr>
            <w:tab/>
          </w:r>
          <w:r>
            <w:rPr>
              <w:noProof/>
            </w:rPr>
            <w:fldChar w:fldCharType="begin"/>
          </w:r>
          <w:r>
            <w:rPr>
              <w:noProof/>
            </w:rPr>
            <w:instrText xml:space="preserve"> PAGEREF _Toc179963450 \h </w:instrText>
          </w:r>
          <w:r>
            <w:rPr>
              <w:noProof/>
            </w:rPr>
          </w:r>
          <w:r>
            <w:rPr>
              <w:noProof/>
            </w:rPr>
            <w:fldChar w:fldCharType="separate"/>
          </w:r>
          <w:r>
            <w:rPr>
              <w:noProof/>
            </w:rPr>
            <w:t>54</w:t>
          </w:r>
          <w:r>
            <w:rPr>
              <w:noProof/>
            </w:rPr>
            <w:fldChar w:fldCharType="end"/>
          </w:r>
        </w:p>
        <w:p w14:paraId="3D9879F4" w14:textId="77777777" w:rsidR="00B47086" w:rsidRDefault="00B47086">
          <w:pPr>
            <w:pStyle w:val="Indholdsfortegnelse3"/>
            <w:tabs>
              <w:tab w:val="right" w:leader="dot" w:pos="9622"/>
            </w:tabs>
            <w:rPr>
              <w:noProof/>
              <w:sz w:val="24"/>
              <w:szCs w:val="24"/>
              <w:lang w:eastAsia="ja-JP"/>
            </w:rPr>
          </w:pPr>
          <w:r>
            <w:rPr>
              <w:noProof/>
            </w:rPr>
            <w:t>4.5.2 Tidshorisont</w:t>
          </w:r>
          <w:r>
            <w:rPr>
              <w:noProof/>
            </w:rPr>
            <w:tab/>
          </w:r>
          <w:r>
            <w:rPr>
              <w:noProof/>
            </w:rPr>
            <w:fldChar w:fldCharType="begin"/>
          </w:r>
          <w:r>
            <w:rPr>
              <w:noProof/>
            </w:rPr>
            <w:instrText xml:space="preserve"> PAGEREF _Toc179963451 \h </w:instrText>
          </w:r>
          <w:r>
            <w:rPr>
              <w:noProof/>
            </w:rPr>
          </w:r>
          <w:r>
            <w:rPr>
              <w:noProof/>
            </w:rPr>
            <w:fldChar w:fldCharType="separate"/>
          </w:r>
          <w:r>
            <w:rPr>
              <w:noProof/>
            </w:rPr>
            <w:t>55</w:t>
          </w:r>
          <w:r>
            <w:rPr>
              <w:noProof/>
            </w:rPr>
            <w:fldChar w:fldCharType="end"/>
          </w:r>
        </w:p>
        <w:p w14:paraId="1D8B65C7" w14:textId="77777777" w:rsidR="00B47086" w:rsidRDefault="00B47086">
          <w:pPr>
            <w:pStyle w:val="Indholdsfortegnelse1"/>
            <w:rPr>
              <w:b w:val="0"/>
              <w:noProof/>
              <w:lang w:eastAsia="ja-JP"/>
            </w:rPr>
          </w:pPr>
          <w:r>
            <w:rPr>
              <w:noProof/>
            </w:rPr>
            <w:t>5.0 Betydning i praksis</w:t>
          </w:r>
          <w:r>
            <w:rPr>
              <w:noProof/>
            </w:rPr>
            <w:tab/>
          </w:r>
          <w:r>
            <w:rPr>
              <w:noProof/>
            </w:rPr>
            <w:fldChar w:fldCharType="begin"/>
          </w:r>
          <w:r>
            <w:rPr>
              <w:noProof/>
            </w:rPr>
            <w:instrText xml:space="preserve"> PAGEREF _Toc179963452 \h </w:instrText>
          </w:r>
          <w:r>
            <w:rPr>
              <w:noProof/>
            </w:rPr>
          </w:r>
          <w:r>
            <w:rPr>
              <w:noProof/>
            </w:rPr>
            <w:fldChar w:fldCharType="separate"/>
          </w:r>
          <w:r>
            <w:rPr>
              <w:noProof/>
            </w:rPr>
            <w:t>57</w:t>
          </w:r>
          <w:r>
            <w:rPr>
              <w:noProof/>
            </w:rPr>
            <w:fldChar w:fldCharType="end"/>
          </w:r>
        </w:p>
        <w:p w14:paraId="07CC387F" w14:textId="77777777" w:rsidR="00B47086" w:rsidRDefault="00B47086">
          <w:pPr>
            <w:pStyle w:val="Indholdsfortegnelse2"/>
            <w:tabs>
              <w:tab w:val="right" w:leader="dot" w:pos="9622"/>
            </w:tabs>
            <w:rPr>
              <w:b w:val="0"/>
              <w:noProof/>
              <w:sz w:val="24"/>
              <w:szCs w:val="24"/>
              <w:lang w:eastAsia="ja-JP"/>
            </w:rPr>
          </w:pPr>
          <w:r>
            <w:rPr>
              <w:noProof/>
            </w:rPr>
            <w:t>5.1 Praksis med LFFE</w:t>
          </w:r>
          <w:r>
            <w:rPr>
              <w:noProof/>
            </w:rPr>
            <w:tab/>
          </w:r>
          <w:r>
            <w:rPr>
              <w:noProof/>
            </w:rPr>
            <w:fldChar w:fldCharType="begin"/>
          </w:r>
          <w:r>
            <w:rPr>
              <w:noProof/>
            </w:rPr>
            <w:instrText xml:space="preserve"> PAGEREF _Toc179963453 \h </w:instrText>
          </w:r>
          <w:r>
            <w:rPr>
              <w:noProof/>
            </w:rPr>
          </w:r>
          <w:r>
            <w:rPr>
              <w:noProof/>
            </w:rPr>
            <w:fldChar w:fldCharType="separate"/>
          </w:r>
          <w:r>
            <w:rPr>
              <w:noProof/>
            </w:rPr>
            <w:t>57</w:t>
          </w:r>
          <w:r>
            <w:rPr>
              <w:noProof/>
            </w:rPr>
            <w:fldChar w:fldCharType="end"/>
          </w:r>
        </w:p>
        <w:p w14:paraId="40A01244" w14:textId="77777777" w:rsidR="00B47086" w:rsidRDefault="00B47086">
          <w:pPr>
            <w:pStyle w:val="Indholdsfortegnelse2"/>
            <w:tabs>
              <w:tab w:val="right" w:leader="dot" w:pos="9622"/>
            </w:tabs>
            <w:rPr>
              <w:b w:val="0"/>
              <w:noProof/>
              <w:sz w:val="24"/>
              <w:szCs w:val="24"/>
              <w:lang w:eastAsia="ja-JP"/>
            </w:rPr>
          </w:pPr>
          <w:r>
            <w:rPr>
              <w:noProof/>
            </w:rPr>
            <w:t>5.2 Praksis med L89</w:t>
          </w:r>
          <w:r>
            <w:rPr>
              <w:noProof/>
            </w:rPr>
            <w:tab/>
          </w:r>
          <w:r>
            <w:rPr>
              <w:noProof/>
            </w:rPr>
            <w:fldChar w:fldCharType="begin"/>
          </w:r>
          <w:r>
            <w:rPr>
              <w:noProof/>
            </w:rPr>
            <w:instrText xml:space="preserve"> PAGEREF _Toc179963454 \h </w:instrText>
          </w:r>
          <w:r>
            <w:rPr>
              <w:noProof/>
            </w:rPr>
          </w:r>
          <w:r>
            <w:rPr>
              <w:noProof/>
            </w:rPr>
            <w:fldChar w:fldCharType="separate"/>
          </w:r>
          <w:r>
            <w:rPr>
              <w:noProof/>
            </w:rPr>
            <w:t>59</w:t>
          </w:r>
          <w:r>
            <w:rPr>
              <w:noProof/>
            </w:rPr>
            <w:fldChar w:fldCharType="end"/>
          </w:r>
        </w:p>
        <w:p w14:paraId="57E98209" w14:textId="77777777" w:rsidR="00B47086" w:rsidRDefault="00B47086">
          <w:pPr>
            <w:pStyle w:val="Indholdsfortegnelse3"/>
            <w:tabs>
              <w:tab w:val="right" w:leader="dot" w:pos="9622"/>
            </w:tabs>
            <w:rPr>
              <w:noProof/>
              <w:sz w:val="24"/>
              <w:szCs w:val="24"/>
              <w:lang w:eastAsia="ja-JP"/>
            </w:rPr>
          </w:pPr>
          <w:r>
            <w:rPr>
              <w:noProof/>
            </w:rPr>
            <w:t>5.2.1 Sælgerbeskyttelsen</w:t>
          </w:r>
          <w:r>
            <w:rPr>
              <w:noProof/>
            </w:rPr>
            <w:tab/>
          </w:r>
          <w:r>
            <w:rPr>
              <w:noProof/>
            </w:rPr>
            <w:fldChar w:fldCharType="begin"/>
          </w:r>
          <w:r>
            <w:rPr>
              <w:noProof/>
            </w:rPr>
            <w:instrText xml:space="preserve"> PAGEREF _Toc179963455 \h </w:instrText>
          </w:r>
          <w:r>
            <w:rPr>
              <w:noProof/>
            </w:rPr>
          </w:r>
          <w:r>
            <w:rPr>
              <w:noProof/>
            </w:rPr>
            <w:fldChar w:fldCharType="separate"/>
          </w:r>
          <w:r>
            <w:rPr>
              <w:noProof/>
            </w:rPr>
            <w:t>59</w:t>
          </w:r>
          <w:r>
            <w:rPr>
              <w:noProof/>
            </w:rPr>
            <w:fldChar w:fldCharType="end"/>
          </w:r>
        </w:p>
        <w:p w14:paraId="342E6A1D" w14:textId="77777777" w:rsidR="00B47086" w:rsidRDefault="00B47086">
          <w:pPr>
            <w:pStyle w:val="Indholdsfortegnelse3"/>
            <w:tabs>
              <w:tab w:val="right" w:leader="dot" w:pos="9622"/>
            </w:tabs>
            <w:rPr>
              <w:noProof/>
              <w:sz w:val="24"/>
              <w:szCs w:val="24"/>
              <w:lang w:eastAsia="ja-JP"/>
            </w:rPr>
          </w:pPr>
          <w:r>
            <w:rPr>
              <w:noProof/>
            </w:rPr>
            <w:t>5.2.2 Undtagelsesbestemmelsen</w:t>
          </w:r>
          <w:r>
            <w:rPr>
              <w:noProof/>
            </w:rPr>
            <w:tab/>
          </w:r>
          <w:r>
            <w:rPr>
              <w:noProof/>
            </w:rPr>
            <w:fldChar w:fldCharType="begin"/>
          </w:r>
          <w:r>
            <w:rPr>
              <w:noProof/>
            </w:rPr>
            <w:instrText xml:space="preserve"> PAGEREF _Toc179963456 \h </w:instrText>
          </w:r>
          <w:r>
            <w:rPr>
              <w:noProof/>
            </w:rPr>
          </w:r>
          <w:r>
            <w:rPr>
              <w:noProof/>
            </w:rPr>
            <w:fldChar w:fldCharType="separate"/>
          </w:r>
          <w:r>
            <w:rPr>
              <w:noProof/>
            </w:rPr>
            <w:t>62</w:t>
          </w:r>
          <w:r>
            <w:rPr>
              <w:noProof/>
            </w:rPr>
            <w:fldChar w:fldCharType="end"/>
          </w:r>
        </w:p>
        <w:p w14:paraId="73A9A204" w14:textId="77777777" w:rsidR="00B47086" w:rsidRDefault="00B47086">
          <w:pPr>
            <w:pStyle w:val="Indholdsfortegnelse3"/>
            <w:tabs>
              <w:tab w:val="right" w:leader="dot" w:pos="9622"/>
            </w:tabs>
            <w:rPr>
              <w:noProof/>
              <w:sz w:val="24"/>
              <w:szCs w:val="24"/>
              <w:lang w:eastAsia="ja-JP"/>
            </w:rPr>
          </w:pPr>
          <w:r>
            <w:rPr>
              <w:noProof/>
            </w:rPr>
            <w:t>5.2.3 Ejerskifteforsikringen</w:t>
          </w:r>
          <w:r>
            <w:rPr>
              <w:noProof/>
            </w:rPr>
            <w:tab/>
          </w:r>
          <w:r>
            <w:rPr>
              <w:noProof/>
            </w:rPr>
            <w:fldChar w:fldCharType="begin"/>
          </w:r>
          <w:r>
            <w:rPr>
              <w:noProof/>
            </w:rPr>
            <w:instrText xml:space="preserve"> PAGEREF _Toc179963457 \h </w:instrText>
          </w:r>
          <w:r>
            <w:rPr>
              <w:noProof/>
            </w:rPr>
          </w:r>
          <w:r>
            <w:rPr>
              <w:noProof/>
            </w:rPr>
            <w:fldChar w:fldCharType="separate"/>
          </w:r>
          <w:r>
            <w:rPr>
              <w:noProof/>
            </w:rPr>
            <w:t>63</w:t>
          </w:r>
          <w:r>
            <w:rPr>
              <w:noProof/>
            </w:rPr>
            <w:fldChar w:fldCharType="end"/>
          </w:r>
        </w:p>
        <w:p w14:paraId="4DB9583B" w14:textId="77777777" w:rsidR="00B47086" w:rsidRDefault="00B47086">
          <w:pPr>
            <w:pStyle w:val="Indholdsfortegnelse3"/>
            <w:tabs>
              <w:tab w:val="right" w:leader="dot" w:pos="9622"/>
            </w:tabs>
            <w:rPr>
              <w:noProof/>
              <w:sz w:val="24"/>
              <w:szCs w:val="24"/>
              <w:lang w:eastAsia="ja-JP"/>
            </w:rPr>
          </w:pPr>
          <w:r>
            <w:rPr>
              <w:noProof/>
            </w:rPr>
            <w:t>5.2.4 Professionsansvar</w:t>
          </w:r>
          <w:r>
            <w:rPr>
              <w:noProof/>
            </w:rPr>
            <w:tab/>
          </w:r>
          <w:r>
            <w:rPr>
              <w:noProof/>
            </w:rPr>
            <w:fldChar w:fldCharType="begin"/>
          </w:r>
          <w:r>
            <w:rPr>
              <w:noProof/>
            </w:rPr>
            <w:instrText xml:space="preserve"> PAGEREF _Toc179963458 \h </w:instrText>
          </w:r>
          <w:r>
            <w:rPr>
              <w:noProof/>
            </w:rPr>
          </w:r>
          <w:r>
            <w:rPr>
              <w:noProof/>
            </w:rPr>
            <w:fldChar w:fldCharType="separate"/>
          </w:r>
          <w:r>
            <w:rPr>
              <w:noProof/>
            </w:rPr>
            <w:t>66</w:t>
          </w:r>
          <w:r>
            <w:rPr>
              <w:noProof/>
            </w:rPr>
            <w:fldChar w:fldCharType="end"/>
          </w:r>
        </w:p>
        <w:p w14:paraId="5A7AB51C" w14:textId="77777777" w:rsidR="00B47086" w:rsidRDefault="00B47086">
          <w:pPr>
            <w:pStyle w:val="Indholdsfortegnelse1"/>
            <w:rPr>
              <w:b w:val="0"/>
              <w:noProof/>
              <w:lang w:eastAsia="ja-JP"/>
            </w:rPr>
          </w:pPr>
          <w:r>
            <w:rPr>
              <w:noProof/>
            </w:rPr>
            <w:t>6.0 Konklusion</w:t>
          </w:r>
          <w:r>
            <w:rPr>
              <w:noProof/>
            </w:rPr>
            <w:tab/>
          </w:r>
          <w:r>
            <w:rPr>
              <w:noProof/>
            </w:rPr>
            <w:fldChar w:fldCharType="begin"/>
          </w:r>
          <w:r>
            <w:rPr>
              <w:noProof/>
            </w:rPr>
            <w:instrText xml:space="preserve"> PAGEREF _Toc179963459 \h </w:instrText>
          </w:r>
          <w:r>
            <w:rPr>
              <w:noProof/>
            </w:rPr>
          </w:r>
          <w:r>
            <w:rPr>
              <w:noProof/>
            </w:rPr>
            <w:fldChar w:fldCharType="separate"/>
          </w:r>
          <w:r>
            <w:rPr>
              <w:noProof/>
            </w:rPr>
            <w:t>68</w:t>
          </w:r>
          <w:r>
            <w:rPr>
              <w:noProof/>
            </w:rPr>
            <w:fldChar w:fldCharType="end"/>
          </w:r>
        </w:p>
        <w:p w14:paraId="3082DFAB" w14:textId="77777777" w:rsidR="00B47086" w:rsidRDefault="00B47086">
          <w:pPr>
            <w:pStyle w:val="Indholdsfortegnelse1"/>
            <w:rPr>
              <w:b w:val="0"/>
              <w:noProof/>
              <w:lang w:eastAsia="ja-JP"/>
            </w:rPr>
          </w:pPr>
          <w:r>
            <w:rPr>
              <w:noProof/>
            </w:rPr>
            <w:t>7.0 Engelsk resumé</w:t>
          </w:r>
          <w:r>
            <w:rPr>
              <w:noProof/>
            </w:rPr>
            <w:tab/>
          </w:r>
          <w:r>
            <w:rPr>
              <w:noProof/>
            </w:rPr>
            <w:fldChar w:fldCharType="begin"/>
          </w:r>
          <w:r>
            <w:rPr>
              <w:noProof/>
            </w:rPr>
            <w:instrText xml:space="preserve"> PAGEREF _Toc179963460 \h </w:instrText>
          </w:r>
          <w:r>
            <w:rPr>
              <w:noProof/>
            </w:rPr>
          </w:r>
          <w:r>
            <w:rPr>
              <w:noProof/>
            </w:rPr>
            <w:fldChar w:fldCharType="separate"/>
          </w:r>
          <w:r>
            <w:rPr>
              <w:noProof/>
            </w:rPr>
            <w:t>70</w:t>
          </w:r>
          <w:r>
            <w:rPr>
              <w:noProof/>
            </w:rPr>
            <w:fldChar w:fldCharType="end"/>
          </w:r>
        </w:p>
        <w:p w14:paraId="27CB7D90" w14:textId="77777777" w:rsidR="00B47086" w:rsidRDefault="00B47086">
          <w:pPr>
            <w:pStyle w:val="Indholdsfortegnelse1"/>
            <w:rPr>
              <w:b w:val="0"/>
              <w:noProof/>
              <w:lang w:eastAsia="ja-JP"/>
            </w:rPr>
          </w:pPr>
          <w:r w:rsidRPr="00BB7478">
            <w:rPr>
              <w:rFonts w:cs="Times New Roman"/>
              <w:noProof/>
            </w:rPr>
            <w:t>8.0 Litteratur</w:t>
          </w:r>
          <w:r>
            <w:rPr>
              <w:noProof/>
            </w:rPr>
            <w:tab/>
          </w:r>
          <w:r>
            <w:rPr>
              <w:noProof/>
            </w:rPr>
            <w:fldChar w:fldCharType="begin"/>
          </w:r>
          <w:r>
            <w:rPr>
              <w:noProof/>
            </w:rPr>
            <w:instrText xml:space="preserve"> PAGEREF _Toc179963461 \h </w:instrText>
          </w:r>
          <w:r>
            <w:rPr>
              <w:noProof/>
            </w:rPr>
          </w:r>
          <w:r>
            <w:rPr>
              <w:noProof/>
            </w:rPr>
            <w:fldChar w:fldCharType="separate"/>
          </w:r>
          <w:r>
            <w:rPr>
              <w:noProof/>
            </w:rPr>
            <w:t>72</w:t>
          </w:r>
          <w:r>
            <w:rPr>
              <w:noProof/>
            </w:rPr>
            <w:fldChar w:fldCharType="end"/>
          </w:r>
        </w:p>
        <w:p w14:paraId="449CBA01"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8.1 Bøger</w:t>
          </w:r>
          <w:r>
            <w:rPr>
              <w:noProof/>
            </w:rPr>
            <w:tab/>
          </w:r>
          <w:r>
            <w:rPr>
              <w:noProof/>
            </w:rPr>
            <w:fldChar w:fldCharType="begin"/>
          </w:r>
          <w:r>
            <w:rPr>
              <w:noProof/>
            </w:rPr>
            <w:instrText xml:space="preserve"> PAGEREF _Toc179963462 \h </w:instrText>
          </w:r>
          <w:r>
            <w:rPr>
              <w:noProof/>
            </w:rPr>
          </w:r>
          <w:r>
            <w:rPr>
              <w:noProof/>
            </w:rPr>
            <w:fldChar w:fldCharType="separate"/>
          </w:r>
          <w:r>
            <w:rPr>
              <w:noProof/>
            </w:rPr>
            <w:t>72</w:t>
          </w:r>
          <w:r>
            <w:rPr>
              <w:noProof/>
            </w:rPr>
            <w:fldChar w:fldCharType="end"/>
          </w:r>
        </w:p>
        <w:p w14:paraId="4B989726" w14:textId="77777777" w:rsidR="00B47086" w:rsidRDefault="00B47086">
          <w:pPr>
            <w:pStyle w:val="Indholdsfortegnelse2"/>
            <w:tabs>
              <w:tab w:val="right" w:leader="dot" w:pos="9622"/>
            </w:tabs>
            <w:rPr>
              <w:b w:val="0"/>
              <w:noProof/>
              <w:sz w:val="24"/>
              <w:szCs w:val="24"/>
              <w:lang w:eastAsia="ja-JP"/>
            </w:rPr>
          </w:pPr>
          <w:r w:rsidRPr="00BB7478">
            <w:rPr>
              <w:rFonts w:cs="Times New Roman"/>
              <w:noProof/>
            </w:rPr>
            <w:t>8.2 Andet materiale</w:t>
          </w:r>
          <w:r>
            <w:rPr>
              <w:noProof/>
            </w:rPr>
            <w:tab/>
          </w:r>
          <w:r>
            <w:rPr>
              <w:noProof/>
            </w:rPr>
            <w:fldChar w:fldCharType="begin"/>
          </w:r>
          <w:r>
            <w:rPr>
              <w:noProof/>
            </w:rPr>
            <w:instrText xml:space="preserve"> PAGEREF _Toc179963463 \h </w:instrText>
          </w:r>
          <w:r>
            <w:rPr>
              <w:noProof/>
            </w:rPr>
          </w:r>
          <w:r>
            <w:rPr>
              <w:noProof/>
            </w:rPr>
            <w:fldChar w:fldCharType="separate"/>
          </w:r>
          <w:r>
            <w:rPr>
              <w:noProof/>
            </w:rPr>
            <w:t>72</w:t>
          </w:r>
          <w:r>
            <w:rPr>
              <w:noProof/>
            </w:rPr>
            <w:fldChar w:fldCharType="end"/>
          </w:r>
        </w:p>
        <w:p w14:paraId="37EB5E07" w14:textId="77777777" w:rsidR="00B47086" w:rsidRDefault="00B47086">
          <w:pPr>
            <w:pStyle w:val="Indholdsfortegnelse2"/>
            <w:tabs>
              <w:tab w:val="right" w:leader="dot" w:pos="9622"/>
            </w:tabs>
            <w:rPr>
              <w:b w:val="0"/>
              <w:noProof/>
              <w:sz w:val="24"/>
              <w:szCs w:val="24"/>
              <w:lang w:eastAsia="ja-JP"/>
            </w:rPr>
          </w:pPr>
          <w:r>
            <w:rPr>
              <w:noProof/>
            </w:rPr>
            <w:t>8.3 Webadresser</w:t>
          </w:r>
          <w:r>
            <w:rPr>
              <w:noProof/>
            </w:rPr>
            <w:tab/>
          </w:r>
          <w:r>
            <w:rPr>
              <w:noProof/>
            </w:rPr>
            <w:fldChar w:fldCharType="begin"/>
          </w:r>
          <w:r>
            <w:rPr>
              <w:noProof/>
            </w:rPr>
            <w:instrText xml:space="preserve"> PAGEREF _Toc179963464 \h </w:instrText>
          </w:r>
          <w:r>
            <w:rPr>
              <w:noProof/>
            </w:rPr>
          </w:r>
          <w:r>
            <w:rPr>
              <w:noProof/>
            </w:rPr>
            <w:fldChar w:fldCharType="separate"/>
          </w:r>
          <w:r>
            <w:rPr>
              <w:noProof/>
            </w:rPr>
            <w:t>72</w:t>
          </w:r>
          <w:r>
            <w:rPr>
              <w:noProof/>
            </w:rPr>
            <w:fldChar w:fldCharType="end"/>
          </w:r>
        </w:p>
        <w:p w14:paraId="0D6021FD" w14:textId="42878E1B" w:rsidR="00520D1A" w:rsidRPr="003D7E0F" w:rsidRDefault="00E74891" w:rsidP="001A79AD">
          <w:pPr>
            <w:rPr>
              <w:rFonts w:cs="Times New Roman"/>
            </w:rPr>
          </w:pPr>
          <w:r>
            <w:rPr>
              <w:b/>
            </w:rPr>
            <w:fldChar w:fldCharType="end"/>
          </w:r>
        </w:p>
      </w:sdtContent>
    </w:sdt>
    <w:p w14:paraId="3C048C26" w14:textId="77777777" w:rsidR="00520D1A" w:rsidRDefault="00520D1A" w:rsidP="001A79AD">
      <w:pPr>
        <w:pStyle w:val="Overskrift1"/>
        <w:rPr>
          <w:rFonts w:cs="Times New Roman"/>
        </w:rPr>
      </w:pPr>
      <w:r w:rsidRPr="003D7E0F">
        <w:rPr>
          <w:rFonts w:cs="Times New Roman"/>
        </w:rPr>
        <w:br w:type="column"/>
      </w:r>
      <w:bookmarkStart w:id="1" w:name="_Toc179963404"/>
      <w:r w:rsidRPr="003D7E0F">
        <w:rPr>
          <w:rFonts w:cs="Times New Roman"/>
        </w:rPr>
        <w:t>Forkortelser</w:t>
      </w:r>
      <w:bookmarkEnd w:id="1"/>
    </w:p>
    <w:p w14:paraId="5B4F8956" w14:textId="66798C83" w:rsidR="00363F44" w:rsidRDefault="00363F44" w:rsidP="001A79AD">
      <w:pPr>
        <w:ind w:left="1300" w:hanging="1300"/>
      </w:pPr>
      <w:r>
        <w:t>AK</w:t>
      </w:r>
      <w:r>
        <w:tab/>
        <w:t>Ankenævn for forsikring</w:t>
      </w:r>
    </w:p>
    <w:p w14:paraId="5BFBB0A2" w14:textId="61B42C7D" w:rsidR="00266ADC" w:rsidRDefault="00266ADC" w:rsidP="001A79AD">
      <w:pPr>
        <w:ind w:left="1300" w:hanging="1300"/>
      </w:pPr>
      <w:r>
        <w:t>BK</w:t>
      </w:r>
      <w:r>
        <w:tab/>
        <w:t>Bekendtgørelse</w:t>
      </w:r>
    </w:p>
    <w:p w14:paraId="7187F45F" w14:textId="07B6CA9D" w:rsidR="00A82A22" w:rsidRDefault="00A82A22" w:rsidP="001A79AD">
      <w:pPr>
        <w:ind w:left="1300" w:hanging="1300"/>
      </w:pPr>
      <w:r>
        <w:t>Bet.</w:t>
      </w:r>
      <w:r>
        <w:tab/>
        <w:t>Betænkning</w:t>
      </w:r>
    </w:p>
    <w:p w14:paraId="1CB0722F" w14:textId="38193E6E" w:rsidR="00A95F4E" w:rsidRDefault="00A95F4E" w:rsidP="001A79AD">
      <w:pPr>
        <w:ind w:left="1300" w:hanging="1300"/>
      </w:pPr>
      <w:r>
        <w:t>L</w:t>
      </w:r>
      <w:r>
        <w:tab/>
        <w:t>Lovforslag</w:t>
      </w:r>
    </w:p>
    <w:p w14:paraId="6E5EA933" w14:textId="408DF4E6" w:rsidR="003A6694" w:rsidRDefault="003A6694" w:rsidP="001A79AD">
      <w:pPr>
        <w:ind w:left="1300" w:hanging="1300"/>
      </w:pPr>
      <w:r>
        <w:t>LBK</w:t>
      </w:r>
      <w:r>
        <w:tab/>
        <w:t>Lovbekendtgørelse</w:t>
      </w:r>
    </w:p>
    <w:p w14:paraId="5B68BABA" w14:textId="5BD052E7" w:rsidR="00733B63" w:rsidRDefault="00733B63" w:rsidP="001A79AD">
      <w:pPr>
        <w:ind w:left="1300" w:hanging="1300"/>
      </w:pPr>
      <w:r>
        <w:t>LOV</w:t>
      </w:r>
      <w:r>
        <w:tab/>
        <w:t>Lov</w:t>
      </w:r>
    </w:p>
    <w:p w14:paraId="405ABDA6" w14:textId="77777777" w:rsidR="00053F7E" w:rsidRDefault="00053F7E" w:rsidP="001A79AD"/>
    <w:p w14:paraId="50BA4F8B" w14:textId="1B731750" w:rsidR="00266ADC" w:rsidRDefault="009B7A7E" w:rsidP="001A79AD">
      <w:pPr>
        <w:ind w:left="1300" w:hanging="1300"/>
      </w:pPr>
      <w:r>
        <w:t>ESBK</w:t>
      </w:r>
      <w:r w:rsidR="00266ADC">
        <w:tab/>
        <w:t>Bekendtgørelse om dækningsomfanget ved ejerskifteforsikringer i henhold til lov om forbrugerbeskyttelse ved erhvervelse ved fast ejendom mv. (B</w:t>
      </w:r>
      <w:r w:rsidR="003A022A">
        <w:t>K nr. 705 af 18/07/</w:t>
      </w:r>
      <w:r w:rsidR="00266ADC">
        <w:t>2000)</w:t>
      </w:r>
    </w:p>
    <w:p w14:paraId="475049EB" w14:textId="5E49F798" w:rsidR="003A022A" w:rsidRDefault="003A022A" w:rsidP="001A79AD">
      <w:pPr>
        <w:ind w:left="1300" w:hanging="1300"/>
      </w:pPr>
      <w:r>
        <w:t>HEBK</w:t>
      </w:r>
      <w:r>
        <w:tab/>
        <w:t>Huseftersynsbekendtgørel</w:t>
      </w:r>
      <w:r w:rsidR="00E100E2">
        <w:t>sen (BK nr. 1667 af 21/12/2010 som</w:t>
      </w:r>
      <w:r>
        <w:t xml:space="preserve"> senest ændret ved BK nr. 840 af 06/07/2011)</w:t>
      </w:r>
    </w:p>
    <w:p w14:paraId="49B6BA06" w14:textId="27119010" w:rsidR="005948CF" w:rsidRDefault="005948CF" w:rsidP="001A79AD">
      <w:pPr>
        <w:ind w:left="1300" w:hanging="1300"/>
      </w:pPr>
      <w:r>
        <w:t>L89</w:t>
      </w:r>
      <w:r>
        <w:tab/>
        <w:t>Lov om forbrugerbeskyttelse ved erhvervelse af fast ejendom (Lov nr. 609 af 14/06/2011)</w:t>
      </w:r>
    </w:p>
    <w:p w14:paraId="15817236" w14:textId="56AC7B4D" w:rsidR="003D7E0F" w:rsidRDefault="003D7E0F" w:rsidP="001A79AD">
      <w:pPr>
        <w:ind w:left="1300" w:hanging="1300"/>
      </w:pPr>
      <w:r>
        <w:t>LFFE</w:t>
      </w:r>
      <w:r>
        <w:tab/>
        <w:t>Lov om forbrugerbeskyttelse ved erhvervelse af fast ejendom (LBK nr. 1142 af 28/09/2007</w:t>
      </w:r>
      <w:r w:rsidR="005948CF">
        <w:t xml:space="preserve"> </w:t>
      </w:r>
      <w:r w:rsidR="00E100E2">
        <w:t xml:space="preserve">som </w:t>
      </w:r>
      <w:r w:rsidR="005948CF">
        <w:t>senest ændret ved Lov nr. 609 af 14/06/2011</w:t>
      </w:r>
      <w:r>
        <w:t>)</w:t>
      </w:r>
    </w:p>
    <w:p w14:paraId="3CB835EA" w14:textId="5ED2E359" w:rsidR="00AC52BB" w:rsidRDefault="00733B63" w:rsidP="001A79AD">
      <w:pPr>
        <w:ind w:left="1300" w:hanging="1300"/>
      </w:pPr>
      <w:r>
        <w:t>SL</w:t>
      </w:r>
      <w:r>
        <w:tab/>
        <w:t>Bekendtgørelse om lov om elektrisk stærkstrømsanlæg og elektrisk materiel (LBK nr. 990 af 08/12/2003 som senest ændret ved LOV nr. 375 af 27/05/2008 § 1)</w:t>
      </w:r>
    </w:p>
    <w:p w14:paraId="5AFB63AD" w14:textId="5987E884" w:rsidR="00E100E2" w:rsidRDefault="00E100E2" w:rsidP="001A79AD">
      <w:pPr>
        <w:ind w:left="1300" w:hanging="1300"/>
      </w:pPr>
      <w:r>
        <w:t>SSBK</w:t>
      </w:r>
      <w:r>
        <w:tab/>
        <w:t xml:space="preserve">Bekendtgørelse om stærkstrøm, afsnit 6, Elektriske installationer (BK nr. 12502 af 01/07/2001 som senest ændret ved </w:t>
      </w:r>
      <w:r w:rsidR="00022322">
        <w:t>BK nr. 1155 af 06/10/2010)</w:t>
      </w:r>
    </w:p>
    <w:p w14:paraId="0E5BAF3E" w14:textId="77777777" w:rsidR="003A6694" w:rsidRDefault="003A6694" w:rsidP="001A79AD">
      <w:pPr>
        <w:ind w:left="1300" w:hanging="1300"/>
      </w:pPr>
    </w:p>
    <w:p w14:paraId="22074461" w14:textId="77777777" w:rsidR="003D7E0F" w:rsidRDefault="003D7E0F" w:rsidP="001A79AD">
      <w:pPr>
        <w:ind w:left="1300" w:hanging="1300"/>
      </w:pPr>
    </w:p>
    <w:p w14:paraId="0BD71103" w14:textId="77777777" w:rsidR="003D7E0F" w:rsidRPr="003D7E0F" w:rsidRDefault="003D7E0F" w:rsidP="001A79AD">
      <w:pPr>
        <w:ind w:left="1300" w:hanging="1300"/>
      </w:pPr>
    </w:p>
    <w:p w14:paraId="54B45669" w14:textId="77777777" w:rsidR="00520D1A" w:rsidRDefault="00520D1A" w:rsidP="001A79AD">
      <w:pPr>
        <w:pStyle w:val="Overskrift1"/>
        <w:rPr>
          <w:rFonts w:cs="Times New Roman"/>
        </w:rPr>
      </w:pPr>
      <w:r w:rsidRPr="003D7E0F">
        <w:rPr>
          <w:rFonts w:cs="Times New Roman"/>
        </w:rPr>
        <w:br w:type="column"/>
      </w:r>
      <w:bookmarkStart w:id="2" w:name="_Toc179963405"/>
      <w:r w:rsidRPr="003D7E0F">
        <w:rPr>
          <w:rFonts w:cs="Times New Roman"/>
        </w:rPr>
        <w:t>1.0 Indledning</w:t>
      </w:r>
      <w:bookmarkEnd w:id="2"/>
    </w:p>
    <w:p w14:paraId="7A30BA76" w14:textId="2752B62A" w:rsidR="009E1F45" w:rsidRDefault="005948CF" w:rsidP="001A79AD">
      <w:r>
        <w:t>LFFE er vedtaget</w:t>
      </w:r>
      <w:r w:rsidR="009E1F45">
        <w:t xml:space="preserve"> på baggrund af den store mængde sager, som opstod pga. mangler ved fast eje</w:t>
      </w:r>
      <w:r w:rsidR="009E1F45">
        <w:t>n</w:t>
      </w:r>
      <w:r w:rsidR="009E1F45">
        <w:t>dom. Loven trådte i kraft</w:t>
      </w:r>
      <w:r>
        <w:t xml:space="preserve"> d. 1. januar 1996, og har</w:t>
      </w:r>
      <w:r w:rsidR="009E1F45">
        <w:t xml:space="preserve"> </w:t>
      </w:r>
      <w:r w:rsidR="00B240B5">
        <w:t xml:space="preserve">efterfølgende </w:t>
      </w:r>
      <w:r w:rsidR="009E1F45">
        <w:t>givet anledning til</w:t>
      </w:r>
      <w:r>
        <w:t xml:space="preserve"> løbende debat</w:t>
      </w:r>
      <w:r w:rsidR="003109F0">
        <w:t>.</w:t>
      </w:r>
    </w:p>
    <w:p w14:paraId="494A3FFC" w14:textId="77777777" w:rsidR="006B4A7A" w:rsidRDefault="006B4A7A" w:rsidP="001A79AD"/>
    <w:p w14:paraId="40856FAD" w14:textId="565E54AB" w:rsidR="006B4A7A" w:rsidRDefault="006B4A7A" w:rsidP="001A79AD">
      <w:r>
        <w:t>I</w:t>
      </w:r>
      <w:r w:rsidR="003678C4">
        <w:t>ndtil LFFE’s ikrafttræden</w:t>
      </w:r>
      <w:r>
        <w:t xml:space="preserve"> var retsområdet ulovreguleret, og derfor udviklet af ret</w:t>
      </w:r>
      <w:r w:rsidR="005948CF">
        <w:t>spraksis</w:t>
      </w:r>
      <w:r>
        <w:t>.</w:t>
      </w:r>
      <w:r>
        <w:rPr>
          <w:rStyle w:val="Fodnotehenvisning"/>
        </w:rPr>
        <w:footnoteReference w:id="1"/>
      </w:r>
      <w:r>
        <w:t xml:space="preserve"> </w:t>
      </w:r>
      <w:r w:rsidR="005948CF">
        <w:t>En tvist om m</w:t>
      </w:r>
      <w:r>
        <w:t>angler ved fast ejendom var før LFFE</w:t>
      </w:r>
      <w:r w:rsidR="00EC73EA">
        <w:t>’s ikrafttræden</w:t>
      </w:r>
      <w:r>
        <w:t xml:space="preserve"> til købers fordel, idet der hav</w:t>
      </w:r>
      <w:r w:rsidR="00E24743">
        <w:t>de vis</w:t>
      </w:r>
      <w:r w:rsidR="00DE0313">
        <w:t>t sig en ten</w:t>
      </w:r>
      <w:r>
        <w:t xml:space="preserve">dens til et objektivt ansvar for sælger. Dette viste sig i forbindelse med afslag i købesummen, </w:t>
      </w:r>
      <w:r w:rsidR="003678C4">
        <w:t>idet der blot skulle være</w:t>
      </w:r>
      <w:r>
        <w:t xml:space="preserve"> tale</w:t>
      </w:r>
      <w:r w:rsidR="0056304D">
        <w:t xml:space="preserve"> om en værdiforringende mangel</w:t>
      </w:r>
      <w:r w:rsidR="003678C4">
        <w:t>, før sælger ifaldt ansvar</w:t>
      </w:r>
      <w:r w:rsidR="0056304D">
        <w:t xml:space="preserve">. </w:t>
      </w:r>
      <w:r>
        <w:t>I 1980’erne</w:t>
      </w:r>
      <w:r w:rsidR="0056304D">
        <w:t xml:space="preserve"> skete der en ændring i retspraksis til sælgers fordel, således at</w:t>
      </w:r>
      <w:r>
        <w:t xml:space="preserve"> der</w:t>
      </w:r>
      <w:r w:rsidR="0056304D">
        <w:t xml:space="preserve"> blev</w:t>
      </w:r>
      <w:r>
        <w:t xml:space="preserve"> indført e</w:t>
      </w:r>
      <w:r w:rsidR="0056304D">
        <w:t>n bagatelgrænse for afslag i købesummen</w:t>
      </w:r>
      <w:r w:rsidR="003678C4">
        <w:t>, og derved skete der en reducering af sager, hvor sælger ifaldt et ansvar</w:t>
      </w:r>
      <w:r w:rsidR="0056304D">
        <w:t xml:space="preserve">. </w:t>
      </w:r>
      <w:r>
        <w:t>U</w:t>
      </w:r>
      <w:r>
        <w:t>d</w:t>
      </w:r>
      <w:r>
        <w:t xml:space="preserve">viklingen i retning af </w:t>
      </w:r>
      <w:r w:rsidR="001D686E">
        <w:t>indskrænkning</w:t>
      </w:r>
      <w:r>
        <w:t xml:space="preserve"> af sælgers mangelshæftelse fortsatte op i 1990’erne, og </w:t>
      </w:r>
      <w:r w:rsidR="001D686E">
        <w:t>topp</w:t>
      </w:r>
      <w:r w:rsidR="001D686E">
        <w:t>e</w:t>
      </w:r>
      <w:r w:rsidR="001D686E">
        <w:t>de</w:t>
      </w:r>
      <w:r>
        <w:t xml:space="preserve"> med</w:t>
      </w:r>
      <w:r w:rsidR="003678C4">
        <w:t xml:space="preserve"> vedtagelsen af</w:t>
      </w:r>
      <w:r>
        <w:t xml:space="preserve"> LFFE.</w:t>
      </w:r>
      <w:r w:rsidR="001D686E">
        <w:rPr>
          <w:rStyle w:val="Fodnotehenvisning"/>
        </w:rPr>
        <w:footnoteReference w:id="2"/>
      </w:r>
      <w:r w:rsidR="001D686E">
        <w:t xml:space="preserve"> Loven har medført </w:t>
      </w:r>
      <w:r w:rsidR="0056304D">
        <w:t>et væsentligt</w:t>
      </w:r>
      <w:r w:rsidR="001D686E">
        <w:t xml:space="preserve"> mindre</w:t>
      </w:r>
      <w:r w:rsidR="0056304D">
        <w:t xml:space="preserve"> antal</w:t>
      </w:r>
      <w:r w:rsidR="001D686E">
        <w:t xml:space="preserve"> sager ved domstolene vedrørende sælgers hæftelsesansvar overfor køber.</w:t>
      </w:r>
      <w:r w:rsidR="001D686E">
        <w:rPr>
          <w:rStyle w:val="Fodnotehenvisning"/>
        </w:rPr>
        <w:footnoteReference w:id="3"/>
      </w:r>
    </w:p>
    <w:p w14:paraId="45E5E055" w14:textId="77777777" w:rsidR="001D686E" w:rsidRDefault="001D686E" w:rsidP="001A79AD"/>
    <w:p w14:paraId="68E7F27E" w14:textId="712CB933" w:rsidR="00BC6569" w:rsidRDefault="001D686E" w:rsidP="001A79AD">
      <w:r>
        <w:t>Den fø</w:t>
      </w:r>
      <w:r w:rsidR="00BA307E">
        <w:t>rste udgave af LFFE fra 1996 var til gunst for sælger</w:t>
      </w:r>
      <w:r>
        <w:t>, eftersom sælger</w:t>
      </w:r>
      <w:r w:rsidR="003678C4">
        <w:t>,</w:t>
      </w:r>
      <w:r w:rsidR="00E25284">
        <w:t xml:space="preserve"> ved at opfylde en nærmere række</w:t>
      </w:r>
      <w:r>
        <w:t xml:space="preserve"> krav</w:t>
      </w:r>
      <w:r w:rsidR="003678C4">
        <w:t>,</w:t>
      </w:r>
      <w:r w:rsidR="00E25284">
        <w:t xml:space="preserve"> kunne</w:t>
      </w:r>
      <w:r>
        <w:t xml:space="preserve"> fritage sig</w:t>
      </w:r>
      <w:r w:rsidR="00BA307E">
        <w:t xml:space="preserve"> for</w:t>
      </w:r>
      <w:r>
        <w:t xml:space="preserve"> ansvar ved fysiske mangler. </w:t>
      </w:r>
      <w:r w:rsidR="0056304D">
        <w:t>Hensynet til k</w:t>
      </w:r>
      <w:r>
        <w:t>øber derimod blev tilsidesat i det omfang,</w:t>
      </w:r>
      <w:r w:rsidR="00E25284">
        <w:t xml:space="preserve"> at LFFE ikke ga</w:t>
      </w:r>
      <w:r w:rsidR="00044E6A">
        <w:t xml:space="preserve">v tilstrækkelig oplysning til køber, hvorfor tendensen hos </w:t>
      </w:r>
      <w:r w:rsidR="00E25284">
        <w:t>denne</w:t>
      </w:r>
      <w:r w:rsidR="00044E6A">
        <w:t xml:space="preserve"> var at undlade at tegne</w:t>
      </w:r>
      <w:r>
        <w:t xml:space="preserve"> ejerskifteforsikrin</w:t>
      </w:r>
      <w:r w:rsidR="00044E6A">
        <w:t>g</w:t>
      </w:r>
      <w:r>
        <w:t>.</w:t>
      </w:r>
      <w:r w:rsidR="00044E6A">
        <w:t xml:space="preserve"> N</w:t>
      </w:r>
      <w:r w:rsidR="0056304D">
        <w:t xml:space="preserve">ogle </w:t>
      </w:r>
      <w:r w:rsidR="00E24743">
        <w:t>køber</w:t>
      </w:r>
      <w:r w:rsidR="0056304D">
        <w:t>e</w:t>
      </w:r>
      <w:r w:rsidR="00E24743">
        <w:t xml:space="preserve"> havde den opfattelse</w:t>
      </w:r>
      <w:r w:rsidR="00BA307E">
        <w:t>,</w:t>
      </w:r>
      <w:r w:rsidR="00E24743">
        <w:t xml:space="preserve"> at </w:t>
      </w:r>
      <w:r w:rsidR="00BA20B8">
        <w:t xml:space="preserve">prisen for </w:t>
      </w:r>
      <w:r w:rsidR="0040042E">
        <w:t>ejerskifteforsikringen</w:t>
      </w:r>
      <w:r w:rsidR="00096399">
        <w:t xml:space="preserve"> var</w:t>
      </w:r>
      <w:r w:rsidR="009452AC">
        <w:t xml:space="preserve"> </w:t>
      </w:r>
      <w:r w:rsidR="00BA20B8">
        <w:t>for høj</w:t>
      </w:r>
      <w:r w:rsidR="00096399">
        <w:t>, og de ønskede derfor ikke</w:t>
      </w:r>
      <w:r w:rsidR="0040042E">
        <w:t xml:space="preserve"> at tegne denne</w:t>
      </w:r>
      <w:r w:rsidR="00096399">
        <w:t>.</w:t>
      </w:r>
      <w:r w:rsidR="00BA20B8">
        <w:rPr>
          <w:rStyle w:val="Fodnotehenvisning"/>
        </w:rPr>
        <w:footnoteReference w:id="4"/>
      </w:r>
      <w:r w:rsidR="00BC6569">
        <w:t xml:space="preserve"> Samtidig</w:t>
      </w:r>
      <w:r w:rsidR="00044E6A">
        <w:t xml:space="preserve"> var der en tendens til</w:t>
      </w:r>
      <w:r w:rsidR="00096399">
        <w:t>, at køber opfattede tilstandsrapporten, som en garanti fra sælger om, at huset var uden mangler, udover de nævnte i tilstandsrapporten.</w:t>
      </w:r>
      <w:r w:rsidR="00BA20B8">
        <w:rPr>
          <w:rStyle w:val="Fodnotehenvisning"/>
        </w:rPr>
        <w:footnoteReference w:id="5"/>
      </w:r>
      <w:r w:rsidR="00BA307E">
        <w:t xml:space="preserve"> Der blev</w:t>
      </w:r>
      <w:r>
        <w:t xml:space="preserve"> løst op på</w:t>
      </w:r>
      <w:r w:rsidR="00096399">
        <w:t xml:space="preserve"> pengeproblemet</w:t>
      </w:r>
      <w:r>
        <w:t xml:space="preserve"> ved lovæ</w:t>
      </w:r>
      <w:r>
        <w:t>n</w:t>
      </w:r>
      <w:r>
        <w:t>dringen i 2000, hvor sælger for at få beskyttelse, skulle betale halvdelen af præmien til ejerskift</w:t>
      </w:r>
      <w:r>
        <w:t>e</w:t>
      </w:r>
      <w:r>
        <w:t>forsikringen</w:t>
      </w:r>
      <w:r w:rsidR="00667CFC">
        <w:t>.</w:t>
      </w:r>
      <w:r w:rsidR="00597317">
        <w:rPr>
          <w:rStyle w:val="Fodnotehenvisning"/>
        </w:rPr>
        <w:footnoteReference w:id="6"/>
      </w:r>
      <w:r w:rsidR="00BC6569">
        <w:t xml:space="preserve"> Resultatet var</w:t>
      </w:r>
      <w:r w:rsidR="00E25284">
        <w:t xml:space="preserve"> at der skete</w:t>
      </w:r>
      <w:r w:rsidR="00BC6569">
        <w:t xml:space="preserve"> </w:t>
      </w:r>
      <w:r w:rsidR="00597317">
        <w:t>en radikal ændring af tegning af ejerskifteforsikrin</w:t>
      </w:r>
      <w:r w:rsidR="0040042E">
        <w:t>ger, idet</w:t>
      </w:r>
      <w:r w:rsidR="00597317">
        <w:t xml:space="preserve"> kø</w:t>
      </w:r>
      <w:r w:rsidR="00E25284">
        <w:t>ber</w:t>
      </w:r>
      <w:r w:rsidR="00597317">
        <w:t xml:space="preserve"> nu fik betalt nog</w:t>
      </w:r>
      <w:r w:rsidR="009E3AFC">
        <w:t>et af forsikringspræmien.</w:t>
      </w:r>
      <w:r w:rsidR="005E0CDF">
        <w:t xml:space="preserve"> Dette løste</w:t>
      </w:r>
      <w:r w:rsidR="003678C4">
        <w:t xml:space="preserve"> imidlertid</w:t>
      </w:r>
      <w:r w:rsidR="005E0CDF">
        <w:t xml:space="preserve"> ikke problemet med</w:t>
      </w:r>
      <w:r w:rsidR="00E25284">
        <w:t>, hvad købers</w:t>
      </w:r>
      <w:r w:rsidR="00BA307E">
        <w:t xml:space="preserve"> generelle opfattelse af tilstandsrapportens formål var, men flyttede blot tvisterne fra do</w:t>
      </w:r>
      <w:r w:rsidR="00BA307E">
        <w:t>m</w:t>
      </w:r>
      <w:r w:rsidR="00BA307E">
        <w:t xml:space="preserve">stolssystemet over i forsikringsregi. </w:t>
      </w:r>
    </w:p>
    <w:p w14:paraId="17257615" w14:textId="69792F44" w:rsidR="005948CF" w:rsidRDefault="009E3AFC" w:rsidP="001A79AD">
      <w:r>
        <w:t>De følgende ændringer af loven har ikke haft betydning for dette specia</w:t>
      </w:r>
      <w:r w:rsidR="00BC6569">
        <w:t>le</w:t>
      </w:r>
      <w:r>
        <w:t xml:space="preserve"> før L89, som udvider kr</w:t>
      </w:r>
      <w:r>
        <w:t>a</w:t>
      </w:r>
      <w:r>
        <w:t>vene til sælgers muligh</w:t>
      </w:r>
      <w:r w:rsidR="003678C4">
        <w:t>ed for at opnå beskyttelse, og</w:t>
      </w:r>
      <w:r>
        <w:t xml:space="preserve"> giver køber en bredere viden om ejendommen</w:t>
      </w:r>
      <w:r w:rsidR="003678C4">
        <w:t>, samt</w:t>
      </w:r>
      <w:r w:rsidR="00BA307E">
        <w:t xml:space="preserve"> tilstandsrapportens formål</w:t>
      </w:r>
      <w:r w:rsidR="00BC6569">
        <w:t>,</w:t>
      </w:r>
      <w:r>
        <w:t xml:space="preserve"> før denne træffer beslutning om indgåelse af endelig handel. </w:t>
      </w:r>
      <w:r w:rsidR="009F04EE">
        <w:t>Fo</w:t>
      </w:r>
      <w:r w:rsidR="009F04EE">
        <w:t>r</w:t>
      </w:r>
      <w:r w:rsidR="009F04EE">
        <w:t>målet med dette speciale er</w:t>
      </w:r>
      <w:r w:rsidR="0040042E">
        <w:t xml:space="preserve"> at vise, hvorledes</w:t>
      </w:r>
      <w:r>
        <w:t xml:space="preserve"> gældende ret er på området i dag</w:t>
      </w:r>
      <w:r w:rsidR="009F04EE">
        <w:t xml:space="preserve"> ud fra LFFE</w:t>
      </w:r>
      <w:r>
        <w:t>, og hvilke konsekvenser det får for køber og sælger, når L89 træder i kraft 1.1.2012. Den gældende ret er be</w:t>
      </w:r>
      <w:r w:rsidR="00BA307E">
        <w:t>rørt af mange teorietikere</w:t>
      </w:r>
      <w:r>
        <w:t xml:space="preserve">, hvor de nye regler udelukkende er berørt af udvalget, som har stået for Bet. nr. 1520/2010, og derfor er et forholdsvist urørt område. </w:t>
      </w:r>
    </w:p>
    <w:p w14:paraId="05BEEE92" w14:textId="50EB6521" w:rsidR="00520D1A" w:rsidRDefault="009E3AFC" w:rsidP="001A79AD">
      <w:pPr>
        <w:pStyle w:val="Overskrift2"/>
        <w:rPr>
          <w:rFonts w:cs="Times New Roman"/>
        </w:rPr>
      </w:pPr>
      <w:bookmarkStart w:id="3" w:name="_Toc179963406"/>
      <w:r>
        <w:rPr>
          <w:rFonts w:cs="Times New Roman"/>
        </w:rPr>
        <w:t>1.1</w:t>
      </w:r>
      <w:r w:rsidR="00520D1A" w:rsidRPr="003D7E0F">
        <w:rPr>
          <w:rFonts w:cs="Times New Roman"/>
        </w:rPr>
        <w:t xml:space="preserve"> Afgrænsning</w:t>
      </w:r>
      <w:bookmarkEnd w:id="3"/>
    </w:p>
    <w:p w14:paraId="06446D0A" w14:textId="6254CA30" w:rsidR="00AA76DD" w:rsidRDefault="00AA76DD" w:rsidP="001A79AD">
      <w:r>
        <w:t>Den lovændring</w:t>
      </w:r>
      <w:r w:rsidR="006C63C9">
        <w:t>,</w:t>
      </w:r>
      <w:r>
        <w:t xml:space="preserve"> der er vedtaget i form</w:t>
      </w:r>
      <w:r w:rsidR="006C63C9">
        <w:t xml:space="preserve"> af L89, er en udvidelse</w:t>
      </w:r>
      <w:r w:rsidR="006779B8">
        <w:t xml:space="preserve"> af</w:t>
      </w:r>
      <w:r>
        <w:t xml:space="preserve"> de o</w:t>
      </w:r>
      <w:r w:rsidR="006C63C9">
        <w:t>plysninger, som sælger skal informere</w:t>
      </w:r>
      <w:r>
        <w:t xml:space="preserve"> køber</w:t>
      </w:r>
      <w:r w:rsidR="006C63C9">
        <w:t xml:space="preserve"> om</w:t>
      </w:r>
      <w:r>
        <w:t>, når sælger ønsk</w:t>
      </w:r>
      <w:r w:rsidR="00096399">
        <w:t>er at opnå beskyttelse</w:t>
      </w:r>
      <w:r>
        <w:t xml:space="preserve"> mod fysiske mangler efter LFFE’s kap. 1</w:t>
      </w:r>
      <w:r w:rsidR="00BC6569">
        <w:t xml:space="preserve">. Derudover bliver der indført </w:t>
      </w:r>
      <w:r w:rsidR="0040042E">
        <w:t>definitioner på en nærmere række</w:t>
      </w:r>
      <w:r w:rsidR="006C63C9">
        <w:t xml:space="preserve"> begreber</w:t>
      </w:r>
      <w:r>
        <w:t>.</w:t>
      </w:r>
      <w:r w:rsidR="006C63C9">
        <w:t xml:space="preserve"> Udvidelsen består i en elinstallationsrapport</w:t>
      </w:r>
      <w:r w:rsidR="007206D1">
        <w:t>,</w:t>
      </w:r>
      <w:r w:rsidR="006C63C9">
        <w:t xml:space="preserve"> og def</w:t>
      </w:r>
      <w:r w:rsidR="007206D1">
        <w:t>initionerne er af</w:t>
      </w:r>
      <w:r w:rsidR="003109F0">
        <w:t xml:space="preserve"> denne rapport og</w:t>
      </w:r>
      <w:r w:rsidR="006C63C9">
        <w:t xml:space="preserve"> tilstandsrapport</w:t>
      </w:r>
      <w:r w:rsidR="003109F0">
        <w:t>en</w:t>
      </w:r>
      <w:r w:rsidR="006C63C9">
        <w:t>. Eftersom ulovlige elinstallationer tidligere er faldet helt udenfor LFFE’s anvendelsesområde, og</w:t>
      </w:r>
      <w:r w:rsidR="00096399">
        <w:t xml:space="preserve"> sælger dermed ikke har kunne opnå</w:t>
      </w:r>
      <w:r w:rsidR="006C63C9">
        <w:t xml:space="preserve"> fritagelse for denne form for mangler, vil hovedvægten</w:t>
      </w:r>
      <w:r w:rsidR="0040042E">
        <w:t xml:space="preserve"> i dette speciale</w:t>
      </w:r>
      <w:r w:rsidR="006C63C9">
        <w:t xml:space="preserve"> ligge på</w:t>
      </w:r>
      <w:r w:rsidR="003109F0">
        <w:t>,</w:t>
      </w:r>
      <w:r w:rsidR="006C63C9">
        <w:t xml:space="preserve"> </w:t>
      </w:r>
      <w:r w:rsidR="003109F0">
        <w:t>hvilken betydning det har haft</w:t>
      </w:r>
      <w:r w:rsidR="00266ADC">
        <w:t>,</w:t>
      </w:r>
      <w:r w:rsidR="003109F0">
        <w:t xml:space="preserve"> at ulovlige elinstallati</w:t>
      </w:r>
      <w:r w:rsidR="00096399">
        <w:t>oner</w:t>
      </w:r>
      <w:r w:rsidR="003109F0">
        <w:t xml:space="preserve"> har været udenfor</w:t>
      </w:r>
      <w:r w:rsidR="00096399">
        <w:t xml:space="preserve"> LFFE’s anvendelse</w:t>
      </w:r>
      <w:r w:rsidR="00096399">
        <w:t>s</w:t>
      </w:r>
      <w:r w:rsidR="00096399">
        <w:t>område</w:t>
      </w:r>
      <w:r w:rsidR="003109F0">
        <w:t>, og hvilken betydning det får, at ulovlige elinstallationer nu er en del af beskyttelsesordni</w:t>
      </w:r>
      <w:r w:rsidR="003109F0">
        <w:t>n</w:t>
      </w:r>
      <w:r w:rsidR="003109F0">
        <w:t>gen i L89.</w:t>
      </w:r>
    </w:p>
    <w:p w14:paraId="15C95A40" w14:textId="77777777" w:rsidR="006779B8" w:rsidRDefault="006779B8" w:rsidP="001A79AD"/>
    <w:p w14:paraId="0D58C34C" w14:textId="2811ADD1" w:rsidR="00EA62EB" w:rsidRDefault="007206D1" w:rsidP="001A79AD">
      <w:r w:rsidRPr="00F102C0">
        <w:t>U</w:t>
      </w:r>
      <w:r w:rsidR="006779B8" w:rsidRPr="00F102C0">
        <w:t>ndtagelser</w:t>
      </w:r>
      <w:r w:rsidRPr="00F102C0">
        <w:t>ne</w:t>
      </w:r>
      <w:r w:rsidR="006779B8" w:rsidRPr="00F102C0">
        <w:t xml:space="preserve"> til beskyttelsesordningen som findes i LFFE § 2, stk. 5 bliver kort gennemgået i a</w:t>
      </w:r>
      <w:r w:rsidR="006779B8" w:rsidRPr="00F102C0">
        <w:t>f</w:t>
      </w:r>
      <w:r w:rsidR="006779B8" w:rsidRPr="00F102C0">
        <w:t>snit 2.4,</w:t>
      </w:r>
      <w:r w:rsidR="006779B8">
        <w:t xml:space="preserve"> men det er kun undtagelsen om ulovlige bygningsindretninger med fokus på elinstallati</w:t>
      </w:r>
      <w:r w:rsidR="006779B8">
        <w:t>o</w:t>
      </w:r>
      <w:r w:rsidR="00497A36">
        <w:t>ner, der vil blive gennemgået</w:t>
      </w:r>
      <w:r>
        <w:t xml:space="preserve"> mere dybdegående.</w:t>
      </w:r>
    </w:p>
    <w:p w14:paraId="78BB5439" w14:textId="77777777" w:rsidR="00E25284" w:rsidRDefault="00E25284" w:rsidP="001A79AD"/>
    <w:p w14:paraId="459AF62F" w14:textId="5EA68806" w:rsidR="00E25284" w:rsidRPr="00AA76DD" w:rsidRDefault="00B8713E" w:rsidP="001A79AD">
      <w:r>
        <w:t>I dette speciale er fokus rettet mod h</w:t>
      </w:r>
      <w:r w:rsidR="00E25284">
        <w:t>useftersynsordningen med henblik på ulovlige elinstallationer</w:t>
      </w:r>
      <w:r>
        <w:t>. Mange emner</w:t>
      </w:r>
      <w:r w:rsidR="00E25284">
        <w:t xml:space="preserve"> grænser meget tæt op </w:t>
      </w:r>
      <w:r>
        <w:t>hertil, men vil dog ikke blive genstand for nærmere genne</w:t>
      </w:r>
      <w:r>
        <w:t>m</w:t>
      </w:r>
      <w:r>
        <w:t>gang i dette speciale. L</w:t>
      </w:r>
      <w:r w:rsidR="00E25284">
        <w:t>æseren</w:t>
      </w:r>
      <w:r>
        <w:t xml:space="preserve"> vil i en fodnote løbende blive gjort</w:t>
      </w:r>
      <w:r w:rsidR="00E25284">
        <w:t xml:space="preserve"> opmærksom på, at disse ikke bl</w:t>
      </w:r>
      <w:r w:rsidR="00E25284">
        <w:t>i</w:t>
      </w:r>
      <w:r w:rsidR="00E25284">
        <w:t xml:space="preserve">ve genstand for nærmere gennemgang. </w:t>
      </w:r>
    </w:p>
    <w:p w14:paraId="23ABD71A" w14:textId="45BD996F" w:rsidR="00520D1A" w:rsidRDefault="009E3AFC" w:rsidP="001A79AD">
      <w:pPr>
        <w:pStyle w:val="Overskrift2"/>
        <w:rPr>
          <w:rFonts w:cs="Times New Roman"/>
        </w:rPr>
      </w:pPr>
      <w:bookmarkStart w:id="4" w:name="_Toc179963407"/>
      <w:r>
        <w:rPr>
          <w:rFonts w:cs="Times New Roman"/>
        </w:rPr>
        <w:t>1.2</w:t>
      </w:r>
      <w:r w:rsidR="00520D1A" w:rsidRPr="003D7E0F">
        <w:rPr>
          <w:rFonts w:cs="Times New Roman"/>
        </w:rPr>
        <w:t xml:space="preserve"> Metode og systematik</w:t>
      </w:r>
      <w:bookmarkEnd w:id="4"/>
    </w:p>
    <w:p w14:paraId="76EBAC5E" w14:textId="32833413" w:rsidR="00A95F4E" w:rsidRDefault="00A95F4E" w:rsidP="001A79AD">
      <w:pPr>
        <w:rPr>
          <w:rFonts w:cs="Times New Roman"/>
        </w:rPr>
      </w:pPr>
      <w:r>
        <w:rPr>
          <w:rFonts w:cs="Times New Roman"/>
        </w:rPr>
        <w:t>I dette speciale</w:t>
      </w:r>
      <w:r w:rsidRPr="008C1AE5">
        <w:rPr>
          <w:rFonts w:cs="Times New Roman"/>
        </w:rPr>
        <w:t xml:space="preserve"> anve</w:t>
      </w:r>
      <w:r>
        <w:rPr>
          <w:rFonts w:cs="Times New Roman"/>
        </w:rPr>
        <w:t>ndes den retsdogmatiske metode.</w:t>
      </w:r>
      <w:r w:rsidRPr="008C1AE5">
        <w:rPr>
          <w:rFonts w:cs="Times New Roman"/>
        </w:rPr>
        <w:t xml:space="preserve"> Retsd</w:t>
      </w:r>
      <w:r w:rsidR="009452AC">
        <w:rPr>
          <w:rFonts w:cs="Times New Roman"/>
        </w:rPr>
        <w:t>ogmatikken er en samlet betegnelse</w:t>
      </w:r>
      <w:r w:rsidRPr="008C1AE5">
        <w:rPr>
          <w:rFonts w:cs="Times New Roman"/>
        </w:rPr>
        <w:t xml:space="preserve"> for juraens praktiske discipliner</w:t>
      </w:r>
      <w:r>
        <w:rPr>
          <w:rFonts w:cs="Times New Roman"/>
        </w:rPr>
        <w:t>,</w:t>
      </w:r>
      <w:r w:rsidRPr="008C1AE5">
        <w:rPr>
          <w:rFonts w:cs="Times New Roman"/>
        </w:rPr>
        <w:t xml:space="preserve"> og beskæftiger sig med løsningen af problemstillinger inden for gæ</w:t>
      </w:r>
      <w:r w:rsidRPr="008C1AE5">
        <w:rPr>
          <w:rFonts w:cs="Times New Roman"/>
        </w:rPr>
        <w:t>l</w:t>
      </w:r>
      <w:r w:rsidRPr="008C1AE5">
        <w:rPr>
          <w:rFonts w:cs="Times New Roman"/>
        </w:rPr>
        <w:t>dende ret. Til at belyse gældende ret anvendes nationale love og betænkninger,</w:t>
      </w:r>
      <w:r w:rsidR="00690BA5">
        <w:rPr>
          <w:rFonts w:cs="Times New Roman"/>
        </w:rPr>
        <w:t xml:space="preserve"> retspraksis</w:t>
      </w:r>
      <w:r w:rsidR="0040042E">
        <w:rPr>
          <w:rFonts w:cs="Times New Roman"/>
        </w:rPr>
        <w:t xml:space="preserve"> samt juridisk litteratur.</w:t>
      </w:r>
    </w:p>
    <w:p w14:paraId="2EDCC8C5" w14:textId="77777777" w:rsidR="009F04EE" w:rsidRDefault="009F04EE" w:rsidP="001A79AD">
      <w:pPr>
        <w:rPr>
          <w:rFonts w:cs="Times New Roman"/>
        </w:rPr>
      </w:pPr>
    </w:p>
    <w:p w14:paraId="670EE862" w14:textId="4C06BD17" w:rsidR="009F04EE" w:rsidRDefault="001936CC" w:rsidP="001A79AD">
      <w:pPr>
        <w:rPr>
          <w:rFonts w:cs="Times New Roman"/>
        </w:rPr>
      </w:pPr>
      <w:r>
        <w:rPr>
          <w:rFonts w:cs="Times New Roman"/>
        </w:rPr>
        <w:t>I specialet</w:t>
      </w:r>
      <w:r w:rsidR="009F04EE">
        <w:rPr>
          <w:rFonts w:cs="Times New Roman"/>
        </w:rPr>
        <w:t xml:space="preserve"> betegnes</w:t>
      </w:r>
      <w:r>
        <w:rPr>
          <w:rFonts w:cs="Times New Roman"/>
        </w:rPr>
        <w:t xml:space="preserve"> den anvendte retspraksis og</w:t>
      </w:r>
      <w:r w:rsidR="009F04EE">
        <w:rPr>
          <w:rFonts w:cs="Times New Roman"/>
        </w:rPr>
        <w:t xml:space="preserve"> LFFE, som værende gældend</w:t>
      </w:r>
      <w:r w:rsidR="0040042E">
        <w:rPr>
          <w:rFonts w:cs="Times New Roman"/>
        </w:rPr>
        <w:t xml:space="preserve">e ret. L89 er vedtaget 30. maj </w:t>
      </w:r>
      <w:r w:rsidR="009F04EE">
        <w:rPr>
          <w:rFonts w:cs="Times New Roman"/>
        </w:rPr>
        <w:t>2011, og det vil derfor være mest korrekt at betegne denne, som værende gældende ret</w:t>
      </w:r>
      <w:r w:rsidR="00E25284">
        <w:rPr>
          <w:rFonts w:cs="Times New Roman"/>
        </w:rPr>
        <w:t>, idet denne er den nyeste udgave af Lov om forbrugerbeskyttelse ved erhvervelse af fast ejendom</w:t>
      </w:r>
      <w:r w:rsidR="009F04EE">
        <w:rPr>
          <w:rFonts w:cs="Times New Roman"/>
        </w:rPr>
        <w:t>. Efte</w:t>
      </w:r>
      <w:r w:rsidR="009F04EE">
        <w:rPr>
          <w:rFonts w:cs="Times New Roman"/>
        </w:rPr>
        <w:t>r</w:t>
      </w:r>
      <w:r w:rsidR="009F04EE">
        <w:rPr>
          <w:rFonts w:cs="Times New Roman"/>
        </w:rPr>
        <w:t>som formålet m</w:t>
      </w:r>
      <w:r w:rsidR="0040042E">
        <w:rPr>
          <w:rFonts w:cs="Times New Roman"/>
        </w:rPr>
        <w:t>ed specialet er, at vise hvorledes</w:t>
      </w:r>
      <w:r w:rsidR="009F04EE">
        <w:rPr>
          <w:rFonts w:cs="Times New Roman"/>
        </w:rPr>
        <w:t xml:space="preserve"> praksis har formet sig </w:t>
      </w:r>
      <w:r w:rsidR="00AA76DD">
        <w:rPr>
          <w:rFonts w:cs="Times New Roman"/>
        </w:rPr>
        <w:t>i dag i forhold til</w:t>
      </w:r>
      <w:r w:rsidR="00690BA5">
        <w:rPr>
          <w:rFonts w:cs="Times New Roman"/>
        </w:rPr>
        <w:t>,</w:t>
      </w:r>
      <w:r w:rsidR="00AA76DD">
        <w:rPr>
          <w:rFonts w:cs="Times New Roman"/>
        </w:rPr>
        <w:t xml:space="preserve"> hvordan praksis kommer til at ændre sig, når L89 træder i kraft 1. januar 2012, bliver LFFE i dette speciale betegnet som</w:t>
      </w:r>
      <w:r w:rsidR="00690BA5">
        <w:rPr>
          <w:rFonts w:cs="Times New Roman"/>
        </w:rPr>
        <w:t xml:space="preserve"> værende</w:t>
      </w:r>
      <w:r w:rsidR="00AA76DD">
        <w:rPr>
          <w:rFonts w:cs="Times New Roman"/>
        </w:rPr>
        <w:t xml:space="preserve"> gældende ret.</w:t>
      </w:r>
      <w:r w:rsidR="00E25284">
        <w:rPr>
          <w:rFonts w:cs="Times New Roman"/>
        </w:rPr>
        <w:t xml:space="preserve"> Dette fordi, LFFE stadig er gældende, idet L89 endnu ikke er trådt i kraft for den enkelte borger.</w:t>
      </w:r>
    </w:p>
    <w:p w14:paraId="3D82E89A" w14:textId="77777777" w:rsidR="00A95F4E" w:rsidRDefault="00A95F4E" w:rsidP="001A79AD">
      <w:pPr>
        <w:rPr>
          <w:rFonts w:cs="Times New Roman"/>
        </w:rPr>
      </w:pPr>
    </w:p>
    <w:p w14:paraId="62222E97" w14:textId="61CF69BA" w:rsidR="00A95F4E" w:rsidRDefault="00A95F4E" w:rsidP="001A79AD">
      <w:pPr>
        <w:rPr>
          <w:rFonts w:cs="Times New Roman"/>
        </w:rPr>
      </w:pPr>
      <w:r>
        <w:rPr>
          <w:rFonts w:cs="Times New Roman"/>
        </w:rPr>
        <w:t>Specialet er opbygget med to hoveddele, hvor første del indeholder en beskrivelse af gældende ret i forhold til huseftersynsordningen for, at give e</w:t>
      </w:r>
      <w:r w:rsidR="0040042E">
        <w:rPr>
          <w:rFonts w:cs="Times New Roman"/>
        </w:rPr>
        <w:t>t helhedsbillede af, hvordan der kommes</w:t>
      </w:r>
      <w:r w:rsidR="005E0CDF">
        <w:rPr>
          <w:rFonts w:cs="Times New Roman"/>
        </w:rPr>
        <w:t xml:space="preserve"> frem</w:t>
      </w:r>
      <w:r>
        <w:rPr>
          <w:rFonts w:cs="Times New Roman"/>
        </w:rPr>
        <w:t xml:space="preserve"> til LFFE § 2, stk. 5.</w:t>
      </w:r>
      <w:r w:rsidR="005E0CDF">
        <w:rPr>
          <w:rFonts w:cs="Times New Roman"/>
        </w:rPr>
        <w:t xml:space="preserve"> Første del er </w:t>
      </w:r>
      <w:r w:rsidR="0040042E">
        <w:rPr>
          <w:rFonts w:cs="Times New Roman"/>
        </w:rPr>
        <w:t>opbygget</w:t>
      </w:r>
      <w:r w:rsidR="005E0CDF">
        <w:rPr>
          <w:rFonts w:cs="Times New Roman"/>
        </w:rPr>
        <w:t xml:space="preserve"> således, at anvendelsesområdet for LFFE beskrives, de</w:t>
      </w:r>
      <w:r w:rsidR="005E0CDF">
        <w:rPr>
          <w:rFonts w:cs="Times New Roman"/>
        </w:rPr>
        <w:t>r</w:t>
      </w:r>
      <w:r w:rsidR="005E0CDF">
        <w:rPr>
          <w:rFonts w:cs="Times New Roman"/>
        </w:rPr>
        <w:t xml:space="preserve">næst skildres selve ordningen i LFFE’s kap. 1 for til sidst at fremstille undtagelsen om ulovlige bygningsindretninger i LFFE’s § 2, stk. 5. </w:t>
      </w:r>
      <w:r>
        <w:rPr>
          <w:rFonts w:cs="Times New Roman"/>
        </w:rPr>
        <w:t xml:space="preserve"> Den anden del er</w:t>
      </w:r>
      <w:r w:rsidR="001936CC">
        <w:rPr>
          <w:rFonts w:cs="Times New Roman"/>
        </w:rPr>
        <w:t xml:space="preserve"> en gennemgang af</w:t>
      </w:r>
      <w:r>
        <w:rPr>
          <w:rFonts w:cs="Times New Roman"/>
        </w:rPr>
        <w:t xml:space="preserve"> </w:t>
      </w:r>
      <w:r w:rsidR="00BA3243">
        <w:rPr>
          <w:rFonts w:cs="Times New Roman"/>
        </w:rPr>
        <w:t>undtagelsesb</w:t>
      </w:r>
      <w:r w:rsidR="00BA3243">
        <w:rPr>
          <w:rFonts w:cs="Times New Roman"/>
        </w:rPr>
        <w:t>e</w:t>
      </w:r>
      <w:r w:rsidR="00BA3243">
        <w:rPr>
          <w:rFonts w:cs="Times New Roman"/>
        </w:rPr>
        <w:t xml:space="preserve">stemmelsen i </w:t>
      </w:r>
      <w:r>
        <w:rPr>
          <w:rFonts w:cs="Times New Roman"/>
        </w:rPr>
        <w:t>LFFE § 2, stk. 5 med fokus på ulovlig</w:t>
      </w:r>
      <w:r w:rsidR="001936CC">
        <w:rPr>
          <w:rFonts w:cs="Times New Roman"/>
        </w:rPr>
        <w:t>e elinstallationer, som viser</w:t>
      </w:r>
      <w:r>
        <w:rPr>
          <w:rFonts w:cs="Times New Roman"/>
        </w:rPr>
        <w:t xml:space="preserve"> </w:t>
      </w:r>
      <w:r w:rsidR="00AA76DD">
        <w:rPr>
          <w:rFonts w:cs="Times New Roman"/>
        </w:rPr>
        <w:t>sælger og købers retsstilling</w:t>
      </w:r>
      <w:r>
        <w:rPr>
          <w:rFonts w:cs="Times New Roman"/>
        </w:rPr>
        <w:t xml:space="preserve"> før og efter L89.</w:t>
      </w:r>
      <w:r w:rsidR="00BA3243">
        <w:rPr>
          <w:rFonts w:cs="Times New Roman"/>
        </w:rPr>
        <w:t xml:space="preserve"> Denne del er opbygget således, at kap. 3.0 skildrer undtagelsesbeste</w:t>
      </w:r>
      <w:r w:rsidR="00BA3243">
        <w:rPr>
          <w:rFonts w:cs="Times New Roman"/>
        </w:rPr>
        <w:t>m</w:t>
      </w:r>
      <w:r w:rsidR="00BA3243">
        <w:rPr>
          <w:rFonts w:cs="Times New Roman"/>
        </w:rPr>
        <w:t>melsen med fokus på ulovlige elinstallationer, som den ser ud efter LFFE. Kapitlet er delt op i fire emner, som søger at belyse hvorledes ulovlige elinstallationer skal behandles ud fra teori og ret</w:t>
      </w:r>
      <w:r w:rsidR="00BA3243">
        <w:rPr>
          <w:rFonts w:cs="Times New Roman"/>
        </w:rPr>
        <w:t>s</w:t>
      </w:r>
      <w:r w:rsidR="00BA3243">
        <w:rPr>
          <w:rFonts w:cs="Times New Roman"/>
        </w:rPr>
        <w:t>praksis. Næste kap</w:t>
      </w:r>
      <w:r w:rsidR="0040042E">
        <w:rPr>
          <w:rFonts w:cs="Times New Roman"/>
        </w:rPr>
        <w:t xml:space="preserve">itel i anden </w:t>
      </w:r>
      <w:r w:rsidR="00BA3243">
        <w:rPr>
          <w:rFonts w:cs="Times New Roman"/>
        </w:rPr>
        <w:t>del er kap. 4.0, som fremstiller undtagelsesbestemmelsen ud fra hvo</w:t>
      </w:r>
      <w:r w:rsidR="00BA3243">
        <w:rPr>
          <w:rFonts w:cs="Times New Roman"/>
        </w:rPr>
        <w:t>r</w:t>
      </w:r>
      <w:r w:rsidR="00BA3243">
        <w:rPr>
          <w:rFonts w:cs="Times New Roman"/>
        </w:rPr>
        <w:t>ledes den</w:t>
      </w:r>
      <w:r w:rsidR="0040042E">
        <w:rPr>
          <w:rFonts w:cs="Times New Roman"/>
        </w:rPr>
        <w:t>ne er udformet</w:t>
      </w:r>
      <w:r w:rsidR="00BA3243">
        <w:rPr>
          <w:rFonts w:cs="Times New Roman"/>
        </w:rPr>
        <w:t xml:space="preserve"> efter L89. Efter L89 bliver ulovlige elinstallationer medtaget i beskytte</w:t>
      </w:r>
      <w:r w:rsidR="00BA3243">
        <w:rPr>
          <w:rFonts w:cs="Times New Roman"/>
        </w:rPr>
        <w:t>l</w:t>
      </w:r>
      <w:r w:rsidR="00BA3243">
        <w:rPr>
          <w:rFonts w:cs="Times New Roman"/>
        </w:rPr>
        <w:t>sesordningen, hvorfor sælgerbeskyttelsen er medtaget. Undtagelsesbestemmelsen, hvor ulovlige elinstallationer før var en del af, er medtaget for at give et billede af, hvorledes denne udformer sig efter L89. Derudover findes der et emne om professionsansvar og et emne om ejerskifteforsikringer. Sid</w:t>
      </w:r>
      <w:r w:rsidR="0040042E">
        <w:rPr>
          <w:rFonts w:cs="Times New Roman"/>
        </w:rPr>
        <w:t xml:space="preserve">ste kapitel i anden </w:t>
      </w:r>
      <w:r w:rsidR="00BA3243">
        <w:rPr>
          <w:rFonts w:cs="Times New Roman"/>
        </w:rPr>
        <w:t xml:space="preserve">del er en sammenholdelse af reglerne om ulovlige elinstallationer i LFFE og bestemmelserne </w:t>
      </w:r>
      <w:r w:rsidR="0040042E">
        <w:rPr>
          <w:rFonts w:cs="Times New Roman"/>
        </w:rPr>
        <w:t>herom i L89. Afslutningsvis</w:t>
      </w:r>
      <w:r w:rsidR="00BA3243">
        <w:rPr>
          <w:rFonts w:cs="Times New Roman"/>
        </w:rPr>
        <w:t xml:space="preserve"> findes der</w:t>
      </w:r>
      <w:r w:rsidR="0040042E">
        <w:rPr>
          <w:rFonts w:cs="Times New Roman"/>
        </w:rPr>
        <w:t xml:space="preserve"> et kapitel</w:t>
      </w:r>
      <w:r w:rsidR="00BA3243">
        <w:rPr>
          <w:rFonts w:cs="Times New Roman"/>
        </w:rPr>
        <w:t>, som omhandler specialets ko</w:t>
      </w:r>
      <w:r w:rsidR="00BA3243">
        <w:rPr>
          <w:rFonts w:cs="Times New Roman"/>
        </w:rPr>
        <w:t>n</w:t>
      </w:r>
      <w:r w:rsidR="00BA3243">
        <w:rPr>
          <w:rFonts w:cs="Times New Roman"/>
        </w:rPr>
        <w:t>klusion. Dette kapitel giver e</w:t>
      </w:r>
      <w:r w:rsidR="0040042E">
        <w:rPr>
          <w:rFonts w:cs="Times New Roman"/>
        </w:rPr>
        <w:t xml:space="preserve">t billede af, hvilken </w:t>
      </w:r>
      <w:r w:rsidR="00BA3243">
        <w:rPr>
          <w:rFonts w:cs="Times New Roman"/>
        </w:rPr>
        <w:t xml:space="preserve">betydning </w:t>
      </w:r>
      <w:r w:rsidR="0040042E">
        <w:rPr>
          <w:rFonts w:cs="Times New Roman"/>
        </w:rPr>
        <w:t>L89 får i praksis.</w:t>
      </w:r>
    </w:p>
    <w:p w14:paraId="6BF96FAD" w14:textId="77777777" w:rsidR="004C31BC" w:rsidRDefault="004C31BC" w:rsidP="004C31BC"/>
    <w:p w14:paraId="1C405B40" w14:textId="5A3E421A" w:rsidR="004C31BC" w:rsidRDefault="004C31BC" w:rsidP="004C31BC">
      <w:r>
        <w:t>Til at belyse anvendelsesområdet for elinstallationer anvendes bl.a. afgørelser fra Ankenævnet for forsikring. Ankenævnet for forsikring afsiger kendelser og udtalelser i forbindelse med klager over forsikringsdækning. Idet ejerskifteforsikringen dækker de skjulte faktiske skader, som en bygning</w:t>
      </w:r>
      <w:r>
        <w:t>s</w:t>
      </w:r>
      <w:r>
        <w:t>sagkyndig ikke har kunnet afdække ved sin bygningsgennemgang, er formålet med ejerskifteforsi</w:t>
      </w:r>
      <w:r>
        <w:t>k</w:t>
      </w:r>
      <w:r>
        <w:t>ringen og bygningsgennemgangen</w:t>
      </w:r>
      <w:r w:rsidR="00BA3243">
        <w:t>,</w:t>
      </w:r>
      <w:r>
        <w:t xml:space="preserve"> at de skal supplere hinanden, og derved dække de faktiske mangler, som sælger bliver fritaget at hæfte for. Når formålet med ejerskifteforsikringen er at dæ</w:t>
      </w:r>
      <w:r>
        <w:t>k</w:t>
      </w:r>
      <w:r>
        <w:t xml:space="preserve">ke de faktiske mangler, som sælger får fritagelse at hæfte for, kan ankenævnets udtalelse anvendes </w:t>
      </w:r>
      <w:r w:rsidR="00174C87">
        <w:t>analogt på at fastslå</w:t>
      </w:r>
      <w:r>
        <w:t xml:space="preserve"> de skader, der er omfattet af sælgerbeskyttelsen.</w:t>
      </w:r>
      <w:r w:rsidR="00BA3243">
        <w:t xml:space="preserve"> Der er ligeledes igennem sp</w:t>
      </w:r>
      <w:r w:rsidR="00BA3243">
        <w:t>e</w:t>
      </w:r>
      <w:r w:rsidR="00BA3243">
        <w:t xml:space="preserve">cialet anvendt retspraksis fra både landsretterne og Højesteret. At der anvendes </w:t>
      </w:r>
      <w:r w:rsidR="00D45029">
        <w:t>rets</w:t>
      </w:r>
      <w:r w:rsidR="00BA3243">
        <w:t>praksis af så for</w:t>
      </w:r>
      <w:r w:rsidR="00D45029">
        <w:t>skellig rangering</w:t>
      </w:r>
      <w:r w:rsidR="00BA3243">
        <w:t xml:space="preserve"> begrundes i, at </w:t>
      </w:r>
      <w:r w:rsidR="00D45029">
        <w:t>Højesteret ikke har haft anledning til at tage stilling til alle de spørgsmål, der måtte opstå i forbindelse med fortolkningen af LFFE. For at belyse gældende ret, anses det derfor nødvendigt at medtage retspraksis af forskellige rangering, for at give et billede af, hvorledes ankenævn og</w:t>
      </w:r>
      <w:r w:rsidR="00B8713E">
        <w:t xml:space="preserve"> forskellige</w:t>
      </w:r>
      <w:r w:rsidR="00D45029">
        <w:t xml:space="preserve"> domstole anvender bestemmelserne i LFFE.</w:t>
      </w:r>
    </w:p>
    <w:p w14:paraId="2DEDED24" w14:textId="77777777" w:rsidR="00A95F4E" w:rsidRDefault="00A95F4E" w:rsidP="001A79AD">
      <w:pPr>
        <w:rPr>
          <w:rFonts w:cs="Times New Roman"/>
        </w:rPr>
      </w:pPr>
    </w:p>
    <w:p w14:paraId="1BAF4749" w14:textId="7E05E176" w:rsidR="00A95F4E" w:rsidRDefault="00A95F4E" w:rsidP="001A79AD">
      <w:pPr>
        <w:rPr>
          <w:rFonts w:cs="Times New Roman"/>
        </w:rPr>
      </w:pPr>
      <w:r>
        <w:rPr>
          <w:rFonts w:cs="Times New Roman"/>
        </w:rPr>
        <w:t>Der er undervejs i specialets fodnoter henvist til lit</w:t>
      </w:r>
      <w:r w:rsidR="00B8713E">
        <w:rPr>
          <w:rFonts w:cs="Times New Roman"/>
        </w:rPr>
        <w:t>ter</w:t>
      </w:r>
      <w:r w:rsidR="00174C87">
        <w:rPr>
          <w:rFonts w:cs="Times New Roman"/>
        </w:rPr>
        <w:t xml:space="preserve">atur </w:t>
      </w:r>
      <w:r w:rsidR="00B8713E">
        <w:rPr>
          <w:rFonts w:cs="Times New Roman"/>
        </w:rPr>
        <w:t>og afgørelser. Der kan findes uddybende oplysninger</w:t>
      </w:r>
      <w:r>
        <w:rPr>
          <w:rFonts w:cs="Times New Roman"/>
        </w:rPr>
        <w:t xml:space="preserve"> </w:t>
      </w:r>
      <w:r w:rsidR="001C0B71">
        <w:rPr>
          <w:rFonts w:cs="Times New Roman"/>
        </w:rPr>
        <w:t>her</w:t>
      </w:r>
      <w:r>
        <w:rPr>
          <w:rFonts w:cs="Times New Roman"/>
        </w:rPr>
        <w:t>om bagerst i litteraturlisten.</w:t>
      </w:r>
    </w:p>
    <w:p w14:paraId="6EB875BA" w14:textId="35894A25" w:rsidR="0049281B" w:rsidRDefault="0049281B" w:rsidP="001A79AD">
      <w:pPr>
        <w:pStyle w:val="Overskrift2"/>
      </w:pPr>
      <w:bookmarkStart w:id="5" w:name="_Toc179963408"/>
      <w:r>
        <w:t>1.3 Begreber</w:t>
      </w:r>
      <w:bookmarkEnd w:id="5"/>
    </w:p>
    <w:p w14:paraId="29A7EFD8" w14:textId="44086DA8" w:rsidR="0049281B" w:rsidRDefault="001936CC" w:rsidP="001A79AD">
      <w:r>
        <w:t>Nedenstående</w:t>
      </w:r>
      <w:r w:rsidR="0049281B">
        <w:t xml:space="preserve"> </w:t>
      </w:r>
      <w:r w:rsidR="00ED538C">
        <w:t>fastlægger</w:t>
      </w:r>
      <w:r w:rsidR="0049281B">
        <w:t xml:space="preserve"> begreber, som anvendes i dette </w:t>
      </w:r>
      <w:r>
        <w:t xml:space="preserve">speciale for, </w:t>
      </w:r>
      <w:r w:rsidR="0049281B">
        <w:t>at der ik</w:t>
      </w:r>
      <w:r w:rsidR="00A14EF0">
        <w:t>ke skabes tvivl om begreber, der</w:t>
      </w:r>
      <w:r w:rsidR="0049281B">
        <w:t xml:space="preserve"> har flere betydninger, alt afhængig af, hvilken sammenhæng de anvendes i. Begrebe</w:t>
      </w:r>
      <w:r w:rsidR="0049281B">
        <w:t>r</w:t>
      </w:r>
      <w:r w:rsidR="0049281B">
        <w:t>ne fastlægges ud fra den betydning de har, når de anvendes i forbindelse med LFFE.</w:t>
      </w:r>
    </w:p>
    <w:p w14:paraId="2F6646EE" w14:textId="1DB0BAAC" w:rsidR="0049281B" w:rsidRDefault="0049281B" w:rsidP="001A79AD">
      <w:pPr>
        <w:pStyle w:val="Overskrift3"/>
      </w:pPr>
      <w:bookmarkStart w:id="6" w:name="_Toc179963409"/>
      <w:r>
        <w:t>1.3.1 Fast ejendom</w:t>
      </w:r>
      <w:bookmarkEnd w:id="6"/>
    </w:p>
    <w:p w14:paraId="1FF60D2A" w14:textId="1936F1F8" w:rsidR="0049281B" w:rsidRDefault="0063373B" w:rsidP="001A79AD">
      <w:pPr>
        <w:rPr>
          <w:rFonts w:cs="Times New Roman"/>
        </w:rPr>
      </w:pPr>
      <w:r w:rsidRPr="003D7E0F">
        <w:rPr>
          <w:rFonts w:cs="Times New Roman"/>
        </w:rPr>
        <w:t>LFFE anvender en bred definition af begrebet</w:t>
      </w:r>
      <w:r w:rsidR="00A14EF0">
        <w:rPr>
          <w:rFonts w:cs="Times New Roman"/>
        </w:rPr>
        <w:t xml:space="preserve"> ”fast ejendom”</w:t>
      </w:r>
      <w:r w:rsidRPr="003D7E0F">
        <w:rPr>
          <w:rFonts w:cs="Times New Roman"/>
        </w:rPr>
        <w:t>, idet det tilsigtes</w:t>
      </w:r>
      <w:r>
        <w:rPr>
          <w:rFonts w:cs="Times New Roman"/>
        </w:rPr>
        <w:t>,</w:t>
      </w:r>
      <w:r w:rsidRPr="003D7E0F">
        <w:rPr>
          <w:rFonts w:cs="Times New Roman"/>
        </w:rPr>
        <w:t xml:space="preserve"> at domstolene til enhver tid kan fortolke overdragelsesaftaler som værende omfattet af LFFE’s regler.</w:t>
      </w:r>
      <w:r w:rsidRPr="003D7E0F">
        <w:rPr>
          <w:rStyle w:val="Fodnotehenvisning"/>
          <w:rFonts w:cs="Times New Roman"/>
        </w:rPr>
        <w:footnoteReference w:id="7"/>
      </w:r>
      <w:r w:rsidR="001936CC">
        <w:rPr>
          <w:rFonts w:cs="Times New Roman"/>
        </w:rPr>
        <w:t xml:space="preserve"> Dette kommer</w:t>
      </w:r>
      <w:r w:rsidRPr="003D7E0F">
        <w:rPr>
          <w:rFonts w:cs="Times New Roman"/>
        </w:rPr>
        <w:t xml:space="preserve"> også til udtryk ved at den opregning, der findes i bemærkningerne til lovforslaget og i betænkni</w:t>
      </w:r>
      <w:r w:rsidRPr="003D7E0F">
        <w:rPr>
          <w:rFonts w:cs="Times New Roman"/>
        </w:rPr>
        <w:t>n</w:t>
      </w:r>
      <w:r w:rsidRPr="003D7E0F">
        <w:rPr>
          <w:rFonts w:cs="Times New Roman"/>
        </w:rPr>
        <w:t xml:space="preserve">gen ikke er udtømmende, eftersom der kan opstå andre ejendomsbegreber </w:t>
      </w:r>
      <w:r w:rsidR="00690BA5">
        <w:rPr>
          <w:rFonts w:cs="Times New Roman"/>
        </w:rPr>
        <w:t>med tiden, som lovgiver ikke har været</w:t>
      </w:r>
      <w:r w:rsidRPr="003D7E0F">
        <w:rPr>
          <w:rFonts w:cs="Times New Roman"/>
        </w:rPr>
        <w:t xml:space="preserve"> forb</w:t>
      </w:r>
      <w:r>
        <w:rPr>
          <w:rFonts w:cs="Times New Roman"/>
        </w:rPr>
        <w:t>eredt på ved lovens udarbejdelse</w:t>
      </w:r>
      <w:r w:rsidRPr="003D7E0F">
        <w:rPr>
          <w:rFonts w:cs="Times New Roman"/>
        </w:rPr>
        <w:t>.</w:t>
      </w:r>
      <w:r w:rsidRPr="003D7E0F">
        <w:rPr>
          <w:rStyle w:val="Fodnotehenvisning"/>
          <w:rFonts w:cs="Times New Roman"/>
        </w:rPr>
        <w:footnoteReference w:id="8"/>
      </w:r>
      <w:r w:rsidRPr="003D7E0F">
        <w:rPr>
          <w:rFonts w:cs="Times New Roman"/>
        </w:rPr>
        <w:t xml:space="preserve"> Ejendomsbegrebet beskrives som fx. en b</w:t>
      </w:r>
      <w:r w:rsidRPr="003D7E0F">
        <w:rPr>
          <w:rFonts w:cs="Times New Roman"/>
        </w:rPr>
        <w:t>e</w:t>
      </w:r>
      <w:r w:rsidRPr="003D7E0F">
        <w:rPr>
          <w:rFonts w:cs="Times New Roman"/>
        </w:rPr>
        <w:t>bygget grund, der i matriklen er anført med et eller flere sammenhørende matrikelnumre, eller som værende en del af et matrikelnummer. Derudover kan der være tale om bygninger på lejet grund eller på søterritoriet, samt ejerlejlighe</w:t>
      </w:r>
      <w:r w:rsidR="00D2318A">
        <w:rPr>
          <w:rFonts w:cs="Times New Roman"/>
        </w:rPr>
        <w:t>der med tilhørende fællesareal eller</w:t>
      </w:r>
      <w:r>
        <w:rPr>
          <w:rFonts w:cs="Times New Roman"/>
        </w:rPr>
        <w:t xml:space="preserve"> en ideel anpart af en eje</w:t>
      </w:r>
      <w:r>
        <w:rPr>
          <w:rFonts w:cs="Times New Roman"/>
        </w:rPr>
        <w:t>n</w:t>
      </w:r>
      <w:r>
        <w:rPr>
          <w:rFonts w:cs="Times New Roman"/>
        </w:rPr>
        <w:t>dom.</w:t>
      </w:r>
    </w:p>
    <w:p w14:paraId="6258AE33" w14:textId="7F1FCED0" w:rsidR="00123FF6" w:rsidRDefault="00123FF6" w:rsidP="001A79AD">
      <w:pPr>
        <w:pStyle w:val="Overskrift3"/>
      </w:pPr>
      <w:bookmarkStart w:id="7" w:name="_Toc179963410"/>
      <w:r>
        <w:t>1.3.2 Skade</w:t>
      </w:r>
      <w:bookmarkEnd w:id="7"/>
    </w:p>
    <w:p w14:paraId="051C9429" w14:textId="660B6BC2" w:rsidR="00123FF6" w:rsidRDefault="00123FF6" w:rsidP="001A79AD">
      <w:r>
        <w:t xml:space="preserve">En skade i forbindelse med et huseftersyn </w:t>
      </w:r>
      <w:r w:rsidR="00D2318A">
        <w:t xml:space="preserve">er karakteriseret </w:t>
      </w:r>
      <w:r>
        <w:t>ved at være afhængig af, om bygningens fysiske tilstand er ringere end tilstanden i intakte bygninger af samme alder</w:t>
      </w:r>
      <w:r w:rsidR="00D2318A">
        <w:t xml:space="preserve">, jf. </w:t>
      </w:r>
      <w:r w:rsidR="001C7F06">
        <w:t>Huseftersynsb</w:t>
      </w:r>
      <w:r w:rsidR="001C7F06">
        <w:t>e</w:t>
      </w:r>
      <w:r w:rsidR="001C7F06">
        <w:t>kendtgørelsen (</w:t>
      </w:r>
      <w:r w:rsidR="00D2318A">
        <w:t>HEBK</w:t>
      </w:r>
      <w:r w:rsidR="001C7F06">
        <w:t>)</w:t>
      </w:r>
      <w:r w:rsidR="00D2318A">
        <w:t xml:space="preserve"> § 13, 1. led. V</w:t>
      </w:r>
      <w:r>
        <w:t>urderingen skal</w:t>
      </w:r>
      <w:r w:rsidR="00D2318A">
        <w:t xml:space="preserve"> følgelig</w:t>
      </w:r>
      <w:r>
        <w:t xml:space="preserve"> foretages ud fra de byggeteknik</w:t>
      </w:r>
      <w:r w:rsidR="00D2318A">
        <w:t>k</w:t>
      </w:r>
      <w:r>
        <w:t xml:space="preserve">er, som fandtes på tidspunktet for opførslen af bygningen </w:t>
      </w:r>
      <w:r w:rsidR="00D2318A">
        <w:t>eller de bygningsdele, som er behæftet med</w:t>
      </w:r>
      <w:r w:rsidR="00690BA5">
        <w:t xml:space="preserve"> fejl</w:t>
      </w:r>
      <w:r>
        <w:t>.</w:t>
      </w:r>
      <w:r>
        <w:rPr>
          <w:rStyle w:val="Fodnotehenvisning"/>
        </w:rPr>
        <w:footnoteReference w:id="9"/>
      </w:r>
      <w:r w:rsidR="00D2318A">
        <w:t xml:space="preserve"> Med dette menes</w:t>
      </w:r>
      <w:r>
        <w:t>, at et forhold på en ny bygning, som er en skade efter byggeteknikken på opførslen for denn</w:t>
      </w:r>
      <w:r w:rsidR="00690BA5">
        <w:t>e bygning, ikke behøver at være</w:t>
      </w:r>
      <w:r w:rsidR="00D2318A">
        <w:t xml:space="preserve"> en skade på </w:t>
      </w:r>
      <w:r w:rsidR="004C31BC">
        <w:t>en gammel</w:t>
      </w:r>
      <w:r>
        <w:t xml:space="preserve"> byg</w:t>
      </w:r>
      <w:r w:rsidR="00D2318A">
        <w:t>ning, hvis</w:t>
      </w:r>
      <w:r>
        <w:t xml:space="preserve"> byggete</w:t>
      </w:r>
      <w:r>
        <w:t>k</w:t>
      </w:r>
      <w:r>
        <w:t xml:space="preserve">nikken var anderledes på opførselstidspunktet. Skaden skal indføres i tilstandsrapporten, jf. </w:t>
      </w:r>
      <w:r w:rsidR="001234E6">
        <w:t xml:space="preserve">HEBK </w:t>
      </w:r>
      <w:r>
        <w:t>§18</w:t>
      </w:r>
      <w:r w:rsidR="00690BA5">
        <w:t>.</w:t>
      </w:r>
      <w:r>
        <w:t xml:space="preserve"> At der er en skade på en bygning medføre</w:t>
      </w:r>
      <w:r w:rsidR="001936CC">
        <w:t>r ikke automatisk, at der foreli</w:t>
      </w:r>
      <w:r>
        <w:t>gger en retlig relevant mangel ved ejendommen, som indgår i bedømmelsen af om køber er berettiget til erstatning</w:t>
      </w:r>
      <w:r w:rsidR="00174C87">
        <w:t xml:space="preserve">. </w:t>
      </w:r>
      <w:r>
        <w:t>Dette gælder også den anden vej, at en mangel ikke behøver at være en skade i byggeteknisk forstand. Forskellen på disse begre</w:t>
      </w:r>
      <w:r w:rsidR="00174C87">
        <w:t>ber er, at</w:t>
      </w:r>
      <w:r>
        <w:t xml:space="preserve"> mangelsituationen vurderes ud fra et juridisk perspektiv, hvor en skade er en byggeteknisk vurdering.</w:t>
      </w:r>
      <w:r>
        <w:rPr>
          <w:rStyle w:val="Fodnotehenvisning"/>
        </w:rPr>
        <w:footnoteReference w:id="10"/>
      </w:r>
      <w:r w:rsidR="00690BA5">
        <w:t xml:space="preserve"> Ordene ”skade” og ”fejl” anvendes synony</w:t>
      </w:r>
      <w:r w:rsidR="00AE1A2E">
        <w:t>mt i dette speciale.</w:t>
      </w:r>
    </w:p>
    <w:p w14:paraId="024DFE2C" w14:textId="27CFA687" w:rsidR="00123FF6" w:rsidRDefault="00123FF6" w:rsidP="001A79AD">
      <w:pPr>
        <w:pStyle w:val="Overskrift3"/>
      </w:pPr>
      <w:bookmarkStart w:id="8" w:name="_Toc179963411"/>
      <w:r>
        <w:t>1.3.3 Bygning</w:t>
      </w:r>
      <w:bookmarkEnd w:id="8"/>
    </w:p>
    <w:p w14:paraId="5502AA0D" w14:textId="3A9865EB" w:rsidR="00123FF6" w:rsidRDefault="00123FF6" w:rsidP="001A79AD">
      <w:r>
        <w:t>Begrebet ”byg</w:t>
      </w:r>
      <w:r w:rsidR="009B7A7E">
        <w:t>ning” i HEBK’s</w:t>
      </w:r>
      <w:r>
        <w:t xml:space="preserve"> forstand er beskrevet som værende det samme som en bygning i LFFE’s forstand, som igen er det samme som</w:t>
      </w:r>
      <w:r w:rsidR="009B7A7E">
        <w:t xml:space="preserve"> en bygning i </w:t>
      </w:r>
      <w:r w:rsidR="00A14EF0">
        <w:t>bekendtgørelse om dækningsomfanget ved ejerskifteforsikringer’s (ESBK)</w:t>
      </w:r>
      <w:r>
        <w:t xml:space="preserve"> forstand. </w:t>
      </w:r>
      <w:r w:rsidR="001234E6">
        <w:t>Imidlertid</w:t>
      </w:r>
      <w:r>
        <w:t xml:space="preserve"> er der en mindre afvigelse med hensyn til en bygnings afgrænsning i forhold til omgivelserne, når det gælder de tre områder.</w:t>
      </w:r>
      <w:r>
        <w:rPr>
          <w:rStyle w:val="Fodnotehenvisning"/>
        </w:rPr>
        <w:footnoteReference w:id="11"/>
      </w:r>
      <w:r>
        <w:t xml:space="preserve"> En bygning dækker beboelsesbygninger, samt sekundære bygninger som stalde, udhuse, drivhuse og carporte. </w:t>
      </w:r>
      <w:r w:rsidR="001234E6">
        <w:t>Eftersom</w:t>
      </w:r>
      <w:r>
        <w:t xml:space="preserve"> LFFE § 1, stk. 2 anfører, at kap. 1 ikke omfatter bygninger under opførsel, må det antages, </w:t>
      </w:r>
      <w:r w:rsidR="001234E6">
        <w:t>at de</w:t>
      </w:r>
      <w:r w:rsidR="00AE1A2E">
        <w:t>r skal være tale om færdigbyggede</w:t>
      </w:r>
      <w:r>
        <w:t xml:space="preserve"> </w:t>
      </w:r>
      <w:r w:rsidR="001234E6">
        <w:t>bygninger, også når det gælder HEBK og ESBK.</w:t>
      </w:r>
    </w:p>
    <w:p w14:paraId="64345E76" w14:textId="7407C048" w:rsidR="00123FF6" w:rsidRDefault="00123FF6" w:rsidP="001A79AD">
      <w:pPr>
        <w:pStyle w:val="Overskrift3"/>
      </w:pPr>
      <w:bookmarkStart w:id="9" w:name="_Toc179963412"/>
      <w:r>
        <w:t>1.3.4 Fysisk tilstand</w:t>
      </w:r>
      <w:bookmarkEnd w:id="9"/>
    </w:p>
    <w:p w14:paraId="77DE90B1" w14:textId="7ECFEB07" w:rsidR="00123FF6" w:rsidRDefault="00123FF6" w:rsidP="001A79AD">
      <w:r>
        <w:t>Den f</w:t>
      </w:r>
      <w:r w:rsidR="00730D12">
        <w:t>ysiske tilstand angår</w:t>
      </w:r>
      <w:r>
        <w:t xml:space="preserve"> skader, som har indflydelse på</w:t>
      </w:r>
      <w:r w:rsidR="004C31BC">
        <w:t xml:space="preserve"> en bygningsdel</w:t>
      </w:r>
      <w:r>
        <w:t>s eller</w:t>
      </w:r>
      <w:r w:rsidR="004C31BC">
        <w:t xml:space="preserve"> en</w:t>
      </w:r>
      <w:r>
        <w:t xml:space="preserve"> </w:t>
      </w:r>
      <w:r w:rsidR="004C31BC">
        <w:t>bygning</w:t>
      </w:r>
      <w:r>
        <w:t>s funkt</w:t>
      </w:r>
      <w:r>
        <w:t>i</w:t>
      </w:r>
      <w:r>
        <w:t>on.</w:t>
      </w:r>
      <w:r>
        <w:rPr>
          <w:rStyle w:val="Fodnotehenvisning"/>
        </w:rPr>
        <w:footnoteReference w:id="12"/>
      </w:r>
      <w:r>
        <w:t xml:space="preserve"> Et eksempel her på kan være hul i taget, således at hul</w:t>
      </w:r>
      <w:r w:rsidR="001234E6">
        <w:t>l</w:t>
      </w:r>
      <w:r>
        <w:t>et givet anledning til indtrængning af regnvand. Dette er en fejl, som har indflydelse på bygningsdelens funktion, idet tagets funktion bl.a. er, at være tæt, og dette er ikke tilfældet, når der forefindes et hul.</w:t>
      </w:r>
    </w:p>
    <w:p w14:paraId="3EA443C3" w14:textId="77777777" w:rsidR="005A24CB" w:rsidRDefault="005A24CB" w:rsidP="001A79AD"/>
    <w:p w14:paraId="3EC867E2" w14:textId="169939D9" w:rsidR="005A24CB" w:rsidRDefault="005A24CB" w:rsidP="001A79AD">
      <w:r>
        <w:t>Den fysiske tils</w:t>
      </w:r>
      <w:r w:rsidR="00AE1A2E">
        <w:t>tand</w:t>
      </w:r>
      <w:r>
        <w:t xml:space="preserve"> dækker ikke kun over allerede opstået skader, men ligeledes</w:t>
      </w:r>
      <w:r w:rsidR="00174C87">
        <w:t xml:space="preserve"> fare for at skade vil indtræde</w:t>
      </w:r>
      <w:r>
        <w:t xml:space="preserve"> pga. bygningens fysiske tilstand.</w:t>
      </w:r>
      <w:r w:rsidR="00AE1A2E">
        <w:t xml:space="preserve"> Derudover er den fysiske tilstand det samme som faktiske mangler i den almindelige obligationsret.</w:t>
      </w:r>
      <w:r w:rsidR="00AE1A2E">
        <w:rPr>
          <w:rStyle w:val="Fodnotehenvisning"/>
        </w:rPr>
        <w:footnoteReference w:id="13"/>
      </w:r>
    </w:p>
    <w:p w14:paraId="30BE8747" w14:textId="77777777" w:rsidR="00520D1A" w:rsidRPr="003D7E0F" w:rsidRDefault="00520D1A" w:rsidP="001A79AD">
      <w:pPr>
        <w:pStyle w:val="Overskrift1"/>
        <w:rPr>
          <w:rFonts w:cs="Times New Roman"/>
        </w:rPr>
      </w:pPr>
      <w:r w:rsidRPr="003D7E0F">
        <w:rPr>
          <w:rFonts w:cs="Times New Roman"/>
        </w:rPr>
        <w:br w:type="column"/>
      </w:r>
      <w:bookmarkStart w:id="10" w:name="_Toc179963413"/>
      <w:r w:rsidRPr="003D7E0F">
        <w:rPr>
          <w:rFonts w:cs="Times New Roman"/>
        </w:rPr>
        <w:t>2.0 Huseftersynsordningen</w:t>
      </w:r>
      <w:bookmarkEnd w:id="10"/>
    </w:p>
    <w:p w14:paraId="18587262" w14:textId="16441559" w:rsidR="00520D1A" w:rsidRPr="003D7E0F" w:rsidRDefault="00520D1A" w:rsidP="001A79AD">
      <w:pPr>
        <w:rPr>
          <w:rFonts w:cs="Times New Roman"/>
        </w:rPr>
      </w:pPr>
      <w:r w:rsidRPr="003D7E0F">
        <w:rPr>
          <w:rFonts w:cs="Times New Roman"/>
        </w:rPr>
        <w:t>Hovedformålet med LFFE er</w:t>
      </w:r>
      <w:r w:rsidR="004F7B1D">
        <w:rPr>
          <w:rFonts w:cs="Times New Roman"/>
        </w:rPr>
        <w:t>,</w:t>
      </w:r>
      <w:r w:rsidRPr="003D7E0F">
        <w:rPr>
          <w:rFonts w:cs="Times New Roman"/>
        </w:rPr>
        <w:t xml:space="preserve"> at sikre sælger og køber en rimelig og tidssvarende beskyttelse i fo</w:t>
      </w:r>
      <w:r w:rsidRPr="003D7E0F">
        <w:rPr>
          <w:rFonts w:cs="Times New Roman"/>
        </w:rPr>
        <w:t>r</w:t>
      </w:r>
      <w:r w:rsidRPr="003D7E0F">
        <w:rPr>
          <w:rFonts w:cs="Times New Roman"/>
        </w:rPr>
        <w:t>bindelse med aftaler om erhvervelse af fast ejendom.</w:t>
      </w:r>
      <w:r w:rsidRPr="003D7E0F">
        <w:rPr>
          <w:rStyle w:val="Fodnotehenvisning"/>
          <w:rFonts w:cs="Times New Roman"/>
        </w:rPr>
        <w:footnoteReference w:id="14"/>
      </w:r>
      <w:r w:rsidR="00AE1A2E">
        <w:rPr>
          <w:rFonts w:cs="Times New Roman"/>
        </w:rPr>
        <w:t xml:space="preserve"> Med dette menes</w:t>
      </w:r>
      <w:r w:rsidRPr="003D7E0F">
        <w:rPr>
          <w:rFonts w:cs="Times New Roman"/>
        </w:rPr>
        <w:t xml:space="preserve">, at både køber og sælger er beskyttet af LFFE. Før denne lov </w:t>
      </w:r>
      <w:r w:rsidR="009452AC">
        <w:rPr>
          <w:rFonts w:cs="Times New Roman"/>
        </w:rPr>
        <w:t>og udenfor LFFE</w:t>
      </w:r>
      <w:r w:rsidR="0049281B">
        <w:rPr>
          <w:rFonts w:cs="Times New Roman"/>
        </w:rPr>
        <w:t>’s anvendelsesområde</w:t>
      </w:r>
      <w:r w:rsidR="009452AC">
        <w:rPr>
          <w:rFonts w:cs="Times New Roman"/>
        </w:rPr>
        <w:t xml:space="preserve"> </w:t>
      </w:r>
      <w:r w:rsidRPr="003D7E0F">
        <w:rPr>
          <w:rFonts w:cs="Times New Roman"/>
        </w:rPr>
        <w:t>er det hovedsageligt</w:t>
      </w:r>
      <w:r w:rsidR="0049281B">
        <w:rPr>
          <w:rFonts w:cs="Times New Roman"/>
        </w:rPr>
        <w:t xml:space="preserve"> he</w:t>
      </w:r>
      <w:r w:rsidR="0049281B">
        <w:rPr>
          <w:rFonts w:cs="Times New Roman"/>
        </w:rPr>
        <w:t>n</w:t>
      </w:r>
      <w:r w:rsidR="0049281B">
        <w:rPr>
          <w:rFonts w:cs="Times New Roman"/>
        </w:rPr>
        <w:t>synet til</w:t>
      </w:r>
      <w:r w:rsidRPr="003D7E0F">
        <w:rPr>
          <w:rFonts w:cs="Times New Roman"/>
        </w:rPr>
        <w:t xml:space="preserve"> køber</w:t>
      </w:r>
      <w:r w:rsidR="0049281B">
        <w:rPr>
          <w:rFonts w:cs="Times New Roman"/>
        </w:rPr>
        <w:t>,</w:t>
      </w:r>
      <w:r w:rsidRPr="003D7E0F">
        <w:rPr>
          <w:rFonts w:cs="Times New Roman"/>
        </w:rPr>
        <w:t xml:space="preserve"> der har været beskyttet</w:t>
      </w:r>
      <w:r w:rsidR="0049281B">
        <w:rPr>
          <w:rFonts w:cs="Times New Roman"/>
        </w:rPr>
        <w:t>. Dette</w:t>
      </w:r>
      <w:r w:rsidRPr="003D7E0F">
        <w:rPr>
          <w:rFonts w:cs="Times New Roman"/>
        </w:rPr>
        <w:t xml:space="preserve"> i form af, at det ikke</w:t>
      </w:r>
      <w:r w:rsidR="009452AC">
        <w:rPr>
          <w:rFonts w:cs="Times New Roman"/>
        </w:rPr>
        <w:t xml:space="preserve"> kræver</w:t>
      </w:r>
      <w:r w:rsidRPr="003D7E0F">
        <w:rPr>
          <w:rFonts w:cs="Times New Roman"/>
        </w:rPr>
        <w:t xml:space="preserve"> grov </w:t>
      </w:r>
      <w:r w:rsidR="00ED538C">
        <w:rPr>
          <w:rFonts w:cs="Times New Roman"/>
        </w:rPr>
        <w:t>u</w:t>
      </w:r>
      <w:r w:rsidRPr="003D7E0F">
        <w:rPr>
          <w:rFonts w:cs="Times New Roman"/>
        </w:rPr>
        <w:t xml:space="preserve">agtsomhed eller </w:t>
      </w:r>
      <w:r w:rsidR="009452AC">
        <w:rPr>
          <w:rFonts w:cs="Times New Roman"/>
        </w:rPr>
        <w:t>svig fra sælger</w:t>
      </w:r>
      <w:r w:rsidR="00D460A2">
        <w:rPr>
          <w:rFonts w:cs="Times New Roman"/>
        </w:rPr>
        <w:t>s</w:t>
      </w:r>
      <w:r w:rsidR="00A14EF0">
        <w:rPr>
          <w:rFonts w:cs="Times New Roman"/>
        </w:rPr>
        <w:t xml:space="preserve"> side</w:t>
      </w:r>
      <w:r w:rsidR="00ED538C">
        <w:rPr>
          <w:rFonts w:cs="Times New Roman"/>
        </w:rPr>
        <w:t>, for</w:t>
      </w:r>
      <w:r w:rsidR="009452AC">
        <w:rPr>
          <w:rFonts w:cs="Times New Roman"/>
        </w:rPr>
        <w:t xml:space="preserve"> at køber kan</w:t>
      </w:r>
      <w:r w:rsidRPr="003D7E0F">
        <w:rPr>
          <w:rFonts w:cs="Times New Roman"/>
        </w:rPr>
        <w:t xml:space="preserve"> kræve forholdsmæssigt afslag. Der skal blot være tale om en værdiforringende mangel, som overstiger</w:t>
      </w:r>
      <w:r w:rsidR="004C31BC">
        <w:rPr>
          <w:rFonts w:cs="Times New Roman"/>
        </w:rPr>
        <w:t xml:space="preserve"> den bagatelgrænse</w:t>
      </w:r>
      <w:r w:rsidR="00D460A2">
        <w:rPr>
          <w:rFonts w:cs="Times New Roman"/>
        </w:rPr>
        <w:t>,</w:t>
      </w:r>
      <w:r w:rsidR="00174C87">
        <w:rPr>
          <w:rFonts w:cs="Times New Roman"/>
        </w:rPr>
        <w:t xml:space="preserve"> der</w:t>
      </w:r>
      <w:r w:rsidR="00AE1A2E">
        <w:rPr>
          <w:rFonts w:cs="Times New Roman"/>
        </w:rPr>
        <w:t xml:space="preserve"> er fastsat ud fra retspraksis</w:t>
      </w:r>
      <w:r w:rsidRPr="003D7E0F">
        <w:rPr>
          <w:rFonts w:cs="Times New Roman"/>
        </w:rPr>
        <w:t>. Med LFFE har sælger nu muligh</w:t>
      </w:r>
      <w:r w:rsidR="009452AC">
        <w:rPr>
          <w:rFonts w:cs="Times New Roman"/>
        </w:rPr>
        <w:t>ed for at sikre sig imod</w:t>
      </w:r>
      <w:r w:rsidR="004C31BC">
        <w:rPr>
          <w:rFonts w:cs="Times New Roman"/>
        </w:rPr>
        <w:t xml:space="preserve"> ansvar for</w:t>
      </w:r>
      <w:r w:rsidR="009452AC">
        <w:rPr>
          <w:rFonts w:cs="Times New Roman"/>
        </w:rPr>
        <w:t xml:space="preserve"> faktiske</w:t>
      </w:r>
      <w:r w:rsidR="00D460A2">
        <w:rPr>
          <w:rFonts w:cs="Times New Roman"/>
        </w:rPr>
        <w:t xml:space="preserve"> mangler</w:t>
      </w:r>
      <w:r w:rsidRPr="003D7E0F">
        <w:rPr>
          <w:rFonts w:cs="Times New Roman"/>
        </w:rPr>
        <w:t xml:space="preserve"> samtidig med</w:t>
      </w:r>
      <w:r w:rsidR="00ED538C">
        <w:rPr>
          <w:rFonts w:cs="Times New Roman"/>
        </w:rPr>
        <w:t>,</w:t>
      </w:r>
      <w:r w:rsidRPr="003D7E0F">
        <w:rPr>
          <w:rFonts w:cs="Times New Roman"/>
        </w:rPr>
        <w:t xml:space="preserve"> at køber</w:t>
      </w:r>
      <w:r w:rsidR="00AE1A2E">
        <w:rPr>
          <w:rFonts w:cs="Times New Roman"/>
        </w:rPr>
        <w:t xml:space="preserve"> bliver gjort bekendt m</w:t>
      </w:r>
      <w:r w:rsidR="00AB733F">
        <w:rPr>
          <w:rFonts w:cs="Times New Roman"/>
        </w:rPr>
        <w:t>ed ejendommens nuværende fysiske tilstand,</w:t>
      </w:r>
      <w:r w:rsidR="00AE1A2E">
        <w:rPr>
          <w:rFonts w:cs="Times New Roman"/>
        </w:rPr>
        <w:t xml:space="preserve"> og</w:t>
      </w:r>
      <w:r w:rsidR="004C31BC">
        <w:rPr>
          <w:rFonts w:cs="Times New Roman"/>
        </w:rPr>
        <w:t xml:space="preserve"> køber</w:t>
      </w:r>
      <w:r w:rsidRPr="003D7E0F">
        <w:rPr>
          <w:rFonts w:cs="Times New Roman"/>
        </w:rPr>
        <w:t xml:space="preserve"> kan blive b</w:t>
      </w:r>
      <w:r w:rsidRPr="003D7E0F">
        <w:rPr>
          <w:rFonts w:cs="Times New Roman"/>
        </w:rPr>
        <w:t>e</w:t>
      </w:r>
      <w:r w:rsidRPr="003D7E0F">
        <w:rPr>
          <w:rFonts w:cs="Times New Roman"/>
        </w:rPr>
        <w:t>sky</w:t>
      </w:r>
      <w:r w:rsidR="00AB1090">
        <w:rPr>
          <w:rFonts w:cs="Times New Roman"/>
        </w:rPr>
        <w:t xml:space="preserve">ttet </w:t>
      </w:r>
      <w:r w:rsidR="0049281B">
        <w:rPr>
          <w:rFonts w:cs="Times New Roman"/>
        </w:rPr>
        <w:t xml:space="preserve">mod skjulte faktiske mangler </w:t>
      </w:r>
      <w:r w:rsidR="00AB1090">
        <w:rPr>
          <w:rFonts w:cs="Times New Roman"/>
        </w:rPr>
        <w:t>af en ejerskifteforsik</w:t>
      </w:r>
      <w:r w:rsidR="0049281B">
        <w:rPr>
          <w:rFonts w:cs="Times New Roman"/>
        </w:rPr>
        <w:t>ring.</w:t>
      </w:r>
    </w:p>
    <w:p w14:paraId="1428C6F0" w14:textId="77777777" w:rsidR="00520D1A" w:rsidRPr="003D7E0F" w:rsidRDefault="00520D1A" w:rsidP="001A79AD">
      <w:pPr>
        <w:rPr>
          <w:rFonts w:cs="Times New Roman"/>
        </w:rPr>
      </w:pPr>
    </w:p>
    <w:p w14:paraId="7B64948A" w14:textId="501DC8DA" w:rsidR="00520D1A" w:rsidRPr="003D7E0F" w:rsidRDefault="00931F84" w:rsidP="001A79AD">
      <w:pPr>
        <w:rPr>
          <w:rFonts w:cs="Times New Roman"/>
        </w:rPr>
      </w:pPr>
      <w:r>
        <w:rPr>
          <w:rFonts w:cs="Times New Roman"/>
        </w:rPr>
        <w:t xml:space="preserve">Lovens kap. </w:t>
      </w:r>
      <w:r w:rsidR="00520D1A" w:rsidRPr="003D7E0F">
        <w:rPr>
          <w:rFonts w:cs="Times New Roman"/>
        </w:rPr>
        <w:t>1 om tilstandsrapporter og oplysninger om ejerskifteforsikring er med</w:t>
      </w:r>
      <w:r w:rsidR="0049281B">
        <w:rPr>
          <w:rFonts w:cs="Times New Roman"/>
        </w:rPr>
        <w:t>virkende til at begrænse tvister i forbindelse med</w:t>
      </w:r>
      <w:r w:rsidR="00AB1090">
        <w:rPr>
          <w:rFonts w:cs="Times New Roman"/>
        </w:rPr>
        <w:t xml:space="preserve"> mangler ved fast ejendom</w:t>
      </w:r>
      <w:r w:rsidR="00ED538C">
        <w:rPr>
          <w:rFonts w:cs="Times New Roman"/>
        </w:rPr>
        <w:t>. Ordningen tilskynder sælger</w:t>
      </w:r>
      <w:r w:rsidR="00520D1A" w:rsidRPr="003D7E0F">
        <w:rPr>
          <w:rFonts w:cs="Times New Roman"/>
        </w:rPr>
        <w:t xml:space="preserve"> til at forebygge mangelsproble</w:t>
      </w:r>
      <w:r w:rsidR="00ED538C">
        <w:rPr>
          <w:rFonts w:cs="Times New Roman"/>
        </w:rPr>
        <w:t>mer ved at sørge for, at køber</w:t>
      </w:r>
      <w:r w:rsidR="00520D1A" w:rsidRPr="003D7E0F">
        <w:rPr>
          <w:rFonts w:cs="Times New Roman"/>
        </w:rPr>
        <w:t xml:space="preserve"> modtager en rapport om ejendommen, der indeholder detaljerede oplysninger om ejendommens</w:t>
      </w:r>
      <w:r w:rsidR="004C31BC">
        <w:rPr>
          <w:rFonts w:cs="Times New Roman"/>
        </w:rPr>
        <w:t xml:space="preserve"> nuværende</w:t>
      </w:r>
      <w:r w:rsidR="00520D1A" w:rsidRPr="003D7E0F">
        <w:rPr>
          <w:rFonts w:cs="Times New Roman"/>
        </w:rPr>
        <w:t xml:space="preserve"> fysiske tilstand. Derudover ti</w:t>
      </w:r>
      <w:r w:rsidR="00520D1A" w:rsidRPr="003D7E0F">
        <w:rPr>
          <w:rFonts w:cs="Times New Roman"/>
        </w:rPr>
        <w:t>l</w:t>
      </w:r>
      <w:r w:rsidR="00520D1A" w:rsidRPr="003D7E0F">
        <w:rPr>
          <w:rFonts w:cs="Times New Roman"/>
        </w:rPr>
        <w:t>skynder ordningen til</w:t>
      </w:r>
      <w:r w:rsidR="00AB1090">
        <w:rPr>
          <w:rFonts w:cs="Times New Roman"/>
        </w:rPr>
        <w:t>,</w:t>
      </w:r>
      <w:r w:rsidR="00520D1A" w:rsidRPr="003D7E0F">
        <w:rPr>
          <w:rFonts w:cs="Times New Roman"/>
        </w:rPr>
        <w:t xml:space="preserve"> at køber tegner en ejerskifteforsikring, som sikrer</w:t>
      </w:r>
      <w:r w:rsidR="00AB1090">
        <w:rPr>
          <w:rFonts w:cs="Times New Roman"/>
        </w:rPr>
        <w:t>,</w:t>
      </w:r>
      <w:r w:rsidR="00520D1A" w:rsidRPr="003D7E0F">
        <w:rPr>
          <w:rFonts w:cs="Times New Roman"/>
        </w:rPr>
        <w:t xml:space="preserve"> at der er penge</w:t>
      </w:r>
      <w:r w:rsidR="00D460A2">
        <w:rPr>
          <w:rFonts w:cs="Times New Roman"/>
        </w:rPr>
        <w:t xml:space="preserve"> til at betale eventuelle mangler, som</w:t>
      </w:r>
      <w:r w:rsidR="00520D1A" w:rsidRPr="003D7E0F">
        <w:rPr>
          <w:rFonts w:cs="Times New Roman"/>
        </w:rPr>
        <w:t xml:space="preserve"> den bygningssagkyndige</w:t>
      </w:r>
      <w:r w:rsidR="00D460A2">
        <w:rPr>
          <w:rFonts w:cs="Times New Roman"/>
        </w:rPr>
        <w:t xml:space="preserve"> ikke har afdækket</w:t>
      </w:r>
      <w:r w:rsidR="00520D1A" w:rsidRPr="003D7E0F">
        <w:rPr>
          <w:rFonts w:cs="Times New Roman"/>
        </w:rPr>
        <w:t>, og som derfor ikke er omtalt i tilstandsrapporten.</w:t>
      </w:r>
      <w:r w:rsidR="00520D1A" w:rsidRPr="003D7E0F">
        <w:rPr>
          <w:rStyle w:val="Fodnotehenvisning"/>
          <w:rFonts w:cs="Times New Roman"/>
        </w:rPr>
        <w:footnoteReference w:id="15"/>
      </w:r>
    </w:p>
    <w:p w14:paraId="5CA36A8B" w14:textId="505D5134" w:rsidR="00520D1A" w:rsidRPr="003D7E0F" w:rsidRDefault="001309E8" w:rsidP="001A79AD">
      <w:pPr>
        <w:pStyle w:val="Overskrift2"/>
        <w:rPr>
          <w:rFonts w:cs="Times New Roman"/>
        </w:rPr>
      </w:pPr>
      <w:bookmarkStart w:id="11" w:name="_Toc179963414"/>
      <w:r>
        <w:rPr>
          <w:rFonts w:cs="Times New Roman"/>
        </w:rPr>
        <w:t xml:space="preserve">2.1 </w:t>
      </w:r>
      <w:r w:rsidR="00520D1A" w:rsidRPr="003D7E0F">
        <w:rPr>
          <w:rFonts w:cs="Times New Roman"/>
        </w:rPr>
        <w:t>Anvendelsesområde for LFFE</w:t>
      </w:r>
      <w:r w:rsidR="00A51C1C">
        <w:rPr>
          <w:rFonts w:cs="Times New Roman"/>
        </w:rPr>
        <w:t>’s kap. 1</w:t>
      </w:r>
      <w:bookmarkEnd w:id="11"/>
    </w:p>
    <w:p w14:paraId="043B2C71" w14:textId="3AE9B900" w:rsidR="00520D1A" w:rsidRPr="003D7E0F" w:rsidRDefault="00891030" w:rsidP="001A79AD">
      <w:pPr>
        <w:rPr>
          <w:rFonts w:cs="Times New Roman"/>
        </w:rPr>
      </w:pPr>
      <w:r>
        <w:rPr>
          <w:rFonts w:cs="Times New Roman"/>
        </w:rPr>
        <w:t>LFFE § 1, stk. 1 fastlæ</w:t>
      </w:r>
      <w:r w:rsidR="00520D1A" w:rsidRPr="003D7E0F">
        <w:rPr>
          <w:rFonts w:cs="Times New Roman"/>
        </w:rPr>
        <w:t>gger anvendelsesområdet for loven</w:t>
      </w:r>
      <w:r w:rsidR="00AB1090">
        <w:rPr>
          <w:rFonts w:cs="Times New Roman"/>
        </w:rPr>
        <w:t>s kap. 1</w:t>
      </w:r>
      <w:r w:rsidR="00520D1A" w:rsidRPr="003D7E0F">
        <w:rPr>
          <w:rFonts w:cs="Times New Roman"/>
        </w:rPr>
        <w:t>. Denne bestemmelse anfører, at kapitlet om tilstandsrapporter og oplysninger om ejerskifteforsikring gælder for aftaler om køb af fast ejendom, når ejendommen hovedsagelig</w:t>
      </w:r>
      <w:r w:rsidR="00ED538C">
        <w:rPr>
          <w:rFonts w:cs="Times New Roman"/>
        </w:rPr>
        <w:t>t</w:t>
      </w:r>
      <w:r w:rsidR="00520D1A" w:rsidRPr="003D7E0F">
        <w:rPr>
          <w:rFonts w:cs="Times New Roman"/>
        </w:rPr>
        <w:t xml:space="preserve"> a</w:t>
      </w:r>
      <w:r w:rsidR="00ED538C">
        <w:rPr>
          <w:rFonts w:cs="Times New Roman"/>
        </w:rPr>
        <w:t>nvendes til beboelse for sælger</w:t>
      </w:r>
      <w:r w:rsidR="00520D1A" w:rsidRPr="003D7E0F">
        <w:rPr>
          <w:rFonts w:cs="Times New Roman"/>
        </w:rPr>
        <w:t xml:space="preserve"> eller hovedsagelig er </w:t>
      </w:r>
      <w:r w:rsidR="00ED538C">
        <w:rPr>
          <w:rFonts w:cs="Times New Roman"/>
        </w:rPr>
        <w:t>bestemt til beboelse for køber</w:t>
      </w:r>
      <w:r w:rsidR="00520D1A" w:rsidRPr="003D7E0F">
        <w:rPr>
          <w:rFonts w:cs="Times New Roman"/>
        </w:rPr>
        <w:t>. Dette bety</w:t>
      </w:r>
      <w:r w:rsidR="00AB1090">
        <w:rPr>
          <w:rFonts w:cs="Times New Roman"/>
        </w:rPr>
        <w:t>der, at der skal være tale om,</w:t>
      </w:r>
      <w:r w:rsidR="00520D1A" w:rsidRPr="003D7E0F">
        <w:rPr>
          <w:rFonts w:cs="Times New Roman"/>
        </w:rPr>
        <w:t xml:space="preserve"> at minimum den ene part </w:t>
      </w:r>
      <w:r w:rsidR="00931F84">
        <w:rPr>
          <w:rFonts w:cs="Times New Roman"/>
        </w:rPr>
        <w:t>handler udenfor sit erhverv, således</w:t>
      </w:r>
      <w:r w:rsidR="00ED538C">
        <w:rPr>
          <w:rFonts w:cs="Times New Roman"/>
        </w:rPr>
        <w:t xml:space="preserve"> som privat. Køber</w:t>
      </w:r>
      <w:r w:rsidR="00AB1090">
        <w:rPr>
          <w:rFonts w:cs="Times New Roman"/>
        </w:rPr>
        <w:t xml:space="preserve"> kan derfor</w:t>
      </w:r>
      <w:r w:rsidR="00520D1A" w:rsidRPr="003D7E0F">
        <w:rPr>
          <w:rFonts w:cs="Times New Roman"/>
        </w:rPr>
        <w:t xml:space="preserve"> være</w:t>
      </w:r>
      <w:r w:rsidR="004C31BC">
        <w:rPr>
          <w:rFonts w:cs="Times New Roman"/>
        </w:rPr>
        <w:t xml:space="preserve"> erhvervsdrivende, hvis blot der er tale om</w:t>
      </w:r>
      <w:r w:rsidR="00174C87">
        <w:rPr>
          <w:rFonts w:cs="Times New Roman"/>
        </w:rPr>
        <w:t xml:space="preserve"> salg til en privat, der</w:t>
      </w:r>
      <w:r w:rsidR="00520D1A" w:rsidRPr="003D7E0F">
        <w:rPr>
          <w:rFonts w:cs="Times New Roman"/>
        </w:rPr>
        <w:t xml:space="preserve"> har i sinde at anvende ejendommen til beboelse til sig selv.</w:t>
      </w:r>
      <w:r w:rsidR="00E01B57" w:rsidRPr="003D7E0F">
        <w:rPr>
          <w:rFonts w:cs="Times New Roman"/>
        </w:rPr>
        <w:t xml:space="preserve"> </w:t>
      </w:r>
      <w:r w:rsidR="00520D1A" w:rsidRPr="003D7E0F">
        <w:rPr>
          <w:rFonts w:cs="Times New Roman"/>
        </w:rPr>
        <w:t>L</w:t>
      </w:r>
      <w:r w:rsidR="00520D1A" w:rsidRPr="003D7E0F">
        <w:rPr>
          <w:rFonts w:cs="Times New Roman"/>
        </w:rPr>
        <w:t>i</w:t>
      </w:r>
      <w:r w:rsidR="00520D1A" w:rsidRPr="003D7E0F">
        <w:rPr>
          <w:rFonts w:cs="Times New Roman"/>
        </w:rPr>
        <w:t>geledes kan situationen vendes om, sålede</w:t>
      </w:r>
      <w:r w:rsidR="004C31BC">
        <w:rPr>
          <w:rFonts w:cs="Times New Roman"/>
        </w:rPr>
        <w:t>s at sælger, som selv har beboet</w:t>
      </w:r>
      <w:r w:rsidR="00520D1A" w:rsidRPr="003D7E0F">
        <w:rPr>
          <w:rFonts w:cs="Times New Roman"/>
        </w:rPr>
        <w:t xml:space="preserve"> ejendommen inden sa</w:t>
      </w:r>
      <w:r w:rsidR="00520D1A" w:rsidRPr="003D7E0F">
        <w:rPr>
          <w:rFonts w:cs="Times New Roman"/>
        </w:rPr>
        <w:t>l</w:t>
      </w:r>
      <w:r w:rsidR="00520D1A" w:rsidRPr="003D7E0F">
        <w:rPr>
          <w:rFonts w:cs="Times New Roman"/>
        </w:rPr>
        <w:t>get, sælger t</w:t>
      </w:r>
      <w:r w:rsidR="00AB1090">
        <w:rPr>
          <w:rFonts w:cs="Times New Roman"/>
        </w:rPr>
        <w:t>il en erhvervsdrivende, som</w:t>
      </w:r>
      <w:r w:rsidR="00520D1A" w:rsidRPr="003D7E0F">
        <w:rPr>
          <w:rFonts w:cs="Times New Roman"/>
        </w:rPr>
        <w:t xml:space="preserve"> ønsker at anvende ejendom</w:t>
      </w:r>
      <w:r w:rsidR="00AB1090">
        <w:rPr>
          <w:rFonts w:cs="Times New Roman"/>
        </w:rPr>
        <w:t xml:space="preserve">men til </w:t>
      </w:r>
      <w:r w:rsidR="00520D1A" w:rsidRPr="003D7E0F">
        <w:rPr>
          <w:rFonts w:cs="Times New Roman"/>
        </w:rPr>
        <w:t>sin virksomhed. Til sidst er der den situation, hvor to priva</w:t>
      </w:r>
      <w:r w:rsidR="00ED538C">
        <w:rPr>
          <w:rFonts w:cs="Times New Roman"/>
        </w:rPr>
        <w:t>te indgår en aftale om køb af fast</w:t>
      </w:r>
      <w:r w:rsidR="00520D1A" w:rsidRPr="003D7E0F">
        <w:rPr>
          <w:rFonts w:cs="Times New Roman"/>
        </w:rPr>
        <w:t xml:space="preserve"> ejendom, altså hvor både køber og sælger er </w:t>
      </w:r>
      <w:r w:rsidR="00266ADC">
        <w:rPr>
          <w:rFonts w:cs="Times New Roman"/>
        </w:rPr>
        <w:t>private. A</w:t>
      </w:r>
      <w:r w:rsidR="00520D1A" w:rsidRPr="003D7E0F">
        <w:rPr>
          <w:rFonts w:cs="Times New Roman"/>
        </w:rPr>
        <w:t>nvendelsesområdet har</w:t>
      </w:r>
      <w:r w:rsidR="00266ADC">
        <w:rPr>
          <w:rFonts w:cs="Times New Roman"/>
        </w:rPr>
        <w:t xml:space="preserve"> derfor</w:t>
      </w:r>
      <w:r w:rsidR="00520D1A" w:rsidRPr="003D7E0F">
        <w:rPr>
          <w:rFonts w:cs="Times New Roman"/>
        </w:rPr>
        <w:t xml:space="preserve"> tre forskellige grene. </w:t>
      </w:r>
    </w:p>
    <w:p w14:paraId="6D24ABA3" w14:textId="77777777" w:rsidR="00520D1A" w:rsidRPr="003D7E0F" w:rsidRDefault="00520D1A" w:rsidP="001A79AD">
      <w:pPr>
        <w:rPr>
          <w:rFonts w:cs="Times New Roman"/>
        </w:rPr>
      </w:pPr>
    </w:p>
    <w:p w14:paraId="52307F97" w14:textId="3CFC0AD2" w:rsidR="00520D1A" w:rsidRPr="003D7E0F" w:rsidRDefault="00520D1A" w:rsidP="001A79AD">
      <w:pPr>
        <w:rPr>
          <w:rFonts w:cs="Times New Roman"/>
        </w:rPr>
      </w:pPr>
      <w:r w:rsidRPr="003D7E0F">
        <w:rPr>
          <w:rFonts w:cs="Times New Roman"/>
        </w:rPr>
        <w:t>LFFE § 1, stk</w:t>
      </w:r>
      <w:r w:rsidR="00D460A2">
        <w:rPr>
          <w:rFonts w:cs="Times New Roman"/>
        </w:rPr>
        <w:t>. 2 fastsætter undtagelserne til hovedreg</w:t>
      </w:r>
      <w:r w:rsidRPr="003D7E0F">
        <w:rPr>
          <w:rFonts w:cs="Times New Roman"/>
        </w:rPr>
        <w:t>len</w:t>
      </w:r>
      <w:r w:rsidR="00F66A40">
        <w:rPr>
          <w:rFonts w:cs="Times New Roman"/>
        </w:rPr>
        <w:t xml:space="preserve"> for anvendelsesområdet</w:t>
      </w:r>
      <w:r w:rsidRPr="003D7E0F">
        <w:rPr>
          <w:rFonts w:cs="Times New Roman"/>
        </w:rPr>
        <w:t>. Denne beste</w:t>
      </w:r>
      <w:r w:rsidRPr="003D7E0F">
        <w:rPr>
          <w:rFonts w:cs="Times New Roman"/>
        </w:rPr>
        <w:t>m</w:t>
      </w:r>
      <w:r w:rsidRPr="003D7E0F">
        <w:rPr>
          <w:rFonts w:cs="Times New Roman"/>
        </w:rPr>
        <w:t>melse anfører, at aftaler om køb af ubebyggede grunde eller grunde med bygninger under opførsel ikke er omfattet af kapitlet om tilstandsrapporter og ejerskifteforsikringer.</w:t>
      </w:r>
      <w:r w:rsidR="0063373B">
        <w:rPr>
          <w:rFonts w:cs="Times New Roman"/>
        </w:rPr>
        <w:t xml:space="preserve"> Hvis der fx. er tale om en ejendom</w:t>
      </w:r>
      <w:r w:rsidR="00C94F91">
        <w:rPr>
          <w:rFonts w:cs="Times New Roman"/>
        </w:rPr>
        <w:t>, hvor der er en bygning, som anvendes til beboelse, og en tilbygning, der er under opfø</w:t>
      </w:r>
      <w:r w:rsidR="00C94F91">
        <w:rPr>
          <w:rFonts w:cs="Times New Roman"/>
        </w:rPr>
        <w:t>r</w:t>
      </w:r>
      <w:r w:rsidR="00C94F91">
        <w:rPr>
          <w:rFonts w:cs="Times New Roman"/>
        </w:rPr>
        <w:t>sel, vil det kun være den færdigbyggede beboelsesejendom, som kan bringes ind under LFFE’s a</w:t>
      </w:r>
      <w:r w:rsidR="00C94F91">
        <w:rPr>
          <w:rFonts w:cs="Times New Roman"/>
        </w:rPr>
        <w:t>n</w:t>
      </w:r>
      <w:r w:rsidR="00C94F91">
        <w:rPr>
          <w:rFonts w:cs="Times New Roman"/>
        </w:rPr>
        <w:t>vendelsesområde.</w:t>
      </w:r>
      <w:r w:rsidRPr="003D7E0F">
        <w:rPr>
          <w:rFonts w:cs="Times New Roman"/>
        </w:rPr>
        <w:t xml:space="preserve"> En a</w:t>
      </w:r>
      <w:r w:rsidR="00CA2BA8">
        <w:rPr>
          <w:rFonts w:cs="Times New Roman"/>
        </w:rPr>
        <w:t>nden undtagelse til hovedreglen</w:t>
      </w:r>
      <w:r w:rsidRPr="003D7E0F">
        <w:rPr>
          <w:rFonts w:cs="Times New Roman"/>
        </w:rPr>
        <w:t xml:space="preserve"> om</w:t>
      </w:r>
      <w:r w:rsidR="00CA2BA8">
        <w:rPr>
          <w:rFonts w:cs="Times New Roman"/>
        </w:rPr>
        <w:t>,</w:t>
      </w:r>
      <w:r w:rsidRPr="003D7E0F">
        <w:rPr>
          <w:rFonts w:cs="Times New Roman"/>
        </w:rPr>
        <w:t xml:space="preserve"> at der skal være</w:t>
      </w:r>
      <w:r w:rsidR="00ED538C">
        <w:rPr>
          <w:rFonts w:cs="Times New Roman"/>
        </w:rPr>
        <w:t xml:space="preserve"> tale om køb af </w:t>
      </w:r>
      <w:r w:rsidR="00CA2BA8">
        <w:rPr>
          <w:rFonts w:cs="Times New Roman"/>
        </w:rPr>
        <w:t>fast ejendom</w:t>
      </w:r>
      <w:r w:rsidRPr="003D7E0F">
        <w:rPr>
          <w:rFonts w:cs="Times New Roman"/>
        </w:rPr>
        <w:t xml:space="preserve"> er</w:t>
      </w:r>
      <w:r w:rsidR="00CA2BA8">
        <w:rPr>
          <w:rFonts w:cs="Times New Roman"/>
        </w:rPr>
        <w:t>,</w:t>
      </w:r>
      <w:r w:rsidRPr="003D7E0F">
        <w:rPr>
          <w:rFonts w:cs="Times New Roman"/>
        </w:rPr>
        <w:t xml:space="preserve"> at der ikke må være tale om en landejendom, der er unde</w:t>
      </w:r>
      <w:r w:rsidR="00CA2BA8">
        <w:rPr>
          <w:rFonts w:cs="Times New Roman"/>
        </w:rPr>
        <w:t>rgivet landbrugspligt. Ved</w:t>
      </w:r>
      <w:r w:rsidRPr="003D7E0F">
        <w:rPr>
          <w:rFonts w:cs="Times New Roman"/>
        </w:rPr>
        <w:t xml:space="preserve"> afg</w:t>
      </w:r>
      <w:r w:rsidR="004C31BC">
        <w:rPr>
          <w:rFonts w:cs="Times New Roman"/>
        </w:rPr>
        <w:t>ørelse af dette, bliver der i B</w:t>
      </w:r>
      <w:r w:rsidR="00CA2BA8">
        <w:rPr>
          <w:rFonts w:cs="Times New Roman"/>
        </w:rPr>
        <w:t>e</w:t>
      </w:r>
      <w:r w:rsidR="00C94F91">
        <w:rPr>
          <w:rFonts w:cs="Times New Roman"/>
        </w:rPr>
        <w:t>t.</w:t>
      </w:r>
      <w:r w:rsidR="00CA2BA8">
        <w:rPr>
          <w:rFonts w:cs="Times New Roman"/>
        </w:rPr>
        <w:t xml:space="preserve"> nr. 1276/1994</w:t>
      </w:r>
      <w:r w:rsidRPr="003D7E0F">
        <w:rPr>
          <w:rFonts w:cs="Times New Roman"/>
        </w:rPr>
        <w:t xml:space="preserve"> lagt vægt på, om landejendommen fremtræder som erhvervsmæssig.</w:t>
      </w:r>
      <w:r w:rsidRPr="003D7E0F">
        <w:rPr>
          <w:rStyle w:val="Fodnotehenvisning"/>
          <w:rFonts w:cs="Times New Roman"/>
        </w:rPr>
        <w:footnoteReference w:id="16"/>
      </w:r>
      <w:r w:rsidR="00CA2BA8">
        <w:rPr>
          <w:rFonts w:cs="Times New Roman"/>
        </w:rPr>
        <w:t xml:space="preserve"> I</w:t>
      </w:r>
      <w:r w:rsidRPr="003D7E0F">
        <w:rPr>
          <w:rFonts w:cs="Times New Roman"/>
        </w:rPr>
        <w:t xml:space="preserve"> lovændringen</w:t>
      </w:r>
      <w:r w:rsidR="004C31BC">
        <w:rPr>
          <w:rFonts w:cs="Times New Roman"/>
        </w:rPr>
        <w:t xml:space="preserve"> i 2000 er indsat bestemmelsen</w:t>
      </w:r>
      <w:r w:rsidR="00A238F9">
        <w:rPr>
          <w:rFonts w:cs="Times New Roman"/>
        </w:rPr>
        <w:t xml:space="preserve"> § 1, stk. 2, 2. pkt.</w:t>
      </w:r>
      <w:r w:rsidR="00AB733F">
        <w:rPr>
          <w:rFonts w:cs="Times New Roman"/>
        </w:rPr>
        <w:t xml:space="preserve"> som anf</w:t>
      </w:r>
      <w:r w:rsidR="00AB733F">
        <w:rPr>
          <w:rFonts w:cs="Times New Roman"/>
        </w:rPr>
        <w:t>ø</w:t>
      </w:r>
      <w:r w:rsidR="00AB733F">
        <w:rPr>
          <w:rFonts w:cs="Times New Roman"/>
        </w:rPr>
        <w:t>rer,</w:t>
      </w:r>
      <w:r w:rsidRPr="003D7E0F">
        <w:rPr>
          <w:rFonts w:cs="Times New Roman"/>
        </w:rPr>
        <w:t xml:space="preserve"> at hvis købsaftalen er betinget af, at landbrugspligten ophæves, er landbrugsejendommen all</w:t>
      </w:r>
      <w:r w:rsidRPr="003D7E0F">
        <w:rPr>
          <w:rFonts w:cs="Times New Roman"/>
        </w:rPr>
        <w:t>i</w:t>
      </w:r>
      <w:r w:rsidRPr="003D7E0F">
        <w:rPr>
          <w:rFonts w:cs="Times New Roman"/>
        </w:rPr>
        <w:t>gevel omfattet af kapi</w:t>
      </w:r>
      <w:r w:rsidR="00C94F91">
        <w:rPr>
          <w:rFonts w:cs="Times New Roman"/>
        </w:rPr>
        <w:t>tel 1 i LFFE. Dette gør</w:t>
      </w:r>
      <w:r w:rsidR="00174C87">
        <w:rPr>
          <w:rFonts w:cs="Times New Roman"/>
        </w:rPr>
        <w:t>, at såfremt</w:t>
      </w:r>
      <w:r w:rsidRPr="003D7E0F">
        <w:rPr>
          <w:rFonts w:cs="Times New Roman"/>
        </w:rPr>
        <w:t xml:space="preserve"> ejendommen fremtræder som en lan</w:t>
      </w:r>
      <w:r w:rsidRPr="003D7E0F">
        <w:rPr>
          <w:rFonts w:cs="Times New Roman"/>
        </w:rPr>
        <w:t>d</w:t>
      </w:r>
      <w:r w:rsidRPr="003D7E0F">
        <w:rPr>
          <w:rFonts w:cs="Times New Roman"/>
        </w:rPr>
        <w:t>brugsejendom, men der ikke er tilknyttet land</w:t>
      </w:r>
      <w:r w:rsidR="00AB733F">
        <w:rPr>
          <w:rFonts w:cs="Times New Roman"/>
        </w:rPr>
        <w:t>brugspligt</w:t>
      </w:r>
      <w:r w:rsidR="00CA2BA8">
        <w:rPr>
          <w:rFonts w:cs="Times New Roman"/>
        </w:rPr>
        <w:t>, er den</w:t>
      </w:r>
      <w:r w:rsidRPr="003D7E0F">
        <w:rPr>
          <w:rFonts w:cs="Times New Roman"/>
        </w:rPr>
        <w:t xml:space="preserve"> omfattet af LFFE.</w:t>
      </w:r>
    </w:p>
    <w:p w14:paraId="299BAF61" w14:textId="77777777" w:rsidR="00520D1A" w:rsidRPr="003D7E0F" w:rsidRDefault="00520D1A" w:rsidP="001A79AD">
      <w:pPr>
        <w:rPr>
          <w:rFonts w:cs="Times New Roman"/>
        </w:rPr>
      </w:pPr>
    </w:p>
    <w:p w14:paraId="54A3E8D0" w14:textId="7C9A644B" w:rsidR="00520D1A" w:rsidRDefault="0063373B" w:rsidP="001A79AD">
      <w:pPr>
        <w:rPr>
          <w:rFonts w:cs="Times New Roman"/>
        </w:rPr>
      </w:pPr>
      <w:r>
        <w:rPr>
          <w:rFonts w:cs="Times New Roman"/>
        </w:rPr>
        <w:t>Der skal følgelig</w:t>
      </w:r>
      <w:r w:rsidR="00520D1A" w:rsidRPr="003D7E0F">
        <w:rPr>
          <w:rFonts w:cs="Times New Roman"/>
        </w:rPr>
        <w:t xml:space="preserve"> være tale om køb af en bygning, som har til formål at blive anvendt som beboelse for enten køber eller sælger for, at reglerne i</w:t>
      </w:r>
      <w:r w:rsidR="00931F84">
        <w:rPr>
          <w:rFonts w:cs="Times New Roman"/>
        </w:rPr>
        <w:t xml:space="preserve"> LFFE’s kap.</w:t>
      </w:r>
      <w:r w:rsidR="00520D1A" w:rsidRPr="003D7E0F">
        <w:rPr>
          <w:rFonts w:cs="Times New Roman"/>
        </w:rPr>
        <w:t xml:space="preserve"> 1 finder anvendelse.</w:t>
      </w:r>
      <w:r w:rsidRPr="0063373B">
        <w:rPr>
          <w:rFonts w:cs="Times New Roman"/>
        </w:rPr>
        <w:t xml:space="preserve"> </w:t>
      </w:r>
      <w:r>
        <w:rPr>
          <w:rFonts w:cs="Times New Roman"/>
        </w:rPr>
        <w:t xml:space="preserve">Derudover </w:t>
      </w:r>
      <w:r w:rsidRPr="003D7E0F">
        <w:rPr>
          <w:rFonts w:cs="Times New Roman"/>
        </w:rPr>
        <w:t xml:space="preserve">skal der være tale om en </w:t>
      </w:r>
      <w:r>
        <w:rPr>
          <w:rFonts w:cs="Times New Roman"/>
        </w:rPr>
        <w:t>færdigbygget bygning</w:t>
      </w:r>
      <w:r w:rsidRPr="003D7E0F">
        <w:rPr>
          <w:rFonts w:cs="Times New Roman"/>
        </w:rPr>
        <w:t xml:space="preserve">, der er bygget </w:t>
      </w:r>
      <w:r>
        <w:rPr>
          <w:rFonts w:cs="Times New Roman"/>
        </w:rPr>
        <w:t>enten på ejet eller lejet grund.</w:t>
      </w:r>
      <w:r>
        <w:rPr>
          <w:rStyle w:val="Fodnotehenvisning"/>
          <w:rFonts w:cs="Times New Roman"/>
        </w:rPr>
        <w:footnoteReference w:id="17"/>
      </w:r>
      <w:r>
        <w:rPr>
          <w:rFonts w:cs="Times New Roman"/>
        </w:rPr>
        <w:t xml:space="preserve"> </w:t>
      </w:r>
    </w:p>
    <w:p w14:paraId="2EC05FB4" w14:textId="27011C26" w:rsidR="009A61F8" w:rsidRDefault="001309E8" w:rsidP="001A79AD">
      <w:pPr>
        <w:pStyle w:val="Overskrift2"/>
        <w:rPr>
          <w:rFonts w:cs="Times New Roman"/>
        </w:rPr>
      </w:pPr>
      <w:bookmarkStart w:id="12" w:name="_Toc179963415"/>
      <w:r>
        <w:rPr>
          <w:rFonts w:cs="Times New Roman"/>
        </w:rPr>
        <w:t xml:space="preserve">2.2 </w:t>
      </w:r>
      <w:r w:rsidR="009A61F8">
        <w:rPr>
          <w:rFonts w:cs="Times New Roman"/>
        </w:rPr>
        <w:t>Sælgerbeskyttelsens udstrækning</w:t>
      </w:r>
      <w:bookmarkEnd w:id="12"/>
    </w:p>
    <w:p w14:paraId="0868E10B" w14:textId="66BFF720" w:rsidR="004D69D5" w:rsidRDefault="004D69D5" w:rsidP="001A79AD">
      <w:r>
        <w:t>Dette afsnit indeholder</w:t>
      </w:r>
      <w:r w:rsidR="00D460A2">
        <w:t xml:space="preserve"> en gennemgang af</w:t>
      </w:r>
      <w:r w:rsidR="00ED538C">
        <w:t xml:space="preserve"> den beskyttelse, som sælger opnår, hvis denne</w:t>
      </w:r>
      <w:r>
        <w:t xml:space="preserve"> opfylder lovens krav. Derudover bliver den bygningssagkyndiges ansvar kort gennemgået.</w:t>
      </w:r>
    </w:p>
    <w:p w14:paraId="7AE97021" w14:textId="77777777" w:rsidR="004D69D5" w:rsidRPr="004D69D5" w:rsidRDefault="004D69D5" w:rsidP="001A79AD"/>
    <w:p w14:paraId="669988D6" w14:textId="6BACD7BC" w:rsidR="004D69D5" w:rsidRDefault="00652BAC" w:rsidP="001A79AD">
      <w:r>
        <w:t>Ifølge LFFE § 2, stk. 1 kan sælger</w:t>
      </w:r>
      <w:r w:rsidR="002776F3">
        <w:t xml:space="preserve"> blive</w:t>
      </w:r>
      <w:r>
        <w:t xml:space="preserve"> fritage</w:t>
      </w:r>
      <w:r w:rsidR="002776F3">
        <w:t>t</w:t>
      </w:r>
      <w:r>
        <w:t xml:space="preserve"> for mangelsansvar, såfremt denne opfylder nogle nærmere fastsatte krav</w:t>
      </w:r>
      <w:r w:rsidR="00AB733F">
        <w:t>.</w:t>
      </w:r>
      <w:r w:rsidR="00AB733F">
        <w:rPr>
          <w:rStyle w:val="Fodnotehenvisning"/>
        </w:rPr>
        <w:footnoteReference w:id="18"/>
      </w:r>
      <w:r w:rsidR="00ED538C">
        <w:t xml:space="preserve"> Dette betyder</w:t>
      </w:r>
      <w:r>
        <w:t>, at sælger kan vælge</w:t>
      </w:r>
      <w:r w:rsidR="00AB733F">
        <w:t>,</w:t>
      </w:r>
      <w:r>
        <w:t xml:space="preserve"> hvilken risiko denne vil løbe i forbi</w:t>
      </w:r>
      <w:r>
        <w:t>n</w:t>
      </w:r>
      <w:r>
        <w:t xml:space="preserve">delse med salg af en ejendom. Bestemmelsen er </w:t>
      </w:r>
      <w:r w:rsidR="00C70309">
        <w:t>udformet således, at sælger</w:t>
      </w:r>
      <w:r>
        <w:t xml:space="preserve"> kan bestemme om de</w:t>
      </w:r>
      <w:r>
        <w:t>n</w:t>
      </w:r>
      <w:r>
        <w:t>ne vil bære risikoen selv</w:t>
      </w:r>
      <w:r w:rsidR="00C70309">
        <w:t>, eller blive fritaget for</w:t>
      </w:r>
      <w:r>
        <w:t xml:space="preserve"> risiko ve</w:t>
      </w:r>
      <w:r w:rsidR="00C70309">
        <w:t>d at opfylde</w:t>
      </w:r>
      <w:r>
        <w:t xml:space="preserve"> krav</w:t>
      </w:r>
      <w:r w:rsidR="00C70309">
        <w:t>ene i loven</w:t>
      </w:r>
      <w:r w:rsidR="002776F3">
        <w:t>, jf</w:t>
      </w:r>
      <w:r w:rsidR="002776F3" w:rsidRPr="00F102C0">
        <w:t>. afsnit 2.3</w:t>
      </w:r>
      <w:r>
        <w:t xml:space="preserve"> Det er </w:t>
      </w:r>
      <w:r w:rsidR="002776F3">
        <w:t>følgelig</w:t>
      </w:r>
      <w:r>
        <w:t xml:space="preserve"> </w:t>
      </w:r>
      <w:r w:rsidR="00E34169">
        <w:t>en</w:t>
      </w:r>
      <w:r w:rsidR="00005F23">
        <w:t xml:space="preserve"> obligatorisk</w:t>
      </w:r>
      <w:r w:rsidR="00E34169">
        <w:t xml:space="preserve"> ordning</w:t>
      </w:r>
      <w:r w:rsidR="00174C87">
        <w:t>, såfremt denne vælges af sælger</w:t>
      </w:r>
      <w:r w:rsidR="00E34169">
        <w:t>, som imidlertid</w:t>
      </w:r>
      <w:r>
        <w:t xml:space="preserve"> ikke kan fraviges til skade for hverken køber eller sælger, jf. LFFE § 21.</w:t>
      </w:r>
      <w:r w:rsidR="00E34169">
        <w:rPr>
          <w:rStyle w:val="Fodnotehenvisning"/>
        </w:rPr>
        <w:footnoteReference w:id="19"/>
      </w:r>
      <w:r>
        <w:t xml:space="preserve"> </w:t>
      </w:r>
      <w:r w:rsidR="00353D0D">
        <w:t>Ulempen for sælger ved at</w:t>
      </w:r>
      <w:r w:rsidR="00005F23">
        <w:t xml:space="preserve"> fre</w:t>
      </w:r>
      <w:r w:rsidR="00005F23">
        <w:t>m</w:t>
      </w:r>
      <w:r w:rsidR="00005F23">
        <w:t>bringe</w:t>
      </w:r>
      <w:r>
        <w:t xml:space="preserve"> de fejl, der er synlige for en bygningssagkyn</w:t>
      </w:r>
      <w:r w:rsidR="00353D0D">
        <w:t>dig før ejendommen bliver solgt er, at</w:t>
      </w:r>
      <w:r>
        <w:t xml:space="preserve"> </w:t>
      </w:r>
      <w:r w:rsidR="00353D0D">
        <w:t>sælger risikerer</w:t>
      </w:r>
      <w:r w:rsidR="00E34169">
        <w:t>,</w:t>
      </w:r>
      <w:r>
        <w:t xml:space="preserve"> at prisen bliver</w:t>
      </w:r>
      <w:r w:rsidR="00005F23">
        <w:t xml:space="preserve"> tilsvarende</w:t>
      </w:r>
      <w:r>
        <w:t xml:space="preserve"> reduceret. </w:t>
      </w:r>
      <w:r w:rsidR="00353D0D">
        <w:t>Derimod er fordelen</w:t>
      </w:r>
      <w:r w:rsidR="00CA3284">
        <w:t>,</w:t>
      </w:r>
      <w:r w:rsidR="00353D0D">
        <w:t xml:space="preserve"> at sælger undgår</w:t>
      </w:r>
      <w:r w:rsidR="00005F23">
        <w:t>,</w:t>
      </w:r>
      <w:r w:rsidR="00E34169">
        <w:t xml:space="preserve"> at blive</w:t>
      </w:r>
      <w:r w:rsidR="00730D12">
        <w:t xml:space="preserve"> a</w:t>
      </w:r>
      <w:r w:rsidR="00730D12">
        <w:t>n</w:t>
      </w:r>
      <w:r w:rsidR="00730D12">
        <w:t>svarlig for mangler</w:t>
      </w:r>
      <w:r>
        <w:t xml:space="preserve"> adskillige år efter overdragelsen af ejendommen til køber, og </w:t>
      </w:r>
      <w:r w:rsidR="00CA3284">
        <w:t xml:space="preserve">sælger </w:t>
      </w:r>
      <w:r>
        <w:t>kan derved indrette sin økonomi efter</w:t>
      </w:r>
      <w:r w:rsidR="00CA3284">
        <w:t>,</w:t>
      </w:r>
      <w:r>
        <w:t xml:space="preserve"> at ejendommen er endelig afhændet. </w:t>
      </w:r>
      <w:r w:rsidR="00E25023">
        <w:t>Sælger skal således opveje</w:t>
      </w:r>
      <w:r w:rsidR="00353D0D">
        <w:t xml:space="preserve"> ulempen mod fordelen, når denne</w:t>
      </w:r>
      <w:r w:rsidR="00ED538C">
        <w:t xml:space="preserve"> tager beslutning til ønsket om</w:t>
      </w:r>
      <w:r w:rsidR="00353D0D">
        <w:t xml:space="preserve"> at opnå beskyttelse mod</w:t>
      </w:r>
      <w:r w:rsidR="00E25023">
        <w:t xml:space="preserve"> mangelskrav om</w:t>
      </w:r>
      <w:r w:rsidR="00353D0D">
        <w:t xml:space="preserve"> ejendommens fysiske tilstand.</w:t>
      </w:r>
    </w:p>
    <w:p w14:paraId="08A8A602" w14:textId="77777777" w:rsidR="004D69D5" w:rsidRDefault="004D69D5" w:rsidP="001A79AD"/>
    <w:p w14:paraId="2E5FC06F" w14:textId="08E58275" w:rsidR="00BD508E" w:rsidRDefault="00CA3284" w:rsidP="001A79AD">
      <w:r>
        <w:t>På trods af at det er sælger, der</w:t>
      </w:r>
      <w:r w:rsidR="00652BAC">
        <w:t xml:space="preserve"> har valget om, at beskyttelse</w:t>
      </w:r>
      <w:r w:rsidR="00933411">
        <w:t>sordningen skal anvendes, er</w:t>
      </w:r>
      <w:r w:rsidR="00652BAC">
        <w:t xml:space="preserve"> der</w:t>
      </w:r>
      <w:r w:rsidR="00C70309">
        <w:t xml:space="preserve"> ligel</w:t>
      </w:r>
      <w:r w:rsidR="00C70309">
        <w:t>e</w:t>
      </w:r>
      <w:r w:rsidR="00C70309">
        <w:t>des fordele for køber</w:t>
      </w:r>
      <w:r w:rsidR="00933411">
        <w:t xml:space="preserve"> ved</w:t>
      </w:r>
      <w:r>
        <w:t>,</w:t>
      </w:r>
      <w:r w:rsidR="00933411">
        <w:t xml:space="preserve"> at være omfattet af lovens anvendelsesområde</w:t>
      </w:r>
      <w:r w:rsidR="00C70309">
        <w:t>, idet</w:t>
      </w:r>
      <w:r w:rsidR="00652BAC">
        <w:t xml:space="preserve"> lovens formål er</w:t>
      </w:r>
      <w:r w:rsidR="00933411">
        <w:t>,</w:t>
      </w:r>
      <w:r w:rsidR="00652BAC">
        <w:t xml:space="preserve"> at beskytte begge parter</w:t>
      </w:r>
      <w:r w:rsidR="00C70309">
        <w:t>. Købers fordel er</w:t>
      </w:r>
      <w:r w:rsidR="004D69D5">
        <w:t>,</w:t>
      </w:r>
      <w:r w:rsidR="00C70309">
        <w:t xml:space="preserve"> at denne får mulighed for at danne sig et ov</w:t>
      </w:r>
      <w:r w:rsidR="00730D12">
        <w:t>erblik over de eventuelle mangler</w:t>
      </w:r>
      <w:r w:rsidR="00C70309">
        <w:t>, der findes på ejendommen, og kan</w:t>
      </w:r>
      <w:r w:rsidR="004D69D5">
        <w:t xml:space="preserve"> derved</w:t>
      </w:r>
      <w:r w:rsidR="00C70309">
        <w:t xml:space="preserve"> indrette sit tilbud efter dette. Købe</w:t>
      </w:r>
      <w:r w:rsidR="00ED538C">
        <w:t>r</w:t>
      </w:r>
      <w:r w:rsidR="00C70309">
        <w:t xml:space="preserve"> bliver imidlertid ikke fritaget for risikoen for</w:t>
      </w:r>
      <w:r w:rsidR="00730D12">
        <w:t xml:space="preserve"> at blive overrasket over mangler</w:t>
      </w:r>
      <w:r w:rsidR="00C70309">
        <w:t>, som først viser sig senere, de såkaldte skjulte mangler. Købers risiko for disse skader, overgår således til et forsikring</w:t>
      </w:r>
      <w:r w:rsidR="00C70309">
        <w:t>s</w:t>
      </w:r>
      <w:r w:rsidR="00ED538C">
        <w:t>selskab, hvis køber</w:t>
      </w:r>
      <w:r w:rsidR="00C70309">
        <w:t xml:space="preserve"> har tegnet en</w:t>
      </w:r>
      <w:r>
        <w:t xml:space="preserve"> ejerskifteforsikring. I modsat fald</w:t>
      </w:r>
      <w:r w:rsidR="00C70309">
        <w:t xml:space="preserve"> bærer kø</w:t>
      </w:r>
      <w:r w:rsidR="00ED538C">
        <w:t>ber</w:t>
      </w:r>
      <w:r w:rsidR="00730D12">
        <w:t xml:space="preserve"> selv risikoen for disse mangler</w:t>
      </w:r>
      <w:r w:rsidR="00C70309">
        <w:t>.</w:t>
      </w:r>
    </w:p>
    <w:p w14:paraId="4C107BE5" w14:textId="77777777" w:rsidR="00E34169" w:rsidRDefault="00E34169" w:rsidP="001A79AD"/>
    <w:p w14:paraId="2F6DD529" w14:textId="60DC22E9" w:rsidR="00E34169" w:rsidRPr="00BD508E" w:rsidRDefault="00E34169" w:rsidP="001A79AD">
      <w:r>
        <w:t xml:space="preserve">Til </w:t>
      </w:r>
      <w:r w:rsidR="00933411">
        <w:t>sidst er det væsentligt at bemærke</w:t>
      </w:r>
      <w:r>
        <w:t xml:space="preserve"> at sælgers beskyttelse er uden tidsbegrænsning, hvorved k</w:t>
      </w:r>
      <w:r>
        <w:t>ø</w:t>
      </w:r>
      <w:r>
        <w:t>bers beskyttelse i form af ejerskiftefors</w:t>
      </w:r>
      <w:r w:rsidR="00DF61E5">
        <w:t>ikringen er begrænset til forsikringens varighed.</w:t>
      </w:r>
      <w:r w:rsidR="00DF61E5">
        <w:rPr>
          <w:rStyle w:val="Fodnotehenvisning"/>
        </w:rPr>
        <w:footnoteReference w:id="20"/>
      </w:r>
    </w:p>
    <w:p w14:paraId="0FE71294" w14:textId="70A192A0" w:rsidR="009A61F8" w:rsidRDefault="001309E8" w:rsidP="001A79AD">
      <w:pPr>
        <w:pStyle w:val="Overskrift3"/>
      </w:pPr>
      <w:bookmarkStart w:id="13" w:name="_Toc179963416"/>
      <w:r>
        <w:t xml:space="preserve">2.2.1 </w:t>
      </w:r>
      <w:r w:rsidR="00257801">
        <w:t>Bygningens fysiske tilstand</w:t>
      </w:r>
      <w:bookmarkEnd w:id="13"/>
    </w:p>
    <w:p w14:paraId="2D2CE4C3" w14:textId="2436789F" w:rsidR="00E34169" w:rsidRPr="00E34169" w:rsidRDefault="00DF61E5" w:rsidP="001A79AD">
      <w:r>
        <w:t xml:space="preserve">Sælgerbeskyttelsen </w:t>
      </w:r>
      <w:r w:rsidR="00330617">
        <w:t>dækker</w:t>
      </w:r>
      <w:r>
        <w:t xml:space="preserve"> en bygnings</w:t>
      </w:r>
      <w:r w:rsidR="00C75E21">
        <w:t xml:space="preserve"> mangelfulde fysiske tilstand</w:t>
      </w:r>
      <w:r>
        <w:t xml:space="preserve">, jf. LFFE § 2, stk. 1. </w:t>
      </w:r>
      <w:r w:rsidR="00330617">
        <w:t>Idet t</w:t>
      </w:r>
      <w:r>
        <w:t>i</w:t>
      </w:r>
      <w:r>
        <w:t>l</w:t>
      </w:r>
      <w:r>
        <w:t>standsrapporten har til formål at afdække bygningers fysiske tilst</w:t>
      </w:r>
      <w:r w:rsidR="007B4B75">
        <w:t>and</w:t>
      </w:r>
      <w:r w:rsidR="00005F23">
        <w:t>, er der</w:t>
      </w:r>
      <w:r w:rsidR="00330617">
        <w:t xml:space="preserve"> sammenhæng mellem sælgerbeskyttelsen og tilstandsrapportens formål</w:t>
      </w:r>
      <w:r w:rsidR="00ED538C">
        <w:t>. Opnår sælger</w:t>
      </w:r>
      <w:r w:rsidR="007B4B75">
        <w:t xml:space="preserve"> beskyttelse, bliver denne beskyttet</w:t>
      </w:r>
      <w:r w:rsidR="00330617">
        <w:t xml:space="preserve"> mod, at køber</w:t>
      </w:r>
      <w:r w:rsidR="004C31BC">
        <w:t xml:space="preserve"> overfor sælger kan påberåbe</w:t>
      </w:r>
      <w:r w:rsidR="00330617">
        <w:t xml:space="preserve"> sig</w:t>
      </w:r>
      <w:r w:rsidR="00730D12">
        <w:t xml:space="preserve"> de mangler</w:t>
      </w:r>
      <w:r w:rsidR="007B4B75">
        <w:t>, som er nævnt i tilstandsrapporten. De</w:t>
      </w:r>
      <w:r w:rsidR="007B4B75">
        <w:t>r</w:t>
      </w:r>
      <w:r w:rsidR="007B4B75">
        <w:t>udover dækker ejerskifteforsikr</w:t>
      </w:r>
      <w:r w:rsidR="005A24CB">
        <w:t>ingen de faktiske skjulte mangler</w:t>
      </w:r>
      <w:r w:rsidR="007B4B75">
        <w:t>, som en bygningssagkyndig ikke har mulighed for at afdæk</w:t>
      </w:r>
      <w:r w:rsidR="00330617">
        <w:t>ke under sin bygningsgennemgang</w:t>
      </w:r>
      <w:r w:rsidR="007B4B75">
        <w:t>.</w:t>
      </w:r>
      <w:r w:rsidR="007B4B75">
        <w:rPr>
          <w:rStyle w:val="Fodnotehenvisning"/>
        </w:rPr>
        <w:footnoteReference w:id="21"/>
      </w:r>
      <w:r w:rsidR="006F0E97">
        <w:t xml:space="preserve"> Dette bevirker</w:t>
      </w:r>
      <w:r w:rsidR="00ED538C">
        <w:t>, at sælger</w:t>
      </w:r>
      <w:r w:rsidR="007B4B75">
        <w:t xml:space="preserve"> ligeledes er besk</w:t>
      </w:r>
      <w:r w:rsidR="005A24CB">
        <w:t>yttet mod</w:t>
      </w:r>
      <w:r w:rsidR="00330617">
        <w:t xml:space="preserve"> købers påberåbelse af</w:t>
      </w:r>
      <w:r w:rsidR="005A24CB">
        <w:t xml:space="preserve"> skjulte faktiske mangler, som viser sig efter overdragelsestid</w:t>
      </w:r>
      <w:r w:rsidR="005A24CB">
        <w:t>s</w:t>
      </w:r>
      <w:r w:rsidR="005A24CB">
        <w:t xml:space="preserve">punktet. </w:t>
      </w:r>
    </w:p>
    <w:p w14:paraId="0154DF05" w14:textId="341AC470" w:rsidR="00257801" w:rsidRDefault="001309E8" w:rsidP="001A79AD">
      <w:pPr>
        <w:pStyle w:val="Overskrift3"/>
      </w:pPr>
      <w:bookmarkStart w:id="14" w:name="_Toc179963417"/>
      <w:r>
        <w:t xml:space="preserve">2.2.2 </w:t>
      </w:r>
      <w:r w:rsidR="00BD1192">
        <w:t>Fejl der burde have været omtalt</w:t>
      </w:r>
      <w:r w:rsidR="00257801">
        <w:t xml:space="preserve"> i tilstandsrapporten</w:t>
      </w:r>
      <w:bookmarkEnd w:id="14"/>
    </w:p>
    <w:p w14:paraId="5217CF25" w14:textId="51C24EC9" w:rsidR="00080318" w:rsidRDefault="00E94222" w:rsidP="001A79AD">
      <w:r>
        <w:t>Der kan vise sig skader</w:t>
      </w:r>
      <w:r w:rsidR="00080318">
        <w:t xml:space="preserve"> efter overdragelsesdagen</w:t>
      </w:r>
      <w:r>
        <w:t>, som burde have været nævnt i tilstandsrappo</w:t>
      </w:r>
      <w:r w:rsidR="004C31BC">
        <w:t>rten. I HEBK er faslagt</w:t>
      </w:r>
      <w:r w:rsidR="00CA3284">
        <w:t>,</w:t>
      </w:r>
      <w:r w:rsidR="006F0E97">
        <w:t xml:space="preserve"> hvilke skader</w:t>
      </w:r>
      <w:r w:rsidR="00CA3284">
        <w:t xml:space="preserve"> den bygningssagkyndige</w:t>
      </w:r>
      <w:r>
        <w:t xml:space="preserve"> med dennes fag</w:t>
      </w:r>
      <w:r w:rsidR="00CA3284">
        <w:t>kundskab</w:t>
      </w:r>
      <w:r>
        <w:t xml:space="preserve"> skal være o</w:t>
      </w:r>
      <w:r>
        <w:t>p</w:t>
      </w:r>
      <w:r>
        <w:t>mærksom</w:t>
      </w:r>
      <w:r w:rsidR="00080318">
        <w:t xml:space="preserve"> på, og gerne skulle konstatere under en bygningsgennemgang.</w:t>
      </w:r>
      <w:r w:rsidR="006F0E97">
        <w:t xml:space="preserve"> Hvis den bygningssa</w:t>
      </w:r>
      <w:r w:rsidR="006F0E97">
        <w:t>g</w:t>
      </w:r>
      <w:r w:rsidR="006F0E97">
        <w:t xml:space="preserve">kyndige således ikke er opmærksom på disse skader, anses det som værende forsømmelighed fra den bygningssagkyndiges side. </w:t>
      </w:r>
      <w:r w:rsidR="00080318">
        <w:t>Disse skader er sælger beskyttet imod, idet dette er skader, som fa</w:t>
      </w:r>
      <w:r w:rsidR="00080318">
        <w:t>l</w:t>
      </w:r>
      <w:r w:rsidR="00080318">
        <w:t xml:space="preserve">der ind under den bygningssagkyndiges </w:t>
      </w:r>
      <w:r w:rsidR="00BA20B8">
        <w:t>ansvar, som er et professionsansvar.</w:t>
      </w:r>
      <w:r w:rsidR="00BA20B8">
        <w:rPr>
          <w:rStyle w:val="Fodnotehenvisning"/>
        </w:rPr>
        <w:footnoteReference w:id="22"/>
      </w:r>
      <w:r w:rsidR="00760AC1">
        <w:t xml:space="preserve"> </w:t>
      </w:r>
    </w:p>
    <w:p w14:paraId="240CA20E" w14:textId="77777777" w:rsidR="00080318" w:rsidRDefault="00080318" w:rsidP="001A79AD"/>
    <w:p w14:paraId="7F6D0F1D" w14:textId="2683D132" w:rsidR="005A24CB" w:rsidRPr="005A24CB" w:rsidRDefault="00760AC1" w:rsidP="001A79AD">
      <w:r>
        <w:t>Hvis sælger</w:t>
      </w:r>
      <w:r w:rsidR="00080318">
        <w:t xml:space="preserve"> har handlet svigagtigt eller groft uagtsomt ved a</w:t>
      </w:r>
      <w:r w:rsidR="00730D12">
        <w:t xml:space="preserve">t have </w:t>
      </w:r>
      <w:r w:rsidR="00080318">
        <w:t>undladt at fortælle den by</w:t>
      </w:r>
      <w:r w:rsidR="00080318">
        <w:t>g</w:t>
      </w:r>
      <w:r w:rsidR="00730D12">
        <w:t xml:space="preserve">ningssagkyndige om </w:t>
      </w:r>
      <w:r w:rsidR="001A79AD">
        <w:t>skader, som sælger har kendskab til, og som den bygningssagkyndige ikke har afdækket</w:t>
      </w:r>
      <w:r w:rsidR="00080318">
        <w:t>, hæfter sælger imidlertid solidarisk med den bygningssagkyndige.</w:t>
      </w:r>
      <w:r w:rsidR="009725AA">
        <w:rPr>
          <w:rStyle w:val="Fodnotehenvisning"/>
        </w:rPr>
        <w:footnoteReference w:id="23"/>
      </w:r>
      <w:r w:rsidR="00080318">
        <w:t xml:space="preserve"> Sælgers svigagtige handlinger bliver kort gennemgået </w:t>
      </w:r>
      <w:r w:rsidR="00080318" w:rsidRPr="00F102C0">
        <w:t>i afsnit 2.4</w:t>
      </w:r>
      <w:r w:rsidR="00080318">
        <w:t xml:space="preserve"> om undtagelserne til sælgerbeskyttelsen. </w:t>
      </w:r>
    </w:p>
    <w:p w14:paraId="2F2765D4" w14:textId="1A9D3871" w:rsidR="00A51C1C" w:rsidRDefault="001309E8" w:rsidP="001A79AD">
      <w:pPr>
        <w:pStyle w:val="Overskrift2"/>
        <w:rPr>
          <w:rFonts w:cs="Times New Roman"/>
        </w:rPr>
      </w:pPr>
      <w:bookmarkStart w:id="15" w:name="_Toc179963418"/>
      <w:r>
        <w:rPr>
          <w:rFonts w:cs="Times New Roman"/>
        </w:rPr>
        <w:t xml:space="preserve">2.3 </w:t>
      </w:r>
      <w:r w:rsidR="00A51C1C" w:rsidRPr="003D7E0F">
        <w:rPr>
          <w:rFonts w:cs="Times New Roman"/>
        </w:rPr>
        <w:t>Krav for sælgers fritagelse</w:t>
      </w:r>
      <w:bookmarkEnd w:id="15"/>
    </w:p>
    <w:p w14:paraId="40FC688C" w14:textId="4601F2CF" w:rsidR="002D1DEF" w:rsidRDefault="00D638D8" w:rsidP="001A79AD">
      <w:r>
        <w:t>For at sælger kan opnå beskyttelse efter</w:t>
      </w:r>
      <w:r w:rsidR="00174C87">
        <w:t xml:space="preserve"> LFFE, er der en nærmere række</w:t>
      </w:r>
      <w:r w:rsidR="0069076A">
        <w:t xml:space="preserve"> krav, som</w:t>
      </w:r>
      <w:r>
        <w:t xml:space="preserve"> skal være o</w:t>
      </w:r>
      <w:r>
        <w:t>p</w:t>
      </w:r>
      <w:r>
        <w:t xml:space="preserve">fyldt. </w:t>
      </w:r>
      <w:r w:rsidR="00CA3284">
        <w:t>Hvis sæl</w:t>
      </w:r>
      <w:r w:rsidR="00760AC1">
        <w:t>ger opfylder kravene, opnår denne</w:t>
      </w:r>
      <w:r w:rsidR="00CA3284">
        <w:t xml:space="preserve"> beskyttelse mod</w:t>
      </w:r>
      <w:r w:rsidR="00BD1192">
        <w:t>,</w:t>
      </w:r>
      <w:r w:rsidR="00CA3284">
        <w:t xml:space="preserve"> at køber påberåber sig faktiske mangler</w:t>
      </w:r>
      <w:r w:rsidR="00174C87">
        <w:t xml:space="preserve"> overfor sælger</w:t>
      </w:r>
      <w:r w:rsidR="00CA3284">
        <w:t xml:space="preserve">. </w:t>
      </w:r>
    </w:p>
    <w:p w14:paraId="57206170" w14:textId="77777777" w:rsidR="00CD2151" w:rsidRDefault="00CD2151" w:rsidP="001A79AD"/>
    <w:p w14:paraId="5C4AF85C" w14:textId="11F67C7E" w:rsidR="002D1DEF" w:rsidRDefault="009B791F" w:rsidP="001A79AD">
      <w:r>
        <w:t xml:space="preserve">Kravene til sælger </w:t>
      </w:r>
      <w:r w:rsidR="002D1DEF">
        <w:t>er:</w:t>
      </w:r>
    </w:p>
    <w:p w14:paraId="5B16E0BD" w14:textId="6E48795A" w:rsidR="002D1DEF" w:rsidRDefault="002D1DEF" w:rsidP="001A79AD">
      <w:r w:rsidRPr="00257801">
        <w:rPr>
          <w:u w:val="single"/>
        </w:rPr>
        <w:t>At</w:t>
      </w:r>
      <w:r>
        <w:t xml:space="preserve"> køber skal have modtaget en tilstandsrapport, jf. LFFE</w:t>
      </w:r>
      <w:r w:rsidR="00C27EF5">
        <w:t xml:space="preserve"> § 2, stk. 1.</w:t>
      </w:r>
    </w:p>
    <w:p w14:paraId="7D558A0B" w14:textId="3FE88818" w:rsidR="002D1DEF" w:rsidRDefault="002D1DEF" w:rsidP="001A79AD">
      <w:r w:rsidRPr="00257801">
        <w:rPr>
          <w:u w:val="single"/>
        </w:rPr>
        <w:t>At</w:t>
      </w:r>
      <w:r>
        <w:t xml:space="preserve"> køber har modtaget oplysninger om ejerskifteforsikring</w:t>
      </w:r>
      <w:r w:rsidR="00C27EF5">
        <w:t>, jf. LFFE § 2, stk. 1</w:t>
      </w:r>
    </w:p>
    <w:p w14:paraId="6D6467A1" w14:textId="3369ECF7" w:rsidR="00C27EF5" w:rsidRDefault="00C27EF5" w:rsidP="001A79AD">
      <w:r w:rsidRPr="00257801">
        <w:rPr>
          <w:u w:val="single"/>
        </w:rPr>
        <w:t>At</w:t>
      </w:r>
      <w:r>
        <w:t xml:space="preserve"> sælger overfor køber har forpligtet sig til at indbetale mindst halvdelen af præmien på den ti</w:t>
      </w:r>
      <w:r>
        <w:t>l</w:t>
      </w:r>
      <w:r>
        <w:t>budte ejerskifteforsikring, jf. LFFE § 2, stk. 3.</w:t>
      </w:r>
    </w:p>
    <w:p w14:paraId="56B9DD41" w14:textId="65BBB973" w:rsidR="00C27EF5" w:rsidRDefault="00C27EF5" w:rsidP="001A79AD">
      <w:r w:rsidRPr="00257801">
        <w:rPr>
          <w:u w:val="single"/>
        </w:rPr>
        <w:t>At</w:t>
      </w:r>
      <w:r>
        <w:t xml:space="preserve"> sælger har sikret sig, at køber er bekendt med retsvirkningerne af, at LFFE er gældende for pa</w:t>
      </w:r>
      <w:r>
        <w:t>r</w:t>
      </w:r>
      <w:r>
        <w:t>ternes aftale, jf. LFFE § 2, stk. 4.</w:t>
      </w:r>
    </w:p>
    <w:p w14:paraId="2274E42D" w14:textId="77777777" w:rsidR="00C27EF5" w:rsidRDefault="00C27EF5" w:rsidP="001A79AD"/>
    <w:p w14:paraId="6DC6654A" w14:textId="746B7DBB" w:rsidR="00C27EF5" w:rsidRDefault="00C27EF5" w:rsidP="001A79AD">
      <w:r>
        <w:t>Nedenfor vil ovenstående krav blive gennemgået for at danne et overblik over</w:t>
      </w:r>
      <w:r w:rsidR="00174C87">
        <w:t>, hvorledes</w:t>
      </w:r>
      <w:r w:rsidR="00541CDE">
        <w:t xml:space="preserve"> sælger kan opnå fritagelse for ansvar</w:t>
      </w:r>
      <w:r w:rsidR="00CA3284">
        <w:t>.</w:t>
      </w:r>
    </w:p>
    <w:p w14:paraId="20F900A3" w14:textId="1C8AF5A9" w:rsidR="003A6694" w:rsidRDefault="001309E8" w:rsidP="001A79AD">
      <w:pPr>
        <w:pStyle w:val="Overskrift3"/>
      </w:pPr>
      <w:bookmarkStart w:id="16" w:name="_Toc179963419"/>
      <w:r>
        <w:t xml:space="preserve">2.3.1 </w:t>
      </w:r>
      <w:r w:rsidR="003A6694">
        <w:t>Tilstandsrapport</w:t>
      </w:r>
      <w:bookmarkEnd w:id="16"/>
    </w:p>
    <w:p w14:paraId="6FFD15D6" w14:textId="25AC33E7" w:rsidR="00266ADC" w:rsidRDefault="00266ADC" w:rsidP="001A79AD">
      <w:r>
        <w:t>Dette afsnit omhandler for det første kravet om</w:t>
      </w:r>
      <w:r w:rsidR="00B21D32">
        <w:t>,</w:t>
      </w:r>
      <w:r>
        <w:t xml:space="preserve"> at køber skal have modtaget en tilstandsrapport fr</w:t>
      </w:r>
      <w:r w:rsidR="00760AC1">
        <w:t>a sælger. For det andet</w:t>
      </w:r>
      <w:r>
        <w:t xml:space="preserve"> omhandler afsnittet selve tilstandsrapporten og dennes indhold. </w:t>
      </w:r>
    </w:p>
    <w:p w14:paraId="7901AB09" w14:textId="77777777" w:rsidR="00266ADC" w:rsidRDefault="00266ADC" w:rsidP="001A79AD"/>
    <w:p w14:paraId="45FC2C36" w14:textId="1BC41585" w:rsidR="00D80812" w:rsidRDefault="00541CDE" w:rsidP="001A79AD">
      <w:r>
        <w:t>For at sælger kan opnå</w:t>
      </w:r>
      <w:r w:rsidR="00D80812">
        <w:t xml:space="preserve"> beskyttelse skal denne</w:t>
      </w:r>
      <w:r w:rsidR="00123FF6">
        <w:t xml:space="preserve"> som en betingelse</w:t>
      </w:r>
      <w:r w:rsidR="00D80812">
        <w:t xml:space="preserve"> have afleveret en</w:t>
      </w:r>
      <w:r w:rsidR="00B21D32">
        <w:t xml:space="preserve"> tilstandsrapport til køber, der</w:t>
      </w:r>
      <w:r w:rsidR="00D80812">
        <w:t xml:space="preserve"> indeholder en beskrivelse af ejendommens</w:t>
      </w:r>
      <w:r w:rsidR="004C31BC">
        <w:t xml:space="preserve"> nuværende</w:t>
      </w:r>
      <w:r w:rsidR="00D80812">
        <w:t xml:space="preserve"> fysiske tilstand</w:t>
      </w:r>
      <w:r w:rsidR="00CA2BA8">
        <w:t>, jf. § 2, stk. 1, 1. pkt. Det</w:t>
      </w:r>
      <w:r w:rsidR="00D80812">
        <w:t xml:space="preserve"> vigtige i denne sammenhæng for at sælger kan opnå beskyttelse er, at køber modtager ra</w:t>
      </w:r>
      <w:r w:rsidR="00D80812">
        <w:t>p</w:t>
      </w:r>
      <w:r w:rsidR="00D80812">
        <w:t xml:space="preserve">porten fra sælger selv eller </w:t>
      </w:r>
      <w:r>
        <w:t>en person</w:t>
      </w:r>
      <w:r w:rsidR="00B21D32">
        <w:t>, der</w:t>
      </w:r>
      <w:r w:rsidR="00D80812">
        <w:t xml:space="preserve"> træder i stedet for sælger,</w:t>
      </w:r>
      <w:r w:rsidR="00E638EC">
        <w:t xml:space="preserve"> at køber har modtage</w:t>
      </w:r>
      <w:r w:rsidR="00760AC1">
        <w:t>t tilstand</w:t>
      </w:r>
      <w:r w:rsidR="00760AC1">
        <w:t>s</w:t>
      </w:r>
      <w:r w:rsidR="00760AC1">
        <w:t>rapporten inden denne</w:t>
      </w:r>
      <w:r w:rsidR="00E638EC">
        <w:t xml:space="preserve"> binder sig ved afgivelse af tilbud</w:t>
      </w:r>
      <w:r w:rsidR="00123FF6">
        <w:t>, jf. LFFE § 2, stk. 2</w:t>
      </w:r>
      <w:r w:rsidR="00CA2BA8">
        <w:t>,</w:t>
      </w:r>
      <w:r w:rsidR="00D80812">
        <w:t xml:space="preserve"> og at tilstands</w:t>
      </w:r>
      <w:r w:rsidR="00A22D99">
        <w:t>rappo</w:t>
      </w:r>
      <w:r w:rsidR="00A22D99">
        <w:t>r</w:t>
      </w:r>
      <w:r w:rsidR="00A22D99">
        <w:t>ten opfylder kravene hertil</w:t>
      </w:r>
      <w:r w:rsidR="00123FF6">
        <w:t xml:space="preserve">. </w:t>
      </w:r>
      <w:r w:rsidR="00E638EC">
        <w:t>Det er derimod ikke nogen betingelse, at sælger sikrer sig</w:t>
      </w:r>
      <w:r w:rsidR="00CA2BA8">
        <w:t>,</w:t>
      </w:r>
      <w:r w:rsidR="00E638EC">
        <w:t xml:space="preserve"> at køber rent faktisk læser og forstår tilstandsrapporten.</w:t>
      </w:r>
    </w:p>
    <w:p w14:paraId="52F11732" w14:textId="77777777" w:rsidR="00D80812" w:rsidRDefault="00D80812" w:rsidP="001A79AD"/>
    <w:p w14:paraId="1C521314" w14:textId="10283507" w:rsidR="00E133D3" w:rsidRDefault="00053F7E" w:rsidP="001A79AD">
      <w:r>
        <w:t>Tilstandsrapporten</w:t>
      </w:r>
      <w:r w:rsidR="00541CDE">
        <w:t xml:space="preserve"> er</w:t>
      </w:r>
      <w:r w:rsidR="00E133D3">
        <w:t xml:space="preserve"> resultatet af den bygningsgennemgang, som en</w:t>
      </w:r>
      <w:r w:rsidR="00123FF6">
        <w:t xml:space="preserve"> beskikket</w:t>
      </w:r>
      <w:r w:rsidR="00E133D3">
        <w:t xml:space="preserve"> bygningssagkyndig skal foretage på ejendommen for, at sælger kan opnå beskyttelse efter LFFE. En tilstandsrapport skal være udarbejdet på et skema, som er godkendt af økonomi- og erhvervsministeren for at kunn</w:t>
      </w:r>
      <w:r w:rsidR="003A022A">
        <w:t>e overholde de krav, der er til d</w:t>
      </w:r>
      <w:r w:rsidR="00E133D3">
        <w:t>en tilstandsrapport, som sælger skal fremlægge for at opnå beskytte</w:t>
      </w:r>
      <w:r w:rsidR="00E133D3">
        <w:t>l</w:t>
      </w:r>
      <w:r w:rsidR="00E133D3">
        <w:t>se, jf. LFFE § 4, stk. 1.</w:t>
      </w:r>
      <w:r>
        <w:t xml:space="preserve"> </w:t>
      </w:r>
    </w:p>
    <w:p w14:paraId="49C031A8" w14:textId="77777777" w:rsidR="00E133D3" w:rsidRDefault="00E133D3" w:rsidP="001A79AD"/>
    <w:p w14:paraId="203F54D9" w14:textId="5AC35EF3" w:rsidR="008F1482" w:rsidRDefault="009B7A7E" w:rsidP="001A79AD">
      <w:r>
        <w:t>Hvem der kan blive beskikket som bygningssagkyndig, hvordan bygningsgennemgangen skal for</w:t>
      </w:r>
      <w:r>
        <w:t>e</w:t>
      </w:r>
      <w:r>
        <w:t>gå og hvilket formål bygningsgennemgangen har</w:t>
      </w:r>
      <w:r w:rsidR="00174C87">
        <w:t>,</w:t>
      </w:r>
      <w:r>
        <w:t xml:space="preserve"> er reguleret i HEBK, som er udstedt af økonomi- og erhvervsministeriet efter bemyndigelse i LFFE § 4, stk. 2 og 3. </w:t>
      </w:r>
      <w:r w:rsidR="003A022A">
        <w:t>HEBK’s anvendelsesområde er ejendomme, som er omfattet af LFFE, jf. HEBK § 1.</w:t>
      </w:r>
      <w:r w:rsidR="003A022A">
        <w:rPr>
          <w:rStyle w:val="Fodnotehenvisning"/>
        </w:rPr>
        <w:footnoteReference w:id="24"/>
      </w:r>
      <w:r w:rsidR="003A022A">
        <w:t xml:space="preserve"> Selve bygningsgennemgangen er reguleret i HEBK’s kap. 5. </w:t>
      </w:r>
      <w:r w:rsidR="00E133D3">
        <w:t xml:space="preserve">Bygningsgennemgangen </w:t>
      </w:r>
      <w:r w:rsidR="00053F7E">
        <w:t xml:space="preserve">har til formål at fastlægge, hvorledes den gennemgåede bygnings fysiske tilstand er </w:t>
      </w:r>
      <w:r>
        <w:t xml:space="preserve">i </w:t>
      </w:r>
      <w:r w:rsidR="00053F7E">
        <w:t>forhold til andre</w:t>
      </w:r>
      <w:r w:rsidR="008D09DA">
        <w:t xml:space="preserve"> intakte</w:t>
      </w:r>
      <w:r w:rsidR="00053F7E">
        <w:t xml:space="preserve"> bygninger af samme stan</w:t>
      </w:r>
      <w:r>
        <w:t>dard og alder, jf. HEBK</w:t>
      </w:r>
      <w:r w:rsidR="00053F7E">
        <w:t xml:space="preserve"> § 13, 1. pkt.</w:t>
      </w:r>
      <w:r w:rsidR="008D09DA">
        <w:t xml:space="preserve"> At der tales om intakte bygninger betyder</w:t>
      </w:r>
      <w:r w:rsidR="00541CDE">
        <w:t>, at sammenligningsgrundlaget skal v</w:t>
      </w:r>
      <w:r w:rsidR="0020405E">
        <w:t>ære en bygning, der fremstår</w:t>
      </w:r>
      <w:r w:rsidR="00541CDE">
        <w:t xml:space="preserve"> uden væsentlige mangler</w:t>
      </w:r>
      <w:r w:rsidR="0020405E">
        <w:t>, idet køber må formodes at kunne forvente, at selvom bygningen har nået en vis alder, har ejendommen fx. et tæt tag</w:t>
      </w:r>
      <w:r w:rsidR="008D09DA">
        <w:t>.</w:t>
      </w:r>
      <w:r w:rsidR="008D09DA">
        <w:rPr>
          <w:rStyle w:val="Fodnotehenvisning"/>
        </w:rPr>
        <w:footnoteReference w:id="25"/>
      </w:r>
      <w:r w:rsidR="00053F7E">
        <w:t xml:space="preserve"> </w:t>
      </w:r>
      <w:r w:rsidR="00E133D3">
        <w:t>Den bygningssagkynd</w:t>
      </w:r>
      <w:r w:rsidR="00E133D3">
        <w:t>i</w:t>
      </w:r>
      <w:r w:rsidR="00E133D3">
        <w:t>ge skal ved gennemgangen af ejendommen afdække skader eller tegn på skader, såsom brud, læk</w:t>
      </w:r>
      <w:r w:rsidR="00E133D3">
        <w:t>a</w:t>
      </w:r>
      <w:r w:rsidR="00E133D3">
        <w:t>ger, deformeringer, svækkelser, revnedannelser og ødelæg</w:t>
      </w:r>
      <w:r>
        <w:t>gelser, jf. HEBK</w:t>
      </w:r>
      <w:r w:rsidR="00E133D3">
        <w:t xml:space="preserve"> § 13, 2. pkt.</w:t>
      </w:r>
      <w:r w:rsidR="008D09DA">
        <w:t xml:space="preserve"> Omfattet af skader er ligeledes manglende bygningsdele og andre fysiske forhold, når der er nærliggende fare for skade, hvis ikke der sættes ind med omfattende vedligeholdelser.</w:t>
      </w:r>
      <w:r w:rsidR="008D09DA">
        <w:rPr>
          <w:rStyle w:val="Fodnotehenvisning"/>
        </w:rPr>
        <w:footnoteReference w:id="26"/>
      </w:r>
      <w:r w:rsidR="008F1482">
        <w:t xml:space="preserve"> </w:t>
      </w:r>
    </w:p>
    <w:p w14:paraId="65E998E1" w14:textId="77777777" w:rsidR="004643A5" w:rsidRDefault="004643A5" w:rsidP="001A79AD"/>
    <w:p w14:paraId="4F156EE9" w14:textId="00850C6A" w:rsidR="0012339D" w:rsidRDefault="001655DD" w:rsidP="001A79AD">
      <w:r>
        <w:t>Bygningsgennemgangen skal ikke indeholde bagatelagtige forhold, som ikke har betydni</w:t>
      </w:r>
      <w:r w:rsidR="0020405E">
        <w:t>ng for bygningens brug og værdi.</w:t>
      </w:r>
      <w:r w:rsidR="00760AC1">
        <w:t xml:space="preserve"> Dette kunne være forhold, som køber, uden sagkyndig hjælp, forventes at opdage i sin gennemgang af ejendommen.</w:t>
      </w:r>
      <w:r w:rsidR="0020405E">
        <w:t xml:space="preserve"> Den skal derudover ikke indeholde</w:t>
      </w:r>
      <w:r w:rsidR="0012339D">
        <w:t xml:space="preserve"> løsøre, såsom hå</w:t>
      </w:r>
      <w:r w:rsidR="0012339D">
        <w:t>r</w:t>
      </w:r>
      <w:r w:rsidR="0012339D">
        <w:t>de hvidevarer og bygningsdele, som ikke kan gennemgås.</w:t>
      </w:r>
      <w:r>
        <w:t xml:space="preserve"> Gennemgangen skal heller ikke indeho</w:t>
      </w:r>
      <w:r>
        <w:t>l</w:t>
      </w:r>
      <w:r>
        <w:t>de</w:t>
      </w:r>
      <w:r w:rsidR="0012339D">
        <w:t xml:space="preserve"> bygningens lovlighed efter offentligretlige forskrifter, bortset fra åbenlyse overtrædelser,</w:t>
      </w:r>
      <w:r w:rsidR="009B7A7E">
        <w:t xml:space="preserve"> jf. HEBK</w:t>
      </w:r>
      <w:r w:rsidR="0012339D">
        <w:t xml:space="preserve"> § 15, nr. 1-9. Dette kunne være elinstallationer, som hænger med fritstående ledninger ud af væggen. Den bygningssagkyndige skal, medmindre andet aftales, udføre en visuel gennemgang af ejendommen, med brug af enkelte tekniske hjælpemidler og orienterende målinger, men uden d</w:t>
      </w:r>
      <w:r w:rsidR="0012339D">
        <w:t>e</w:t>
      </w:r>
      <w:r w:rsidR="0012339D">
        <w:t>struktive indgreb,</w:t>
      </w:r>
      <w:r w:rsidR="009B7A7E">
        <w:t xml:space="preserve"> jf. HEBK</w:t>
      </w:r>
      <w:r w:rsidR="0012339D">
        <w:t xml:space="preserve"> § 14, 4. pkt. Dette er baggrunden for, at det kun er åbenlyse lovove</w:t>
      </w:r>
      <w:r w:rsidR="0012339D">
        <w:t>r</w:t>
      </w:r>
      <w:r w:rsidR="0012339D">
        <w:t>trædelser, som falder ind under bygningsgennemgangen.</w:t>
      </w:r>
    </w:p>
    <w:p w14:paraId="0D67668F" w14:textId="77777777" w:rsidR="0012339D" w:rsidRDefault="0012339D" w:rsidP="001A79AD"/>
    <w:p w14:paraId="0F31D6EC" w14:textId="710A2DD7" w:rsidR="001655DD" w:rsidRDefault="0012339D" w:rsidP="001A79AD">
      <w:r>
        <w:t>Tilstandsrapporten er gæ</w:t>
      </w:r>
      <w:r w:rsidR="00174C87">
        <w:t>ldende for 6 mdr. af gangen, såfremt</w:t>
      </w:r>
      <w:r>
        <w:t xml:space="preserve"> der er </w:t>
      </w:r>
      <w:r w:rsidR="00790C8B">
        <w:t>tale om en tilstandsrapport, der</w:t>
      </w:r>
      <w:r>
        <w:t xml:space="preserve"> er udarbejdet til brug for ordningen i LFFE, jf. § 4, stk. 1, 2. pkt. </w:t>
      </w:r>
    </w:p>
    <w:p w14:paraId="023DF877" w14:textId="77777777" w:rsidR="008334F9" w:rsidRDefault="008334F9" w:rsidP="001A79AD"/>
    <w:p w14:paraId="1B2AEDB2" w14:textId="2C573815" w:rsidR="00690B7B" w:rsidRDefault="00A22D99" w:rsidP="001A79AD">
      <w:r>
        <w:t>En tilstandsrapport er følgelig en</w:t>
      </w:r>
      <w:r w:rsidR="00690B7B">
        <w:t xml:space="preserve"> rapport om en forudgående bygningsgennemgang, hvor beboe</w:t>
      </w:r>
      <w:r w:rsidR="00690B7B">
        <w:t>l</w:t>
      </w:r>
      <w:r w:rsidR="00690B7B">
        <w:t xml:space="preserve">sesbygninger og tilhørende bygningers fysiske tilstand bliver gennemgået for skader, som er en vurdering af om bygningerne afviger fra andre intakte bygninger med samme alder. </w:t>
      </w:r>
      <w:r w:rsidR="009B7A7E">
        <w:t>Denne ti</w:t>
      </w:r>
      <w:r w:rsidR="009B7A7E">
        <w:t>l</w:t>
      </w:r>
      <w:r w:rsidR="009B7A7E">
        <w:t>standsrapport skal udleveres af sælger eller dennes repræsentant til køber</w:t>
      </w:r>
      <w:r w:rsidR="00CA3284">
        <w:t>,</w:t>
      </w:r>
      <w:r w:rsidR="009B7A7E">
        <w:t xml:space="preserve"> inden køber afgiver sit endelige tilbud.</w:t>
      </w:r>
      <w:r w:rsidR="00690B7B">
        <w:t xml:space="preserve"> </w:t>
      </w:r>
    </w:p>
    <w:p w14:paraId="4A334762" w14:textId="19FF12A0" w:rsidR="00050992" w:rsidRDefault="001309E8" w:rsidP="001A79AD">
      <w:pPr>
        <w:pStyle w:val="Overskrift3"/>
      </w:pPr>
      <w:bookmarkStart w:id="17" w:name="_Toc179963420"/>
      <w:r>
        <w:t xml:space="preserve">2.3.2 </w:t>
      </w:r>
      <w:r w:rsidR="00050992">
        <w:t>Ejerskifteforsikring</w:t>
      </w:r>
      <w:bookmarkEnd w:id="17"/>
    </w:p>
    <w:p w14:paraId="6F1692B2" w14:textId="1D9927ED" w:rsidR="00B76AAA" w:rsidRDefault="00B76AAA" w:rsidP="001A79AD">
      <w:r>
        <w:t xml:space="preserve">Dette afsnit indeholder en gennemgang af kravet til sælger om at fremkomme med et tilbud på en ejerskifteforsikring til køber, og hvad dette tilbud skal indeholde. Derudover </w:t>
      </w:r>
      <w:r w:rsidR="00F964E8">
        <w:t>omfatter</w:t>
      </w:r>
      <w:r>
        <w:t xml:space="preserve"> afsnittet en introdukt</w:t>
      </w:r>
      <w:r w:rsidR="006F5F4B">
        <w:t>ion til ESBK med gengivelse af en relevant</w:t>
      </w:r>
      <w:r>
        <w:t xml:space="preserve"> bestemmelse.</w:t>
      </w:r>
    </w:p>
    <w:p w14:paraId="7E58F5CF" w14:textId="77777777" w:rsidR="00B76AAA" w:rsidRDefault="00B76AAA" w:rsidP="001A79AD"/>
    <w:p w14:paraId="55383911" w14:textId="6073DFD1" w:rsidR="00163063" w:rsidRDefault="00163063" w:rsidP="001A79AD">
      <w:r>
        <w:t xml:space="preserve">Udover at udlevere en tilstandsrapport </w:t>
      </w:r>
      <w:r w:rsidR="007063D1">
        <w:t>til køber, skal sælger</w:t>
      </w:r>
      <w:r>
        <w:t xml:space="preserve"> fremkomme med et</w:t>
      </w:r>
      <w:r w:rsidR="005673B7">
        <w:t xml:space="preserve"> bindende</w:t>
      </w:r>
      <w:r>
        <w:t xml:space="preserve"> tilbud på en ejerskifteforsikring</w:t>
      </w:r>
      <w:r w:rsidR="007063D1">
        <w:t xml:space="preserve"> til køber</w:t>
      </w:r>
      <w:r w:rsidR="005673B7">
        <w:t xml:space="preserve">, som kan indgås indenfor en rimelig frist, jf. LFFE § 5, stk. 2. </w:t>
      </w:r>
      <w:r w:rsidR="006517DC">
        <w:t>O</w:t>
      </w:r>
      <w:r w:rsidR="006517DC">
        <w:t>p</w:t>
      </w:r>
      <w:r w:rsidR="006517DC">
        <w:t>lysningerne om ejerskifteforsikringen skal være skriftlig</w:t>
      </w:r>
      <w:r w:rsidR="006F5F4B">
        <w:t>e</w:t>
      </w:r>
      <w:r w:rsidR="006517DC">
        <w:t>, og skal indeholde på</w:t>
      </w:r>
      <w:r w:rsidR="00790C8B">
        <w:t>,</w:t>
      </w:r>
      <w:r w:rsidR="006517DC">
        <w:t xml:space="preserve"> hvilke vilkår købe</w:t>
      </w:r>
      <w:r w:rsidR="00790C8B">
        <w:t>r</w:t>
      </w:r>
      <w:r w:rsidR="006517DC">
        <w:t xml:space="preserve"> kan </w:t>
      </w:r>
      <w:r w:rsidR="007063D1">
        <w:t>tegne forsikringen</w:t>
      </w:r>
      <w:r w:rsidR="006517DC">
        <w:t>, jf. LFFE § 5, stk. 1, nr. 1. Forsikringen skal have en dækningsperiode på mindst 5 år, og med mulighed for</w:t>
      </w:r>
      <w:r w:rsidR="007063D1">
        <w:t xml:space="preserve"> udvidelse på</w:t>
      </w:r>
      <w:r w:rsidR="006517DC">
        <w:t xml:space="preserve"> op til 10 års dækning. Dækningsomfanget er fejl ved bygningernes fysiske tilstand,</w:t>
      </w:r>
      <w:r w:rsidR="003E2664">
        <w:rPr>
          <w:rStyle w:val="Fodnotehenvisning"/>
        </w:rPr>
        <w:t xml:space="preserve"> </w:t>
      </w:r>
      <w:r w:rsidR="006517DC">
        <w:t xml:space="preserve">som var til stede ved købers </w:t>
      </w:r>
      <w:r w:rsidR="005673B7">
        <w:t>overtagelse af ejendommen, og som ikke er nævnt eller klart forkert beskrevet i tilstandsrapporten, jf. LFFE § 5, stk. 1, nr. 1. Der kan opstå en situation, hvor det ikke er muligt at indhente et tilbud på en ejerskifteforsikring, fordi der er så graverende fejl på ejendommen, at det er for risikabelt for forsikringsselskabet at indgå forsikri</w:t>
      </w:r>
      <w:r w:rsidR="005673B7">
        <w:t>n</w:t>
      </w:r>
      <w:r w:rsidR="00790C8B">
        <w:t>gen. Såfremt</w:t>
      </w:r>
      <w:r w:rsidR="005673B7">
        <w:t xml:space="preserve"> sælger skal opnå beskyttelse i denne situation, skal køber oplyses om</w:t>
      </w:r>
      <w:r w:rsidR="00B76AAA">
        <w:t>,</w:t>
      </w:r>
      <w:r w:rsidR="005673B7">
        <w:t xml:space="preserve"> hvilke særlige forhold ved den pågældende ejendoms fysiske tilstand, der medfører, at der ikke kan tegnes forsi</w:t>
      </w:r>
      <w:r w:rsidR="005673B7">
        <w:t>k</w:t>
      </w:r>
      <w:r w:rsidR="005673B7">
        <w:t>ring, jf. LFFE § 5, stk. 1, nr. 2. Dette skal meddeles skriftligt til køber for</w:t>
      </w:r>
      <w:r w:rsidR="002E5549">
        <w:t>,</w:t>
      </w:r>
      <w:r w:rsidR="005673B7">
        <w:t xml:space="preserve"> at sælger kan opnå b</w:t>
      </w:r>
      <w:r w:rsidR="005673B7">
        <w:t>e</w:t>
      </w:r>
      <w:r w:rsidR="005673B7">
        <w:t>skyttelse.</w:t>
      </w:r>
    </w:p>
    <w:p w14:paraId="3227BA80" w14:textId="77777777" w:rsidR="002E5549" w:rsidRDefault="002E5549" w:rsidP="001A79AD"/>
    <w:p w14:paraId="392A9E76" w14:textId="050FB7DA" w:rsidR="002E5549" w:rsidRDefault="002E5549" w:rsidP="001A79AD">
      <w:r>
        <w:t>Justitsministeriet har udarbejdet en bekendtgørelse om dækningsomfanget af ejerskifteforsikringer efter bemyndigelsen i LFFE § 5, stk. 3.</w:t>
      </w:r>
      <w:r w:rsidR="00E07BAF">
        <w:rPr>
          <w:rStyle w:val="Fodnotehenvisning"/>
        </w:rPr>
        <w:footnoteReference w:id="27"/>
      </w:r>
      <w:r>
        <w:t xml:space="preserve"> </w:t>
      </w:r>
      <w:r w:rsidR="003E2664">
        <w:t>ESBK</w:t>
      </w:r>
      <w:r w:rsidR="00266ADC">
        <w:t xml:space="preserve"> </w:t>
      </w:r>
      <w:r>
        <w:t>beskriver de nærmere krav til ejerskifteforsikri</w:t>
      </w:r>
      <w:r>
        <w:t>n</w:t>
      </w:r>
      <w:r>
        <w:t>gens dækningsomfang, mens de specifikke krav til selve dæknin</w:t>
      </w:r>
      <w:r w:rsidR="003E530A">
        <w:t>gen er beskrevet i bilaget til b</w:t>
      </w:r>
      <w:r w:rsidR="003E530A">
        <w:t>e</w:t>
      </w:r>
      <w:r w:rsidR="003E530A">
        <w:t>kendtgørelsen</w:t>
      </w:r>
      <w:r w:rsidR="00266ADC">
        <w:t xml:space="preserve">. </w:t>
      </w:r>
      <w:r w:rsidR="00E07BAF">
        <w:t>I dette speciale er det</w:t>
      </w:r>
      <w:r w:rsidR="007063D1">
        <w:t xml:space="preserve"> i denne sammenhæng</w:t>
      </w:r>
      <w:r w:rsidR="00E07BAF">
        <w:t xml:space="preserve"> en af undtagelserne til dækningsomfa</w:t>
      </w:r>
      <w:r w:rsidR="00E07BAF">
        <w:t>n</w:t>
      </w:r>
      <w:r w:rsidR="00E07BAF">
        <w:t>get, som e</w:t>
      </w:r>
      <w:r w:rsidR="00174C87">
        <w:t>r interessant:</w:t>
      </w:r>
    </w:p>
    <w:p w14:paraId="6AC68839" w14:textId="77777777" w:rsidR="00E07BAF" w:rsidRDefault="00E07BAF" w:rsidP="001A79AD"/>
    <w:p w14:paraId="5E023294" w14:textId="3D689C62" w:rsidR="00E07BAF" w:rsidRDefault="00E07BAF" w:rsidP="00CA3284">
      <w:pPr>
        <w:ind w:left="284" w:right="418"/>
        <w:jc w:val="center"/>
        <w:rPr>
          <w:i/>
        </w:rPr>
      </w:pPr>
      <w:r>
        <w:rPr>
          <w:i/>
        </w:rPr>
        <w:t>”Følgende er undtaget fra den anførte forsikringsdækning: …forhold vedrørende bygni</w:t>
      </w:r>
      <w:r>
        <w:rPr>
          <w:i/>
        </w:rPr>
        <w:t>n</w:t>
      </w:r>
      <w:r>
        <w:rPr>
          <w:i/>
        </w:rPr>
        <w:t>gens</w:t>
      </w:r>
      <w:r w:rsidR="00BA4393">
        <w:rPr>
          <w:i/>
        </w:rPr>
        <w:t xml:space="preserve"> overensstemmelse med servitutter eller lovlighed i henhold til offentligretlige forskri</w:t>
      </w:r>
      <w:r w:rsidR="00BA4393">
        <w:rPr>
          <w:i/>
        </w:rPr>
        <w:t>f</w:t>
      </w:r>
      <w:r w:rsidR="00BA4393">
        <w:rPr>
          <w:i/>
        </w:rPr>
        <w:t>ter…, medmindre der som følge af det pågældende forhold er sket en skade eller er nærli</w:t>
      </w:r>
      <w:r w:rsidR="00BA4393">
        <w:rPr>
          <w:i/>
        </w:rPr>
        <w:t>g</w:t>
      </w:r>
      <w:r w:rsidR="00BA4393">
        <w:rPr>
          <w:i/>
        </w:rPr>
        <w:t>gende risiko for skade, jf. bilagets nr. 2”</w:t>
      </w:r>
      <w:r w:rsidR="00BA4393">
        <w:rPr>
          <w:rStyle w:val="Fodnotehenvisning"/>
          <w:i/>
        </w:rPr>
        <w:footnoteReference w:id="28"/>
      </w:r>
    </w:p>
    <w:p w14:paraId="6C2A1676" w14:textId="77777777" w:rsidR="00024509" w:rsidRDefault="00024509" w:rsidP="001A79AD">
      <w:pPr>
        <w:jc w:val="center"/>
        <w:rPr>
          <w:i/>
        </w:rPr>
      </w:pPr>
    </w:p>
    <w:p w14:paraId="25AC9B77" w14:textId="4D353EBF" w:rsidR="00024509" w:rsidRDefault="00024509" w:rsidP="001A79AD">
      <w:r>
        <w:t xml:space="preserve">Ovenstående bestemmelse vil blive gennemgået i </w:t>
      </w:r>
      <w:r w:rsidRPr="001E7532">
        <w:t>afsnit</w:t>
      </w:r>
      <w:r w:rsidR="001E7532">
        <w:t xml:space="preserve"> 3.2.3 om risiko for skade</w:t>
      </w:r>
      <w:r>
        <w:t>.</w:t>
      </w:r>
    </w:p>
    <w:p w14:paraId="5FA95CE2" w14:textId="77777777" w:rsidR="003722FD" w:rsidRDefault="003722FD" w:rsidP="001A79AD"/>
    <w:p w14:paraId="7F5D3D1D" w14:textId="470CCFDB" w:rsidR="003722FD" w:rsidRPr="00E07BAF" w:rsidRDefault="003722FD" w:rsidP="001A79AD">
      <w:r>
        <w:t>Sammenfattende skal sælger indhente et tilbud om en ejerskifteforsikring til køber, og denne eje</w:t>
      </w:r>
      <w:r>
        <w:t>r</w:t>
      </w:r>
      <w:r>
        <w:t>skifteforsikrings indhold</w:t>
      </w:r>
      <w:r w:rsidR="00312DFA">
        <w:t xml:space="preserve"> og dækningsomfanget</w:t>
      </w:r>
      <w:r>
        <w:t xml:space="preserve"> er afdækket af ESBK. Elinstallationer er undtaget fra dækningsomfanget.</w:t>
      </w:r>
    </w:p>
    <w:p w14:paraId="22501725" w14:textId="697A4520" w:rsidR="00050992" w:rsidRDefault="001309E8" w:rsidP="001A79AD">
      <w:pPr>
        <w:pStyle w:val="Overskrift3"/>
      </w:pPr>
      <w:bookmarkStart w:id="18" w:name="_Toc179963421"/>
      <w:r>
        <w:t xml:space="preserve">2.3.3 </w:t>
      </w:r>
      <w:r w:rsidR="00050992">
        <w:t>Betaling af præmie</w:t>
      </w:r>
      <w:bookmarkEnd w:id="18"/>
    </w:p>
    <w:p w14:paraId="23DAD67E" w14:textId="5E1972F7" w:rsidR="00FE3BCB" w:rsidRDefault="00FE3BCB" w:rsidP="001A79AD">
      <w:r>
        <w:t xml:space="preserve">Dette afsnit omhandler sælgers pligt til at tilbyde at betale halvdelen af præmien til den tilbudte ejerskifteforsikring. Selve ejerskifteforsikringen og dens indhold er behandlet i </w:t>
      </w:r>
      <w:r w:rsidR="00F102C0" w:rsidRPr="00F102C0">
        <w:t>afsnit 2.3.2</w:t>
      </w:r>
      <w:r>
        <w:t xml:space="preserve"> om </w:t>
      </w:r>
      <w:r w:rsidR="00C07AFF">
        <w:t>eje</w:t>
      </w:r>
      <w:r w:rsidR="00C07AFF">
        <w:t>r</w:t>
      </w:r>
      <w:r w:rsidR="00C07AFF">
        <w:t>skifte</w:t>
      </w:r>
      <w:r w:rsidR="00F102C0">
        <w:t>forsikringer ovenfor.</w:t>
      </w:r>
    </w:p>
    <w:p w14:paraId="2573C3F5" w14:textId="77777777" w:rsidR="00C07AFF" w:rsidRDefault="00C07AFF" w:rsidP="001A79AD"/>
    <w:p w14:paraId="65316452" w14:textId="73B7EDFB" w:rsidR="00C07AFF" w:rsidRDefault="00C07AFF" w:rsidP="001A79AD">
      <w:r>
        <w:t>Når sælger fremkommer med tilbud om ejerskifteforsikring til køber, skal sælger samtidig fre</w:t>
      </w:r>
      <w:r>
        <w:t>m</w:t>
      </w:r>
      <w:r>
        <w:t>komme med et skriftligt og bindende løfte om at forpligte sig til a</w:t>
      </w:r>
      <w:r w:rsidR="00790C8B">
        <w:t xml:space="preserve">t </w:t>
      </w:r>
      <w:r w:rsidR="0073425C">
        <w:t>betale et beløb til køber</w:t>
      </w:r>
      <w:r>
        <w:t xml:space="preserve"> svarende til </w:t>
      </w:r>
      <w:r w:rsidR="00C50D6D">
        <w:t>mindst halvdelen af forsikringspræmien</w:t>
      </w:r>
      <w:r w:rsidR="00760AC1">
        <w:t>, såfremt køber</w:t>
      </w:r>
      <w:r w:rsidR="00672663">
        <w:t xml:space="preserve"> tegner denne eller en anden ejerskiftefo</w:t>
      </w:r>
      <w:r w:rsidR="00672663">
        <w:t>r</w:t>
      </w:r>
      <w:r w:rsidR="00672663">
        <w:t>sikring.</w:t>
      </w:r>
      <w:r>
        <w:t xml:space="preserve">, jf. LFFE § 2, stk. 3. </w:t>
      </w:r>
      <w:r w:rsidR="00672663">
        <w:t>Beløbet sælger skal tilbyde</w:t>
      </w:r>
      <w:r w:rsidR="00760AC1">
        <w:t>,</w:t>
      </w:r>
      <w:r w:rsidR="00672663">
        <w:t xml:space="preserve"> skal fremstå i rede penge, og må ikke f</w:t>
      </w:r>
      <w:r w:rsidR="00672663">
        <w:t>o</w:t>
      </w:r>
      <w:r w:rsidR="00672663">
        <w:t>reslås, som en reducering i købesummen eller tilbydes modregnet på anden måde.</w:t>
      </w:r>
      <w:r w:rsidR="008049CA">
        <w:rPr>
          <w:rStyle w:val="Fodnotehenvisning"/>
        </w:rPr>
        <w:footnoteReference w:id="29"/>
      </w:r>
      <w:r w:rsidR="00672663">
        <w:t xml:space="preserve"> </w:t>
      </w:r>
      <w:r w:rsidR="004F2AEA">
        <w:t>At løftet skal være bindende betyder, at løftet skal være uigenkaldeligt.</w:t>
      </w:r>
      <w:r w:rsidR="008049CA">
        <w:rPr>
          <w:rStyle w:val="Fodnotehenvisning"/>
        </w:rPr>
        <w:footnoteReference w:id="30"/>
      </w:r>
      <w:r w:rsidR="004F2AEA">
        <w:t xml:space="preserve"> Derudover må løftet ikke være betinget af andre krav, end dem der er fastsat i bestemmelsen, hvilket kan ses ud fra LFFE § 21, som b</w:t>
      </w:r>
      <w:r w:rsidR="004F2AEA">
        <w:t>e</w:t>
      </w:r>
      <w:r w:rsidR="004F2AEA">
        <w:t>stemmer</w:t>
      </w:r>
      <w:r w:rsidR="00790C8B">
        <w:t>,</w:t>
      </w:r>
      <w:r w:rsidR="004F2AEA">
        <w:t xml:space="preserve"> at loven ikke må fravig</w:t>
      </w:r>
      <w:r w:rsidR="00760AC1">
        <w:t>es til skade for hverken køber eller sælger</w:t>
      </w:r>
      <w:r w:rsidR="00672663">
        <w:t>.</w:t>
      </w:r>
      <w:r w:rsidR="00672663">
        <w:rPr>
          <w:rStyle w:val="Fodnotehenvisning"/>
        </w:rPr>
        <w:footnoteReference w:id="31"/>
      </w:r>
      <w:r w:rsidR="00760AC1">
        <w:t xml:space="preserve"> Hvis køber</w:t>
      </w:r>
      <w:r>
        <w:t xml:space="preserve"> vælger at tegne en anden ejers</w:t>
      </w:r>
      <w:r w:rsidR="00F964E8">
        <w:t>kifteforsikring end den sælger har tilbudt, skal sælger</w:t>
      </w:r>
      <w:r>
        <w:t xml:space="preserve"> imidlertid kun betale mindst halvdelen af præmien på</w:t>
      </w:r>
      <w:r w:rsidR="00760AC1">
        <w:t xml:space="preserve"> den forsikring, som sælger</w:t>
      </w:r>
      <w:r>
        <w:t xml:space="preserve"> har tilbudt.</w:t>
      </w:r>
      <w:r w:rsidR="008049CA">
        <w:rPr>
          <w:rStyle w:val="Fodnotehenvisning"/>
        </w:rPr>
        <w:footnoteReference w:id="32"/>
      </w:r>
      <w:r>
        <w:t xml:space="preserve"> Det er derfor kun præmien på den tilbudte ejerskifteforsikring, der kan anvendes til beregning af, hvor meget </w:t>
      </w:r>
      <w:r w:rsidR="00874421">
        <w:t>sælge</w:t>
      </w:r>
      <w:r w:rsidR="00760AC1">
        <w:t>r skal tilb</w:t>
      </w:r>
      <w:r w:rsidR="00760AC1">
        <w:t>y</w:t>
      </w:r>
      <w:r w:rsidR="00760AC1">
        <w:t>de køber</w:t>
      </w:r>
      <w:r w:rsidR="00874421">
        <w:t xml:space="preserve"> at betale.</w:t>
      </w:r>
      <w:r w:rsidR="001855A2">
        <w:t xml:space="preserve"> Såfremt sælger tilbyder at betale mindre end halvdelen af præmien på den tilbu</w:t>
      </w:r>
      <w:r w:rsidR="001855A2">
        <w:t>d</w:t>
      </w:r>
      <w:r w:rsidR="001855A2">
        <w:t>te ejerski</w:t>
      </w:r>
      <w:r w:rsidR="00760AC1">
        <w:t>fteforsikring, opfylder sælger</w:t>
      </w:r>
      <w:r w:rsidR="001855A2">
        <w:t xml:space="preserve"> ikke kravet, og falder derved udenfor LFFE’s anvendelse</w:t>
      </w:r>
      <w:r w:rsidR="001855A2">
        <w:t>s</w:t>
      </w:r>
      <w:r w:rsidR="001855A2">
        <w:t xml:space="preserve">område. </w:t>
      </w:r>
    </w:p>
    <w:p w14:paraId="4468F4C2" w14:textId="77777777" w:rsidR="00672663" w:rsidRDefault="00672663" w:rsidP="001A79AD"/>
    <w:p w14:paraId="09828A1A" w14:textId="061D3438" w:rsidR="00672663" w:rsidRDefault="00454A51" w:rsidP="001A79AD">
      <w:r>
        <w:t>Sælger</w:t>
      </w:r>
      <w:r w:rsidR="00672663">
        <w:t>s betalingsforpligtelse skal udløses, når kø</w:t>
      </w:r>
      <w:r>
        <w:t>bsaftalen er indgået, og køber</w:t>
      </w:r>
      <w:r w:rsidR="00672663">
        <w:t xml:space="preserve"> har indgået en bi</w:t>
      </w:r>
      <w:r w:rsidR="00672663">
        <w:t>n</w:t>
      </w:r>
      <w:r w:rsidR="00672663">
        <w:t xml:space="preserve">dende aftale med et forsikringsselskab om tegning af en ejerskifteforsikring, der </w:t>
      </w:r>
      <w:r w:rsidR="007D337D">
        <w:t>overholder</w:t>
      </w:r>
      <w:r w:rsidR="00672663">
        <w:t xml:space="preserve"> min</w:t>
      </w:r>
      <w:r w:rsidR="00672663">
        <w:t>i</w:t>
      </w:r>
      <w:r w:rsidR="00672663">
        <w:t>mumskravene.</w:t>
      </w:r>
      <w:r w:rsidR="008049CA">
        <w:t xml:space="preserve"> Det er uden betydning for sælgers betalingsforpligtelse om køber skal betale præm</w:t>
      </w:r>
      <w:r w:rsidR="008049CA">
        <w:t>i</w:t>
      </w:r>
      <w:r w:rsidR="008049CA">
        <w:t>en som et engangsbeløb eller over flere omgange.</w:t>
      </w:r>
      <w:r w:rsidR="008049CA">
        <w:rPr>
          <w:rStyle w:val="Fodnotehenvisning"/>
        </w:rPr>
        <w:footnoteReference w:id="33"/>
      </w:r>
    </w:p>
    <w:p w14:paraId="27B01914" w14:textId="77777777" w:rsidR="007D337D" w:rsidRDefault="007D337D" w:rsidP="001A79AD"/>
    <w:p w14:paraId="29BEDD66" w14:textId="7539BACB" w:rsidR="007D337D" w:rsidRPr="00FE3BCB" w:rsidRDefault="007D337D" w:rsidP="001A79AD">
      <w:r>
        <w:t>Derved er retstilstanden således, at sælger har indflydelse på, hvor meget denne skal betale til k</w:t>
      </w:r>
      <w:r>
        <w:t>ø</w:t>
      </w:r>
      <w:r>
        <w:t>ber</w:t>
      </w:r>
      <w:r w:rsidR="008049CA">
        <w:t>s forsikringspræmie</w:t>
      </w:r>
      <w:r w:rsidR="000F4C52">
        <w:t xml:space="preserve"> i form</w:t>
      </w:r>
      <w:r>
        <w:t xml:space="preserve"> af</w:t>
      </w:r>
      <w:r w:rsidR="00790C8B">
        <w:t>,</w:t>
      </w:r>
      <w:r>
        <w:t xml:space="preserve"> at det er sælger, som vælger hvilket forsikringsselskab, der skal afgive et ti</w:t>
      </w:r>
      <w:r w:rsidR="000F4C52">
        <w:t>lbud på en ejerskifteforsikring. D</w:t>
      </w:r>
      <w:r>
        <w:t>et er køber selv, der bestemmer om denne øns</w:t>
      </w:r>
      <w:r w:rsidR="000F4C52">
        <w:t>ker at tegne en ejerskifteforsikrin</w:t>
      </w:r>
      <w:r w:rsidR="00790C8B">
        <w:t>g</w:t>
      </w:r>
      <w:r w:rsidR="000F4C52">
        <w:t xml:space="preserve"> og </w:t>
      </w:r>
      <w:r w:rsidR="00F964E8">
        <w:t xml:space="preserve">i </w:t>
      </w:r>
      <w:r w:rsidR="000F4C52">
        <w:t>givet</w:t>
      </w:r>
      <w:r>
        <w:t xml:space="preserve"> f</w:t>
      </w:r>
      <w:r w:rsidR="00790C8B">
        <w:t>ald, hvilket forsikringsselskab</w:t>
      </w:r>
      <w:r>
        <w:t xml:space="preserve"> denne ønsker at tegne forsi</w:t>
      </w:r>
      <w:r>
        <w:t>k</w:t>
      </w:r>
      <w:r>
        <w:t>ringen hos.</w:t>
      </w:r>
      <w:r>
        <w:rPr>
          <w:rStyle w:val="Fodnotehenvisning"/>
        </w:rPr>
        <w:footnoteReference w:id="34"/>
      </w:r>
      <w:r>
        <w:t xml:space="preserve"> </w:t>
      </w:r>
    </w:p>
    <w:p w14:paraId="64F50F19" w14:textId="12BAB947" w:rsidR="00050992" w:rsidRDefault="001309E8" w:rsidP="001A79AD">
      <w:pPr>
        <w:pStyle w:val="Overskrift3"/>
      </w:pPr>
      <w:bookmarkStart w:id="19" w:name="_Toc179963422"/>
      <w:r>
        <w:t xml:space="preserve">2.3.4 </w:t>
      </w:r>
      <w:r w:rsidR="00050992">
        <w:t>Retsvirkningerne</w:t>
      </w:r>
      <w:bookmarkEnd w:id="19"/>
    </w:p>
    <w:p w14:paraId="5D12FEA3" w14:textId="70EB413E" w:rsidR="00A25B4A" w:rsidRDefault="00A25B4A" w:rsidP="001A79AD">
      <w:r>
        <w:t xml:space="preserve">Dette afsnit </w:t>
      </w:r>
      <w:r w:rsidR="00694C8E">
        <w:t>skildrer</w:t>
      </w:r>
      <w:r w:rsidR="00174C87">
        <w:t>, hvordan</w:t>
      </w:r>
      <w:r>
        <w:t xml:space="preserve"> sælger </w:t>
      </w:r>
      <w:r w:rsidR="009950FB">
        <w:t xml:space="preserve">skal </w:t>
      </w:r>
      <w:r>
        <w:t>s</w:t>
      </w:r>
      <w:r w:rsidR="009950FB">
        <w:t>ikre</w:t>
      </w:r>
      <w:r>
        <w:t xml:space="preserve"> sig</w:t>
      </w:r>
      <w:r w:rsidR="007A7712">
        <w:t>,</w:t>
      </w:r>
      <w:r>
        <w:t xml:space="preserve"> at køber er be</w:t>
      </w:r>
      <w:r w:rsidR="007A7712">
        <w:t>kendt med retsvirkningerne af sæ</w:t>
      </w:r>
      <w:r w:rsidR="007A7712">
        <w:t>l</w:t>
      </w:r>
      <w:r w:rsidR="007A7712">
        <w:t>gers udlevering af tilstandsrapport og tilbud på ejerskifteforsikring</w:t>
      </w:r>
      <w:r>
        <w:t>, således at sælger bliver om</w:t>
      </w:r>
      <w:r w:rsidR="009950FB">
        <w:t>fattet</w:t>
      </w:r>
      <w:r>
        <w:t xml:space="preserve"> af beskyttelsesordnin</w:t>
      </w:r>
      <w:r w:rsidR="007A7712">
        <w:t>gen</w:t>
      </w:r>
      <w:r w:rsidR="00606B23">
        <w:t>.</w:t>
      </w:r>
    </w:p>
    <w:p w14:paraId="41A2E08A" w14:textId="77777777" w:rsidR="00A25B4A" w:rsidRDefault="00A25B4A" w:rsidP="001A79AD"/>
    <w:p w14:paraId="47D6467B" w14:textId="0FDD779A" w:rsidR="004830EB" w:rsidRDefault="00A25B4A" w:rsidP="001A79AD">
      <w:r>
        <w:t>LFFE § 2, stk. 4 anfører</w:t>
      </w:r>
      <w:r w:rsidR="009950FB">
        <w:t>, at sælger, inden køber</w:t>
      </w:r>
      <w:r w:rsidR="007A7712">
        <w:t xml:space="preserve"> afgiver et bindende tilbud, skal sikre sig, at købe</w:t>
      </w:r>
      <w:r w:rsidR="009950FB">
        <w:t>r</w:t>
      </w:r>
      <w:r w:rsidR="007A7712">
        <w:t xml:space="preserve"> er bekendt me</w:t>
      </w:r>
      <w:r w:rsidR="009950FB">
        <w:t>d konsekvenserne af, at sælger</w:t>
      </w:r>
      <w:r w:rsidR="007A7712">
        <w:t xml:space="preserve"> har valgt at udlevere en tilstandsrapport og et tilbud på en ejerskifteforsikring. At ”sikre sig” henviser til</w:t>
      </w:r>
      <w:r w:rsidR="00454A51">
        <w:t>, at sælger</w:t>
      </w:r>
      <w:r w:rsidR="009950FB">
        <w:t xml:space="preserve"> ikke blot kan udarbejde</w:t>
      </w:r>
      <w:r w:rsidR="007A7712">
        <w:t xml:space="preserve"> et standardd</w:t>
      </w:r>
      <w:r w:rsidR="007A7712">
        <w:t>o</w:t>
      </w:r>
      <w:r w:rsidR="007A7712">
        <w:t>kument, som bliver vedhæftet købsaftalen.</w:t>
      </w:r>
      <w:r w:rsidR="009950FB">
        <w:rPr>
          <w:rStyle w:val="Fodnotehenvisning"/>
        </w:rPr>
        <w:footnoteReference w:id="35"/>
      </w:r>
      <w:r w:rsidR="00454A51">
        <w:t xml:space="preserve"> Sælger</w:t>
      </w:r>
      <w:r w:rsidR="007A7712">
        <w:t xml:space="preserve"> skal være sikker på</w:t>
      </w:r>
      <w:r w:rsidR="009950FB">
        <w:t>,</w:t>
      </w:r>
      <w:r w:rsidR="007A7712">
        <w:t xml:space="preserve"> at retsvirkningerne er kommet til købers kundskab. Der er ikke noget formkrav til</w:t>
      </w:r>
      <w:r w:rsidR="009950FB">
        <w:t>, hvordan informationen</w:t>
      </w:r>
      <w:r w:rsidR="007A7712">
        <w:t xml:space="preserve"> skal gives, men i bevismæssig hens</w:t>
      </w:r>
      <w:r w:rsidR="00790C8B">
        <w:t>eende</w:t>
      </w:r>
      <w:r w:rsidR="00F964E8">
        <w:t xml:space="preserve"> vil det være mest hensigtsmæssigt</w:t>
      </w:r>
      <w:r w:rsidR="007A7712">
        <w:t xml:space="preserve"> for sælger at sikre sig, at køber bliver b</w:t>
      </w:r>
      <w:r w:rsidR="00606B23">
        <w:t>ekendt med retsvirkningerne ved</w:t>
      </w:r>
      <w:r w:rsidR="007A7712">
        <w:t xml:space="preserve"> at</w:t>
      </w:r>
      <w:r w:rsidR="00174C87">
        <w:t xml:space="preserve"> udforme et skriftligt dokument. I dette dokument</w:t>
      </w:r>
      <w:r w:rsidR="00B225F3">
        <w:t xml:space="preserve"> skal</w:t>
      </w:r>
      <w:r w:rsidR="007A7712">
        <w:t xml:space="preserve"> det</w:t>
      </w:r>
      <w:r w:rsidR="00B225F3">
        <w:t xml:space="preserve"> g</w:t>
      </w:r>
      <w:r w:rsidR="00B225F3">
        <w:t>ø</w:t>
      </w:r>
      <w:r w:rsidR="00B225F3">
        <w:t>res</w:t>
      </w:r>
      <w:r w:rsidR="007A7712">
        <w:t xml:space="preserve"> gjort klart for køber, hvad beskyttelsesordningen indeholder</w:t>
      </w:r>
      <w:r w:rsidR="00B225F3">
        <w:t>, og hvad den får</w:t>
      </w:r>
      <w:r w:rsidR="00F964E8">
        <w:t xml:space="preserve"> af</w:t>
      </w:r>
      <w:r w:rsidR="009400CB">
        <w:t xml:space="preserve"> betyd</w:t>
      </w:r>
      <w:r w:rsidR="00F964E8">
        <w:t>ning</w:t>
      </w:r>
      <w:r w:rsidR="009400CB">
        <w:t xml:space="preserve"> for køber</w:t>
      </w:r>
      <w:r w:rsidR="007A7712">
        <w:t>.</w:t>
      </w:r>
      <w:r w:rsidR="009950FB">
        <w:rPr>
          <w:rStyle w:val="Fodnotehenvisning"/>
        </w:rPr>
        <w:footnoteReference w:id="36"/>
      </w:r>
      <w:r w:rsidR="007A7712">
        <w:t xml:space="preserve"> </w:t>
      </w:r>
      <w:r w:rsidR="0088591B">
        <w:t>Bestemmelsen stiller ikke noget</w:t>
      </w:r>
      <w:r w:rsidR="004830EB">
        <w:t xml:space="preserve"> krav til den præci</w:t>
      </w:r>
      <w:r w:rsidR="009400CB">
        <w:t>se information,</w:t>
      </w:r>
      <w:r w:rsidR="004830EB">
        <w:t xml:space="preserve"> og derfor er det</w:t>
      </w:r>
      <w:r w:rsidR="0088591B">
        <w:t xml:space="preserve"> op til sælger, hvor meget denne vil gøre køber opmærksom på, så længe sælger blot oplyser om retsvir</w:t>
      </w:r>
      <w:r w:rsidR="0088591B">
        <w:t>k</w:t>
      </w:r>
      <w:r w:rsidR="0088591B">
        <w:t>ningerne</w:t>
      </w:r>
      <w:r w:rsidR="004830EB">
        <w:t xml:space="preserve"> af ordningen</w:t>
      </w:r>
      <w:r w:rsidR="0088591B">
        <w:t>.</w:t>
      </w:r>
      <w:r w:rsidR="0088591B">
        <w:rPr>
          <w:rStyle w:val="Fodnotehenvisning"/>
        </w:rPr>
        <w:footnoteReference w:id="37"/>
      </w:r>
      <w:r w:rsidR="004830EB">
        <w:t xml:space="preserve"> </w:t>
      </w:r>
    </w:p>
    <w:p w14:paraId="6E5AF5DD" w14:textId="77777777" w:rsidR="004830EB" w:rsidRDefault="004830EB" w:rsidP="001A79AD"/>
    <w:p w14:paraId="57199F3C" w14:textId="79D6E512" w:rsidR="00A25B4A" w:rsidRDefault="004830EB" w:rsidP="001A79AD">
      <w:r>
        <w:t>Hvis det derimod fremkommer meget tydeligt, at køber er bistået af en advokat eller lignende, bor</w:t>
      </w:r>
      <w:r>
        <w:t>t</w:t>
      </w:r>
      <w:r w:rsidR="009400CB">
        <w:t>falder sælgers informations</w:t>
      </w:r>
      <w:r>
        <w:t>krav om retsvirkningerne, idet advokaten hermed overtager denne fo</w:t>
      </w:r>
      <w:r>
        <w:t>r</w:t>
      </w:r>
      <w:r>
        <w:t>pligtel</w:t>
      </w:r>
      <w:r w:rsidR="00A238F9">
        <w:t>se, jf. LFFE § 2, stk. 3, 2. pkt</w:t>
      </w:r>
      <w:r>
        <w:t>. Der skal d</w:t>
      </w:r>
      <w:r w:rsidR="00072141">
        <w:t>og være tale</w:t>
      </w:r>
      <w:r w:rsidR="009400CB">
        <w:t xml:space="preserve"> om</w:t>
      </w:r>
      <w:r w:rsidR="00072141">
        <w:t xml:space="preserve"> en rådgiver</w:t>
      </w:r>
      <w:r w:rsidR="00F964E8">
        <w:t>, som</w:t>
      </w:r>
      <w:r w:rsidR="009400CB">
        <w:t xml:space="preserve"> er </w:t>
      </w:r>
      <w:r>
        <w:t>dæk</w:t>
      </w:r>
      <w:r w:rsidR="009400CB">
        <w:t>ket af</w:t>
      </w:r>
      <w:r>
        <w:t xml:space="preserve"> en </w:t>
      </w:r>
      <w:r w:rsidR="00F964E8">
        <w:t xml:space="preserve">obligatorisk </w:t>
      </w:r>
      <w:r>
        <w:t xml:space="preserve">ansvarsforsikring, idet </w:t>
      </w:r>
      <w:r w:rsidR="00072141">
        <w:t>rådgiveren skal have mulighed for at få dækket et eventuelt e</w:t>
      </w:r>
      <w:r w:rsidR="00072141">
        <w:t>r</w:t>
      </w:r>
      <w:r w:rsidR="00072141">
        <w:t>statningsan</w:t>
      </w:r>
      <w:r w:rsidR="009400CB">
        <w:t xml:space="preserve">svar, som måtte </w:t>
      </w:r>
      <w:r w:rsidR="00072141">
        <w:t xml:space="preserve">opstå i forbindelse med fejlagtig rådgivning. Det er derfor ikke nok, </w:t>
      </w:r>
      <w:r w:rsidR="009400CB">
        <w:t>at</w:t>
      </w:r>
      <w:r w:rsidR="00072141">
        <w:t xml:space="preserve"> rådgive</w:t>
      </w:r>
      <w:r w:rsidR="009400CB">
        <w:t>ren har den fornødne viden. Denne skal drive</w:t>
      </w:r>
      <w:r w:rsidR="00072141">
        <w:t xml:space="preserve"> virksomhed som professionel rådgiver på o</w:t>
      </w:r>
      <w:r w:rsidR="00072141">
        <w:t>m</w:t>
      </w:r>
      <w:r w:rsidR="00072141">
        <w:t>rådet</w:t>
      </w:r>
      <w:r w:rsidR="009400CB">
        <w:t>, før denne kan erstatte sælgers informationspligt om retsvirkningerne af beskyttelsesordni</w:t>
      </w:r>
      <w:r w:rsidR="009400CB">
        <w:t>n</w:t>
      </w:r>
      <w:r w:rsidR="009400CB">
        <w:t>gen</w:t>
      </w:r>
      <w:r w:rsidR="00072141">
        <w:t>.</w:t>
      </w:r>
      <w:r w:rsidR="00072141">
        <w:rPr>
          <w:rStyle w:val="Fodnotehenvisning"/>
        </w:rPr>
        <w:footnoteReference w:id="38"/>
      </w:r>
    </w:p>
    <w:p w14:paraId="1EA84EAA" w14:textId="77777777" w:rsidR="0088591B" w:rsidRDefault="0088591B" w:rsidP="001A79AD"/>
    <w:p w14:paraId="39DE8A94" w14:textId="03A822CD" w:rsidR="0088591B" w:rsidRDefault="0088591B" w:rsidP="001A79AD">
      <w:r>
        <w:t>Køber har ikke noget valg med hensyn til om beskyttelsesordningen skal gælde eller ej, og derfor er det vigtigt</w:t>
      </w:r>
      <w:r w:rsidR="009400CB">
        <w:t>,</w:t>
      </w:r>
      <w:r>
        <w:t xml:space="preserve"> at køber er bekendt med</w:t>
      </w:r>
      <w:r w:rsidR="00072141">
        <w:t xml:space="preserve"> konsekvenserne, hvis denne anvendes</w:t>
      </w:r>
      <w:r w:rsidR="009400CB">
        <w:t>. Køber skal være bekendt med,</w:t>
      </w:r>
      <w:r>
        <w:t xml:space="preserve"> at fejl indeholdt i en tilstandsrapport ikke kan påberåbes senere, hverken overfor sælger eller overfor et forsikringsselsk</w:t>
      </w:r>
      <w:r w:rsidR="000F4C52">
        <w:t>ab, hvor en eventuel</w:t>
      </w:r>
      <w:r>
        <w:t xml:space="preserve"> ejerskifteforsikring er tegnet. Derud</w:t>
      </w:r>
      <w:r w:rsidR="009400CB">
        <w:t xml:space="preserve">over skal køber gøres </w:t>
      </w:r>
      <w:r>
        <w:t>klar</w:t>
      </w:r>
      <w:r w:rsidR="009400CB">
        <w:t>t</w:t>
      </w:r>
      <w:r>
        <w:t>, at det ikke er muligt</w:t>
      </w:r>
      <w:r w:rsidR="009400CB">
        <w:t>,</w:t>
      </w:r>
      <w:r>
        <w:t xml:space="preserve"> at påberåbe sig en bygnings fysiske tilstand</w:t>
      </w:r>
      <w:r w:rsidR="009400CB">
        <w:t xml:space="preserve"> overfor sælger</w:t>
      </w:r>
      <w:r w:rsidR="00072141">
        <w:t>,</w:t>
      </w:r>
      <w:r w:rsidR="009400CB">
        <w:t xml:space="preserve"> og heller ikke</w:t>
      </w:r>
      <w:r>
        <w:t xml:space="preserve"> udover</w:t>
      </w:r>
      <w:r w:rsidR="00F61B76">
        <w:t>,</w:t>
      </w:r>
      <w:r>
        <w:t xml:space="preserve"> hvad der står i tilstandsrappo</w:t>
      </w:r>
      <w:r w:rsidR="009400CB">
        <w:t>rten, idet sælger</w:t>
      </w:r>
      <w:r>
        <w:t xml:space="preserve"> er f</w:t>
      </w:r>
      <w:r w:rsidR="009400CB">
        <w:t>ritaget for dette ansvar. Det er</w:t>
      </w:r>
      <w:r>
        <w:t xml:space="preserve"> pålagt et forsikringssel</w:t>
      </w:r>
      <w:r w:rsidR="009400CB">
        <w:t xml:space="preserve">skab at </w:t>
      </w:r>
      <w:r w:rsidR="00F61B76">
        <w:t>af</w:t>
      </w:r>
      <w:r w:rsidR="009400CB">
        <w:t>dække dette</w:t>
      </w:r>
      <w:r>
        <w:t xml:space="preserve"> an</w:t>
      </w:r>
      <w:r w:rsidR="00072141">
        <w:t>svar mo</w:t>
      </w:r>
      <w:r w:rsidR="009400CB">
        <w:t>d den forudsætning, at køber</w:t>
      </w:r>
      <w:r>
        <w:t xml:space="preserve"> har tegnet en ejerskifteforsik</w:t>
      </w:r>
      <w:r w:rsidR="009400CB">
        <w:t>ring i pågældende selskab.</w:t>
      </w:r>
    </w:p>
    <w:p w14:paraId="162D6BD9" w14:textId="77777777" w:rsidR="00072141" w:rsidRDefault="00072141" w:rsidP="001A79AD"/>
    <w:p w14:paraId="678F0EB0" w14:textId="044419F1" w:rsidR="00072141" w:rsidRPr="00A25B4A" w:rsidRDefault="00072141" w:rsidP="001A79AD">
      <w:r>
        <w:t>Samlet gælder følgelig</w:t>
      </w:r>
      <w:r w:rsidR="009400CB">
        <w:t>,</w:t>
      </w:r>
      <w:r>
        <w:t xml:space="preserve"> at sælger skal oplyse køber om</w:t>
      </w:r>
      <w:r w:rsidR="009400CB">
        <w:t>,</w:t>
      </w:r>
      <w:r>
        <w:t xml:space="preserve"> at køber er blevet afskåret fra at påberåbe sig fysiske mangler overfor sælger, hvor disse må vise sig i fremtiden. Derudover skal sælger gøre køber opmærksom på</w:t>
      </w:r>
      <w:r w:rsidR="00606B23">
        <w:t>, hvad</w:t>
      </w:r>
      <w:r>
        <w:t xml:space="preserve"> konsekvenserne ved ikke at tegne en ejerski</w:t>
      </w:r>
      <w:r w:rsidR="007B25D7">
        <w:t>fteforsikring er,</w:t>
      </w:r>
      <w:r w:rsidR="00606B23">
        <w:t xml:space="preserve"> således at køber er gjort bekendt med muligheden </w:t>
      </w:r>
      <w:r w:rsidR="007B25D7">
        <w:t>for at komme til at stå med risikoen for mangler, selv.</w:t>
      </w:r>
    </w:p>
    <w:p w14:paraId="10500F0A" w14:textId="20629018" w:rsidR="00C94F91" w:rsidRDefault="001309E8" w:rsidP="001A79AD">
      <w:pPr>
        <w:pStyle w:val="Overskrift2"/>
      </w:pPr>
      <w:bookmarkStart w:id="20" w:name="_Toc179963423"/>
      <w:r>
        <w:t xml:space="preserve">2.4 </w:t>
      </w:r>
      <w:r w:rsidR="00C94F91">
        <w:t>Undtagelserne til sælgerbeskyttelsen</w:t>
      </w:r>
      <w:bookmarkEnd w:id="20"/>
    </w:p>
    <w:p w14:paraId="497D58B7" w14:textId="071E66FE" w:rsidR="00520D1A" w:rsidRDefault="00E55CE1" w:rsidP="001A79AD">
      <w:pPr>
        <w:rPr>
          <w:rFonts w:cs="Times New Roman"/>
        </w:rPr>
      </w:pPr>
      <w:r>
        <w:rPr>
          <w:rFonts w:cs="Times New Roman"/>
        </w:rPr>
        <w:t>Ovenfor er gennemgået</w:t>
      </w:r>
      <w:r w:rsidR="000F4C52">
        <w:rPr>
          <w:rFonts w:cs="Times New Roman"/>
        </w:rPr>
        <w:t>,</w:t>
      </w:r>
      <w:r>
        <w:rPr>
          <w:rFonts w:cs="Times New Roman"/>
        </w:rPr>
        <w:t xml:space="preserve"> hvilke betingelse</w:t>
      </w:r>
      <w:r w:rsidR="00003689">
        <w:rPr>
          <w:rFonts w:cs="Times New Roman"/>
        </w:rPr>
        <w:t>r</w:t>
      </w:r>
      <w:r>
        <w:rPr>
          <w:rFonts w:cs="Times New Roman"/>
        </w:rPr>
        <w:t xml:space="preserve"> sælger skal opfylde for, at opnå beskyttelse mod købers eve</w:t>
      </w:r>
      <w:r w:rsidR="00B225F3">
        <w:rPr>
          <w:rFonts w:cs="Times New Roman"/>
        </w:rPr>
        <w:t>ntuelle mangelskrav efter overt</w:t>
      </w:r>
      <w:r>
        <w:rPr>
          <w:rFonts w:cs="Times New Roman"/>
        </w:rPr>
        <w:t>agelsesdagen.</w:t>
      </w:r>
      <w:r w:rsidR="00F61B76">
        <w:rPr>
          <w:rFonts w:cs="Times New Roman"/>
        </w:rPr>
        <w:t xml:space="preserve"> Nedenfor</w:t>
      </w:r>
      <w:r w:rsidR="000473F1">
        <w:rPr>
          <w:rFonts w:cs="Times New Roman"/>
        </w:rPr>
        <w:t xml:space="preserve"> blive</w:t>
      </w:r>
      <w:r w:rsidR="00F61B76">
        <w:rPr>
          <w:rFonts w:cs="Times New Roman"/>
        </w:rPr>
        <w:t>r</w:t>
      </w:r>
      <w:r w:rsidR="000473F1">
        <w:rPr>
          <w:rFonts w:cs="Times New Roman"/>
        </w:rPr>
        <w:t xml:space="preserve"> behandlet de undtagelser, der er til sælgerbeskyttelsen, følgelig de områder, hvor sælger ikke kan opnå beskyttelse efter LFFE.</w:t>
      </w:r>
    </w:p>
    <w:p w14:paraId="723ED512" w14:textId="77777777" w:rsidR="00FC3D63" w:rsidRDefault="00FC3D63" w:rsidP="001A79AD">
      <w:pPr>
        <w:rPr>
          <w:rFonts w:cs="Times New Roman"/>
        </w:rPr>
      </w:pPr>
    </w:p>
    <w:p w14:paraId="6F8106ED" w14:textId="6F280C5F" w:rsidR="00FC3D63" w:rsidRDefault="00FC3D63" w:rsidP="001A79AD">
      <w:pPr>
        <w:rPr>
          <w:rFonts w:cs="Times New Roman"/>
        </w:rPr>
      </w:pPr>
      <w:r>
        <w:rPr>
          <w:rFonts w:cs="Times New Roman"/>
        </w:rPr>
        <w:t>LFFE § 2, stk. 5</w:t>
      </w:r>
      <w:r w:rsidR="00A238F9">
        <w:rPr>
          <w:rFonts w:cs="Times New Roman"/>
        </w:rPr>
        <w:t>, 1. pkt.</w:t>
      </w:r>
      <w:r w:rsidR="00F61B76">
        <w:rPr>
          <w:rFonts w:cs="Times New Roman"/>
        </w:rPr>
        <w:t xml:space="preserve"> anfører, at skader, der</w:t>
      </w:r>
      <w:r w:rsidR="00C13F3C">
        <w:rPr>
          <w:rFonts w:cs="Times New Roman"/>
        </w:rPr>
        <w:t xml:space="preserve"> er opstået efter udarbejdelsen af ti</w:t>
      </w:r>
      <w:r w:rsidR="00B225F3">
        <w:rPr>
          <w:rFonts w:cs="Times New Roman"/>
        </w:rPr>
        <w:t>lstandsrapporten, men før overt</w:t>
      </w:r>
      <w:r w:rsidR="00C13F3C">
        <w:rPr>
          <w:rFonts w:cs="Times New Roman"/>
        </w:rPr>
        <w:t>agelsesdagen, ikke er dækket af sælgers opnåede beskyttelse. At skaden skal være opstået efter udarbejdelsen af tilstandsrapporten betyder</w:t>
      </w:r>
      <w:r w:rsidR="00156D0E">
        <w:rPr>
          <w:rFonts w:cs="Times New Roman"/>
        </w:rPr>
        <w:t>,</w:t>
      </w:r>
      <w:r w:rsidR="00C13F3C">
        <w:rPr>
          <w:rFonts w:cs="Times New Roman"/>
        </w:rPr>
        <w:t xml:space="preserve"> at</w:t>
      </w:r>
      <w:r w:rsidR="00156D0E">
        <w:rPr>
          <w:rFonts w:cs="Times New Roman"/>
        </w:rPr>
        <w:t xml:space="preserve"> der skal være tale om en pludselig</w:t>
      </w:r>
      <w:r w:rsidR="007B25D7">
        <w:rPr>
          <w:rFonts w:cs="Times New Roman"/>
        </w:rPr>
        <w:t>t</w:t>
      </w:r>
      <w:r w:rsidR="00156D0E">
        <w:rPr>
          <w:rFonts w:cs="Times New Roman"/>
        </w:rPr>
        <w:t xml:space="preserve"> o</w:t>
      </w:r>
      <w:r w:rsidR="00156D0E">
        <w:rPr>
          <w:rFonts w:cs="Times New Roman"/>
        </w:rPr>
        <w:t>p</w:t>
      </w:r>
      <w:r w:rsidR="00156D0E">
        <w:rPr>
          <w:rFonts w:cs="Times New Roman"/>
        </w:rPr>
        <w:t>stået</w:t>
      </w:r>
      <w:r w:rsidR="00B225F3">
        <w:rPr>
          <w:rFonts w:cs="Times New Roman"/>
        </w:rPr>
        <w:t xml:space="preserve"> skade. Der må således</w:t>
      </w:r>
      <w:r w:rsidR="00156D0E">
        <w:rPr>
          <w:rFonts w:cs="Times New Roman"/>
        </w:rPr>
        <w:t xml:space="preserve"> ikke</w:t>
      </w:r>
      <w:r w:rsidR="00C13F3C">
        <w:rPr>
          <w:rFonts w:cs="Times New Roman"/>
        </w:rPr>
        <w:t xml:space="preserve"> være tale om en skade, som blot</w:t>
      </w:r>
      <w:r w:rsidR="00DE5A39">
        <w:rPr>
          <w:rFonts w:cs="Times New Roman"/>
        </w:rPr>
        <w:t xml:space="preserve"> viser sig efter udarbejdelsen, idet d</w:t>
      </w:r>
      <w:r w:rsidR="00C13F3C">
        <w:rPr>
          <w:rFonts w:cs="Times New Roman"/>
        </w:rPr>
        <w:t>is</w:t>
      </w:r>
      <w:r w:rsidR="00DE5A39">
        <w:rPr>
          <w:rFonts w:cs="Times New Roman"/>
        </w:rPr>
        <w:t>se</w:t>
      </w:r>
      <w:r w:rsidR="00C13F3C">
        <w:rPr>
          <w:rFonts w:cs="Times New Roman"/>
        </w:rPr>
        <w:t xml:space="preserve"> enten</w:t>
      </w:r>
      <w:r w:rsidR="00DE5A39">
        <w:rPr>
          <w:rFonts w:cs="Times New Roman"/>
        </w:rPr>
        <w:t xml:space="preserve"> er</w:t>
      </w:r>
      <w:r w:rsidR="00C13F3C">
        <w:rPr>
          <w:rFonts w:cs="Times New Roman"/>
        </w:rPr>
        <w:t xml:space="preserve"> dækket af en ejerskifteforsikring eller af den bygningssagkyndige.</w:t>
      </w:r>
      <w:r w:rsidR="00C13F3C">
        <w:rPr>
          <w:rStyle w:val="Fodnotehenvisning"/>
          <w:rFonts w:cs="Times New Roman"/>
        </w:rPr>
        <w:footnoteReference w:id="39"/>
      </w:r>
      <w:r w:rsidR="00156D0E">
        <w:rPr>
          <w:rFonts w:cs="Times New Roman"/>
        </w:rPr>
        <w:t xml:space="preserve"> Et eksempel </w:t>
      </w:r>
      <w:r w:rsidR="00DE5A39">
        <w:rPr>
          <w:rFonts w:cs="Times New Roman"/>
        </w:rPr>
        <w:t>på en pludselig opstået skade kan være</w:t>
      </w:r>
      <w:r w:rsidR="00156D0E">
        <w:rPr>
          <w:rFonts w:cs="Times New Roman"/>
        </w:rPr>
        <w:t xml:space="preserve"> en frostsprængning af et vandrør. Dette er en hændelig skade, som en bygningssagkyndig ikke ville kunne afdække før skadens indtræden.</w:t>
      </w:r>
      <w:r w:rsidR="00F61B76">
        <w:rPr>
          <w:rFonts w:cs="Times New Roman"/>
        </w:rPr>
        <w:t xml:space="preserve"> Det skal således</w:t>
      </w:r>
      <w:r w:rsidR="00DE5A39">
        <w:rPr>
          <w:rFonts w:cs="Times New Roman"/>
        </w:rPr>
        <w:t xml:space="preserve"> være tale om en hændelig skade, for at</w:t>
      </w:r>
      <w:r w:rsidR="00F61B76">
        <w:rPr>
          <w:rFonts w:cs="Times New Roman"/>
        </w:rPr>
        <w:t xml:space="preserve"> denne kan falde ind under</w:t>
      </w:r>
      <w:r w:rsidR="00DE5A39">
        <w:rPr>
          <w:rFonts w:cs="Times New Roman"/>
        </w:rPr>
        <w:t xml:space="preserve"> undtagelsesbestemmelse</w:t>
      </w:r>
      <w:r w:rsidR="00F61B76">
        <w:rPr>
          <w:rFonts w:cs="Times New Roman"/>
        </w:rPr>
        <w:t>n</w:t>
      </w:r>
      <w:r w:rsidR="00DE5A39">
        <w:rPr>
          <w:rFonts w:cs="Times New Roman"/>
        </w:rPr>
        <w:t>.</w:t>
      </w:r>
    </w:p>
    <w:p w14:paraId="7411928D" w14:textId="77777777" w:rsidR="00156D0E" w:rsidRDefault="00156D0E" w:rsidP="001A79AD">
      <w:pPr>
        <w:rPr>
          <w:rFonts w:cs="Times New Roman"/>
        </w:rPr>
      </w:pPr>
    </w:p>
    <w:p w14:paraId="0CE28A3F" w14:textId="4A22D793" w:rsidR="00156D0E" w:rsidRDefault="00A238F9" w:rsidP="001A79AD">
      <w:pPr>
        <w:rPr>
          <w:rFonts w:cs="Times New Roman"/>
        </w:rPr>
      </w:pPr>
      <w:r>
        <w:rPr>
          <w:rFonts w:cs="Times New Roman"/>
        </w:rPr>
        <w:t>I LFFE § 2, stk. 5, 1. pkt.</w:t>
      </w:r>
      <w:r w:rsidR="00156D0E">
        <w:rPr>
          <w:rFonts w:cs="Times New Roman"/>
        </w:rPr>
        <w:t xml:space="preserve"> findes endnu </w:t>
      </w:r>
      <w:r w:rsidR="00B225F3">
        <w:rPr>
          <w:rFonts w:cs="Times New Roman"/>
        </w:rPr>
        <w:t>en undtagelse. I bestemmelsen anføres</w:t>
      </w:r>
      <w:r w:rsidR="00156D0E">
        <w:rPr>
          <w:rFonts w:cs="Times New Roman"/>
        </w:rPr>
        <w:t>, at køber kan påber</w:t>
      </w:r>
      <w:r w:rsidR="00156D0E">
        <w:rPr>
          <w:rFonts w:cs="Times New Roman"/>
        </w:rPr>
        <w:t>å</w:t>
      </w:r>
      <w:r w:rsidR="00156D0E">
        <w:rPr>
          <w:rFonts w:cs="Times New Roman"/>
        </w:rPr>
        <w:t>be sig ulovlige bygningsindretninger og servitutter.</w:t>
      </w:r>
      <w:r w:rsidR="00DE5A39">
        <w:rPr>
          <w:rStyle w:val="Fodnotehenvisning"/>
          <w:rFonts w:cs="Times New Roman"/>
        </w:rPr>
        <w:footnoteReference w:id="40"/>
      </w:r>
      <w:r w:rsidR="00156D0E">
        <w:rPr>
          <w:rFonts w:cs="Times New Roman"/>
        </w:rPr>
        <w:t xml:space="preserve"> </w:t>
      </w:r>
      <w:r w:rsidR="00DE5A39">
        <w:rPr>
          <w:rFonts w:cs="Times New Roman"/>
        </w:rPr>
        <w:t>Servitutter</w:t>
      </w:r>
      <w:r w:rsidR="00C919FD">
        <w:rPr>
          <w:rFonts w:cs="Times New Roman"/>
        </w:rPr>
        <w:t xml:space="preserve"> kan påberåbes af køber</w:t>
      </w:r>
      <w:r w:rsidR="00DE5A39">
        <w:rPr>
          <w:rFonts w:cs="Times New Roman"/>
        </w:rPr>
        <w:t xml:space="preserve"> overfor sælger, hvor</w:t>
      </w:r>
      <w:r w:rsidR="00C919FD">
        <w:rPr>
          <w:rFonts w:cs="Times New Roman"/>
        </w:rPr>
        <w:t xml:space="preserve"> der er tale om vanhjemmel</w:t>
      </w:r>
      <w:r w:rsidR="002D437B">
        <w:rPr>
          <w:rFonts w:cs="Times New Roman"/>
        </w:rPr>
        <w:t xml:space="preserve"> og rådighedsmangler</w:t>
      </w:r>
      <w:r w:rsidR="00C919FD">
        <w:rPr>
          <w:rFonts w:cs="Times New Roman"/>
        </w:rPr>
        <w:t>.</w:t>
      </w:r>
      <w:r w:rsidR="00DA1E67">
        <w:rPr>
          <w:rFonts w:cs="Times New Roman"/>
        </w:rPr>
        <w:t xml:space="preserve"> Vanhjemmel</w:t>
      </w:r>
      <w:r w:rsidR="00C919FD">
        <w:rPr>
          <w:rFonts w:cs="Times New Roman"/>
        </w:rPr>
        <w:t xml:space="preserve"> falder udenfor LFFE’s anvendelsesområde</w:t>
      </w:r>
      <w:r w:rsidR="006779B8">
        <w:rPr>
          <w:rFonts w:cs="Times New Roman"/>
        </w:rPr>
        <w:t>, idet anvendelsesområdet er fysiske mangler, og vanhjemmel går under kateg</w:t>
      </w:r>
      <w:r w:rsidR="006779B8">
        <w:rPr>
          <w:rFonts w:cs="Times New Roman"/>
        </w:rPr>
        <w:t>o</w:t>
      </w:r>
      <w:r w:rsidR="006779B8">
        <w:rPr>
          <w:rFonts w:cs="Times New Roman"/>
        </w:rPr>
        <w:t>rien retsmangler</w:t>
      </w:r>
      <w:r w:rsidR="00C919FD">
        <w:rPr>
          <w:rFonts w:cs="Times New Roman"/>
        </w:rPr>
        <w:t xml:space="preserve">. </w:t>
      </w:r>
      <w:r w:rsidR="00DA1E67">
        <w:rPr>
          <w:rFonts w:cs="Times New Roman"/>
        </w:rPr>
        <w:t>Ved vanhjemmel foreligger der et objektivt ansvar for sælger.</w:t>
      </w:r>
      <w:r w:rsidR="00DA1E67">
        <w:rPr>
          <w:rStyle w:val="Fodnotehenvisning"/>
          <w:rFonts w:cs="Times New Roman"/>
        </w:rPr>
        <w:footnoteReference w:id="41"/>
      </w:r>
      <w:r w:rsidR="00DA1E67">
        <w:rPr>
          <w:rFonts w:cs="Times New Roman"/>
        </w:rPr>
        <w:t xml:space="preserve"> </w:t>
      </w:r>
      <w:r w:rsidR="00C919FD">
        <w:rPr>
          <w:rFonts w:cs="Times New Roman"/>
        </w:rPr>
        <w:t>Hvis der derimod er tale om rådighedsmangler, bliver sælger kun ansvarlig ved erstatningspådragende adfærd. Hertil gælder at reglerne for at ifalde et erstatningsansvar skal være opfyldt.</w:t>
      </w:r>
      <w:r w:rsidR="00C919FD">
        <w:rPr>
          <w:rStyle w:val="Fodnotehenvisning"/>
          <w:rFonts w:cs="Times New Roman"/>
        </w:rPr>
        <w:footnoteReference w:id="42"/>
      </w:r>
    </w:p>
    <w:p w14:paraId="2E67C416" w14:textId="77777777" w:rsidR="004D6D2A" w:rsidRDefault="004D6D2A" w:rsidP="001A79AD">
      <w:pPr>
        <w:rPr>
          <w:rFonts w:cs="Times New Roman"/>
        </w:rPr>
      </w:pPr>
    </w:p>
    <w:p w14:paraId="5DDA47FF" w14:textId="7C3A9CD0" w:rsidR="004D6D2A" w:rsidRDefault="00B225F3" w:rsidP="001A79AD">
      <w:pPr>
        <w:rPr>
          <w:rFonts w:cs="Times New Roman"/>
        </w:rPr>
      </w:pPr>
      <w:r>
        <w:rPr>
          <w:rFonts w:cs="Times New Roman"/>
        </w:rPr>
        <w:t>Såfremt</w:t>
      </w:r>
      <w:r w:rsidR="004D6D2A">
        <w:rPr>
          <w:rFonts w:cs="Times New Roman"/>
        </w:rPr>
        <w:t xml:space="preserve"> sælger yder en garanti til køber, kan køber påberåbe sig denne garanti</w:t>
      </w:r>
      <w:r w:rsidR="00DA1E67">
        <w:rPr>
          <w:rFonts w:cs="Times New Roman"/>
        </w:rPr>
        <w:t xml:space="preserve"> på trods af, </w:t>
      </w:r>
      <w:r w:rsidR="004D6D2A">
        <w:rPr>
          <w:rFonts w:cs="Times New Roman"/>
        </w:rPr>
        <w:t>at sælger har opnået beskyttelse mod fysiske mangler, jf. LFFE § 2</w:t>
      </w:r>
      <w:r w:rsidR="00A238F9">
        <w:rPr>
          <w:rFonts w:cs="Times New Roman"/>
        </w:rPr>
        <w:t>, stk. 5, 2. pkt</w:t>
      </w:r>
      <w:r w:rsidR="004D6D2A">
        <w:rPr>
          <w:rFonts w:cs="Times New Roman"/>
        </w:rPr>
        <w:t>. En garanti kan være givet stilti</w:t>
      </w:r>
      <w:r w:rsidR="0065299C">
        <w:rPr>
          <w:rFonts w:cs="Times New Roman"/>
        </w:rPr>
        <w:t>ende eller som en egentlig garanti-erklæring</w:t>
      </w:r>
      <w:r w:rsidR="004D6D2A">
        <w:rPr>
          <w:rFonts w:cs="Times New Roman"/>
        </w:rPr>
        <w:t>. En privat sælger kan ikke afgive en blanco-garanti.</w:t>
      </w:r>
      <w:r w:rsidR="0065299C">
        <w:rPr>
          <w:rStyle w:val="Fodnotehenvisning"/>
          <w:rFonts w:cs="Times New Roman"/>
        </w:rPr>
        <w:footnoteReference w:id="43"/>
      </w:r>
      <w:r w:rsidR="004D6D2A">
        <w:rPr>
          <w:rFonts w:cs="Times New Roman"/>
        </w:rPr>
        <w:t xml:space="preserve"> Der skal være tale om garanti af et bestemt forhold, før end det falder ind under </w:t>
      </w:r>
      <w:r w:rsidR="00DA1E67">
        <w:rPr>
          <w:rFonts w:cs="Times New Roman"/>
        </w:rPr>
        <w:t>anligge</w:t>
      </w:r>
      <w:r w:rsidR="00DA1E67">
        <w:rPr>
          <w:rFonts w:cs="Times New Roman"/>
        </w:rPr>
        <w:t>n</w:t>
      </w:r>
      <w:r w:rsidR="00DA1E67">
        <w:rPr>
          <w:rFonts w:cs="Times New Roman"/>
        </w:rPr>
        <w:t>der</w:t>
      </w:r>
      <w:r w:rsidR="004D6D2A">
        <w:rPr>
          <w:rFonts w:cs="Times New Roman"/>
        </w:rPr>
        <w:t>, som køber kan påberåbe sig</w:t>
      </w:r>
      <w:r w:rsidR="00F61B76">
        <w:rPr>
          <w:rFonts w:cs="Times New Roman"/>
        </w:rPr>
        <w:t xml:space="preserve"> overfor sælger</w:t>
      </w:r>
      <w:r w:rsidR="004D6D2A">
        <w:rPr>
          <w:rFonts w:cs="Times New Roman"/>
        </w:rPr>
        <w:t>. At køber kan påberåbe sig en garanti er ikke det samme som, at sælger er ansvarlig. Erstatningsbetingelserne skal være opfyldt</w:t>
      </w:r>
      <w:r w:rsidR="0065299C">
        <w:rPr>
          <w:rFonts w:cs="Times New Roman"/>
        </w:rPr>
        <w:t>, før end sælger bliver ansvarlig.</w:t>
      </w:r>
      <w:r w:rsidR="0065299C">
        <w:rPr>
          <w:rStyle w:val="Fodnotehenvisning"/>
          <w:rFonts w:cs="Times New Roman"/>
        </w:rPr>
        <w:footnoteReference w:id="44"/>
      </w:r>
      <w:r w:rsidR="004D6D2A">
        <w:rPr>
          <w:rFonts w:cs="Times New Roman"/>
        </w:rPr>
        <w:t xml:space="preserve"> </w:t>
      </w:r>
    </w:p>
    <w:p w14:paraId="7F76F0A7" w14:textId="77777777" w:rsidR="0065299C" w:rsidRDefault="0065299C" w:rsidP="001A79AD">
      <w:pPr>
        <w:rPr>
          <w:rFonts w:cs="Times New Roman"/>
        </w:rPr>
      </w:pPr>
    </w:p>
    <w:p w14:paraId="10FB3A78" w14:textId="391C2ABB" w:rsidR="0065299C" w:rsidRDefault="0065299C" w:rsidP="001A79AD">
      <w:pPr>
        <w:rPr>
          <w:rFonts w:cs="Times New Roman"/>
        </w:rPr>
      </w:pPr>
      <w:r>
        <w:rPr>
          <w:rFonts w:cs="Times New Roman"/>
        </w:rPr>
        <w:t>Sælger kan ikke blive fritaget for ansvar, når denne har handlet svigagtigt eller groft uagtsomt</w:t>
      </w:r>
      <w:r w:rsidR="00A238F9">
        <w:rPr>
          <w:rFonts w:cs="Times New Roman"/>
        </w:rPr>
        <w:t>, jf. LFFE § 2. stk. 5, 2. pkt.</w:t>
      </w:r>
      <w:r w:rsidR="00DA1E67">
        <w:rPr>
          <w:rFonts w:cs="Times New Roman"/>
        </w:rPr>
        <w:t xml:space="preserve"> Dette gælder kun de forhold</w:t>
      </w:r>
      <w:r w:rsidR="00F61B76">
        <w:rPr>
          <w:rFonts w:cs="Times New Roman"/>
        </w:rPr>
        <w:t>,</w:t>
      </w:r>
      <w:r w:rsidR="00DA1E67">
        <w:rPr>
          <w:rFonts w:cs="Times New Roman"/>
        </w:rPr>
        <w:t xml:space="preserve"> der omfatter svigagtig adfærd, og ikke hele sælgerbeskyttelsen, således at sælger stadig opnår beskyttelse for andre fysiske mangler på eje</w:t>
      </w:r>
      <w:r w:rsidR="00DA1E67">
        <w:rPr>
          <w:rFonts w:cs="Times New Roman"/>
        </w:rPr>
        <w:t>n</w:t>
      </w:r>
      <w:r w:rsidR="00DA1E67">
        <w:rPr>
          <w:rFonts w:cs="Times New Roman"/>
        </w:rPr>
        <w:t xml:space="preserve">dommen. </w:t>
      </w:r>
      <w:r w:rsidR="00454A51">
        <w:rPr>
          <w:rFonts w:cs="Times New Roman"/>
        </w:rPr>
        <w:t>Sælger</w:t>
      </w:r>
      <w:r>
        <w:rPr>
          <w:rFonts w:cs="Times New Roman"/>
        </w:rPr>
        <w:t xml:space="preserve"> skal</w:t>
      </w:r>
      <w:r w:rsidR="00DA1E67">
        <w:rPr>
          <w:rFonts w:cs="Times New Roman"/>
        </w:rPr>
        <w:t xml:space="preserve"> følgelig gøre den</w:t>
      </w:r>
      <w:r>
        <w:rPr>
          <w:rFonts w:cs="Times New Roman"/>
        </w:rPr>
        <w:t xml:space="preserve"> bygningssagkyndige opmærksom på, </w:t>
      </w:r>
      <w:r w:rsidR="00980315">
        <w:rPr>
          <w:rFonts w:cs="Times New Roman"/>
        </w:rPr>
        <w:t>hvis der er nogle sk</w:t>
      </w:r>
      <w:r w:rsidR="00980315">
        <w:rPr>
          <w:rFonts w:cs="Times New Roman"/>
        </w:rPr>
        <w:t>a</w:t>
      </w:r>
      <w:r w:rsidR="00980315">
        <w:rPr>
          <w:rFonts w:cs="Times New Roman"/>
        </w:rPr>
        <w:t>der, som det må stå klart for sælger, at den bygningssagkyndige ikke vil opdage ved sin genne</w:t>
      </w:r>
      <w:r w:rsidR="00980315">
        <w:rPr>
          <w:rFonts w:cs="Times New Roman"/>
        </w:rPr>
        <w:t>m</w:t>
      </w:r>
      <w:r w:rsidR="00980315">
        <w:rPr>
          <w:rFonts w:cs="Times New Roman"/>
        </w:rPr>
        <w:t>gang af ejendommen. Dette kunne fx. være</w:t>
      </w:r>
      <w:r w:rsidR="00F61B76">
        <w:rPr>
          <w:rFonts w:cs="Times New Roman"/>
        </w:rPr>
        <w:t>,</w:t>
      </w:r>
      <w:r w:rsidR="00980315">
        <w:rPr>
          <w:rFonts w:cs="Times New Roman"/>
        </w:rPr>
        <w:t xml:space="preserve"> at der trænger vand ind, når det regner mv.</w:t>
      </w:r>
      <w:r w:rsidR="00980315">
        <w:rPr>
          <w:rStyle w:val="Fodnotehenvisning"/>
          <w:rFonts w:cs="Times New Roman"/>
        </w:rPr>
        <w:footnoteReference w:id="45"/>
      </w:r>
      <w:r w:rsidR="00980315">
        <w:rPr>
          <w:rFonts w:cs="Times New Roman"/>
        </w:rPr>
        <w:t xml:space="preserve"> Sælgero</w:t>
      </w:r>
      <w:r w:rsidR="00980315">
        <w:rPr>
          <w:rFonts w:cs="Times New Roman"/>
        </w:rPr>
        <w:t>p</w:t>
      </w:r>
      <w:r w:rsidR="00980315">
        <w:rPr>
          <w:rFonts w:cs="Times New Roman"/>
        </w:rPr>
        <w:t>lysningsskemaet</w:t>
      </w:r>
      <w:r w:rsidR="00DA1E67">
        <w:rPr>
          <w:rFonts w:cs="Times New Roman"/>
        </w:rPr>
        <w:t xml:space="preserve"> er et skema</w:t>
      </w:r>
      <w:r w:rsidR="00980315">
        <w:rPr>
          <w:rFonts w:cs="Times New Roman"/>
        </w:rPr>
        <w:t>, som sælger og den bygningssagkyndige skal udfylde sammen ved udar</w:t>
      </w:r>
      <w:r w:rsidR="00DA1E67">
        <w:rPr>
          <w:rFonts w:cs="Times New Roman"/>
        </w:rPr>
        <w:t>bejdelse af en tilstandsrapport. Dette skema</w:t>
      </w:r>
      <w:r w:rsidR="00980315">
        <w:rPr>
          <w:rFonts w:cs="Times New Roman"/>
        </w:rPr>
        <w:t xml:space="preserve"> søger at imø</w:t>
      </w:r>
      <w:r w:rsidR="00DA1E67">
        <w:rPr>
          <w:rFonts w:cs="Times New Roman"/>
        </w:rPr>
        <w:t>degå ovenstående</w:t>
      </w:r>
      <w:r w:rsidR="00980315">
        <w:rPr>
          <w:rFonts w:cs="Times New Roman"/>
        </w:rPr>
        <w:t xml:space="preserve"> problem ved, at sæ</w:t>
      </w:r>
      <w:r w:rsidR="00980315">
        <w:rPr>
          <w:rFonts w:cs="Times New Roman"/>
        </w:rPr>
        <w:t>l</w:t>
      </w:r>
      <w:r w:rsidR="00980315">
        <w:rPr>
          <w:rFonts w:cs="Times New Roman"/>
        </w:rPr>
        <w:t>ger skal svare på spørgsmål om ejendommen</w:t>
      </w:r>
      <w:r w:rsidR="00DA1E67">
        <w:rPr>
          <w:rFonts w:cs="Times New Roman"/>
        </w:rPr>
        <w:t>. Derved bliver sælger opmærksom på, at denne skal oplyse den bygningssagkyndige om forhold, som sælger har fået eller burde få kendskab til ved at bebo ejendommen</w:t>
      </w:r>
      <w:r w:rsidR="00980315">
        <w:rPr>
          <w:rFonts w:cs="Times New Roman"/>
        </w:rPr>
        <w:t xml:space="preserve">. </w:t>
      </w:r>
      <w:r w:rsidR="00B225F3">
        <w:rPr>
          <w:rFonts w:cs="Times New Roman"/>
        </w:rPr>
        <w:t>Såfremt sælger ikke svarer</w:t>
      </w:r>
      <w:r w:rsidR="00980315">
        <w:rPr>
          <w:rFonts w:cs="Times New Roman"/>
        </w:rPr>
        <w:t xml:space="preserve"> korrekt på disse spørgsmål, kan sælger have handlet svigagtigt eller groft uagtsomt. Dette er en individuel vurdering i hvert enkelt tilfælde.</w:t>
      </w:r>
      <w:r w:rsidR="00980315">
        <w:rPr>
          <w:rStyle w:val="Fodnotehenvisning"/>
          <w:rFonts w:cs="Times New Roman"/>
        </w:rPr>
        <w:footnoteReference w:id="46"/>
      </w:r>
      <w:r w:rsidR="00980315">
        <w:rPr>
          <w:rFonts w:cs="Times New Roman"/>
        </w:rPr>
        <w:t xml:space="preserve"> </w:t>
      </w:r>
    </w:p>
    <w:p w14:paraId="40F0A2B7" w14:textId="77777777" w:rsidR="00980315" w:rsidRDefault="00980315" w:rsidP="001A79AD">
      <w:pPr>
        <w:rPr>
          <w:rFonts w:cs="Times New Roman"/>
        </w:rPr>
      </w:pPr>
    </w:p>
    <w:p w14:paraId="5F3910F9" w14:textId="00BB4BEF" w:rsidR="00BA3098" w:rsidRDefault="00980315" w:rsidP="001A79AD">
      <w:pPr>
        <w:rPr>
          <w:rFonts w:cs="Times New Roman"/>
        </w:rPr>
      </w:pPr>
      <w:r>
        <w:rPr>
          <w:rFonts w:cs="Times New Roman"/>
        </w:rPr>
        <w:t>Sidste undtagelse f</w:t>
      </w:r>
      <w:r w:rsidR="00A238F9">
        <w:rPr>
          <w:rFonts w:cs="Times New Roman"/>
        </w:rPr>
        <w:t>indes i LFFE § 2. stk. 5, 3. pkt.</w:t>
      </w:r>
      <w:r>
        <w:rPr>
          <w:rFonts w:cs="Times New Roman"/>
        </w:rPr>
        <w:t xml:space="preserve">, og </w:t>
      </w:r>
      <w:r w:rsidR="00B225F3">
        <w:rPr>
          <w:rFonts w:cs="Times New Roman"/>
        </w:rPr>
        <w:t>i denne anføres</w:t>
      </w:r>
      <w:r>
        <w:rPr>
          <w:rFonts w:cs="Times New Roman"/>
        </w:rPr>
        <w:t>, at køber kan gøre ersta</w:t>
      </w:r>
      <w:r>
        <w:rPr>
          <w:rFonts w:cs="Times New Roman"/>
        </w:rPr>
        <w:t>t</w:t>
      </w:r>
      <w:r>
        <w:rPr>
          <w:rFonts w:cs="Times New Roman"/>
        </w:rPr>
        <w:t>ningsansvar gældende efter almindelige regler, hvis sælger har opført bygningen med salg for øje. Hensigten med denne bestemmelse er, at sælger kan blive fritaget for</w:t>
      </w:r>
      <w:r w:rsidR="00DA1E67">
        <w:rPr>
          <w:rFonts w:cs="Times New Roman"/>
        </w:rPr>
        <w:t>,</w:t>
      </w:r>
      <w:r>
        <w:rPr>
          <w:rFonts w:cs="Times New Roman"/>
        </w:rPr>
        <w:t xml:space="preserve"> at køber hæver eller påber</w:t>
      </w:r>
      <w:r>
        <w:rPr>
          <w:rFonts w:cs="Times New Roman"/>
        </w:rPr>
        <w:t>å</w:t>
      </w:r>
      <w:r>
        <w:rPr>
          <w:rFonts w:cs="Times New Roman"/>
        </w:rPr>
        <w:t>ber sig forholdsmæssigt afslag ved, at sælger opfylder de betingelser, der er til at opnå beskyttelse, men</w:t>
      </w:r>
      <w:r w:rsidR="00F61B76">
        <w:rPr>
          <w:rFonts w:cs="Times New Roman"/>
        </w:rPr>
        <w:t xml:space="preserve"> sælger kan ikke opnå beskyttelse</w:t>
      </w:r>
      <w:r>
        <w:rPr>
          <w:rFonts w:cs="Times New Roman"/>
        </w:rPr>
        <w:t xml:space="preserve"> for erstatningsansvar, når denne fremtræder som bygherre.</w:t>
      </w:r>
    </w:p>
    <w:p w14:paraId="3A3C8B64" w14:textId="77777777" w:rsidR="00DA1E67" w:rsidRDefault="00DA1E67" w:rsidP="001A79AD">
      <w:pPr>
        <w:rPr>
          <w:rFonts w:cs="Times New Roman"/>
        </w:rPr>
      </w:pPr>
    </w:p>
    <w:p w14:paraId="0DDD09E3" w14:textId="79FF942B" w:rsidR="007F41B3" w:rsidRDefault="00DA1E67" w:rsidP="007F41B3">
      <w:pPr>
        <w:rPr>
          <w:rFonts w:cs="Times New Roman"/>
        </w:rPr>
      </w:pPr>
      <w:r>
        <w:rPr>
          <w:rFonts w:cs="Times New Roman"/>
        </w:rPr>
        <w:t>Samlet gælder beskyttelsesordningen ikke for skader</w:t>
      </w:r>
      <w:r w:rsidR="00F61B76">
        <w:rPr>
          <w:rFonts w:cs="Times New Roman"/>
        </w:rPr>
        <w:t>,</w:t>
      </w:r>
      <w:r>
        <w:rPr>
          <w:rFonts w:cs="Times New Roman"/>
        </w:rPr>
        <w:t xml:space="preserve"> der opstår efter tilstandsrapportens udarbe</w:t>
      </w:r>
      <w:r>
        <w:rPr>
          <w:rFonts w:cs="Times New Roman"/>
        </w:rPr>
        <w:t>j</w:t>
      </w:r>
      <w:r>
        <w:rPr>
          <w:rFonts w:cs="Times New Roman"/>
        </w:rPr>
        <w:t>del</w:t>
      </w:r>
      <w:r w:rsidR="00F61B76">
        <w:rPr>
          <w:rFonts w:cs="Times New Roman"/>
        </w:rPr>
        <w:t>se og inden overt</w:t>
      </w:r>
      <w:r>
        <w:rPr>
          <w:rFonts w:cs="Times New Roman"/>
        </w:rPr>
        <w:t xml:space="preserve">agelsesdagen, </w:t>
      </w:r>
      <w:r w:rsidR="003F295E">
        <w:rPr>
          <w:rFonts w:cs="Times New Roman"/>
        </w:rPr>
        <w:t>ulovlige bygningsindretninger og servitutter, svigagtig eller groft uagtsom adfærd fra sælgers side, hvis sælger har ydet en garanti og for bygninger</w:t>
      </w:r>
      <w:r w:rsidR="00F61B76">
        <w:rPr>
          <w:rFonts w:cs="Times New Roman"/>
        </w:rPr>
        <w:t>,</w:t>
      </w:r>
      <w:r w:rsidR="003F295E">
        <w:rPr>
          <w:rFonts w:cs="Times New Roman"/>
        </w:rPr>
        <w:t xml:space="preserve"> der er opført med salg for øje af sælger. </w:t>
      </w:r>
    </w:p>
    <w:p w14:paraId="74C506C8" w14:textId="73D10F98" w:rsidR="00BA3098" w:rsidRDefault="00BA3098" w:rsidP="007F41B3">
      <w:pPr>
        <w:pStyle w:val="Overskrift1"/>
      </w:pPr>
      <w:r>
        <w:br w:type="column"/>
      </w:r>
      <w:bookmarkStart w:id="21" w:name="_Toc179963424"/>
      <w:r w:rsidR="00032F5F">
        <w:t xml:space="preserve">3.0 </w:t>
      </w:r>
      <w:r>
        <w:t>Ulovlige elinstallationer i LFFE</w:t>
      </w:r>
      <w:bookmarkEnd w:id="21"/>
    </w:p>
    <w:p w14:paraId="7FD7C241" w14:textId="20254C7E" w:rsidR="002E669A" w:rsidRPr="002E669A" w:rsidRDefault="009760E8" w:rsidP="002E669A">
      <w:r>
        <w:t xml:space="preserve">Med indførslen </w:t>
      </w:r>
      <w:r w:rsidR="00F61B76">
        <w:t>af beskyttelsesordningen i LFFE</w:t>
      </w:r>
      <w:r>
        <w:t xml:space="preserve"> er der mange områder indenfor mangler ved fast ejendom, som hovedsageligt er flyttet fra domstolsregi over i forsikringsregi. Dette fordi, det nu ikke længere er sælger</w:t>
      </w:r>
      <w:r w:rsidR="00F61B76">
        <w:t>, der</w:t>
      </w:r>
      <w:r>
        <w:t xml:space="preserve"> hæfter for</w:t>
      </w:r>
      <w:r w:rsidR="00F61B76">
        <w:t xml:space="preserve"> mangler, som er opstået før overt</w:t>
      </w:r>
      <w:r>
        <w:t>agelsesdagen</w:t>
      </w:r>
      <w:r w:rsidR="00F61B76">
        <w:t>,</w:t>
      </w:r>
      <w:r>
        <w:t xml:space="preserve"> men som f</w:t>
      </w:r>
      <w:r w:rsidR="00756D7D">
        <w:t>ørst er konstateret efter denne dag</w:t>
      </w:r>
      <w:r>
        <w:t xml:space="preserve">, </w:t>
      </w:r>
      <w:r w:rsidR="00756D7D">
        <w:t>men forsikringsselskabern</w:t>
      </w:r>
      <w:r w:rsidR="00B225F3">
        <w:t>e. Såfremt sælger opfylder en</w:t>
      </w:r>
      <w:r w:rsidR="00756D7D">
        <w:t xml:space="preserve"> nærmere</w:t>
      </w:r>
      <w:r w:rsidR="00B225F3">
        <w:t xml:space="preserve"> række</w:t>
      </w:r>
      <w:r w:rsidR="00756D7D">
        <w:t xml:space="preserve"> fastsatte krav, jf. afsnit 2.3</w:t>
      </w:r>
      <w:r w:rsidR="00F61B76">
        <w:t xml:space="preserve"> </w:t>
      </w:r>
      <w:r w:rsidR="00756D7D">
        <w:t>kan denne</w:t>
      </w:r>
      <w:r>
        <w:t xml:space="preserve"> blive fritaget for mangelsansvar</w:t>
      </w:r>
      <w:r w:rsidR="00756D7D">
        <w:t xml:space="preserve"> overfor køber.</w:t>
      </w:r>
      <w:r>
        <w:t xml:space="preserve"> Sælger flytter således ansvaret fra sig selv og over på enten køber eller et forsikringsselskab.</w:t>
      </w:r>
      <w:r>
        <w:rPr>
          <w:rStyle w:val="Fodnotehenvisning"/>
        </w:rPr>
        <w:footnoteReference w:id="47"/>
      </w:r>
      <w:r>
        <w:t xml:space="preserve"> Der er imi</w:t>
      </w:r>
      <w:r>
        <w:t>d</w:t>
      </w:r>
      <w:r>
        <w:t>lertid nogle områder tilbage, hvor sælger ikke kan blive fritaget for ansvar, og hvor sæl</w:t>
      </w:r>
      <w:r w:rsidR="00756D7D">
        <w:t xml:space="preserve">ger </w:t>
      </w:r>
      <w:r>
        <w:t>som u</w:t>
      </w:r>
      <w:r>
        <w:t>d</w:t>
      </w:r>
      <w:r>
        <w:t>gangspunkt hæf</w:t>
      </w:r>
      <w:r w:rsidR="00756D7D">
        <w:t>ter. Dette er blandt andet</w:t>
      </w:r>
      <w:r w:rsidR="00B02A38">
        <w:t xml:space="preserve"> forhold i strid med offentligretlige forskrifter</w:t>
      </w:r>
      <w:r>
        <w:t>, idet disse er indført som en undtagelse til sælgerbeskyttelsen i LFFE § 2, stk. 5, 1. pkt.</w:t>
      </w:r>
      <w:r w:rsidR="0041345D">
        <w:t xml:space="preserve"> I denne bestemmelse er det ikke gjort klart</w:t>
      </w:r>
      <w:r w:rsidR="00756D7D">
        <w:t>,</w:t>
      </w:r>
      <w:r w:rsidR="0041345D">
        <w:t xml:space="preserve"> hva</w:t>
      </w:r>
      <w:r w:rsidR="00B02A38">
        <w:t>d der skal falde ind under betegnelsen ”offentligretlige forskrifter”. B</w:t>
      </w:r>
      <w:r w:rsidR="00B02A38">
        <w:t>e</w:t>
      </w:r>
      <w:r w:rsidR="00B02A38">
        <w:t>stemmel</w:t>
      </w:r>
      <w:r w:rsidR="00B225F3">
        <w:t>sen er bredt formuleret, men har i praksis</w:t>
      </w:r>
      <w:r w:rsidR="00B02A38">
        <w:t xml:space="preserve"> et snævert anvendelsesområde. Dette bliver ge</w:t>
      </w:r>
      <w:r w:rsidR="00B02A38">
        <w:t>n</w:t>
      </w:r>
      <w:r w:rsidR="00B02A38">
        <w:t>nemgået nedenfor, hvor der vil være fokus på ulovlige elinstallationer.</w:t>
      </w:r>
    </w:p>
    <w:p w14:paraId="5C817227" w14:textId="237EE424" w:rsidR="000A3545" w:rsidRDefault="008A3FC5" w:rsidP="001A79AD">
      <w:pPr>
        <w:pStyle w:val="Overskrift2"/>
      </w:pPr>
      <w:bookmarkStart w:id="22" w:name="_Toc179963425"/>
      <w:r>
        <w:t xml:space="preserve">3.1 </w:t>
      </w:r>
      <w:r w:rsidR="000A3545">
        <w:t>Ulovlige bygningsindretninger</w:t>
      </w:r>
      <w:bookmarkEnd w:id="22"/>
    </w:p>
    <w:p w14:paraId="5D952A9F" w14:textId="492ED81B" w:rsidR="008260DD" w:rsidRPr="008260DD" w:rsidRDefault="00A238F9" w:rsidP="001A79AD">
      <w:r>
        <w:t>I LFFE § 2, stk. 5, 1 pkt.</w:t>
      </w:r>
      <w:r w:rsidR="0091075D">
        <w:t xml:space="preserve"> er anført, at køber kan påberåbe sig forhold, der strider imod en offentli</w:t>
      </w:r>
      <w:r w:rsidR="0091075D">
        <w:t>g</w:t>
      </w:r>
      <w:r w:rsidR="0091075D">
        <w:t>retlig forskrift. I bemærkningerne til lovforslaget</w:t>
      </w:r>
      <w:r w:rsidR="00271894">
        <w:t>s enkelte bestemmelser</w:t>
      </w:r>
      <w:r w:rsidR="0091075D">
        <w:t xml:space="preserve"> bliver en ulovlig bygning</w:t>
      </w:r>
      <w:r w:rsidR="0091075D">
        <w:t>s</w:t>
      </w:r>
      <w:r w:rsidR="0091075D">
        <w:t xml:space="preserve">indretning anvendt som en </w:t>
      </w:r>
      <w:r w:rsidR="00271894">
        <w:t>samlebetegnelse for forhold, der</w:t>
      </w:r>
      <w:r w:rsidR="0091075D">
        <w:t xml:space="preserve"> strider imod en offentligretlig fo</w:t>
      </w:r>
      <w:r w:rsidR="0091075D">
        <w:t>r</w:t>
      </w:r>
      <w:r w:rsidR="0091075D">
        <w:t>skrift.</w:t>
      </w:r>
      <w:r w:rsidR="0091075D">
        <w:rPr>
          <w:rStyle w:val="Fodnotehenvisning"/>
        </w:rPr>
        <w:footnoteReference w:id="48"/>
      </w:r>
      <w:r w:rsidR="0091075D">
        <w:t xml:space="preserve"> Det må fortolkes således, at </w:t>
      </w:r>
      <w:r w:rsidR="00271894">
        <w:t>en ulovlig bygningsindretning og forhold</w:t>
      </w:r>
      <w:r w:rsidR="00C86005">
        <w:t>,</w:t>
      </w:r>
      <w:r w:rsidR="00271894">
        <w:t xml:space="preserve"> som strider mod en offentligretlig forskrift</w:t>
      </w:r>
      <w:r w:rsidR="007B25D7">
        <w:t xml:space="preserve"> hænger sammen</w:t>
      </w:r>
      <w:r w:rsidR="00271894">
        <w:t>, jf. LFFE § 2, st</w:t>
      </w:r>
      <w:r>
        <w:t>k. 5, 1. pkt</w:t>
      </w:r>
      <w:r w:rsidR="0091075D">
        <w:t>.</w:t>
      </w:r>
      <w:r w:rsidR="00271894">
        <w:t xml:space="preserve"> Nedenfor bliver fastlagt, hvad en offentligretlig forskrift er.</w:t>
      </w:r>
    </w:p>
    <w:p w14:paraId="011EDF54" w14:textId="5602FFF6" w:rsidR="00084953" w:rsidRDefault="008A3FC5" w:rsidP="001A79AD">
      <w:pPr>
        <w:pStyle w:val="Overskrift3"/>
      </w:pPr>
      <w:bookmarkStart w:id="23" w:name="_Toc179963426"/>
      <w:r>
        <w:t xml:space="preserve">3.1.1 </w:t>
      </w:r>
      <w:r w:rsidR="00560BDB">
        <w:t>Offentligretlige forskrifter</w:t>
      </w:r>
      <w:bookmarkEnd w:id="23"/>
    </w:p>
    <w:p w14:paraId="2463639B" w14:textId="27F63EEA" w:rsidR="00C86005" w:rsidRDefault="00C86005" w:rsidP="001A79AD">
      <w:r>
        <w:t>For at forstå hvad offentligretlige forskr</w:t>
      </w:r>
      <w:r w:rsidR="00564687">
        <w:t>ifter er i forbindelse med LFFE</w:t>
      </w:r>
      <w:r>
        <w:t xml:space="preserve"> fastlægges først</w:t>
      </w:r>
      <w:r w:rsidR="00564687">
        <w:t>,</w:t>
      </w:r>
      <w:r>
        <w:t xml:space="preserve"> hvad en retsforskrift er efter den juridiske metode, og derefter sammenholdes begre</w:t>
      </w:r>
      <w:r w:rsidR="00A238F9">
        <w:t>bet med LFFE § 2, stk. 5, 1. pkt</w:t>
      </w:r>
      <w:r>
        <w:t>.</w:t>
      </w:r>
    </w:p>
    <w:p w14:paraId="7A82D8CE" w14:textId="77777777" w:rsidR="00C86005" w:rsidRDefault="00C86005" w:rsidP="001A79AD"/>
    <w:p w14:paraId="1BAF61C1" w14:textId="7E0BC3A4" w:rsidR="00271894" w:rsidRDefault="001B237A" w:rsidP="001A79AD">
      <w:r>
        <w:t>Retsforskrifter er karakteriseret ved</w:t>
      </w:r>
      <w:r w:rsidR="00C86005">
        <w:t>,</w:t>
      </w:r>
      <w:r>
        <w:t xml:space="preserve"> at de formulerer de regler, der ønskes fulgt på et bestemt o</w:t>
      </w:r>
      <w:r>
        <w:t>m</w:t>
      </w:r>
      <w:r>
        <w:t>råde.</w:t>
      </w:r>
      <w:r>
        <w:rPr>
          <w:rStyle w:val="Fodnotehenvisning"/>
        </w:rPr>
        <w:footnoteReference w:id="49"/>
      </w:r>
      <w:r>
        <w:t xml:space="preserve"> Derudover karakteriseres retsforskrifter ved deres udtrykkelige form, således at der ikke er tvivl om den autoritet, som legitimerer retsforskriftens udstedelse</w:t>
      </w:r>
      <w:r w:rsidR="009C29DC">
        <w:t>.</w:t>
      </w:r>
      <w:r>
        <w:t xml:space="preserve"> Retsforskrifter kan have forske</w:t>
      </w:r>
      <w:r>
        <w:t>l</w:t>
      </w:r>
      <w:r>
        <w:t>ligartet juridisk beskaffenhed, idet udformningen afhænger af det fastsættende organs status</w:t>
      </w:r>
      <w:r w:rsidR="00D42F82">
        <w:t>, fx. om der er tale om Folketinget</w:t>
      </w:r>
      <w:r>
        <w:t xml:space="preserve"> eller en administrativ instans.</w:t>
      </w:r>
      <w:r>
        <w:rPr>
          <w:rStyle w:val="Fodnotehenvisning"/>
        </w:rPr>
        <w:footnoteReference w:id="50"/>
      </w:r>
      <w:r w:rsidR="00564687">
        <w:t xml:space="preserve"> Dette</w:t>
      </w:r>
      <w:r w:rsidR="00D30382">
        <w:t xml:space="preserve"> er</w:t>
      </w:r>
      <w:r w:rsidR="00564687">
        <w:t xml:space="preserve"> fx</w:t>
      </w:r>
      <w:r w:rsidR="00D30382">
        <w:t xml:space="preserve"> love og bekendtgørelser.</w:t>
      </w:r>
      <w:r>
        <w:t xml:space="preserve"> </w:t>
      </w:r>
    </w:p>
    <w:p w14:paraId="0C3D2C7F" w14:textId="77777777" w:rsidR="00403C6B" w:rsidRDefault="00403C6B" w:rsidP="001A79AD"/>
    <w:p w14:paraId="21E0B2AB" w14:textId="245D5D72" w:rsidR="00403C6B" w:rsidRDefault="00403C6B" w:rsidP="001A79AD">
      <w:r>
        <w:t>Ved en lov forstås enhver retsforskrift, der er vedtaget af Folketinget i overensstemmelse med den procedure, som er fastsat i Grundloven.</w:t>
      </w:r>
      <w:r w:rsidR="007A7785">
        <w:rPr>
          <w:rStyle w:val="Fodnotehenvisning"/>
        </w:rPr>
        <w:footnoteReference w:id="51"/>
      </w:r>
      <w:r w:rsidR="007A7785">
        <w:t xml:space="preserve"> Hierarkiet i Danmark på det lovmæssige område gør, at en regel udstedt på et lavere niveau ikke må stride imod regler på et højere niveau. Et eksempel herpå er</w:t>
      </w:r>
      <w:r w:rsidR="00BF5A60">
        <w:t>,</w:t>
      </w:r>
      <w:r w:rsidR="007A7785">
        <w:t xml:space="preserve"> at en lov vedtaget af Folketinget ikke må stride imod Grundloven. </w:t>
      </w:r>
      <w:r w:rsidR="00E830C3">
        <w:t>Formålet med at vedt</w:t>
      </w:r>
      <w:r w:rsidR="00E830C3">
        <w:t>a</w:t>
      </w:r>
      <w:r w:rsidR="00E830C3">
        <w:t>ge en lov er, at fastlægge de regler</w:t>
      </w:r>
      <w:r w:rsidR="00564687">
        <w:t xml:space="preserve"> og retningslinjer</w:t>
      </w:r>
      <w:r w:rsidR="00E830C3">
        <w:t>, som skal finde anvendelse på et givent område. De vigtigste forskrifter i denne</w:t>
      </w:r>
      <w:r w:rsidR="00BF5A60">
        <w:t xml:space="preserve"> sammenhæng er stærkstrømsloven (SL)</w:t>
      </w:r>
      <w:r w:rsidR="00E830C3">
        <w:t>, brandlovgivningen eller andre love, som regulerer opførelsen og anvendelsen af bygninger og disses indretninger. Forhold, som strider imod disse forskrifter anses som værende ulovlige bygningsindretninger i LFFE’s fo</w:t>
      </w:r>
      <w:r w:rsidR="00E830C3">
        <w:t>r</w:t>
      </w:r>
      <w:r w:rsidR="00E830C3">
        <w:t>stand.</w:t>
      </w:r>
    </w:p>
    <w:p w14:paraId="3AAAB2BF" w14:textId="77777777" w:rsidR="00D42F82" w:rsidRDefault="00D42F82" w:rsidP="001A79AD"/>
    <w:p w14:paraId="419820AE" w14:textId="41484B3D" w:rsidR="00D42F82" w:rsidRDefault="003A23D3" w:rsidP="001A79AD">
      <w:r>
        <w:t xml:space="preserve">En retsforskrift, som er udstedt </w:t>
      </w:r>
      <w:r w:rsidR="00564687">
        <w:t>af en administrativ instans, kan have</w:t>
      </w:r>
      <w:r>
        <w:t xml:space="preserve"> samme retsvirkning for borg</w:t>
      </w:r>
      <w:r>
        <w:t>e</w:t>
      </w:r>
      <w:r>
        <w:t>ren som en lov</w:t>
      </w:r>
      <w:r w:rsidR="00BF5A60">
        <w:t xml:space="preserve"> udstedt af Folketinget</w:t>
      </w:r>
      <w:r>
        <w:t>, såfremt retsforskriften er udstedt med hjemmel i lov, og ikke strider mod højere rangerende regler.</w:t>
      </w:r>
      <w:r w:rsidR="00F168BB">
        <w:t xml:space="preserve"> At en administrativ forskrift skal have hjemmel i lov betyder, at forskriften skal have et grundlag eller et støttepunkt i en vedtagen lov.</w:t>
      </w:r>
      <w:r w:rsidR="00F168BB">
        <w:rPr>
          <w:rStyle w:val="Fodnotehenvisning"/>
        </w:rPr>
        <w:footnoteReference w:id="52"/>
      </w:r>
      <w:r w:rsidR="00F168BB">
        <w:t xml:space="preserve"> Det betyder derimod ikke, at en vedtaget lov rangerer højere end en udstedt administrativ forskrift overfor den enkelte borger. En borger skal følge de regelsæt, som findes i retssystemet, uanset om der er tale om en lov eller en administrativ forskrift. </w:t>
      </w:r>
    </w:p>
    <w:p w14:paraId="725CB02E" w14:textId="77777777" w:rsidR="00D30382" w:rsidRDefault="00D30382" w:rsidP="001A79AD"/>
    <w:p w14:paraId="68DFCA59" w14:textId="51F450B8" w:rsidR="00D30382" w:rsidRDefault="00D30382" w:rsidP="001A79AD">
      <w:r>
        <w:t>I juridisk ter</w:t>
      </w:r>
      <w:r w:rsidR="00454A51">
        <w:t xml:space="preserve">minologi findes der to typer </w:t>
      </w:r>
      <w:r>
        <w:t>administrative forskrifter. Opdelingen beror på, om fo</w:t>
      </w:r>
      <w:r>
        <w:t>r</w:t>
      </w:r>
      <w:r>
        <w:t>skriftens regler er bindende for borgeren, således at de medfører rettigheder og pligter</w:t>
      </w:r>
      <w:r w:rsidR="00B225F3">
        <w:t xml:space="preserve"> for denne</w:t>
      </w:r>
      <w:r>
        <w:t>, eller om forskriftens regler alene er rettet til myndigheder.</w:t>
      </w:r>
      <w:r>
        <w:rPr>
          <w:rStyle w:val="Fodnotehenvisning"/>
        </w:rPr>
        <w:footnoteReference w:id="53"/>
      </w:r>
      <w:r>
        <w:t xml:space="preserve"> I denne sammenhæng er det de fo</w:t>
      </w:r>
      <w:r>
        <w:t>r</w:t>
      </w:r>
      <w:r>
        <w:t>skrifter, som er bindende for borgeren, der vi</w:t>
      </w:r>
      <w:r w:rsidR="00BF5A60">
        <w:t>l blive genstand for gennemgang, idet det er de bi</w:t>
      </w:r>
      <w:r w:rsidR="00BF5A60">
        <w:t>n</w:t>
      </w:r>
      <w:r w:rsidR="00BF5A60">
        <w:t xml:space="preserve">dende forskrifter, som forpligter borgeren i forbindelse med en ejendom, som de ejer. </w:t>
      </w:r>
    </w:p>
    <w:p w14:paraId="6268ED38" w14:textId="77777777" w:rsidR="00D30382" w:rsidRDefault="00D30382" w:rsidP="001A79AD"/>
    <w:p w14:paraId="6E615994" w14:textId="0493BBD9" w:rsidR="00D30382" w:rsidRDefault="00D30382" w:rsidP="001A79AD">
      <w:r>
        <w:t xml:space="preserve">De bindende administrative forskrifter betegnes bekendtgørelser. </w:t>
      </w:r>
      <w:r w:rsidR="00477C5D">
        <w:t>Disse udarbejdes intern i det min</w:t>
      </w:r>
      <w:r w:rsidR="00477C5D">
        <w:t>i</w:t>
      </w:r>
      <w:r w:rsidR="00564687">
        <w:t>sterium</w:t>
      </w:r>
      <w:r w:rsidR="00477C5D">
        <w:t>, som Folketinget ved lov har bemyndiget hertil. Idet der som udgangspunkt ikke findes fo</w:t>
      </w:r>
      <w:r w:rsidR="00477C5D">
        <w:t>r</w:t>
      </w:r>
      <w:r w:rsidR="00477C5D">
        <w:t xml:space="preserve">arbejder til bekendtgørelser, fortolkes </w:t>
      </w:r>
      <w:r w:rsidR="00BF5A60">
        <w:t>de enkelte bestemmelser på baggrund</w:t>
      </w:r>
      <w:r w:rsidR="00477C5D">
        <w:t xml:space="preserve"> af bekendtgørelsens tekst. Det kan dog som udgangspunkt lægges til grund, at den lov, som hjemler bekendtgørelsen, udgør en ydre ramme for fortolkningen, der selvsagt ikke kan nå et resultat, som indebærer, at der ikke længere er hjemmel.</w:t>
      </w:r>
      <w:r w:rsidR="00477C5D">
        <w:rPr>
          <w:rStyle w:val="Fodnotehenvisning"/>
        </w:rPr>
        <w:footnoteReference w:id="54"/>
      </w:r>
      <w:r w:rsidR="00AA295B">
        <w:t xml:space="preserve"> Hvis bekendtgørelsen regulerer opførelsen og anvendelsen af bygninger og disses indretning, kan bekendtgørelsen henregnes til offentligretlige forskrifte</w:t>
      </w:r>
      <w:r w:rsidR="00A238F9">
        <w:t>r efter LFFE § 2, stk. 5, 1. pkt</w:t>
      </w:r>
      <w:r w:rsidR="00AA295B">
        <w:t>.</w:t>
      </w:r>
      <w:r w:rsidR="00BF5A60">
        <w:t xml:space="preserve"> Et eksempel på sådan en bekendtgørelse er stærkstrømsbekendtgørelsen (SSBK), som er udstedt med hjemmel i SL.</w:t>
      </w:r>
    </w:p>
    <w:p w14:paraId="5680ACB6" w14:textId="77777777" w:rsidR="00FD78DC" w:rsidRDefault="00FD78DC" w:rsidP="001A79AD"/>
    <w:p w14:paraId="216EAED7" w14:textId="5D3C4661" w:rsidR="00FD78DC" w:rsidRDefault="00FD78DC" w:rsidP="001A79AD">
      <w:r>
        <w:t>Ovenstående er alle forskrifter udstedt af offentlige myndigheder. Det er ligeledes muligt for private at udstede forskrifter, fx. hvor sammenslutninger eller interesseorganisationer for visse erhverv u</w:t>
      </w:r>
      <w:r>
        <w:t>d</w:t>
      </w:r>
      <w:r>
        <w:t>færdiger forskrifter for erhvervets udførelse. En offentligretlig forskrift kan henvise til sådanne pr</w:t>
      </w:r>
      <w:r>
        <w:t>i</w:t>
      </w:r>
      <w:r>
        <w:t>vate forskrifter således, at det i den offentligretlige forskrift angives, at arbejdet skal udføres i ove</w:t>
      </w:r>
      <w:r>
        <w:t>r</w:t>
      </w:r>
      <w:r>
        <w:t>ensstemmelse med den private forskrift. En overtrædelse af den private forskrift vil således også være en overtrædelse af den offentligretlig forskrift</w:t>
      </w:r>
      <w:r w:rsidR="00C023B2">
        <w:t>, fordi indholdet af den private forskrift er ble</w:t>
      </w:r>
      <w:r w:rsidR="00564687">
        <w:t>vet en del af den offentlig</w:t>
      </w:r>
      <w:r w:rsidR="00C023B2">
        <w:t>retlige forskrift. Ved at overtræde en</w:t>
      </w:r>
      <w:r w:rsidR="00BF5A60">
        <w:t xml:space="preserve"> sådan</w:t>
      </w:r>
      <w:r w:rsidR="00C023B2">
        <w:t xml:space="preserve"> privat forskrift vil der således v</w:t>
      </w:r>
      <w:r w:rsidR="00C023B2">
        <w:t>æ</w:t>
      </w:r>
      <w:r w:rsidR="00C023B2">
        <w:t>re tale om en overtrædelse af en offentligretlig forskrif</w:t>
      </w:r>
      <w:r w:rsidR="00A238F9">
        <w:t>t efter LFFE § 2, stk. 5, 1. pkt</w:t>
      </w:r>
      <w:r w:rsidR="00C023B2">
        <w:t>.</w:t>
      </w:r>
      <w:r w:rsidR="00B225F3">
        <w:rPr>
          <w:rStyle w:val="Fodnotehenvisning"/>
        </w:rPr>
        <w:footnoteReference w:id="55"/>
      </w:r>
      <w:r w:rsidR="00564687">
        <w:t xml:space="preserve"> </w:t>
      </w:r>
    </w:p>
    <w:p w14:paraId="37A5E68E" w14:textId="77777777" w:rsidR="00A116E3" w:rsidRDefault="00A116E3" w:rsidP="001A79AD"/>
    <w:p w14:paraId="728AA036" w14:textId="2B126335" w:rsidR="00A116E3" w:rsidRPr="00271894" w:rsidRDefault="00A116E3" w:rsidP="001A79AD">
      <w:r>
        <w:t>Samlet er en offentligretlig forskrift i LFFE’s forstand et regelsæt, som enten er vedtaget ved lov eller udstedt med h</w:t>
      </w:r>
      <w:r w:rsidR="00BF5A60">
        <w:t>jemmel i lov.</w:t>
      </w:r>
      <w:r w:rsidR="00F246D5">
        <w:t xml:space="preserve"> Der er to forskellige former for regelsæt, som kan karakteriseres som offentligretlige forskrifter. Dette er love og bekendtgørelser, som begge er bindende for borg</w:t>
      </w:r>
      <w:r w:rsidR="00F246D5">
        <w:t>e</w:t>
      </w:r>
      <w:r w:rsidR="00F246D5">
        <w:t>ren.</w:t>
      </w:r>
      <w:r w:rsidR="00BF5A60">
        <w:t xml:space="preserve"> De bindende</w:t>
      </w:r>
      <w:r>
        <w:t xml:space="preserve"> offentligretlig</w:t>
      </w:r>
      <w:r w:rsidR="00BF5A60">
        <w:t>e</w:t>
      </w:r>
      <w:r>
        <w:t xml:space="preserve"> forskri</w:t>
      </w:r>
      <w:r w:rsidR="00BF5A60">
        <w:t>fter</w:t>
      </w:r>
      <w:r>
        <w:t xml:space="preserve"> fastsæt</w:t>
      </w:r>
      <w:r w:rsidR="00BF5A60">
        <w:t>ter</w:t>
      </w:r>
      <w:r>
        <w:t xml:space="preserve"> en pligt for b</w:t>
      </w:r>
      <w:r w:rsidR="005A544C">
        <w:t>or</w:t>
      </w:r>
      <w:r w:rsidR="00BF5A60">
        <w:t xml:space="preserve">geren til at </w:t>
      </w:r>
      <w:r w:rsidR="00BE75AE">
        <w:t>handle i overen</w:t>
      </w:r>
      <w:r w:rsidR="00BE75AE">
        <w:t>s</w:t>
      </w:r>
      <w:r w:rsidR="00BE75AE">
        <w:t>stemmelse med denne.</w:t>
      </w:r>
    </w:p>
    <w:p w14:paraId="3F5C4D23" w14:textId="4C2253C3" w:rsidR="00E74891" w:rsidRDefault="008A3FC5" w:rsidP="001A79AD">
      <w:pPr>
        <w:pStyle w:val="Overskrift4"/>
      </w:pPr>
      <w:bookmarkStart w:id="24" w:name="_Toc179963427"/>
      <w:r>
        <w:t xml:space="preserve">3.1.1.1 </w:t>
      </w:r>
      <w:r w:rsidR="00E74891">
        <w:t>Ulovlige elinstallationer</w:t>
      </w:r>
      <w:bookmarkEnd w:id="24"/>
    </w:p>
    <w:p w14:paraId="4DEFED63" w14:textId="7E3B0203" w:rsidR="00022322" w:rsidRDefault="009877FF" w:rsidP="001A79AD">
      <w:r>
        <w:t>Offentligretlige forskrifter findes i betydeligt ant</w:t>
      </w:r>
      <w:r w:rsidR="00E100E2">
        <w:t xml:space="preserve">al. Regelsættet for elinstallationer er </w:t>
      </w:r>
      <w:r w:rsidR="00A30292">
        <w:t xml:space="preserve"> hovedsageligt </w:t>
      </w:r>
      <w:r w:rsidR="00BE75AE">
        <w:t>nedfældet i SSBK</w:t>
      </w:r>
      <w:r w:rsidR="00E100E2">
        <w:t xml:space="preserve">. </w:t>
      </w:r>
      <w:r w:rsidR="00022322">
        <w:t>SSBK er udstedt af erhvervs- og økonomiministeren med hjem</w:t>
      </w:r>
      <w:r w:rsidR="00BE75AE">
        <w:t>mel i SL</w:t>
      </w:r>
      <w:r w:rsidR="00A238F9">
        <w:t xml:space="preserve"> § 3, 1. pkt</w:t>
      </w:r>
      <w:r w:rsidR="00022322">
        <w:t xml:space="preserve">. </w:t>
      </w:r>
      <w:r w:rsidR="00E100E2">
        <w:t xml:space="preserve">Som anført i </w:t>
      </w:r>
      <w:r w:rsidR="009D0254" w:rsidRPr="009D0254">
        <w:t>afsnit 3.1.1</w:t>
      </w:r>
      <w:r w:rsidR="00E100E2">
        <w:t xml:space="preserve"> er bekendtgørelser en del af begrebet offentligretlig</w:t>
      </w:r>
      <w:r w:rsidR="00B225F3">
        <w:t>e</w:t>
      </w:r>
      <w:r w:rsidR="00E100E2">
        <w:t xml:space="preserve"> forskrift</w:t>
      </w:r>
      <w:r w:rsidR="00B225F3">
        <w:t>er</w:t>
      </w:r>
      <w:r w:rsidR="00E100E2">
        <w:t>. Idet regelsættet om elinstallationer er fastsat i en bekendtgørelse, er SSBK omfattet af offentligretlige forskrif</w:t>
      </w:r>
      <w:r w:rsidR="00A238F9">
        <w:t>ter i LFFE § 2, stk. 5, 1. pkt.</w:t>
      </w:r>
      <w:r w:rsidR="00BE75AE">
        <w:t>, og således bindende for borgeren.</w:t>
      </w:r>
    </w:p>
    <w:p w14:paraId="3976D703" w14:textId="77777777" w:rsidR="00022322" w:rsidRDefault="00022322" w:rsidP="001A79AD"/>
    <w:p w14:paraId="2277B71C" w14:textId="1A34587A" w:rsidR="005A544C" w:rsidRDefault="00E100E2" w:rsidP="001A79AD">
      <w:r>
        <w:t>Anvendelsesområdet for SSBK er elektriske installationer, som hører til bl.a. boliger, jf. SSBK kap. 11.1, litra a.</w:t>
      </w:r>
      <w:r w:rsidR="00051425">
        <w:t xml:space="preserve"> Begrebet ”boliger” er ikke defineret i bestemmelsen, men kan defineres ud fra begrebet ”ejendom”, som er defineret</w:t>
      </w:r>
      <w:r>
        <w:t xml:space="preserve"> </w:t>
      </w:r>
      <w:r w:rsidR="00051425">
        <w:t>i</w:t>
      </w:r>
      <w:r w:rsidR="0042561D">
        <w:t xml:space="preserve"> </w:t>
      </w:r>
      <w:r w:rsidR="006F2942">
        <w:t xml:space="preserve">SSBK </w:t>
      </w:r>
      <w:r w:rsidR="00051425">
        <w:t>kap. 211.7. At definitioner på begreber findes efter kapitlet med anvendelsesområdet</w:t>
      </w:r>
      <w:r w:rsidR="0042561D">
        <w:t xml:space="preserve"> må fortolkes således</w:t>
      </w:r>
      <w:r w:rsidR="00BE75AE">
        <w:t>,</w:t>
      </w:r>
      <w:r w:rsidR="0042561D">
        <w:t xml:space="preserve"> at </w:t>
      </w:r>
      <w:r w:rsidR="00051425">
        <w:t xml:space="preserve">definitionen på </w:t>
      </w:r>
      <w:r w:rsidR="0042561D">
        <w:t>begrebet dækker over anvende</w:t>
      </w:r>
      <w:r w:rsidR="0042561D">
        <w:t>l</w:t>
      </w:r>
      <w:r w:rsidR="0042561D">
        <w:t xml:space="preserve">sesområdet i </w:t>
      </w:r>
      <w:r w:rsidR="006F2942">
        <w:t xml:space="preserve">SSBK </w:t>
      </w:r>
      <w:r w:rsidR="0042561D">
        <w:t xml:space="preserve">kap. </w:t>
      </w:r>
      <w:r w:rsidR="003F76DF">
        <w:t>11.1, idet der ikke findes nogle</w:t>
      </w:r>
      <w:r w:rsidR="0042561D">
        <w:t xml:space="preserve"> definitioner indeholdt i </w:t>
      </w:r>
      <w:r w:rsidR="006F2942">
        <w:t xml:space="preserve">SSBK </w:t>
      </w:r>
      <w:r w:rsidR="0042561D">
        <w:t xml:space="preserve">kap. 1, og </w:t>
      </w:r>
      <w:r w:rsidR="006F2942">
        <w:t xml:space="preserve"> SSBK </w:t>
      </w:r>
      <w:r w:rsidR="0042561D">
        <w:t>kap. 2 dækker over definitioner og ordforklaringer for S</w:t>
      </w:r>
      <w:r w:rsidR="00051425">
        <w:t>SBK som helhed. Begrebet ”eje</w:t>
      </w:r>
      <w:r w:rsidR="00051425">
        <w:t>n</w:t>
      </w:r>
      <w:r w:rsidR="00051425">
        <w:t xml:space="preserve">dom” defineres som bygninger, hvilket gør at </w:t>
      </w:r>
      <w:r w:rsidR="00E3723B">
        <w:t xml:space="preserve">begrebet </w:t>
      </w:r>
      <w:r w:rsidR="00051425">
        <w:t xml:space="preserve">”boliger” ligeledes skal defineres således. </w:t>
      </w:r>
      <w:r w:rsidR="00BE75AE">
        <w:t>Der er ikke tale om, at bygningerne skal være færdigbyggede, idet det må formodes, at elinstallati</w:t>
      </w:r>
      <w:r w:rsidR="00BE75AE">
        <w:t>o</w:t>
      </w:r>
      <w:r w:rsidR="00BE75AE">
        <w:t>ner også installeres i bygninger, som ikke kan betragtes som værende færdigbyggede. At ordet ”o</w:t>
      </w:r>
      <w:r w:rsidR="00BE75AE">
        <w:t>g</w:t>
      </w:r>
      <w:r w:rsidR="00BE75AE">
        <w:t>så” anvendes betyder således, at bygninger ligeledes omfatter færdigbyggede bygninger.</w:t>
      </w:r>
      <w:r w:rsidR="0042561D">
        <w:t xml:space="preserve"> I LFFE er anvendelsesområdet færdigbyggede bygninger, og derved kan det fortolkes således, at </w:t>
      </w:r>
      <w:r w:rsidR="00733B63">
        <w:t>boliger er det samme som færdigbyggede bygninger i LFFE’s forstand. Efter</w:t>
      </w:r>
      <w:r w:rsidR="00051425">
        <w:t>som</w:t>
      </w:r>
      <w:r w:rsidR="00733B63">
        <w:t xml:space="preserve"> anvendelsesområdet er det samme for LFFE og SSBK</w:t>
      </w:r>
      <w:r w:rsidR="006F2942">
        <w:t>,</w:t>
      </w:r>
      <w:r w:rsidR="00733B63">
        <w:t xml:space="preserve"> er en overtrædelse af SSBK det samme som et forhold, der strider imod en offentligretlig forsk</w:t>
      </w:r>
      <w:r w:rsidR="006F2942">
        <w:t>rift</w:t>
      </w:r>
      <w:r w:rsidR="00B8130A">
        <w:t>. Elinstallationer som ikke opfylder kravene i SSBK falder såle</w:t>
      </w:r>
      <w:r w:rsidR="006F2942">
        <w:t>des under undtagelsesbestemmelsen i</w:t>
      </w:r>
      <w:r w:rsidR="00A238F9">
        <w:t xml:space="preserve"> LFFE § 2, stk. 5, 1. pkt</w:t>
      </w:r>
      <w:r w:rsidR="00B8130A">
        <w:t>.</w:t>
      </w:r>
    </w:p>
    <w:p w14:paraId="01E230A2" w14:textId="77777777" w:rsidR="00651F28" w:rsidRDefault="00651F28" w:rsidP="001A79AD"/>
    <w:p w14:paraId="5D70617C" w14:textId="0F4D79B8" w:rsidR="00651F28" w:rsidRDefault="00651F28" w:rsidP="001A79AD">
      <w:r>
        <w:t xml:space="preserve">Formålet med </w:t>
      </w:r>
      <w:r w:rsidR="00CE0DF2">
        <w:t>bestemmelserne i SSBK er</w:t>
      </w:r>
      <w:r w:rsidR="00BE75AE">
        <w:t>,</w:t>
      </w:r>
      <w:r w:rsidR="00CE0DF2">
        <w:t xml:space="preserve"> at opnå sikkerhed og korrekt funktion i overensstemme</w:t>
      </w:r>
      <w:r w:rsidR="00CE0DF2">
        <w:t>l</w:t>
      </w:r>
      <w:r w:rsidR="00CE0DF2">
        <w:t>se med den tilsigtede anvendelse, jf. SSBK kap. 12.1. At opnå sikkerhed angår sikkerheden for pe</w:t>
      </w:r>
      <w:r w:rsidR="00CE0DF2">
        <w:t>r</w:t>
      </w:r>
      <w:r w:rsidR="00CE0DF2">
        <w:t>soner, husdyr og ejendom mod de farer og skader, som ellers kan opstå ved normal brug af elektr</w:t>
      </w:r>
      <w:r w:rsidR="00CE0DF2">
        <w:t>i</w:t>
      </w:r>
      <w:r w:rsidR="00CE0DF2">
        <w:t>ske installationer, jf. SSBK kap. 131.1. Det er ikke i SSBK fastlagt</w:t>
      </w:r>
      <w:r w:rsidR="00BE75AE">
        <w:t>,</w:t>
      </w:r>
      <w:r w:rsidR="00CE0DF2">
        <w:t xml:space="preserve"> hvad betydningen af at opnå korrekt funktion er. Det må antages, at betydningen af begrebet er, at </w:t>
      </w:r>
      <w:r w:rsidR="006F2942">
        <w:t xml:space="preserve">fx </w:t>
      </w:r>
      <w:r w:rsidR="00CE0DF2">
        <w:t xml:space="preserve">en stikkontakt skal virke efter dens formål, at give strøm til det apparat, som strømmen ledes ud til. Dette kunne </w:t>
      </w:r>
      <w:r w:rsidR="009C0189">
        <w:t>være</w:t>
      </w:r>
      <w:r w:rsidR="00BE75AE">
        <w:t xml:space="preserve"> et</w:t>
      </w:r>
      <w:r w:rsidR="009C0189">
        <w:t xml:space="preserve"> ele</w:t>
      </w:r>
      <w:r w:rsidR="009C0189">
        <w:t>k</w:t>
      </w:r>
      <w:r w:rsidR="009C0189">
        <w:t>tronisk apparat, som skal anvende strøm fra en stikkontakt for at fungere. Når det elektroniske app</w:t>
      </w:r>
      <w:r w:rsidR="009C0189">
        <w:t>a</w:t>
      </w:r>
      <w:r w:rsidR="009C0189">
        <w:t>rat tilsluttes en stikkontakt i en ejendom, skal apparatet virke efter dets formål. Hvis dette ikke er tilfældet og apparatet fx. går i stykker, fordi stikkontakten ikke opfylder kravene i SSBK</w:t>
      </w:r>
      <w:r w:rsidR="00BE75AE">
        <w:t>,</w:t>
      </w:r>
      <w:r w:rsidR="009C0189">
        <w:t xml:space="preserve"> og derved ikke har opnået korrekt funktion, er der tale om en ulovlig elinstallation, som er en ulovlig by</w:t>
      </w:r>
      <w:r w:rsidR="009C0189">
        <w:t>g</w:t>
      </w:r>
      <w:r w:rsidR="009C0189">
        <w:t>ningsindretning i LFFE’s forstand.</w:t>
      </w:r>
    </w:p>
    <w:p w14:paraId="2534A7A4" w14:textId="77777777" w:rsidR="008042B7" w:rsidRDefault="008042B7" w:rsidP="001A79AD"/>
    <w:p w14:paraId="70101185" w14:textId="279DDF44" w:rsidR="008042B7" w:rsidRDefault="008042B7" w:rsidP="001A79AD">
      <w:r>
        <w:t>Samlet set er der tale om en ulovlig elinstallation, når kravene i SSBK ikke er opfyldt.</w:t>
      </w:r>
      <w:r>
        <w:rPr>
          <w:rStyle w:val="Fodnotehenvisning"/>
        </w:rPr>
        <w:footnoteReference w:id="56"/>
      </w:r>
      <w:r>
        <w:t xml:space="preserve"> Idet SSBK er en offentligretlig forskrift i LFFE’s forstand</w:t>
      </w:r>
      <w:r w:rsidR="004272A8">
        <w:t xml:space="preserve"> og regulerer elinstallationers opførsel og anvendelse</w:t>
      </w:r>
      <w:r>
        <w:t xml:space="preserve">, er det </w:t>
      </w:r>
      <w:r w:rsidR="00730D12">
        <w:t>SSBK</w:t>
      </w:r>
      <w:r w:rsidR="004272A8">
        <w:t>,</w:t>
      </w:r>
      <w:r w:rsidR="00730D12">
        <w:t xml:space="preserve"> som skal være overholdt for, at der ikke foreligger en ulovlig elinstallation, som køber kan påberåbe sig overfor sælger.</w:t>
      </w:r>
      <w:r w:rsidR="00EE0B9D">
        <w:t xml:space="preserve"> </w:t>
      </w:r>
    </w:p>
    <w:p w14:paraId="5EDCCE62" w14:textId="77777777" w:rsidR="00EE0B9D" w:rsidRDefault="00EE0B9D" w:rsidP="001A79AD"/>
    <w:p w14:paraId="40B68C5F" w14:textId="25432DEF" w:rsidR="00EE0B9D" w:rsidRPr="005A544C" w:rsidRDefault="00EE0B9D" w:rsidP="001A79AD">
      <w:r>
        <w:t>I det nedenstående vil ulovlige elinstallationer være synonymt med forhold</w:t>
      </w:r>
      <w:r w:rsidR="00BE75AE">
        <w:t>,</w:t>
      </w:r>
      <w:r>
        <w:t xml:space="preserve"> som ikke er i overen</w:t>
      </w:r>
      <w:r>
        <w:t>s</w:t>
      </w:r>
      <w:r>
        <w:t>stemmelse med offentligretlige forskrifter.</w:t>
      </w:r>
    </w:p>
    <w:p w14:paraId="40AB42DC" w14:textId="5019DD4D" w:rsidR="00084953" w:rsidRDefault="008A3FC5" w:rsidP="001A79AD">
      <w:pPr>
        <w:pStyle w:val="Overskrift2"/>
      </w:pPr>
      <w:bookmarkStart w:id="25" w:name="_Toc179963428"/>
      <w:r>
        <w:t xml:space="preserve">3.2 </w:t>
      </w:r>
      <w:r w:rsidR="00E30074">
        <w:t>Retlige og f</w:t>
      </w:r>
      <w:r w:rsidR="00084953">
        <w:t>aktiske mangler</w:t>
      </w:r>
      <w:bookmarkEnd w:id="25"/>
    </w:p>
    <w:p w14:paraId="41B5CDD7" w14:textId="6E301774" w:rsidR="009E1C1B" w:rsidRDefault="009E1C1B" w:rsidP="001A79AD">
      <w:r>
        <w:t>Nedenfor bliver gennemgået om en ulovlig elinstallation er en faktisk eller retlig mangel, og hvi</w:t>
      </w:r>
      <w:r>
        <w:t>l</w:t>
      </w:r>
      <w:r>
        <w:t>ken betydning sondringen har for beskyttelsesordningen i LFFE.</w:t>
      </w:r>
    </w:p>
    <w:p w14:paraId="76A68B04" w14:textId="77777777" w:rsidR="009E1C1B" w:rsidRDefault="009E1C1B" w:rsidP="001A79AD"/>
    <w:p w14:paraId="740B3664" w14:textId="705AB849" w:rsidR="0002516C" w:rsidRDefault="00EE0B9D" w:rsidP="001A79AD">
      <w:r>
        <w:t>Ulovlige elinstallationer</w:t>
      </w:r>
      <w:r w:rsidR="00A30292">
        <w:t xml:space="preserve"> er karakteriseret som værende </w:t>
      </w:r>
      <w:r w:rsidR="00A162EB">
        <w:t>retsmangler i obligationsrettens almindelige del</w:t>
      </w:r>
      <w:r w:rsidR="00A30292">
        <w:t>.</w:t>
      </w:r>
      <w:r w:rsidR="00A30292">
        <w:rPr>
          <w:rStyle w:val="Fodnotehenvisning"/>
        </w:rPr>
        <w:footnoteReference w:id="57"/>
      </w:r>
      <w:r>
        <w:t xml:space="preserve"> Dette fordi ulovlige elinstallationer, som ikke har givet anledning til en skade</w:t>
      </w:r>
      <w:r w:rsidR="00091FB6">
        <w:t>,</w:t>
      </w:r>
      <w:r>
        <w:t xml:space="preserve"> ikke giver k</w:t>
      </w:r>
      <w:r>
        <w:t>ø</w:t>
      </w:r>
      <w:r>
        <w:t>ber det</w:t>
      </w:r>
      <w:r w:rsidR="004272A8">
        <w:t>,</w:t>
      </w:r>
      <w:r>
        <w:t xml:space="preserve"> som denne har krav på, </w:t>
      </w:r>
      <w:r w:rsidR="004272A8">
        <w:t xml:space="preserve">hvilket er </w:t>
      </w:r>
      <w:r>
        <w:t>en lovlig</w:t>
      </w:r>
      <w:r w:rsidR="009E1C1B">
        <w:t xml:space="preserve"> opført</w:t>
      </w:r>
      <w:r>
        <w:t xml:space="preserve"> ejendom. I forbindelse med fast ejendom er ulovlige elinstallationer ikke karakteriseret endeligt</w:t>
      </w:r>
      <w:r w:rsidR="00091FB6">
        <w:t xml:space="preserve"> som værende enten en faktisk eller en retlig mangel.</w:t>
      </w:r>
      <w:r>
        <w:rPr>
          <w:rStyle w:val="Fodnotehenvisning"/>
        </w:rPr>
        <w:footnoteReference w:id="58"/>
      </w:r>
      <w:r>
        <w:t xml:space="preserve"> </w:t>
      </w:r>
      <w:r w:rsidR="00091FB6">
        <w:t>Det afhænger af den enkelte situation</w:t>
      </w:r>
      <w:r w:rsidR="008832AD">
        <w:t>,</w:t>
      </w:r>
      <w:r w:rsidR="00091FB6">
        <w:t xml:space="preserve"> om der er tale om en faktisk eller retlig mangel, når der </w:t>
      </w:r>
      <w:r w:rsidR="00451F6C">
        <w:t>fore</w:t>
      </w:r>
      <w:r w:rsidR="00091FB6">
        <w:t>findes en ulovlig elinstallation i en ejendom. Der er forskel på</w:t>
      </w:r>
      <w:r w:rsidR="00451F6C">
        <w:t>,</w:t>
      </w:r>
      <w:r w:rsidR="00091FB6">
        <w:t xml:space="preserve"> om der er sket en skade på baggrund er en ulovlig elins</w:t>
      </w:r>
      <w:r w:rsidR="00451F6C">
        <w:t xml:space="preserve">tallation, eller </w:t>
      </w:r>
      <w:r w:rsidR="00091FB6">
        <w:t>om der er fare for</w:t>
      </w:r>
      <w:r w:rsidR="008832AD">
        <w:t>, at en skade vil</w:t>
      </w:r>
      <w:r w:rsidR="00091FB6">
        <w:t xml:space="preserve"> opstå som følge af den ulovl</w:t>
      </w:r>
      <w:r w:rsidR="00795076">
        <w:t>ige elinstallation. En anden</w:t>
      </w:r>
      <w:r w:rsidR="00091FB6">
        <w:t xml:space="preserve"> mulighed kan</w:t>
      </w:r>
      <w:r w:rsidR="00795076">
        <w:t xml:space="preserve"> være, at der er</w:t>
      </w:r>
      <w:r w:rsidR="00091FB6">
        <w:t xml:space="preserve"> tale om</w:t>
      </w:r>
      <w:r w:rsidR="008832AD">
        <w:t>,</w:t>
      </w:r>
      <w:r w:rsidR="00091FB6">
        <w:t xml:space="preserve"> at den ulovlige elinsta</w:t>
      </w:r>
      <w:r w:rsidR="00091FB6">
        <w:t>l</w:t>
      </w:r>
      <w:r w:rsidR="00091FB6">
        <w:t>lation ikke har medført skade eller fare for skade, men blot er</w:t>
      </w:r>
      <w:r w:rsidR="00795076">
        <w:t xml:space="preserve"> blevet</w:t>
      </w:r>
      <w:r w:rsidR="00091FB6">
        <w:t xml:space="preserve"> konstateret</w:t>
      </w:r>
      <w:r w:rsidR="00F964E8">
        <w:t xml:space="preserve"> eller at det er p</w:t>
      </w:r>
      <w:r w:rsidR="00F964E8">
        <w:t>å</w:t>
      </w:r>
      <w:r w:rsidR="00F964E8">
        <w:t>budt fra det offentlige at lovliggøre elins</w:t>
      </w:r>
      <w:r w:rsidR="005D5033">
        <w:t>tallationen. De fire forhold</w:t>
      </w:r>
      <w:r w:rsidR="00F964E8">
        <w:t xml:space="preserve"> vil blive gennemgået sammen med den ledende dom på området</w:t>
      </w:r>
      <w:r w:rsidR="004272A8">
        <w:t xml:space="preserve"> for</w:t>
      </w:r>
      <w:r w:rsidR="008832AD">
        <w:t xml:space="preserve"> at fastslå</w:t>
      </w:r>
      <w:r w:rsidR="00C90B32">
        <w:t xml:space="preserve"> anvendelsesområdet for</w:t>
      </w:r>
      <w:r w:rsidR="00795076">
        <w:t xml:space="preserve"> undtagelsesbestemmelsen i</w:t>
      </w:r>
      <w:r w:rsidR="00A238F9">
        <w:t xml:space="preserve"> LFFE § 2, stk. 5, 1. pkt</w:t>
      </w:r>
      <w:r w:rsidR="00F964E8">
        <w:t>.</w:t>
      </w:r>
    </w:p>
    <w:p w14:paraId="1A75C14F" w14:textId="4449EEE4" w:rsidR="00E3784A" w:rsidRDefault="008A3FC5" w:rsidP="001A79AD">
      <w:pPr>
        <w:pStyle w:val="Overskrift3"/>
      </w:pPr>
      <w:bookmarkStart w:id="26" w:name="_Toc179963429"/>
      <w:r>
        <w:t xml:space="preserve">3.2.1 </w:t>
      </w:r>
      <w:r w:rsidR="00E3784A">
        <w:t>Ulovlig elinstallation konstateres</w:t>
      </w:r>
      <w:bookmarkEnd w:id="26"/>
    </w:p>
    <w:p w14:paraId="131ACDF9" w14:textId="4749F81E" w:rsidR="00414F97" w:rsidRDefault="00414F97" w:rsidP="00414F97">
      <w:r>
        <w:t>I dette afsnit behandles den situation, at der konstateres en ulovlig elinstallation i en ejendom, men hvor denne elinstallation endnu ikke har medført skade eller fare for skade</w:t>
      </w:r>
      <w:r w:rsidR="00B2565C">
        <w:t>, og hvor skaden ikke er påbudt ændret af det offentlige</w:t>
      </w:r>
      <w:r>
        <w:t xml:space="preserve">. </w:t>
      </w:r>
      <w:r w:rsidR="00216ACF">
        <w:t>D</w:t>
      </w:r>
      <w:r w:rsidR="00B225F3">
        <w:t>ette for at vise, at det</w:t>
      </w:r>
      <w:r w:rsidR="00216ACF">
        <w:t xml:space="preserve"> ikke er en betingelse</w:t>
      </w:r>
      <w:r w:rsidR="00B2565C">
        <w:t>,</w:t>
      </w:r>
      <w:r w:rsidR="00216ACF">
        <w:t xml:space="preserve"> at den ulovlige eli</w:t>
      </w:r>
      <w:r w:rsidR="00216ACF">
        <w:t>n</w:t>
      </w:r>
      <w:r w:rsidR="00216ACF">
        <w:t xml:space="preserve">stallation skal have frembragt en skade eller fare for skade for, </w:t>
      </w:r>
      <w:r w:rsidR="003B5BF6">
        <w:t xml:space="preserve">men </w:t>
      </w:r>
      <w:r w:rsidR="00216ACF">
        <w:t>at en ulovlig elinstallation</w:t>
      </w:r>
      <w:r w:rsidR="00B225F3">
        <w:t xml:space="preserve"> der står</w:t>
      </w:r>
      <w:r w:rsidR="003B5BF6">
        <w:t xml:space="preserve"> alene</w:t>
      </w:r>
      <w:r w:rsidR="00B225F3">
        <w:t>,</w:t>
      </w:r>
      <w:r w:rsidR="00216ACF">
        <w:t xml:space="preserve"> giver køber mulighed for at påberåbe sig fej</w:t>
      </w:r>
      <w:r w:rsidR="00B2565C">
        <w:t>len overfor sælger.</w:t>
      </w:r>
    </w:p>
    <w:p w14:paraId="18597E11" w14:textId="77777777" w:rsidR="00B2565C" w:rsidRDefault="00B2565C" w:rsidP="00414F97"/>
    <w:p w14:paraId="67C64D25" w14:textId="272F6CDE" w:rsidR="00B2565C" w:rsidRDefault="00B2565C" w:rsidP="00414F97">
      <w:r>
        <w:t>Til at belyse problemstillingen med</w:t>
      </w:r>
      <w:r w:rsidR="0097571B">
        <w:t xml:space="preserve"> anvendes dommen, U.1998.474H. Dommen omhandler en ha</w:t>
      </w:r>
      <w:r w:rsidR="0097571B">
        <w:t>n</w:t>
      </w:r>
      <w:r w:rsidR="0097571B">
        <w:t xml:space="preserve">del med en ejendom </w:t>
      </w:r>
      <w:r w:rsidR="00166399">
        <w:t xml:space="preserve">indgået </w:t>
      </w:r>
      <w:r w:rsidR="0097571B">
        <w:t>før LFFE trådte i kraft, men idet dommen omhandler ulovlige elinsta</w:t>
      </w:r>
      <w:r w:rsidR="0097571B">
        <w:t>l</w:t>
      </w:r>
      <w:r w:rsidR="0097571B">
        <w:t>lationer, som må antages at</w:t>
      </w:r>
      <w:r w:rsidR="00166399">
        <w:t xml:space="preserve"> ville</w:t>
      </w:r>
      <w:r w:rsidR="0097571B">
        <w:t xml:space="preserve"> kunne henføres til undtagelsesbestemmelsen i LFFE § 2, stk. 5, 1. pkt</w:t>
      </w:r>
      <w:r w:rsidR="003100C8">
        <w:t>.</w:t>
      </w:r>
      <w:r w:rsidR="0097571B">
        <w:t>, vil dommen kunne anvende</w:t>
      </w:r>
      <w:r w:rsidR="00166399">
        <w:t xml:space="preserve">s analogt på handler, som er </w:t>
      </w:r>
      <w:r w:rsidR="00B225F3">
        <w:t>indgået efter</w:t>
      </w:r>
      <w:r w:rsidR="00166399">
        <w:t xml:space="preserve"> LFFE</w:t>
      </w:r>
      <w:r w:rsidR="00B225F3">
        <w:t>’s ikrafttræden</w:t>
      </w:r>
      <w:r w:rsidR="00166399">
        <w:t>.</w:t>
      </w:r>
    </w:p>
    <w:p w14:paraId="2025ADAB" w14:textId="77777777" w:rsidR="00166399" w:rsidRDefault="00166399" w:rsidP="00414F97"/>
    <w:p w14:paraId="30AD15B2" w14:textId="2D8D7C80" w:rsidR="00166399" w:rsidRDefault="00166399" w:rsidP="00414F97">
      <w:r>
        <w:t>Sagen, der ligger til grund for U.1998.474H, blev anlagt af sagsøger (SGR), der fik medhold i tre instanser i, at sagsøgte (SGT) skulle betale et forholdsmæssigt afslag i købesummen, som svarede til lovliggørelse af de ulovlige elinstallationer</w:t>
      </w:r>
      <w:r w:rsidR="003B5BF6">
        <w:t>, der</w:t>
      </w:r>
      <w:r w:rsidR="003100C8">
        <w:t xml:space="preserve"> fandtes i ejendommen. SGT adcit</w:t>
      </w:r>
      <w:r w:rsidR="003B5BF6">
        <w:t>erede</w:t>
      </w:r>
      <w:r w:rsidR="003100C8">
        <w:t xml:space="preserve"> vedko</w:t>
      </w:r>
      <w:r w:rsidR="003100C8">
        <w:t>m</w:t>
      </w:r>
      <w:r w:rsidR="003100C8">
        <w:t>mende, som SGT købte e</w:t>
      </w:r>
      <w:r w:rsidR="003B5BF6">
        <w:t>jendommen af, som igen adciterede</w:t>
      </w:r>
      <w:r w:rsidR="003100C8">
        <w:t xml:space="preserve"> dennes sælger.</w:t>
      </w:r>
      <w:r w:rsidR="003B5BF6">
        <w:rPr>
          <w:rStyle w:val="Fodnotehenvisning"/>
        </w:rPr>
        <w:footnoteReference w:id="59"/>
      </w:r>
      <w:r w:rsidR="003100C8">
        <w:t xml:space="preserve"> </w:t>
      </w:r>
      <w:r w:rsidR="003B5BF6">
        <w:t>SGR har påstået</w:t>
      </w:r>
      <w:r w:rsidR="003100C8">
        <w:t xml:space="preserve"> SGT dømt til at betale udbedringsomkostninger primært som erstatning, subsidiæ</w:t>
      </w:r>
      <w:r w:rsidR="00C90A23">
        <w:t>rt som forholdsmæssigt afslag.</w:t>
      </w:r>
      <w:r w:rsidR="003B5BF6">
        <w:rPr>
          <w:rStyle w:val="Fodnotehenvisning"/>
        </w:rPr>
        <w:footnoteReference w:id="60"/>
      </w:r>
      <w:r w:rsidR="00C90A23">
        <w:t xml:space="preserve"> SGT har påstået frifindelse.</w:t>
      </w:r>
    </w:p>
    <w:p w14:paraId="0E5E8F0E" w14:textId="77777777" w:rsidR="00C90A23" w:rsidRDefault="00C90A23" w:rsidP="00414F97"/>
    <w:p w14:paraId="5CA2C508" w14:textId="63730EB7" w:rsidR="00C90A23" w:rsidRDefault="00C90A23" w:rsidP="00414F97">
      <w:r>
        <w:t>Sagen omhandlede en handel mellem SGR og SGT med e</w:t>
      </w:r>
      <w:r w:rsidR="00B225F3">
        <w:t>n ejendom, hvor der efter overt</w:t>
      </w:r>
      <w:r>
        <w:t>agelsesd</w:t>
      </w:r>
      <w:r>
        <w:t>a</w:t>
      </w:r>
      <w:r>
        <w:t>gen viste sig ul</w:t>
      </w:r>
      <w:r w:rsidR="003B5BF6">
        <w:t>ovlige elinstallationer. SGR havde</w:t>
      </w:r>
      <w:r>
        <w:t xml:space="preserve"> henvendt sig til en elinstallatør, s</w:t>
      </w:r>
      <w:r w:rsidR="003B5BF6">
        <w:t>om</w:t>
      </w:r>
      <w:r>
        <w:t xml:space="preserve"> fortalt</w:t>
      </w:r>
      <w:r w:rsidR="003B5BF6">
        <w:t>e</w:t>
      </w:r>
      <w:r>
        <w:t xml:space="preserve"> dem, at noget var galt</w:t>
      </w:r>
      <w:r w:rsidR="003B5BF6">
        <w:t xml:space="preserve"> med elinstallationerne i ejendommen</w:t>
      </w:r>
      <w:r>
        <w:t>, og at der skulle ske lovliggørelse. Sagsø</w:t>
      </w:r>
      <w:r w:rsidR="003B5BF6">
        <w:t>ge</w:t>
      </w:r>
      <w:r w:rsidR="003B5BF6">
        <w:t>r</w:t>
      </w:r>
      <w:r w:rsidR="003B5BF6">
        <w:t>ne havde</w:t>
      </w:r>
      <w:r>
        <w:t xml:space="preserve"> dog endnu ikke fået noge</w:t>
      </w:r>
      <w:r w:rsidR="003B5BF6">
        <w:t>t pålæg fra elselskabet. SGT havde</w:t>
      </w:r>
      <w:r>
        <w:t xml:space="preserve"> ikke bestridt</w:t>
      </w:r>
      <w:r w:rsidR="003B5BF6">
        <w:t>,</w:t>
      </w:r>
      <w:r>
        <w:t xml:space="preserve"> at der fandtes ulovlige elinstallationer på ejendommen, men blot konstater</w:t>
      </w:r>
      <w:r w:rsidR="003B5BF6">
        <w:t>et at disse ikke var</w:t>
      </w:r>
      <w:r w:rsidR="000F44C2">
        <w:t xml:space="preserve"> opført i dennes</w:t>
      </w:r>
      <w:r>
        <w:t xml:space="preserve"> eje</w:t>
      </w:r>
      <w:r>
        <w:t>r</w:t>
      </w:r>
      <w:r>
        <w:t>tid.</w:t>
      </w:r>
      <w:r w:rsidR="00937C04">
        <w:t xml:space="preserve"> Byretten lagde skønserklæringen, som var udarbejdet i forbindelse med sagen, til grund for, at ejendommens elinstallationer ikke var lovlige, da SGR købte ejendommen af SGT. Byretten døm</w:t>
      </w:r>
      <w:r w:rsidR="00B225F3">
        <w:t>te</w:t>
      </w:r>
      <w:r w:rsidR="00937C04">
        <w:t xml:space="preserve"> SGT til at betale et forholdsmæssigt afslag, der fastsattes til det beløb, som af syns- og skøns</w:t>
      </w:r>
      <w:r w:rsidR="003B5BF6">
        <w:t>ma</w:t>
      </w:r>
      <w:r w:rsidR="003B5BF6">
        <w:t>n</w:t>
      </w:r>
      <w:r w:rsidR="00B225F3">
        <w:t>den var</w:t>
      </w:r>
      <w:r w:rsidR="00937C04">
        <w:t xml:space="preserve"> skønnet</w:t>
      </w:r>
      <w:r w:rsidR="003B5BF6">
        <w:t>,</w:t>
      </w:r>
      <w:r w:rsidR="00937C04">
        <w:t xml:space="preserve"> at ville medgå til lovliggørelse af installationerne samt nødvendige udgifter til tømrer- og malerarbejde.</w:t>
      </w:r>
      <w:r w:rsidR="00937C04">
        <w:rPr>
          <w:rStyle w:val="Fodnotehenvisning"/>
        </w:rPr>
        <w:footnoteReference w:id="61"/>
      </w:r>
      <w:r w:rsidR="00B225F3">
        <w:t xml:space="preserve"> Landsretten tiltrådte disse grunde, og tilføjede</w:t>
      </w:r>
      <w:r w:rsidR="003B5BF6">
        <w:t>,</w:t>
      </w:r>
      <w:r w:rsidR="00937C04">
        <w:t xml:space="preserve"> at manglernes karakter ligeledes sp</w:t>
      </w:r>
      <w:r w:rsidR="00B225F3">
        <w:t>illede</w:t>
      </w:r>
      <w:r w:rsidR="00937C04">
        <w:t xml:space="preserve"> en rolle ved bedømmelsen.</w:t>
      </w:r>
    </w:p>
    <w:p w14:paraId="7E2F704D" w14:textId="77777777" w:rsidR="00937C04" w:rsidRDefault="00937C04" w:rsidP="00414F97"/>
    <w:p w14:paraId="29B97655" w14:textId="79EF4C5C" w:rsidR="00E32920" w:rsidRDefault="00937C04" w:rsidP="00414F97">
      <w:r>
        <w:t>Både byretten og landsretten dømmer SGT ud fra</w:t>
      </w:r>
      <w:r w:rsidR="003B5BF6">
        <w:t>,</w:t>
      </w:r>
      <w:r>
        <w:t xml:space="preserve"> at der er konstateret ulovlige elinstallationer på ejendommen. I begge instanser anvendes forholdsmæssigt afslag, idet det ikke findes bevist</w:t>
      </w:r>
      <w:r w:rsidR="003B5BF6">
        <w:t>,</w:t>
      </w:r>
      <w:r>
        <w:t xml:space="preserve"> at </w:t>
      </w:r>
      <w:r w:rsidR="00E31C6C">
        <w:t>SGT har handlet erstatningspådragende. Sammenholdt med at det er fremhævet</w:t>
      </w:r>
      <w:r w:rsidR="003B5BF6">
        <w:t>,</w:t>
      </w:r>
      <w:r w:rsidR="00E31C6C">
        <w:t xml:space="preserve"> at SGR endnu ikke er blevet pålagt at lovliggøre elinstallationerne, og at det ikke noget sted er antydet</w:t>
      </w:r>
      <w:r w:rsidR="003B5BF6">
        <w:t>,</w:t>
      </w:r>
      <w:r w:rsidR="00E31C6C">
        <w:t xml:space="preserve"> at der er sket sk</w:t>
      </w:r>
      <w:r w:rsidR="00E31C6C">
        <w:t>a</w:t>
      </w:r>
      <w:r w:rsidR="003B5BF6">
        <w:t>de eller fare for skade, kan</w:t>
      </w:r>
      <w:r w:rsidR="00E31C6C">
        <w:t xml:space="preserve"> det konstateres</w:t>
      </w:r>
      <w:r w:rsidR="003B5BF6">
        <w:t>,</w:t>
      </w:r>
      <w:r w:rsidR="00E31C6C">
        <w:t xml:space="preserve"> at hvor der blot er tale om ulovlige elinstallationer, må det antages kun at være bagatelgrænsen, som forhindrer køber i at få et forholdsmæssigt afslag i købesummen.</w:t>
      </w:r>
      <w:r w:rsidR="003B5BF6">
        <w:rPr>
          <w:rStyle w:val="Fodnotehenvisning"/>
        </w:rPr>
        <w:footnoteReference w:id="62"/>
      </w:r>
      <w:r w:rsidR="00E31C6C">
        <w:t xml:space="preserve"> Højesteret</w:t>
      </w:r>
      <w:r w:rsidR="00E32920">
        <w:t>s bemærkninger giver et klart billede af</w:t>
      </w:r>
      <w:r w:rsidR="005C7345">
        <w:t>,</w:t>
      </w:r>
      <w:r w:rsidR="00E32920">
        <w:t xml:space="preserve"> hvorfor denne finder ovenståe</w:t>
      </w:r>
      <w:r w:rsidR="00E32920">
        <w:t>n</w:t>
      </w:r>
      <w:r w:rsidR="00E32920">
        <w:t xml:space="preserve">de for en rimelig løsning, idet Højesteret ligeledes tiltræder byrettens afgørelse. </w:t>
      </w:r>
    </w:p>
    <w:p w14:paraId="75DB8663" w14:textId="77777777" w:rsidR="00E32920" w:rsidRDefault="00E32920" w:rsidP="00414F97"/>
    <w:p w14:paraId="50087AF7" w14:textId="77777777" w:rsidR="00B225F3" w:rsidRDefault="00E32920" w:rsidP="00414F97">
      <w:r>
        <w:t>Højesterets afgørelse er afsagt med dissens, og flertallet udtaler: ”</w:t>
      </w:r>
      <w:r w:rsidRPr="00E32920">
        <w:rPr>
          <w:i/>
        </w:rPr>
        <w:t>De ulovlige elektriske installati</w:t>
      </w:r>
      <w:r w:rsidRPr="00E32920">
        <w:rPr>
          <w:i/>
        </w:rPr>
        <w:t>o</w:t>
      </w:r>
      <w:r w:rsidRPr="00E32920">
        <w:rPr>
          <w:i/>
        </w:rPr>
        <w:t>ner var ensbetydende med, at Elektricitetsrådet kunne kræve anlægget ændret omgående. Købet vedrørte et ældre hus af den art, hvor en køber er indstillet på en vis nedslidning og forestående udgifter, men selv ved sådanne huse er en køber berettiget til at gå ud fra, at de elektriske install</w:t>
      </w:r>
      <w:r w:rsidRPr="00E32920">
        <w:rPr>
          <w:i/>
        </w:rPr>
        <w:t>a</w:t>
      </w:r>
      <w:r w:rsidRPr="00E32920">
        <w:rPr>
          <w:i/>
        </w:rPr>
        <w:t>tioner ikke er ulovlige.”</w:t>
      </w:r>
      <w:r w:rsidRPr="00E32920">
        <w:rPr>
          <w:rStyle w:val="Fodnotehenvisning"/>
          <w:i/>
        </w:rPr>
        <w:footnoteReference w:id="63"/>
      </w:r>
      <w:r>
        <w:rPr>
          <w:i/>
        </w:rPr>
        <w:t xml:space="preserve"> </w:t>
      </w:r>
      <w:r>
        <w:t>Med denne udtalelse gør Højesteret det klart, at ulovlige elinstallationer ikke skal accepteres, hvad enten de ulovlige elinstallationer er blevet påbudt lovliggjort eller ej. Det er således uden betydning for vurderingen af om køber kan påberåbe sig en ulovlig elinstallation</w:t>
      </w:r>
      <w:r w:rsidR="00BE4E8E">
        <w:t xml:space="preserve"> som en mangel overfor sælger, om den ulovlige elinstallation har givet anledning til en skade, risiko for skade, eller om det offentlige har påbudt at lovliggøre den ulovlige elinstallation. </w:t>
      </w:r>
    </w:p>
    <w:p w14:paraId="023AC08B" w14:textId="77777777" w:rsidR="00B225F3" w:rsidRDefault="00B225F3" w:rsidP="00414F97"/>
    <w:p w14:paraId="3E54DA18" w14:textId="70623290" w:rsidR="00937C04" w:rsidRPr="00E32920" w:rsidRDefault="00BE4E8E" w:rsidP="00414F97">
      <w:r>
        <w:t>Højesteret har m</w:t>
      </w:r>
      <w:r w:rsidR="005C7345">
        <w:t>ed dommen U.1998.474H fastslået,</w:t>
      </w:r>
      <w:r>
        <w:t xml:space="preserve"> at køber ikke skal acceptere</w:t>
      </w:r>
      <w:r w:rsidR="005C7345">
        <w:t>,</w:t>
      </w:r>
      <w:r>
        <w:t xml:space="preserve"> at </w:t>
      </w:r>
      <w:r w:rsidR="003D327B">
        <w:t>der findes ulo</w:t>
      </w:r>
      <w:r w:rsidR="003D327B">
        <w:t>v</w:t>
      </w:r>
      <w:r w:rsidR="003D327B">
        <w:t>lige elinstallationer</w:t>
      </w:r>
      <w:r w:rsidR="005C7345">
        <w:t xml:space="preserve"> i ejendommen</w:t>
      </w:r>
      <w:r w:rsidR="003D327B">
        <w:t>, som denne</w:t>
      </w:r>
      <w:r w:rsidR="005C7345">
        <w:t xml:space="preserve"> ikke er blevet gjort bekendt med før overt</w:t>
      </w:r>
      <w:r w:rsidR="003D327B">
        <w:t>agelsesd</w:t>
      </w:r>
      <w:r w:rsidR="003D327B">
        <w:t>a</w:t>
      </w:r>
      <w:r w:rsidR="003D327B">
        <w:t>gen, således at køber ikke har kunnet tage forbehold i</w:t>
      </w:r>
      <w:r w:rsidR="005C7345">
        <w:t xml:space="preserve"> prissætningen af</w:t>
      </w:r>
      <w:r w:rsidR="003D327B">
        <w:t xml:space="preserve"> købesummen for udbedring af disse ulovlige elinstallationer.</w:t>
      </w:r>
    </w:p>
    <w:p w14:paraId="7062A4D2" w14:textId="635E7532" w:rsidR="00E3784A" w:rsidRDefault="008A3FC5" w:rsidP="00E3784A">
      <w:pPr>
        <w:pStyle w:val="Overskrift3"/>
      </w:pPr>
      <w:bookmarkStart w:id="27" w:name="_Toc179963430"/>
      <w:r>
        <w:t xml:space="preserve">3.2.2 </w:t>
      </w:r>
      <w:r w:rsidR="00E3784A">
        <w:t>Påbud om ændring af elinstallation</w:t>
      </w:r>
      <w:bookmarkEnd w:id="27"/>
    </w:p>
    <w:p w14:paraId="1359F6B1" w14:textId="4E8A814E" w:rsidR="00E3784A" w:rsidRDefault="00B225F3" w:rsidP="00E3784A">
      <w:r>
        <w:t>I dette afsnit behandles</w:t>
      </w:r>
      <w:r w:rsidR="00E3784A">
        <w:t xml:space="preserve"> den situation, hvor en ulovlig elinstallat</w:t>
      </w:r>
      <w:r w:rsidR="00C37822">
        <w:t>ion er konstateret og</w:t>
      </w:r>
      <w:r w:rsidR="00E3784A">
        <w:t xml:space="preserve"> det offentlige</w:t>
      </w:r>
      <w:r w:rsidR="00C37822">
        <w:t xml:space="preserve"> i denne forbindelse</w:t>
      </w:r>
      <w:r w:rsidR="00E3784A">
        <w:t xml:space="preserve"> påbyder, at elinstallationen lovliggøres.</w:t>
      </w:r>
      <w:r w:rsidR="00C37822">
        <w:t xml:space="preserve"> </w:t>
      </w:r>
    </w:p>
    <w:p w14:paraId="5AFEB199" w14:textId="77777777" w:rsidR="00C37822" w:rsidRDefault="00C37822" w:rsidP="00E3784A"/>
    <w:p w14:paraId="70B9039E" w14:textId="4472C421" w:rsidR="00E3784A" w:rsidRDefault="00C37822" w:rsidP="00E3784A">
      <w:r>
        <w:t>For at belyse oven</w:t>
      </w:r>
      <w:r w:rsidR="00DE7211">
        <w:t xml:space="preserve">stående situation, gennemgås </w:t>
      </w:r>
      <w:r>
        <w:t>dom</w:t>
      </w:r>
      <w:r w:rsidR="00DE7211">
        <w:t>men U.2005.1108V</w:t>
      </w:r>
      <w:r>
        <w:t>, som besvarer spørgsmålet om, hvem der bærer ansvaret for lovliggørelse af en</w:t>
      </w:r>
      <w:r w:rsidR="00B225F3">
        <w:t xml:space="preserve"> offentligretlig forskrift, såfremt</w:t>
      </w:r>
      <w:r>
        <w:t xml:space="preserve"> det offentlige påbyder køber at få bragt de offentligretlige forskrifter i lovlig stand. Selve dommen omhandler ikke elinstallationer, men idet at det er konstateret ovenfor i </w:t>
      </w:r>
      <w:r w:rsidR="009D0254" w:rsidRPr="009D0254">
        <w:t>afsnit 3.1.1.1</w:t>
      </w:r>
      <w:r w:rsidR="009D0254">
        <w:t>,</w:t>
      </w:r>
      <w:r>
        <w:t xml:space="preserve"> at et forhold i strid med en offentligretlig forskrift og en ulovlig elinstal</w:t>
      </w:r>
      <w:r w:rsidR="00DE7211">
        <w:t>lation går ud for det samme, kan dommen anvendes</w:t>
      </w:r>
      <w:r w:rsidR="00734413">
        <w:t xml:space="preserve"> analogt,</w:t>
      </w:r>
      <w:r>
        <w:t xml:space="preserve"> og </w:t>
      </w:r>
      <w:r w:rsidR="00DE7211">
        <w:t xml:space="preserve"> vil blive </w:t>
      </w:r>
      <w:r>
        <w:t>omsat til ulovlige elinstallationer e</w:t>
      </w:r>
      <w:r w:rsidR="005418A1">
        <w:t>fter gennemgangen af selve dommen</w:t>
      </w:r>
      <w:r>
        <w:t>.</w:t>
      </w:r>
    </w:p>
    <w:p w14:paraId="45D767B4" w14:textId="77777777" w:rsidR="001C1023" w:rsidRDefault="001C1023" w:rsidP="00E3784A"/>
    <w:p w14:paraId="20FDE842" w14:textId="176CFF12" w:rsidR="00765877" w:rsidRDefault="001C1023" w:rsidP="00E3784A">
      <w:r>
        <w:t xml:space="preserve">Sagen omhandlede et køb af en fast ejendom. Sælger var et dødsbo, og køber var forældre til dem, der reelt set skulle overtage ejendommen. </w:t>
      </w:r>
      <w:r w:rsidR="004372C6">
        <w:t>Køber har påstået sælger</w:t>
      </w:r>
      <w:r w:rsidR="00F964E8">
        <w:t xml:space="preserve"> til</w:t>
      </w:r>
      <w:r w:rsidR="004372C6">
        <w:t xml:space="preserve"> at anerkende</w:t>
      </w:r>
      <w:r w:rsidR="00F964E8">
        <w:t>,</w:t>
      </w:r>
      <w:r w:rsidR="004372C6">
        <w:t xml:space="preserve"> at køber kan hæ</w:t>
      </w:r>
      <w:r w:rsidR="00F964E8">
        <w:t>ve</w:t>
      </w:r>
      <w:r w:rsidR="004372C6">
        <w:t xml:space="preserve">, og sælger </w:t>
      </w:r>
      <w:r w:rsidR="00F964E8">
        <w:t>har påstået</w:t>
      </w:r>
      <w:r w:rsidR="004372C6">
        <w:t xml:space="preserve"> opretholdelse af handelen. </w:t>
      </w:r>
      <w:r>
        <w:t>Køber havde gjort sælger opmærksom på, hvad formålet med ejendommen var, at det skulle anvendes til beboelse. Sælger havde fremlagt tils</w:t>
      </w:r>
      <w:r w:rsidR="00B225F3">
        <w:t>tandsrapport for køber, og køber</w:t>
      </w:r>
      <w:r>
        <w:t xml:space="preserve"> vi</w:t>
      </w:r>
      <w:r w:rsidR="005418A1">
        <w:t>d</w:t>
      </w:r>
      <w:r>
        <w:t>ste</w:t>
      </w:r>
      <w:r w:rsidR="005418A1">
        <w:t>,</w:t>
      </w:r>
      <w:r>
        <w:t xml:space="preserve"> at ejendommen var i en dårlig forfatning, men ikke at ejendommen ikke var beboelig. </w:t>
      </w:r>
      <w:r w:rsidR="005418A1">
        <w:t>Efter overtagelsesdagen påbød kommunen, at ejendommen sku</w:t>
      </w:r>
      <w:r w:rsidR="004372C6">
        <w:t>l</w:t>
      </w:r>
      <w:r w:rsidR="005418A1">
        <w:t>le</w:t>
      </w:r>
      <w:r w:rsidR="004372C6">
        <w:t xml:space="preserve"> rives ned, med henvi</w:t>
      </w:r>
      <w:r w:rsidR="005418A1">
        <w:t>sning til, at der ikke forelå</w:t>
      </w:r>
      <w:r w:rsidR="00734413">
        <w:t xml:space="preserve"> en kopi af ejendommens</w:t>
      </w:r>
      <w:r w:rsidR="004372C6">
        <w:t xml:space="preserve"> byggeattest, og at bygni</w:t>
      </w:r>
      <w:r w:rsidR="004372C6">
        <w:t>n</w:t>
      </w:r>
      <w:r w:rsidR="005418A1">
        <w:t>gen ikke opfyldte</w:t>
      </w:r>
      <w:r w:rsidR="004372C6">
        <w:t xml:space="preserve"> gældende regler og aldrig har gjort det.</w:t>
      </w:r>
      <w:r w:rsidR="004372C6">
        <w:rPr>
          <w:rStyle w:val="Fodnotehenvisning"/>
        </w:rPr>
        <w:footnoteReference w:id="64"/>
      </w:r>
      <w:r w:rsidR="005418A1">
        <w:t xml:space="preserve"> Byretten bemærkede</w:t>
      </w:r>
      <w:r w:rsidR="00734413">
        <w:t>,</w:t>
      </w:r>
      <w:r w:rsidR="005418A1">
        <w:t xml:space="preserve"> at det var</w:t>
      </w:r>
      <w:r w:rsidR="004372C6">
        <w:t xml:space="preserve"> ub</w:t>
      </w:r>
      <w:r w:rsidR="004372C6">
        <w:t>e</w:t>
      </w:r>
      <w:r w:rsidR="005418A1">
        <w:t>stridt, at ejendommen var</w:t>
      </w:r>
      <w:r w:rsidR="004372C6">
        <w:t xml:space="preserve"> uanve</w:t>
      </w:r>
      <w:r w:rsidR="005418A1">
        <w:t>ndelig, og at der ikke var</w:t>
      </w:r>
      <w:r w:rsidR="004372C6">
        <w:t xml:space="preserve"> udste</w:t>
      </w:r>
      <w:r w:rsidR="00B225F3">
        <w:t>dt bygningsattest. Retten fandt</w:t>
      </w:r>
      <w:r w:rsidR="004372C6">
        <w:t xml:space="preserve"> for så vidt at kunne betegne bygn</w:t>
      </w:r>
      <w:r w:rsidR="00B225F3">
        <w:t>ingen som ulovlig. Dertil lagde</w:t>
      </w:r>
      <w:r w:rsidR="004372C6">
        <w:t xml:space="preserve"> retten til grund, at sælger var opmær</w:t>
      </w:r>
      <w:r w:rsidR="004372C6">
        <w:t>k</w:t>
      </w:r>
      <w:r w:rsidR="004372C6">
        <w:t>som på</w:t>
      </w:r>
      <w:r w:rsidR="00F964E8">
        <w:t>,</w:t>
      </w:r>
      <w:r w:rsidR="004372C6">
        <w:t xml:space="preserve"> hvad køber ønskede at anvende ejendommen </w:t>
      </w:r>
      <w:r w:rsidR="00B225F3">
        <w:t>til, og på den baggrund vurderede</w:t>
      </w:r>
      <w:r w:rsidR="004372C6">
        <w:t xml:space="preserve"> retten at kø</w:t>
      </w:r>
      <w:r w:rsidR="00B225F3">
        <w:t>ber var</w:t>
      </w:r>
      <w:r w:rsidR="004372C6">
        <w:t xml:space="preserve"> berettiget til at hæve handelen. </w:t>
      </w:r>
      <w:r w:rsidR="00B225F3">
        <w:t>Byretten lagde</w:t>
      </w:r>
      <w:r w:rsidR="00765877">
        <w:t xml:space="preserve"> ikke vægt på</w:t>
      </w:r>
      <w:r w:rsidR="005418A1">
        <w:t>,</w:t>
      </w:r>
      <w:r w:rsidR="00B225F3">
        <w:t xml:space="preserve"> at kommunen havde</w:t>
      </w:r>
      <w:r w:rsidR="00765877">
        <w:t xml:space="preserve"> påbudt køber at nedrive ejendommen, </w:t>
      </w:r>
      <w:r w:rsidR="00A2293D">
        <w:t xml:space="preserve">hvilket må antages at </w:t>
      </w:r>
      <w:r w:rsidR="00216ACF">
        <w:t>kunne begrundes i, at byretten er startet sin begrundelse med at konstatere</w:t>
      </w:r>
      <w:r w:rsidR="005418A1">
        <w:t>,</w:t>
      </w:r>
      <w:r w:rsidR="00216ACF">
        <w:t xml:space="preserve"> at </w:t>
      </w:r>
      <w:r w:rsidR="00A2293D">
        <w:t xml:space="preserve">det er ubestridt, at </w:t>
      </w:r>
      <w:r w:rsidR="00216ACF">
        <w:t xml:space="preserve">ejendommen ikke er </w:t>
      </w:r>
      <w:r w:rsidR="00765877">
        <w:t>anven</w:t>
      </w:r>
      <w:r w:rsidR="00216ACF">
        <w:t>delig til beboelse</w:t>
      </w:r>
      <w:r w:rsidR="00A2293D">
        <w:t>, hvorfor det ikke er relevant</w:t>
      </w:r>
      <w:r w:rsidR="005418A1">
        <w:t>,</w:t>
      </w:r>
      <w:r w:rsidR="00A2293D">
        <w:t xml:space="preserve"> at komme ind på yderligere argumentation for, hvorfor ejendommen er ubeboelig</w:t>
      </w:r>
      <w:r w:rsidR="00216ACF">
        <w:t xml:space="preserve">. </w:t>
      </w:r>
      <w:r w:rsidR="00A2293D">
        <w:t>Det må antages, at hvis byretten fandt det bestridt, at ejendommen var ubeboelig, at b</w:t>
      </w:r>
      <w:r w:rsidR="00A2293D">
        <w:t>y</w:t>
      </w:r>
      <w:r w:rsidR="00A2293D">
        <w:t>retten ville have anvendt kommunens påbud som argumentation.</w:t>
      </w:r>
    </w:p>
    <w:p w14:paraId="792899A4" w14:textId="77777777" w:rsidR="00765877" w:rsidRDefault="00765877" w:rsidP="00E3784A"/>
    <w:p w14:paraId="4CB1CFD1" w14:textId="35A70CCD" w:rsidR="00765877" w:rsidRDefault="00B225F3" w:rsidP="00E3784A">
      <w:r>
        <w:t>Ved L</w:t>
      </w:r>
      <w:r w:rsidR="00765877">
        <w:t>andsretten har parterne gentaget deres påstande, dog med den æ</w:t>
      </w:r>
      <w:r w:rsidR="005418A1">
        <w:t>ndring at erstatningsbeløbene var</w:t>
      </w:r>
      <w:r w:rsidR="00765877">
        <w:t xml:space="preserve"> ændret som følge af</w:t>
      </w:r>
      <w:r w:rsidR="005418A1">
        <w:t xml:space="preserve"> den yderligere tid, som var</w:t>
      </w:r>
      <w:r w:rsidR="00F964E8">
        <w:t xml:space="preserve"> passeret</w:t>
      </w:r>
      <w:r w:rsidR="00A2293D">
        <w:t>, mens</w:t>
      </w:r>
      <w:r w:rsidR="005418A1">
        <w:t xml:space="preserve"> sagen stod</w:t>
      </w:r>
      <w:r w:rsidR="00765877">
        <w:t xml:space="preserve"> </w:t>
      </w:r>
      <w:r>
        <w:t>på. Ved L</w:t>
      </w:r>
      <w:r w:rsidR="00765877">
        <w:t>andsret</w:t>
      </w:r>
      <w:r w:rsidR="005418A1">
        <w:t>ten var</w:t>
      </w:r>
      <w:r w:rsidR="00765877">
        <w:t xml:space="preserve"> der fremkommet yderligere </w:t>
      </w:r>
      <w:r w:rsidR="005418A1">
        <w:t>sagsfremstilling. Det omhandlede</w:t>
      </w:r>
      <w:r w:rsidR="00765877">
        <w:t xml:space="preserve"> et brev fra kommunen til købers advokat vedrørende </w:t>
      </w:r>
      <w:r w:rsidR="005418A1">
        <w:t>ejendommen. I dette brev fremgik</w:t>
      </w:r>
      <w:r w:rsidR="00765877">
        <w:t xml:space="preserve">: </w:t>
      </w:r>
      <w:r w:rsidR="00765877" w:rsidRPr="00765877">
        <w:rPr>
          <w:i/>
        </w:rPr>
        <w:t>”…Vi må derfor konkludere</w:t>
      </w:r>
      <w:r w:rsidR="00765877">
        <w:rPr>
          <w:i/>
        </w:rPr>
        <w:t>,</w:t>
      </w:r>
      <w:r w:rsidR="00765877" w:rsidRPr="00765877">
        <w:rPr>
          <w:i/>
        </w:rPr>
        <w:t xml:space="preserve"> at der ikke er udstedt bygningsattest på byggesag 62/1950</w:t>
      </w:r>
      <w:r w:rsidR="00765877">
        <w:rPr>
          <w:i/>
        </w:rPr>
        <w:t>…Da der ikke er bygningsattest, er byggeriet i princi</w:t>
      </w:r>
      <w:r w:rsidR="00765877">
        <w:rPr>
          <w:i/>
        </w:rPr>
        <w:t>p</w:t>
      </w:r>
      <w:r w:rsidR="00765877">
        <w:rPr>
          <w:i/>
        </w:rPr>
        <w:t>pet ikke afsluttet endnu. På baggrund af oplysninger om bygningens tilstand kan vi desværre ikke imødekomme Deres ø</w:t>
      </w:r>
      <w:r w:rsidR="00734413">
        <w:rPr>
          <w:i/>
        </w:rPr>
        <w:t>nske om at acceptere byggesagen</w:t>
      </w:r>
      <w:r w:rsidR="00765877">
        <w:rPr>
          <w:i/>
        </w:rPr>
        <w:t xml:space="preserve"> som afsluttet…hele træbygningen og kæld</w:t>
      </w:r>
      <w:r w:rsidR="00765877">
        <w:rPr>
          <w:i/>
        </w:rPr>
        <w:t>e</w:t>
      </w:r>
      <w:r w:rsidR="00765877">
        <w:rPr>
          <w:i/>
        </w:rPr>
        <w:t xml:space="preserve">ren skal rives ned, da den ikke er egnet som </w:t>
      </w:r>
      <w:r w:rsidR="00727B98">
        <w:rPr>
          <w:i/>
        </w:rPr>
        <w:t>bolig, samt at den heller ikke opfylder gældende regler og heller aldrig har gjort det…</w:t>
      </w:r>
      <w:r w:rsidR="00765877" w:rsidRPr="00765877">
        <w:rPr>
          <w:i/>
        </w:rPr>
        <w:t>”</w:t>
      </w:r>
      <w:r w:rsidR="00765877">
        <w:rPr>
          <w:rStyle w:val="Fodnotehenvisning"/>
        </w:rPr>
        <w:footnoteReference w:id="65"/>
      </w:r>
      <w:r w:rsidR="00765877">
        <w:rPr>
          <w:i/>
        </w:rPr>
        <w:t xml:space="preserve"> </w:t>
      </w:r>
      <w:r w:rsidR="005418A1">
        <w:t>Brevet viser</w:t>
      </w:r>
      <w:r w:rsidR="00727B98">
        <w:t xml:space="preserve"> således, at ejendommen ikke er og aldrig har været lovlig opført, idet der aldrig er udstedt en bygningsattest på ejendommen. Landsrettens be</w:t>
      </w:r>
      <w:r w:rsidR="00734413">
        <w:t xml:space="preserve">grundelse tager udgangspunkt </w:t>
      </w:r>
      <w:r>
        <w:t>i dette brev, idet L</w:t>
      </w:r>
      <w:r w:rsidR="00727B98">
        <w:t>andsretten anfører, at det navnlig er de af kommunen afgivne oplysninger om ejendommen, der gør</w:t>
      </w:r>
      <w:r w:rsidR="005418A1">
        <w:t>,</w:t>
      </w:r>
      <w:r>
        <w:t xml:space="preserve"> at L</w:t>
      </w:r>
      <w:r w:rsidR="00727B98">
        <w:t>andsretten finder</w:t>
      </w:r>
      <w:r w:rsidR="00A2293D">
        <w:t>,</w:t>
      </w:r>
      <w:r w:rsidR="00727B98">
        <w:t xml:space="preserve"> at den manglende bygningsattest må betegnes som en retlig relevant mangel, der er omfattet af LFFE § 2, stk. 5, 1. pkt.</w:t>
      </w:r>
      <w:r w:rsidR="005E24F7">
        <w:t xml:space="preserve"> Landsretten a</w:t>
      </w:r>
      <w:r w:rsidR="005E24F7">
        <w:t>n</w:t>
      </w:r>
      <w:r w:rsidR="005E24F7">
        <w:t>vender således kommunens påbud om at nedrive ejendommen, s</w:t>
      </w:r>
      <w:r w:rsidR="00A2293D">
        <w:t>om argumentation for, hvorfor</w:t>
      </w:r>
      <w:r w:rsidR="005E24F7">
        <w:t xml:space="preserve"> k</w:t>
      </w:r>
      <w:r w:rsidR="005E24F7">
        <w:t>ø</w:t>
      </w:r>
      <w:r w:rsidR="005E24F7">
        <w:t>ber skal have medhold i</w:t>
      </w:r>
      <w:r w:rsidR="00F964E8">
        <w:t>,</w:t>
      </w:r>
      <w:r w:rsidR="005E24F7">
        <w:t xml:space="preserve"> at sælger skal anerkende</w:t>
      </w:r>
      <w:r w:rsidR="00A2293D">
        <w:t>,</w:t>
      </w:r>
      <w:r w:rsidR="005E24F7">
        <w:t xml:space="preserve"> at køber er berettiget til at hæve handelen. Det må således antages, at når kommunen påbyder at nedrive en ejendom med begrundelse om ulovlig opførsel, og dette ikke har været oplyst inden handelen er indgået, kan forholdet henføres til undt</w:t>
      </w:r>
      <w:r w:rsidR="005E24F7">
        <w:t>a</w:t>
      </w:r>
      <w:r w:rsidR="005E24F7">
        <w:t>gelsesbestemmelsen i LFFE § 2, stk. 5, 1. pkt.</w:t>
      </w:r>
    </w:p>
    <w:p w14:paraId="5F6D5E55" w14:textId="77777777" w:rsidR="00FB289E" w:rsidRDefault="00FB289E" w:rsidP="00E3784A"/>
    <w:p w14:paraId="01C8C2CB" w14:textId="53EC34E0" w:rsidR="00FB289E" w:rsidRDefault="005418A1" w:rsidP="00E3784A">
      <w:r>
        <w:t>Sagen viser, hvorvidt</w:t>
      </w:r>
      <w:r w:rsidR="00CC55DE">
        <w:t xml:space="preserve"> et forhold skal henføres til LFFE § 2, stk. 5. 1. pkt., når </w:t>
      </w:r>
      <w:r w:rsidR="007B6DED">
        <w:t>en</w:t>
      </w:r>
      <w:r w:rsidR="00FB289E">
        <w:t xml:space="preserve"> </w:t>
      </w:r>
      <w:r w:rsidR="007B6DED">
        <w:t>kommune påbyder ejeren</w:t>
      </w:r>
      <w:r w:rsidR="00CC55DE">
        <w:t xml:space="preserve"> af en ejendom</w:t>
      </w:r>
      <w:r w:rsidR="007B6DED">
        <w:t xml:space="preserve"> at nedrive ejendommen med den begrundelse</w:t>
      </w:r>
      <w:r w:rsidR="00A2293D">
        <w:t>,</w:t>
      </w:r>
      <w:r w:rsidR="007B6DED">
        <w:t xml:space="preserve"> at ejendommen ikke er lovlig opført, og aldrig har været det.</w:t>
      </w:r>
      <w:r w:rsidR="00CC55DE">
        <w:t xml:space="preserve"> K</w:t>
      </w:r>
      <w:r w:rsidR="00536955">
        <w:t>ø</w:t>
      </w:r>
      <w:r>
        <w:t xml:space="preserve">ber </w:t>
      </w:r>
      <w:r w:rsidR="007B6DED">
        <w:t>opnår</w:t>
      </w:r>
      <w:r w:rsidR="00536955">
        <w:t xml:space="preserve"> </w:t>
      </w:r>
      <w:r w:rsidR="00CC55DE">
        <w:t xml:space="preserve">derved ikke </w:t>
      </w:r>
      <w:r w:rsidR="00536955">
        <w:t xml:space="preserve">den ret over ejendommen, som denne har krav på. Køber </w:t>
      </w:r>
      <w:r w:rsidR="00A2293D">
        <w:t xml:space="preserve">er retmæssig </w:t>
      </w:r>
      <w:r w:rsidR="00536955">
        <w:t>ejer</w:t>
      </w:r>
      <w:r w:rsidR="00A2293D">
        <w:t xml:space="preserve"> af</w:t>
      </w:r>
      <w:r w:rsidR="00536955">
        <w:t xml:space="preserve"> ejendommen, men kan ikke anvende ejen</w:t>
      </w:r>
      <w:r w:rsidR="007B6DED">
        <w:t>dommen efter eget ønske</w:t>
      </w:r>
      <w:r w:rsidR="00536955">
        <w:t xml:space="preserve">. </w:t>
      </w:r>
      <w:r w:rsidR="00941877">
        <w:t>Dommen</w:t>
      </w:r>
      <w:r>
        <w:t>s konklusion</w:t>
      </w:r>
      <w:r w:rsidR="007B6DED">
        <w:t xml:space="preserve"> kan</w:t>
      </w:r>
      <w:r w:rsidR="00CC55DE">
        <w:t xml:space="preserve"> ligeledes anvendes på ulovlige elinstallationer, som </w:t>
      </w:r>
      <w:r w:rsidR="00210B53">
        <w:t>ejeren af en ejendom påbydes at lovliggøre. K</w:t>
      </w:r>
      <w:r w:rsidR="00852369">
        <w:t>øber</w:t>
      </w:r>
      <w:r w:rsidR="00210B53">
        <w:t xml:space="preserve"> opnår </w:t>
      </w:r>
      <w:r w:rsidR="00852369">
        <w:t>ikke den ret, som denne har krav på,</w:t>
      </w:r>
      <w:r w:rsidR="0066418A">
        <w:t xml:space="preserve"> hvilket er</w:t>
      </w:r>
      <w:r w:rsidR="00852369">
        <w:t xml:space="preserve"> lovligt opførte elinstallationer. Det må antages</w:t>
      </w:r>
      <w:r w:rsidR="0066418A">
        <w:t>,</w:t>
      </w:r>
      <w:r w:rsidR="00852369">
        <w:t xml:space="preserve"> at ulovlige elinstallationer ikke giver anledning til</w:t>
      </w:r>
      <w:r w:rsidR="0066418A">
        <w:t>,</w:t>
      </w:r>
      <w:r w:rsidR="00852369">
        <w:t xml:space="preserve"> at kommunen på</w:t>
      </w:r>
      <w:r w:rsidR="00210B53">
        <w:t>byder en ejer</w:t>
      </w:r>
      <w:r w:rsidR="00941877">
        <w:t xml:space="preserve"> af en ejendom </w:t>
      </w:r>
      <w:r w:rsidR="00852369">
        <w:t>at nedrive ejendommen. Ulovlige elinstallationer må antages højst</w:t>
      </w:r>
      <w:r w:rsidR="0066418A">
        <w:t>,</w:t>
      </w:r>
      <w:r w:rsidR="00852369">
        <w:t xml:space="preserve"> at kunne give anledning til</w:t>
      </w:r>
      <w:r w:rsidR="0066418A">
        <w:t>,</w:t>
      </w:r>
      <w:r w:rsidR="00852369">
        <w:t xml:space="preserve"> at kommunen påbyder en lovliggørelse af elinstalla</w:t>
      </w:r>
      <w:r w:rsidR="006405D3">
        <w:t>ti</w:t>
      </w:r>
      <w:r w:rsidR="006405D3">
        <w:t>o</w:t>
      </w:r>
      <w:r w:rsidR="006405D3">
        <w:t>nerne. Der er forskel på om en køber bliver påbudt at nedrive en hel ejendom</w:t>
      </w:r>
      <w:r w:rsidR="00941877">
        <w:t>, eller</w:t>
      </w:r>
      <w:r w:rsidR="006405D3">
        <w:t xml:space="preserve"> at køber bliver påbudt at få lovliggjort ulovlige elinstallationer. Imidlertid </w:t>
      </w:r>
      <w:r w:rsidR="00216ACF">
        <w:t>er det samme resultat,</w:t>
      </w:r>
      <w:r w:rsidR="006405D3">
        <w:t xml:space="preserve"> at køber ikke har opnået den ret</w:t>
      </w:r>
      <w:r w:rsidR="00941877">
        <w:t xml:space="preserve"> over ejendommen, som denne kan</w:t>
      </w:r>
      <w:r w:rsidR="006405D3">
        <w:t xml:space="preserve"> kræve, at </w:t>
      </w:r>
      <w:r w:rsidR="00216ACF">
        <w:t>kunne råde over sin egen ejendom uden udefrakom</w:t>
      </w:r>
      <w:r w:rsidR="00210B53">
        <w:t>mende påbud, og køber kan herved påberåbe sig undtagelsesbestemmelsen i LFFE § 2, stk. 5, 1. pkt. overfor sælger.</w:t>
      </w:r>
    </w:p>
    <w:p w14:paraId="31EE51E2" w14:textId="77777777" w:rsidR="0066418A" w:rsidRDefault="0066418A" w:rsidP="00E3784A"/>
    <w:p w14:paraId="1EC82325" w14:textId="49D4E3D7" w:rsidR="0066418A" w:rsidRPr="00727B98" w:rsidRDefault="0066418A" w:rsidP="00E3784A">
      <w:r>
        <w:t>Samlet kan køber som udgangspunkt påberåbe</w:t>
      </w:r>
      <w:r w:rsidR="00941877">
        <w:t xml:space="preserve"> en ulovlig elinstallation</w:t>
      </w:r>
      <w:r>
        <w:t xml:space="preserve"> overfor sælger, hvis en kommune påbyder køber at lovl</w:t>
      </w:r>
      <w:r w:rsidR="00941877">
        <w:t>iggøre denne, og forholdet</w:t>
      </w:r>
      <w:r>
        <w:t xml:space="preserve"> således</w:t>
      </w:r>
      <w:r w:rsidR="00941877">
        <w:t xml:space="preserve"> kan</w:t>
      </w:r>
      <w:r>
        <w:t xml:space="preserve"> henføres til LFFE § 2, stk. 5, 1. pkt. Det skal dog bemærkes, at det afhænger af den enkelte situation, hvorvidt køber kan påber</w:t>
      </w:r>
      <w:r>
        <w:t>å</w:t>
      </w:r>
      <w:r>
        <w:t>be sig LFFE § 2, stk. 5, 1. pkt., idet forhold, som køber har været gjort opmærksom på inden ove</w:t>
      </w:r>
      <w:r>
        <w:t>r</w:t>
      </w:r>
      <w:r w:rsidR="00941877">
        <w:t>t</w:t>
      </w:r>
      <w:r>
        <w:t xml:space="preserve">agelsesdagen ikke falder ind under forhold, som køber kan påberåbe sig overfor sælger. </w:t>
      </w:r>
    </w:p>
    <w:p w14:paraId="2A528126" w14:textId="39C2ED3C" w:rsidR="00E3784A" w:rsidRDefault="008A3FC5" w:rsidP="00E3784A">
      <w:pPr>
        <w:pStyle w:val="Overskrift3"/>
      </w:pPr>
      <w:bookmarkStart w:id="28" w:name="_Toc179963431"/>
      <w:r>
        <w:t xml:space="preserve">3.2.3 </w:t>
      </w:r>
      <w:r w:rsidR="00E3784A">
        <w:t>Risiko for skade</w:t>
      </w:r>
      <w:bookmarkEnd w:id="28"/>
    </w:p>
    <w:p w14:paraId="3A3161FA" w14:textId="2C63371F" w:rsidR="00E3784A" w:rsidRDefault="00051425" w:rsidP="00E3784A">
      <w:r>
        <w:t>Nedenfor</w:t>
      </w:r>
      <w:r w:rsidR="00274C35">
        <w:t xml:space="preserve"> behandles</w:t>
      </w:r>
      <w:r w:rsidR="00E3784A">
        <w:t xml:space="preserve"> den situation, at en ulovlig elinstallation giver fare for, at en skade vil opstå, og </w:t>
      </w:r>
      <w:r>
        <w:t xml:space="preserve">spørgsmålet </w:t>
      </w:r>
      <w:r w:rsidR="00E3784A">
        <w:t>om</w:t>
      </w:r>
      <w:r w:rsidR="00941877">
        <w:t>, hvorvidt</w:t>
      </w:r>
      <w:r w:rsidR="00E3784A">
        <w:t xml:space="preserve"> denne situation er dækket af sælgers beskyttelse.</w:t>
      </w:r>
    </w:p>
    <w:p w14:paraId="13887F20" w14:textId="77777777" w:rsidR="00E3784A" w:rsidRDefault="00E3784A" w:rsidP="00E3784A"/>
    <w:p w14:paraId="7681B727" w14:textId="1B2E60B2" w:rsidR="00E3784A" w:rsidRDefault="00E3784A" w:rsidP="00E3784A">
      <w:r>
        <w:t>Sælgerbeskyttelsen er betinget af</w:t>
      </w:r>
      <w:r w:rsidR="00274C35">
        <w:t>,</w:t>
      </w:r>
      <w:r>
        <w:t xml:space="preserve"> at en række krav er opfyldt</w:t>
      </w:r>
      <w:r w:rsidR="00941877">
        <w:t>, jf. afsnit 2.3</w:t>
      </w:r>
      <w:r w:rsidR="007B50AB">
        <w:t>. Et af kravene</w:t>
      </w:r>
      <w:r>
        <w:t xml:space="preserve"> er blandt andet, at sælger skal have indhentet et tilbud på en ejerskifteforsikring</w:t>
      </w:r>
      <w:r w:rsidR="00274C35">
        <w:t xml:space="preserve"> til køber</w:t>
      </w:r>
      <w:r>
        <w:t>, således at køber har mulighed for at få dækket den risik</w:t>
      </w:r>
      <w:r w:rsidR="00454A51">
        <w:t>o, som bliver overladt til denne</w:t>
      </w:r>
      <w:r>
        <w:t xml:space="preserve"> ved, at sælger vælger at anvende ordningen i LFFE. I </w:t>
      </w:r>
      <w:r w:rsidR="00274C35">
        <w:t>bekendtgørelse om dækningsomfanget af ejerskifteforsikringer (</w:t>
      </w:r>
      <w:r>
        <w:t>ESBK</w:t>
      </w:r>
      <w:r w:rsidR="00274C35">
        <w:t>)</w:t>
      </w:r>
      <w:r>
        <w:t xml:space="preserve"> er a</w:t>
      </w:r>
      <w:r>
        <w:t>n</w:t>
      </w:r>
      <w:r>
        <w:t>ført, hvad en ejerskifteforsikrings dækni</w:t>
      </w:r>
      <w:r w:rsidR="006944BA">
        <w:t>ngsomfang minimum skal være, for</w:t>
      </w:r>
      <w:r>
        <w:t xml:space="preserve"> at den opfylder kravene</w:t>
      </w:r>
      <w:r w:rsidR="00051425">
        <w:t xml:space="preserve"> til at kunne indgå</w:t>
      </w:r>
      <w:r>
        <w:t xml:space="preserve"> som en af de betingelser</w:t>
      </w:r>
      <w:r w:rsidR="006944BA">
        <w:t>,</w:t>
      </w:r>
      <w:r>
        <w:t xml:space="preserve"> sælger skal opfylde for at opnå beskyttelse. </w:t>
      </w:r>
      <w:r w:rsidR="00D8624B">
        <w:t>ESBK kan anvendes som udgangspunkt for beskrivelsen af</w:t>
      </w:r>
      <w:r w:rsidR="00941877">
        <w:t>,</w:t>
      </w:r>
      <w:r w:rsidR="00D8624B">
        <w:t xml:space="preserve"> hvad begrebet ”risiko for skade” er. Dette fordi, ESBK beskriver</w:t>
      </w:r>
      <w:r w:rsidR="00941877">
        <w:t>,</w:t>
      </w:r>
      <w:r w:rsidR="00D8624B">
        <w:t xml:space="preserve"> hvad en ejerskifteforsikring dækker, og begrebet ”risiko for skade” bliver  anvendt både i forbindelse med ejerskifteforsikring og tilstandsrapport. Det er derfor underordnet hvilken bekendtgørelse, som anvendes til beskrivelsen af begrebet ”risiko for skade”.</w:t>
      </w:r>
    </w:p>
    <w:p w14:paraId="695C4CC6" w14:textId="77777777" w:rsidR="00E3784A" w:rsidRDefault="00E3784A" w:rsidP="00E3784A"/>
    <w:p w14:paraId="14FA40A4" w14:textId="43A66362" w:rsidR="00E3784A" w:rsidRDefault="006944BA" w:rsidP="00E3784A">
      <w:r>
        <w:t>I</w:t>
      </w:r>
      <w:r w:rsidR="00E3784A">
        <w:t xml:space="preserve"> ESBK, Bilag, litra 2 anføres det, at der ved nærliggende risiko for skade skal forstås et for</w:t>
      </w:r>
      <w:r w:rsidR="00274C35">
        <w:t>hold,</w:t>
      </w:r>
      <w:r w:rsidR="00E3784A">
        <w:t xml:space="preserve"> der erfaringsmæssigt vil udvikle sig til en skade, hvis der ikke sættes ind med særlig</w:t>
      </w:r>
      <w:r>
        <w:t>t</w:t>
      </w:r>
      <w:r w:rsidR="00E3784A">
        <w:t xml:space="preserve"> omfattende vedligeholdelsesarbejder eller andre forebyggende foranstaltni</w:t>
      </w:r>
      <w:r w:rsidR="00941877">
        <w:t>nger. I Ankenævnet for F</w:t>
      </w:r>
      <w:r w:rsidR="00E3784A">
        <w:t>orsikrings afgørelse nr. 69.392 er begrebet ”erfaringsmæssigt” nærmere fastlagt. Derudover anvendes</w:t>
      </w:r>
      <w:r w:rsidR="007B2F57">
        <w:t xml:space="preserve"> i sagen</w:t>
      </w:r>
      <w:r w:rsidR="00E3784A">
        <w:t xml:space="preserve"> begrebet ”nærliggende risiko for skade”, hvilket blot bekræfter ovennævnte definition. </w:t>
      </w:r>
    </w:p>
    <w:p w14:paraId="5F8E9EF4" w14:textId="77777777" w:rsidR="00E3784A" w:rsidRDefault="00E3784A" w:rsidP="00E3784A"/>
    <w:p w14:paraId="7D74EC80" w14:textId="1CD9BBEE" w:rsidR="00E3784A" w:rsidRDefault="007B50AB" w:rsidP="00E3784A">
      <w:r>
        <w:t>Sagen omhandler</w:t>
      </w:r>
      <w:r w:rsidR="00E3784A">
        <w:t xml:space="preserve"> forsikringstagerne </w:t>
      </w:r>
      <w:r w:rsidR="00941877">
        <w:t>(FT), som klagede</w:t>
      </w:r>
      <w:r w:rsidR="00E3784A">
        <w:t xml:space="preserve"> over deres forsik</w:t>
      </w:r>
      <w:r w:rsidR="006944BA">
        <w:t>ringsselskabs (FS) afvi</w:t>
      </w:r>
      <w:r w:rsidR="006944BA">
        <w:t>s</w:t>
      </w:r>
      <w:r w:rsidR="006944BA">
        <w:t>ning af</w:t>
      </w:r>
      <w:r w:rsidR="00E3784A">
        <w:t xml:space="preserve"> at yde erstatning for diverse anmeldte ulovligheder ved ejen</w:t>
      </w:r>
      <w:r w:rsidR="006944BA">
        <w:t>dommens elinstallationer. FS</w:t>
      </w:r>
      <w:r w:rsidR="00E3784A">
        <w:t xml:space="preserve"> afvist</w:t>
      </w:r>
      <w:r w:rsidR="006944BA">
        <w:t>e</w:t>
      </w:r>
      <w:r w:rsidR="00E3784A">
        <w:t xml:space="preserve"> at yde forsikringsdækning unde</w:t>
      </w:r>
      <w:r w:rsidR="006944BA">
        <w:t>r henvisning til, at FT ikke havde</w:t>
      </w:r>
      <w:r w:rsidR="00E3784A">
        <w:t xml:space="preserve"> sandsynliggjort, at de ulo</w:t>
      </w:r>
      <w:r w:rsidR="00E3784A">
        <w:t>v</w:t>
      </w:r>
      <w:r w:rsidR="00E3784A">
        <w:t>lige elin</w:t>
      </w:r>
      <w:r w:rsidR="006944BA">
        <w:t>stallationer havde</w:t>
      </w:r>
      <w:r w:rsidR="00E3784A">
        <w:t xml:space="preserve"> medført nærliggende risiko for skade.</w:t>
      </w:r>
      <w:r w:rsidR="00E3784A">
        <w:rPr>
          <w:rStyle w:val="Fodnotehenvisning"/>
        </w:rPr>
        <w:footnoteReference w:id="66"/>
      </w:r>
      <w:r w:rsidR="00E3784A">
        <w:t xml:space="preserve"> Sagen drejer sig således om, hvornår der er tale om nærlig</w:t>
      </w:r>
      <w:r w:rsidR="006944BA">
        <w:t>gende risiko for skade. Sagen indeholder</w:t>
      </w:r>
      <w:r w:rsidR="00E3784A">
        <w:t xml:space="preserve"> ikke en udtømmende defin</w:t>
      </w:r>
      <w:r w:rsidR="00E3784A">
        <w:t>i</w:t>
      </w:r>
      <w:r w:rsidR="00E3784A">
        <w:t>tion af, hvornår der er tale om nærliggende ri</w:t>
      </w:r>
      <w:r w:rsidR="006944BA">
        <w:t>siko for skade. Dette begrundes i</w:t>
      </w:r>
      <w:r w:rsidR="00941877">
        <w:t>,</w:t>
      </w:r>
      <w:r w:rsidR="006944BA">
        <w:t xml:space="preserve"> at sagen blot er en ud af mange forskellige situationer, hvor der kan opstå nærliggende risiko for skade</w:t>
      </w:r>
      <w:r w:rsidR="00941877">
        <w:t xml:space="preserve">. </w:t>
      </w:r>
    </w:p>
    <w:p w14:paraId="09A1DFFE" w14:textId="77777777" w:rsidR="00E3784A" w:rsidRDefault="00E3784A" w:rsidP="00E3784A"/>
    <w:p w14:paraId="221ABF8F" w14:textId="79F12F36" w:rsidR="00E3784A" w:rsidRDefault="00E3784A" w:rsidP="00E3784A">
      <w:r>
        <w:t xml:space="preserve">FT’s advokat har til støtte for </w:t>
      </w:r>
      <w:r w:rsidR="00941877">
        <w:t>sin klients påstand</w:t>
      </w:r>
      <w:r>
        <w:t xml:space="preserve"> fremført følgende overfor Ankenævnet: ”</w:t>
      </w:r>
      <w:r>
        <w:rPr>
          <w:i/>
        </w:rPr>
        <w:t xml:space="preserve">…Advokaten har supplerende oplyst, </w:t>
      </w:r>
      <w:r w:rsidR="00454A51">
        <w:rPr>
          <w:i/>
        </w:rPr>
        <w:t>at klagerne har sagsøgt sælgerne</w:t>
      </w:r>
      <w:r>
        <w:rPr>
          <w:i/>
        </w:rPr>
        <w:t xml:space="preserve"> af ejendommen med p</w:t>
      </w:r>
      <w:r>
        <w:rPr>
          <w:i/>
        </w:rPr>
        <w:t>å</w:t>
      </w:r>
      <w:r>
        <w:rPr>
          <w:i/>
        </w:rPr>
        <w:t>stand om erstatning for de ulovlige elinstallationer, og at der i den forbindelse er udarbejdet en skønserklæring, hvoraf fremgår, at ”den manglende udskiftning af fejlstrømsrelæ sammenholdt med omfanget af ulovlige installationer medfører forhøjet risiko for skader på materiel og personer”. Det er advokatens opfattelse, at skønsmanden derved har bekræftet, at de ulovlige elinstallationer frembyder nærliggende risiko for skade…”</w:t>
      </w:r>
      <w:r>
        <w:rPr>
          <w:rStyle w:val="Fodnotehenvisning"/>
          <w:i/>
        </w:rPr>
        <w:footnoteReference w:id="67"/>
      </w:r>
      <w:r>
        <w:rPr>
          <w:i/>
        </w:rPr>
        <w:t xml:space="preserve"> </w:t>
      </w:r>
      <w:r>
        <w:t xml:space="preserve"> Advokaten lægger derved skønsmandens vurdering til grund for</w:t>
      </w:r>
      <w:r w:rsidR="00941877">
        <w:t>,</w:t>
      </w:r>
      <w:r>
        <w:t xml:space="preserve"> at elinstallationerne frembyder nærliggende risiko for skade. </w:t>
      </w:r>
      <w:r w:rsidR="00274C35">
        <w:t>Skønsmanden bliver derved synonym med ”erfaringsmæssigt”, idet skønsmanden må antages at have den fornødne erfaring til, at vurdere om der er tale om nærliggende risiko for skade.</w:t>
      </w:r>
    </w:p>
    <w:p w14:paraId="773391D6" w14:textId="77777777" w:rsidR="00E3784A" w:rsidRDefault="00E3784A" w:rsidP="00E3784A"/>
    <w:p w14:paraId="106EA420" w14:textId="12157B7A" w:rsidR="00E3784A" w:rsidRDefault="00E3784A" w:rsidP="00E3784A">
      <w:r>
        <w:t>FS anfører, at en indikation på at elinstallationerne ikke fremb</w:t>
      </w:r>
      <w:r w:rsidR="007B50AB">
        <w:t>yder nærliggende risiko for skade</w:t>
      </w:r>
      <w:r>
        <w:t xml:space="preserve"> er, at skønsmanden ikke har afmonteret installationerne inden han forlod ejendommen, som det påhv</w:t>
      </w:r>
      <w:r>
        <w:t>i</w:t>
      </w:r>
      <w:r>
        <w:t>ler den autoriserede ifølge SSBK</w:t>
      </w:r>
      <w:r w:rsidR="00941877">
        <w:t>, såfremt</w:t>
      </w:r>
      <w:r w:rsidR="000100B6">
        <w:t xml:space="preserve"> der er nærliggende risiko for skade</w:t>
      </w:r>
      <w:r>
        <w:t>. FS anerkender dog, at det ene af de forhold, som FT har påberåbt sig, ha</w:t>
      </w:r>
      <w:r w:rsidR="006944BA">
        <w:t>logenspottene, potentielt fremb</w:t>
      </w:r>
      <w:r>
        <w:t>yder brandfare. I sammenhæng med FT’s argument om, at skønsmandens vurdering lægges til grund for, at installat</w:t>
      </w:r>
      <w:r>
        <w:t>i</w:t>
      </w:r>
      <w:r>
        <w:t>onerne frembyder nærliggende risiko for fare, anfører FS: ”</w:t>
      </w:r>
      <w:r>
        <w:rPr>
          <w:i/>
        </w:rPr>
        <w:t>Det er klart, at en hvilken som helst skønsmand, som fastslår at der er installeret el i strid med Stærkstrømsbekendtgørelsen vil bekræ</w:t>
      </w:r>
      <w:r>
        <w:rPr>
          <w:i/>
        </w:rPr>
        <w:t>f</w:t>
      </w:r>
      <w:r>
        <w:rPr>
          <w:i/>
        </w:rPr>
        <w:t>te, at dette medfører en forhøjet eller nærliggende risiko for skade. Formålet med Stærkstrømsb</w:t>
      </w:r>
      <w:r>
        <w:rPr>
          <w:i/>
        </w:rPr>
        <w:t>e</w:t>
      </w:r>
      <w:r>
        <w:rPr>
          <w:i/>
        </w:rPr>
        <w:t>kendtgørelsen er jo netop at elinstallationer udføres på den bedste og mest sikre måde. Det er imi</w:t>
      </w:r>
      <w:r>
        <w:rPr>
          <w:i/>
        </w:rPr>
        <w:t>d</w:t>
      </w:r>
      <w:r>
        <w:rPr>
          <w:i/>
        </w:rPr>
        <w:t>lertid ikke det samme som at sige, at han har afstemt denne udtalelse med den praksis, der ligger i Ankenævnet for forsikring om, hvornår ulovlige elinstallationer er omfattet af begrebet ”nærli</w:t>
      </w:r>
      <w:r>
        <w:rPr>
          <w:i/>
        </w:rPr>
        <w:t>g</w:t>
      </w:r>
      <w:r>
        <w:rPr>
          <w:i/>
        </w:rPr>
        <w:t>gende risiko for skade” i ejerskifteforsikringens forstand.”</w:t>
      </w:r>
      <w:r>
        <w:rPr>
          <w:rStyle w:val="Fodnotehenvisning"/>
          <w:i/>
        </w:rPr>
        <w:footnoteReference w:id="68"/>
      </w:r>
      <w:r>
        <w:rPr>
          <w:i/>
        </w:rPr>
        <w:t xml:space="preserve"> </w:t>
      </w:r>
      <w:r>
        <w:t>FS sår således tvivl om skønsmanden har vurderet de ulovlige elinstallationer ud fra den betragtning, at der reelt set er nærliggende risiko for skade. FS mener, at skønsmanden har vurderet elinstallationerne ud fra den betragtning, at der er tale om ulov</w:t>
      </w:r>
      <w:r w:rsidR="00941877">
        <w:t>lige elinstallationer</w:t>
      </w:r>
      <w:r w:rsidR="007B50AB">
        <w:t>, og ikke vurderet det konkrete tilfælde</w:t>
      </w:r>
      <w:r w:rsidR="00941877">
        <w:t>. I</w:t>
      </w:r>
      <w:r w:rsidR="00274C35">
        <w:t>det</w:t>
      </w:r>
      <w:r>
        <w:t xml:space="preserve"> det ifølge SSBK ikke er lovlige elinstallationer, er der tale om nærliggende risiko for skade. FS finder</w:t>
      </w:r>
      <w:r w:rsidR="00941877">
        <w:t>,</w:t>
      </w:r>
      <w:r>
        <w:t xml:space="preserve"> at sagen skal b</w:t>
      </w:r>
      <w:r>
        <w:t>e</w:t>
      </w:r>
      <w:r>
        <w:t>dømmes ud fra Ankenævnets praksis, hvor der reelt set skal være tale om nærliggende ris</w:t>
      </w:r>
      <w:r w:rsidR="006944BA">
        <w:t>iko for skade</w:t>
      </w:r>
      <w:r w:rsidR="007B50AB">
        <w:t>, og ikke som en generel vurdering</w:t>
      </w:r>
      <w:r w:rsidR="006944BA">
        <w:t>. Dette kunne</w:t>
      </w:r>
      <w:r>
        <w:t xml:space="preserve"> være, hvor ledningerne ikke er afskærmet korrekt og derved har kontakt til andre ledninger, således at </w:t>
      </w:r>
      <w:r w:rsidR="00274C35">
        <w:t>der kan opstå gnister, og i denne fo</w:t>
      </w:r>
      <w:r w:rsidR="00274C35">
        <w:t>r</w:t>
      </w:r>
      <w:r w:rsidR="00274C35">
        <w:t>bindelse</w:t>
      </w:r>
      <w:r>
        <w:t xml:space="preserve"> brand. FS er således ikke enig i skønsmandens vurdering, hvad angår de fleste forhold, men anerkender forholdet vedrørende halogenspottene.</w:t>
      </w:r>
    </w:p>
    <w:p w14:paraId="7F9B09F5" w14:textId="77777777" w:rsidR="00E3784A" w:rsidRDefault="00E3784A" w:rsidP="00E3784A"/>
    <w:p w14:paraId="79D9EDE4" w14:textId="62A8C24A" w:rsidR="00E3784A" w:rsidRDefault="00274C35" w:rsidP="00E3784A">
      <w:r>
        <w:t>Nævnet udtaler, at idet</w:t>
      </w:r>
      <w:r w:rsidR="00E3784A">
        <w:t xml:space="preserve"> FS anerkender forholdet vedrørende halogenspottene</w:t>
      </w:r>
      <w:r>
        <w:t>,</w:t>
      </w:r>
      <w:r w:rsidR="00E3784A">
        <w:t xml:space="preserve"> er der tale om en dækningsberettigende skade. Forsikringen dækker fysiske forhold ved bygningerne, der giver næ</w:t>
      </w:r>
      <w:r w:rsidR="00E3784A">
        <w:t>r</w:t>
      </w:r>
      <w:r w:rsidR="00E3784A">
        <w:t>liggende risiko for skade.</w:t>
      </w:r>
      <w:r w:rsidR="00E3784A">
        <w:rPr>
          <w:rStyle w:val="Fodnotehenvisning"/>
        </w:rPr>
        <w:footnoteReference w:id="69"/>
      </w:r>
      <w:r w:rsidR="00E3784A">
        <w:t xml:space="preserve"> Derudover udtaler Nævnet: ”</w:t>
      </w:r>
      <w:r w:rsidR="00E3784A">
        <w:rPr>
          <w:i/>
        </w:rPr>
        <w:t>Skønsmanden har om de øvrige ulovlige elinstallationer udtalt, at de medførte forhøjet risiko for skade. Nævnet finder det bl.a. på denne baggrund ikke godtgjort, at disse ulovlige elinstallationer medfører nærliggende risiko for sk</w:t>
      </w:r>
      <w:r w:rsidR="00E3784A">
        <w:rPr>
          <w:i/>
        </w:rPr>
        <w:t>a</w:t>
      </w:r>
      <w:r w:rsidR="00E3784A">
        <w:rPr>
          <w:i/>
        </w:rPr>
        <w:t>de.”</w:t>
      </w:r>
      <w:r w:rsidR="00E3784A">
        <w:rPr>
          <w:rStyle w:val="Fodnotehenvisning"/>
          <w:i/>
        </w:rPr>
        <w:footnoteReference w:id="70"/>
      </w:r>
      <w:r w:rsidR="00E3784A">
        <w:rPr>
          <w:i/>
        </w:rPr>
        <w:t xml:space="preserve"> </w:t>
      </w:r>
      <w:r w:rsidR="006944BA">
        <w:t>Det må</w:t>
      </w:r>
      <w:r w:rsidR="00E3784A">
        <w:t xml:space="preserve"> antages, at Nævnet følger FS’s argumentation om, at skønsmanden ikke har vurd</w:t>
      </w:r>
      <w:r w:rsidR="007B50AB">
        <w:t>eret elinstallationerne</w:t>
      </w:r>
      <w:r w:rsidR="00E3784A">
        <w:t xml:space="preserve"> i sam</w:t>
      </w:r>
      <w:r w:rsidR="006944BA">
        <w:t>menhæng med Ankenævnets praksis. Dette fordi</w:t>
      </w:r>
      <w:r w:rsidR="00EB7CEB">
        <w:t>,</w:t>
      </w:r>
      <w:r w:rsidR="006944BA">
        <w:t xml:space="preserve"> Nævnet fremhæ</w:t>
      </w:r>
      <w:r w:rsidR="004818D3">
        <w:t>ver</w:t>
      </w:r>
      <w:r w:rsidR="006944BA">
        <w:t xml:space="preserve"> skønsmandens udtalelse</w:t>
      </w:r>
      <w:r w:rsidR="004818D3">
        <w:t xml:space="preserve"> om</w:t>
      </w:r>
      <w:r w:rsidR="00EB7CEB">
        <w:t>,</w:t>
      </w:r>
      <w:r w:rsidR="004818D3">
        <w:t xml:space="preserve"> at der er forhøjet risiko for skade. Nævnet mener</w:t>
      </w:r>
      <w:r w:rsidR="00EB7CEB">
        <w:t>,</w:t>
      </w:r>
      <w:r w:rsidR="004818D3">
        <w:t xml:space="preserve"> at der skal være tale om en konkret risiko for skade. At skønsmanden ikke vurderer skaden ud fra Ankenævnets praksis</w:t>
      </w:r>
      <w:r w:rsidR="00E3784A">
        <w:t xml:space="preserve"> kan</w:t>
      </w:r>
      <w:r w:rsidR="004818D3">
        <w:t xml:space="preserve"> ligeledes</w:t>
      </w:r>
      <w:r w:rsidR="00E3784A">
        <w:t xml:space="preserve"> bekræftes af, at skønsmanden har udarbejdet skønserklæringen i forbindelse med den sag, som er anlagt mod sælgerne af ejendommen</w:t>
      </w:r>
      <w:r>
        <w:t>, og ikke i forbindelse med den omhandlende sag ved ankenævnet</w:t>
      </w:r>
      <w:r w:rsidR="00E3784A">
        <w:t>. En generel udtalelse om ulovlige elinstallationer udgør ikke en nærliggende risiko for skade i forbindelse med forsikrings</w:t>
      </w:r>
      <w:r w:rsidR="004818D3">
        <w:t>dækning. D</w:t>
      </w:r>
      <w:r w:rsidR="00E3784A">
        <w:t>er</w:t>
      </w:r>
      <w:r w:rsidR="004818D3">
        <w:t xml:space="preserve"> skal</w:t>
      </w:r>
      <w:r w:rsidR="00E3784A">
        <w:t xml:space="preserve"> være tale om en konkret vurdering af det enkelte forhold, og der skal vise sig en konkret fare for, at forholdet giver risiko for</w:t>
      </w:r>
      <w:r w:rsidR="00EB7CEB">
        <w:t>,</w:t>
      </w:r>
      <w:r w:rsidR="00E3784A">
        <w:t xml:space="preserve"> at skader</w:t>
      </w:r>
      <w:r>
        <w:t xml:space="preserve"> vil opstå</w:t>
      </w:r>
      <w:r w:rsidR="00E3784A">
        <w:t xml:space="preserve">. </w:t>
      </w:r>
    </w:p>
    <w:p w14:paraId="6A3A99C6" w14:textId="77777777" w:rsidR="00E3784A" w:rsidRDefault="00E3784A" w:rsidP="00E3784A"/>
    <w:p w14:paraId="57018546" w14:textId="4C2E3997" w:rsidR="00E3784A" w:rsidRPr="00E3784A" w:rsidRDefault="00E3784A" w:rsidP="00E3784A">
      <w:r>
        <w:t>Ovenstående giver anledning til en beskrivelse af</w:t>
      </w:r>
      <w:r w:rsidR="004818D3">
        <w:t>, hvad der bl.a. er undtaget fra</w:t>
      </w:r>
      <w:r>
        <w:t xml:space="preserve"> dækning ifølge ESBK. ESBK, bilag, litra 4, 2. pkt. anfører, at en ejerskifteforsikring ikke skal dække ulovlige eli</w:t>
      </w:r>
      <w:r>
        <w:t>n</w:t>
      </w:r>
      <w:r>
        <w:t>stallation</w:t>
      </w:r>
      <w:r w:rsidR="00454A51">
        <w:t>er, medmindre der som følge af en ulovlig</w:t>
      </w:r>
      <w:r>
        <w:t xml:space="preserve"> elinstallation er sket en nærliggende risiko for skade. Bestemmelsen undtager</w:t>
      </w:r>
      <w:r w:rsidR="00274C35">
        <w:t xml:space="preserve"> som udgangspunkt</w:t>
      </w:r>
      <w:r>
        <w:t xml:space="preserve"> ulovlige elinstallationer fra forsikringsdækning. Dette betyder, at en elinstalla</w:t>
      </w:r>
      <w:r w:rsidR="004818D3">
        <w:t>tion, som bliver konstateret</w:t>
      </w:r>
      <w:r>
        <w:t xml:space="preserve"> ulovlig som udgangspunkt ikke er dækket af ejerskifteforsikringen. </w:t>
      </w:r>
      <w:r w:rsidR="004818D3">
        <w:t>Undtagelsen til ove</w:t>
      </w:r>
      <w:r w:rsidR="00EB7CEB">
        <w:t>nstående bestemmelse er, at såfremt</w:t>
      </w:r>
      <w:r w:rsidR="004818D3">
        <w:t xml:space="preserve"> der</w:t>
      </w:r>
      <w:r>
        <w:t xml:space="preserve"> er tale om, at der er sket en nærliggende risiko for skade, som omtalt ovenfor i sagen, AK 69.392, falder det ind under dækningsomfanget af forsikringen. Som</w:t>
      </w:r>
      <w:r w:rsidR="004818D3">
        <w:t xml:space="preserve"> det antydes i sagen</w:t>
      </w:r>
      <w:r>
        <w:t>, skal der være tale om en konkret risiko, og der må således ikke være tale om en generel risiko. Dette fører til, at hvis der er en ko</w:t>
      </w:r>
      <w:r>
        <w:t>n</w:t>
      </w:r>
      <w:r>
        <w:t>kret risiko for at en skade vil opstå som følge af en ulovlig elinstallation, er dette dækket af sælge</w:t>
      </w:r>
      <w:r>
        <w:t>r</w:t>
      </w:r>
      <w:r>
        <w:t>beskyttelsen, og køber kan derved påberåbe sig dette forhold overfor ejerskifteforsikringen, hvis en sådan er tegnet.</w:t>
      </w:r>
    </w:p>
    <w:p w14:paraId="3B05D9A3" w14:textId="1CC75AC7" w:rsidR="00560BDB" w:rsidRDefault="00944769" w:rsidP="001A79AD">
      <w:pPr>
        <w:pStyle w:val="Overskrift3"/>
      </w:pPr>
      <w:bookmarkStart w:id="29" w:name="_Toc179963432"/>
      <w:r>
        <w:t>3.2</w:t>
      </w:r>
      <w:r w:rsidR="008A3FC5">
        <w:t xml:space="preserve">.4 </w:t>
      </w:r>
      <w:r w:rsidR="00560BDB">
        <w:t>Skade</w:t>
      </w:r>
      <w:bookmarkEnd w:id="29"/>
    </w:p>
    <w:p w14:paraId="1EAF263E" w14:textId="1B36E792" w:rsidR="006B1527" w:rsidRDefault="006B1527" w:rsidP="00A162EB">
      <w:r>
        <w:t>Nedenfor gennemgås</w:t>
      </w:r>
      <w:r w:rsidR="004B1D6C">
        <w:t xml:space="preserve"> det forhold</w:t>
      </w:r>
      <w:r w:rsidR="00327597">
        <w:t xml:space="preserve">, at en faktisk mangel som følge af en ulovlig elinstallation er dækket af sælgers beskyttelse. </w:t>
      </w:r>
    </w:p>
    <w:p w14:paraId="405AE9E5" w14:textId="77777777" w:rsidR="006B1527" w:rsidRDefault="006B1527" w:rsidP="00A162EB"/>
    <w:p w14:paraId="4C0FBC32" w14:textId="15DC4281" w:rsidR="002262FE" w:rsidRDefault="00664872" w:rsidP="00A162EB">
      <w:r>
        <w:t xml:space="preserve">En </w:t>
      </w:r>
      <w:r w:rsidR="007B50AB">
        <w:t>faktisk mangel kan udgøre flere</w:t>
      </w:r>
      <w:r w:rsidR="004B1D6C">
        <w:t xml:space="preserve"> forhold</w:t>
      </w:r>
      <w:r w:rsidR="000100B6">
        <w:t xml:space="preserve">. </w:t>
      </w:r>
      <w:r w:rsidR="007B50AB">
        <w:t>Huseftersynsbekendtgørelsen (</w:t>
      </w:r>
      <w:r w:rsidR="000100B6">
        <w:t>HEBK</w:t>
      </w:r>
      <w:r w:rsidR="007B50AB">
        <w:t>)</w:t>
      </w:r>
      <w:r w:rsidR="00907068">
        <w:t xml:space="preserve"> </w:t>
      </w:r>
      <w:r w:rsidR="008A6BF6">
        <w:t xml:space="preserve">opregner en række skader, som </w:t>
      </w:r>
      <w:r w:rsidR="006B1527">
        <w:t>den bygningssagkyndige skal afdække</w:t>
      </w:r>
      <w:r w:rsidR="008A6BF6">
        <w:t xml:space="preserve"> i forbindelse med en bygningsgenne</w:t>
      </w:r>
      <w:r w:rsidR="008A6BF6">
        <w:t>m</w:t>
      </w:r>
      <w:r w:rsidR="008A6BF6">
        <w:t>gang.</w:t>
      </w:r>
      <w:r w:rsidR="008A6BF6">
        <w:rPr>
          <w:rStyle w:val="Fodnotehenvisning"/>
        </w:rPr>
        <w:footnoteReference w:id="71"/>
      </w:r>
      <w:r w:rsidR="006B1527">
        <w:t xml:space="preserve"> Idet til</w:t>
      </w:r>
      <w:r w:rsidR="00327597">
        <w:t>standsrapporten er en rapport over</w:t>
      </w:r>
      <w:r w:rsidR="006B1527">
        <w:t xml:space="preserve"> den bygningssagkyndiges gennemgang, og ti</w:t>
      </w:r>
      <w:r w:rsidR="006B1527">
        <w:t>l</w:t>
      </w:r>
      <w:r w:rsidR="006B1527">
        <w:t>standsrapporten fastlægger ejen</w:t>
      </w:r>
      <w:r w:rsidR="002262FE">
        <w:t>dommens</w:t>
      </w:r>
      <w:r w:rsidR="00E45144">
        <w:t xml:space="preserve"> synlige faktiske mangler </w:t>
      </w:r>
      <w:r w:rsidR="006B1527">
        <w:t>hæng</w:t>
      </w:r>
      <w:r w:rsidR="00E45144">
        <w:t>er</w:t>
      </w:r>
      <w:r w:rsidR="006B1527">
        <w:t xml:space="preserve"> en faktisk mangel</w:t>
      </w:r>
      <w:r w:rsidR="007B50AB">
        <w:t>,</w:t>
      </w:r>
      <w:r w:rsidR="006B1527">
        <w:t xml:space="preserve"> </w:t>
      </w:r>
      <w:r w:rsidR="00B240B5">
        <w:t xml:space="preserve">i LFFE’s forstand </w:t>
      </w:r>
      <w:r w:rsidR="006B1527">
        <w:t xml:space="preserve">og en </w:t>
      </w:r>
      <w:r w:rsidR="000100B6">
        <w:t>skade i HEBK’s</w:t>
      </w:r>
      <w:r w:rsidR="00B240B5">
        <w:t xml:space="preserve"> forstand</w:t>
      </w:r>
      <w:r w:rsidR="007B50AB">
        <w:t>,</w:t>
      </w:r>
      <w:r w:rsidR="00E45144">
        <w:t xml:space="preserve"> sammen</w:t>
      </w:r>
      <w:r w:rsidR="00B240B5">
        <w:t>.</w:t>
      </w:r>
      <w:r w:rsidR="002262FE">
        <w:t xml:space="preserve"> Dette fordi, manglerne i tilstandsrappo</w:t>
      </w:r>
      <w:r w:rsidR="002262FE">
        <w:t>r</w:t>
      </w:r>
      <w:r w:rsidR="004B1D6C">
        <w:t>ten er en del af de skader</w:t>
      </w:r>
      <w:r w:rsidR="002262FE">
        <w:t>, som sælger bliver fritaget at hæfte for, og opregnin</w:t>
      </w:r>
      <w:r w:rsidR="000100B6">
        <w:t>gen i HEBK</w:t>
      </w:r>
      <w:r w:rsidR="002262FE">
        <w:t xml:space="preserve"> er de skader, som den bygningssagkyndige</w:t>
      </w:r>
      <w:r w:rsidR="003A187E">
        <w:t xml:space="preserve"> eller ejerskifteforsikringen</w:t>
      </w:r>
      <w:r w:rsidR="002262FE">
        <w:t xml:space="preserve"> kan stilles til ansvar overfor. O</w:t>
      </w:r>
      <w:r w:rsidR="002262FE">
        <w:t>p</w:t>
      </w:r>
      <w:r w:rsidR="002262FE">
        <w:t>regningen</w:t>
      </w:r>
      <w:r w:rsidR="004B1D6C">
        <w:t xml:space="preserve"> nedenfor er ikke udtømmende, men</w:t>
      </w:r>
      <w:r w:rsidR="002262FE">
        <w:t xml:space="preserve"> dækker således en del af de skader sælger er besky</w:t>
      </w:r>
      <w:r w:rsidR="002262FE">
        <w:t>t</w:t>
      </w:r>
      <w:r w:rsidR="002262FE">
        <w:t xml:space="preserve">tet imod. </w:t>
      </w:r>
    </w:p>
    <w:p w14:paraId="12CC9356" w14:textId="77777777" w:rsidR="002262FE" w:rsidRDefault="002262FE" w:rsidP="00A162EB"/>
    <w:p w14:paraId="7C7AF4CC" w14:textId="77682B94" w:rsidR="002262FE" w:rsidRDefault="000100B6" w:rsidP="00A162EB">
      <w:r>
        <w:t>Skader ifølge HEBK</w:t>
      </w:r>
      <w:r w:rsidR="008A6BF6">
        <w:t xml:space="preserve"> er bl.a. brud</w:t>
      </w:r>
      <w:r w:rsidR="007B50AB">
        <w:t>, lækager og ødelæggelser. Disse</w:t>
      </w:r>
      <w:r w:rsidR="008A6BF6">
        <w:t xml:space="preserve"> er alle skader</w:t>
      </w:r>
      <w:r w:rsidR="00EB7CEB">
        <w:t>,</w:t>
      </w:r>
      <w:r w:rsidR="008A6BF6">
        <w:t xml:space="preserve"> som umiddelbart er konstaterbar</w:t>
      </w:r>
      <w:r w:rsidR="002262FE">
        <w:t>e</w:t>
      </w:r>
      <w:r w:rsidR="008A6BF6">
        <w:t xml:space="preserve"> for en bygningssagkyndig ved en gennemgang af en ejen</w:t>
      </w:r>
      <w:r w:rsidR="004B1D6C">
        <w:t>dom. Fælles for skaderne er</w:t>
      </w:r>
      <w:r w:rsidR="002262FE">
        <w:t>,</w:t>
      </w:r>
      <w:r w:rsidR="003A187E">
        <w:t xml:space="preserve"> at de giver sig udslag i</w:t>
      </w:r>
      <w:r w:rsidR="008A6BF6">
        <w:t xml:space="preserve"> en faktisk mange</w:t>
      </w:r>
      <w:r w:rsidR="004B1D6C">
        <w:t>l. Ulovlige elinstallationer kan ikke henføres</w:t>
      </w:r>
      <w:r w:rsidR="008A6BF6">
        <w:t xml:space="preserve"> under de</w:t>
      </w:r>
      <w:r w:rsidR="008A6BF6">
        <w:t>n</w:t>
      </w:r>
      <w:r w:rsidR="008A6BF6">
        <w:t>ne kategori af skader. Derimod kan skader</w:t>
      </w:r>
      <w:r w:rsidR="002262FE">
        <w:t>,</w:t>
      </w:r>
      <w:r w:rsidR="008A6BF6">
        <w:t xml:space="preserve"> som er en følge af en ulovlig elinstallation</w:t>
      </w:r>
      <w:r w:rsidR="00335547">
        <w:t xml:space="preserve"> give sig u</w:t>
      </w:r>
      <w:r w:rsidR="00335547">
        <w:t>d</w:t>
      </w:r>
      <w:r w:rsidR="00335547">
        <w:t>slag i en af ovenstående skader. Derved opstår en uklar grænse af, hvornår en ulovlig elinstallation er dækket af beskyttelsesordningen, og hvornår køber kan påber</w:t>
      </w:r>
      <w:r w:rsidR="00A238F9">
        <w:t>åbe sig LFFE § 2, stk. 5, 1. pkt.</w:t>
      </w:r>
      <w:r w:rsidR="00335547">
        <w:t xml:space="preserve"> overfor sælger. Ankenævnet for forsikring viser i deres ud</w:t>
      </w:r>
      <w:r w:rsidR="000F48FD">
        <w:t>talelse neden</w:t>
      </w:r>
      <w:r w:rsidR="007C539A">
        <w:t>for, at</w:t>
      </w:r>
      <w:r w:rsidR="00335547">
        <w:t xml:space="preserve"> skader</w:t>
      </w:r>
      <w:r w:rsidR="000F48FD">
        <w:t>,</w:t>
      </w:r>
      <w:r w:rsidR="00335547">
        <w:t xml:space="preserve"> </w:t>
      </w:r>
      <w:r w:rsidR="000F48FD">
        <w:t>der viser sig</w:t>
      </w:r>
      <w:r w:rsidR="003F0EA7">
        <w:t xml:space="preserve"> som udslag a</w:t>
      </w:r>
      <w:r w:rsidR="007C539A">
        <w:t>f en ulovlig elinstallation</w:t>
      </w:r>
      <w:r w:rsidR="003F0EA7">
        <w:t xml:space="preserve"> er omfattet af beskyttelsesordningen. For</w:t>
      </w:r>
      <w:r w:rsidR="007C539A">
        <w:t>målet med nede</w:t>
      </w:r>
      <w:r w:rsidR="007C539A">
        <w:t>n</w:t>
      </w:r>
      <w:r w:rsidR="007C539A">
        <w:t>stående</w:t>
      </w:r>
      <w:r w:rsidR="003F0EA7">
        <w:t xml:space="preserve"> er</w:t>
      </w:r>
      <w:r w:rsidR="002262FE">
        <w:t>,</w:t>
      </w:r>
      <w:r w:rsidR="003F0EA7">
        <w:t xml:space="preserve"> at vise</w:t>
      </w:r>
      <w:r w:rsidR="007C539A">
        <w:t xml:space="preserve"> en situation</w:t>
      </w:r>
      <w:r w:rsidR="003A187E">
        <w:t>,</w:t>
      </w:r>
      <w:r w:rsidR="007C539A">
        <w:t xml:space="preserve"> hvor</w:t>
      </w:r>
      <w:r w:rsidR="003F0EA7">
        <w:t xml:space="preserve"> en ulovlig elinstallation er dækket af beskyttelsesordningen i LFFE. </w:t>
      </w:r>
    </w:p>
    <w:p w14:paraId="644CE46B" w14:textId="77777777" w:rsidR="00335547" w:rsidRDefault="00335547" w:rsidP="00A162EB"/>
    <w:p w14:paraId="73CAC583" w14:textId="6A58D8A2" w:rsidR="00363F44" w:rsidRDefault="00183638" w:rsidP="00A162EB">
      <w:r>
        <w:t>Ankenævnet for forsikring er kommet med en udtalelse</w:t>
      </w:r>
      <w:r w:rsidR="000A7DA4">
        <w:t xml:space="preserve"> vedrørende en sag, </w:t>
      </w:r>
      <w:r w:rsidR="000F48FD">
        <w:t>hvor forsikringsselsk</w:t>
      </w:r>
      <w:r w:rsidR="000F48FD">
        <w:t>a</w:t>
      </w:r>
      <w:r w:rsidR="000F48FD">
        <w:t>bet</w:t>
      </w:r>
      <w:r w:rsidR="000A7DA4">
        <w:t xml:space="preserve"> ikke er tilsluttet nævnet</w:t>
      </w:r>
      <w:r w:rsidR="000F48FD">
        <w:t>. N</w:t>
      </w:r>
      <w:r>
        <w:t>ævnet anerkender en skade, som er et udslag af en ulovlig elinstall</w:t>
      </w:r>
      <w:r>
        <w:t>a</w:t>
      </w:r>
      <w:r>
        <w:t>tion.</w:t>
      </w:r>
      <w:r w:rsidR="00363F44">
        <w:rPr>
          <w:rStyle w:val="Fodnotehenvisning"/>
        </w:rPr>
        <w:footnoteReference w:id="72"/>
      </w:r>
      <w:r>
        <w:t xml:space="preserve"> Denne udtalelse viser</w:t>
      </w:r>
      <w:r w:rsidR="00363F44">
        <w:t>,</w:t>
      </w:r>
      <w:r w:rsidR="004B1D6C">
        <w:t xml:space="preserve"> at på trods af, at</w:t>
      </w:r>
      <w:r>
        <w:t xml:space="preserve"> der</w:t>
      </w:r>
      <w:r w:rsidR="000A7DA4">
        <w:t xml:space="preserve"> umiddelbart</w:t>
      </w:r>
      <w:r w:rsidR="007C539A">
        <w:t xml:space="preserve"> alene</w:t>
      </w:r>
      <w:r>
        <w:t xml:space="preserve"> er tale om en ulovlig elinstal</w:t>
      </w:r>
      <w:r w:rsidR="000A7DA4">
        <w:t>l</w:t>
      </w:r>
      <w:r w:rsidR="000A7DA4">
        <w:t>a</w:t>
      </w:r>
      <w:r w:rsidR="000A7DA4">
        <w:t>tion efter</w:t>
      </w:r>
      <w:r w:rsidR="00CC73CC">
        <w:t xml:space="preserve"> undtagelsesbestemmelsen i</w:t>
      </w:r>
      <w:r w:rsidR="000A7DA4">
        <w:t xml:space="preserve"> </w:t>
      </w:r>
      <w:r w:rsidR="00A238F9">
        <w:t>LFFE § 2, stk. 5, 1. pkt.</w:t>
      </w:r>
      <w:r>
        <w:t>, er der</w:t>
      </w:r>
      <w:r w:rsidR="000A7DA4">
        <w:t xml:space="preserve"> imidlertid</w:t>
      </w:r>
      <w:r>
        <w:t xml:space="preserve"> tale om en</w:t>
      </w:r>
      <w:r w:rsidR="00CC73CC">
        <w:t xml:space="preserve"> besky</w:t>
      </w:r>
      <w:r w:rsidR="00CC73CC">
        <w:t>t</w:t>
      </w:r>
      <w:r w:rsidR="00CC73CC">
        <w:t>telsesberetti</w:t>
      </w:r>
      <w:r w:rsidR="004B1D6C">
        <w:t>get</w:t>
      </w:r>
      <w:r>
        <w:t xml:space="preserve"> ska</w:t>
      </w:r>
      <w:r w:rsidR="00CC73CC">
        <w:t>de efter LFFE § 2, stk. 1.</w:t>
      </w:r>
    </w:p>
    <w:p w14:paraId="56E4FDA9" w14:textId="77777777" w:rsidR="00CC73CC" w:rsidRDefault="00CC73CC" w:rsidP="00A162EB"/>
    <w:p w14:paraId="6BC2F6AF" w14:textId="454079B2" w:rsidR="0020194D" w:rsidRDefault="007B50AB" w:rsidP="0020194D">
      <w:r>
        <w:t>Sagen omhandler</w:t>
      </w:r>
      <w:r w:rsidR="00363F44">
        <w:t xml:space="preserve"> for</w:t>
      </w:r>
      <w:r w:rsidR="004B1D6C">
        <w:t>sikringstagerne (FT), som klagede</w:t>
      </w:r>
      <w:r w:rsidR="00363F44">
        <w:t xml:space="preserve"> over deres forsikringsselskabs (FS) afvi</w:t>
      </w:r>
      <w:r w:rsidR="00363F44">
        <w:t>s</w:t>
      </w:r>
      <w:r w:rsidR="00363F44">
        <w:t>ning af</w:t>
      </w:r>
      <w:r w:rsidR="004B1D6C">
        <w:t>,</w:t>
      </w:r>
      <w:r w:rsidR="00363F44">
        <w:t xml:space="preserve"> at yde forsikringsdækning for mangler ved </w:t>
      </w:r>
      <w:r w:rsidR="00F2739C">
        <w:t xml:space="preserve">ulovlige </w:t>
      </w:r>
      <w:r w:rsidR="00363F44">
        <w:t>elinstallationer. FT’s advokat har til nævnet skrevet følgende:</w:t>
      </w:r>
      <w:r w:rsidR="0020194D">
        <w:t xml:space="preserve"> </w:t>
      </w:r>
      <w:r w:rsidR="00363F44" w:rsidRPr="0020194D">
        <w:rPr>
          <w:i/>
        </w:rPr>
        <w:t>”Min klient men</w:t>
      </w:r>
      <w:r w:rsidR="00F2739C">
        <w:rPr>
          <w:i/>
        </w:rPr>
        <w:t>er ikke, at forsikringsselskabet</w:t>
      </w:r>
      <w:r w:rsidR="00363F44" w:rsidRPr="0020194D">
        <w:rPr>
          <w:i/>
        </w:rPr>
        <w:t xml:space="preserve"> har ret i den anførte afvi</w:t>
      </w:r>
      <w:r w:rsidR="00363F44" w:rsidRPr="0020194D">
        <w:rPr>
          <w:i/>
        </w:rPr>
        <w:t>s</w:t>
      </w:r>
      <w:r w:rsidR="00363F44" w:rsidRPr="0020194D">
        <w:rPr>
          <w:i/>
        </w:rPr>
        <w:t>ning og er ikke enig i, at de omhandlede forhold ikke er omf</w:t>
      </w:r>
      <w:r w:rsidR="004B1D6C">
        <w:rPr>
          <w:i/>
        </w:rPr>
        <w:t xml:space="preserve">attet af huseftersynsordningen. </w:t>
      </w:r>
      <w:r w:rsidR="00363F44" w:rsidRPr="0020194D">
        <w:rPr>
          <w:i/>
        </w:rPr>
        <w:t>Der fremgår direkte af forsikringen, at der dækkes skjulte skader efter ulovlige installationer. Dette er i særdeleshed tilfældet for så vidt angår overgang i gulvvarmesystemet, hvilket bevirker at man får stød, når man rører vandhanerne.”</w:t>
      </w:r>
      <w:r w:rsidR="00363F44" w:rsidRPr="0020194D">
        <w:rPr>
          <w:rStyle w:val="Fodnotehenvisning"/>
          <w:i/>
        </w:rPr>
        <w:footnoteReference w:id="73"/>
      </w:r>
      <w:r w:rsidR="0020194D">
        <w:rPr>
          <w:i/>
        </w:rPr>
        <w:t xml:space="preserve"> </w:t>
      </w:r>
      <w:r w:rsidR="007F41B3">
        <w:t>A</w:t>
      </w:r>
      <w:r w:rsidR="0020194D">
        <w:t>dvokaten</w:t>
      </w:r>
      <w:r w:rsidR="00CC73CC">
        <w:t xml:space="preserve"> tillægger det vægt</w:t>
      </w:r>
      <w:r w:rsidR="0020194D">
        <w:t xml:space="preserve">, at </w:t>
      </w:r>
      <w:r w:rsidR="007F41B3">
        <w:t>selvom der er tale om en ulovlig elinstallation, er dette</w:t>
      </w:r>
      <w:r w:rsidR="00F2739C">
        <w:t xml:space="preserve"> ikke selve skaden, men</w:t>
      </w:r>
      <w:r w:rsidR="007F41B3">
        <w:t xml:space="preserve"> blot en medvirken til skaden. Der er således tale om en faktisk mangel, som er en følge af en ulovlig elinstallation. </w:t>
      </w:r>
    </w:p>
    <w:p w14:paraId="09754891" w14:textId="77777777" w:rsidR="007F41B3" w:rsidRDefault="007F41B3" w:rsidP="0020194D"/>
    <w:p w14:paraId="736DA0DD" w14:textId="40179BAA" w:rsidR="007F41B3" w:rsidRDefault="007F41B3" w:rsidP="0020194D">
      <w:r>
        <w:t>FS har til nævnet angivet følgende som begrundelse for deres afvisning</w:t>
      </w:r>
      <w:r w:rsidR="004B1D6C">
        <w:t xml:space="preserve"> af at yde forsikringsdæ</w:t>
      </w:r>
      <w:r w:rsidR="004B1D6C">
        <w:t>k</w:t>
      </w:r>
      <w:r w:rsidR="004B1D6C">
        <w:t>ning</w:t>
      </w:r>
      <w:r>
        <w:t xml:space="preserve">: </w:t>
      </w:r>
      <w:r w:rsidRPr="007F41B3">
        <w:rPr>
          <w:i/>
        </w:rPr>
        <w:t>”…I sagens natur vil en egentlig skade efter en ulovlig elinstallation ofte medføre en brand eller svideskade...”</w:t>
      </w:r>
      <w:r w:rsidRPr="007F41B3">
        <w:rPr>
          <w:rStyle w:val="Fodnotehenvisning"/>
          <w:i/>
        </w:rPr>
        <w:footnoteReference w:id="74"/>
      </w:r>
      <w:r w:rsidR="00F2739C">
        <w:t xml:space="preserve"> Med denne påstand</w:t>
      </w:r>
      <w:r>
        <w:t xml:space="preserve"> afgrænser FS en skade i forbindelse med en elinstallation til alene at </w:t>
      </w:r>
      <w:r w:rsidR="00ED5BD3">
        <w:t>omhandle skader, som viser sig ved en fysisk skade på ejendommen. Det</w:t>
      </w:r>
      <w:r w:rsidR="00F2739C">
        <w:t>te udledes</w:t>
      </w:r>
      <w:r w:rsidR="00ED5BD3">
        <w:t xml:space="preserve"> ud fra</w:t>
      </w:r>
      <w:r w:rsidR="00F2739C">
        <w:t>,</w:t>
      </w:r>
      <w:r w:rsidR="00ED5BD3">
        <w:t xml:space="preserve"> at </w:t>
      </w:r>
      <w:r w:rsidR="00F2739C">
        <w:t>brand</w:t>
      </w:r>
      <w:r w:rsidR="00A51029">
        <w:t>skader er meget nemme at konstatere</w:t>
      </w:r>
      <w:r w:rsidR="00ED5BD3">
        <w:t xml:space="preserve"> i en ejendom, </w:t>
      </w:r>
      <w:r w:rsidR="006666D6">
        <w:t>tilsvarende</w:t>
      </w:r>
      <w:r w:rsidR="00ED5BD3">
        <w:t xml:space="preserve"> at svideskader efter gn</w:t>
      </w:r>
      <w:r w:rsidR="00ED5BD3">
        <w:t>i</w:t>
      </w:r>
      <w:r w:rsidR="00ED5BD3">
        <w:t>ster fra elinstallationerne ligel</w:t>
      </w:r>
      <w:r w:rsidR="003A187E">
        <w:t>edes vil kunne ses</w:t>
      </w:r>
      <w:r w:rsidR="00ED5BD3">
        <w:t>. At FT får stød</w:t>
      </w:r>
      <w:r w:rsidR="00A51029">
        <w:t xml:space="preserve"> ved at røre vandhanerne</w:t>
      </w:r>
      <w:r w:rsidR="00ED5BD3">
        <w:t xml:space="preserve"> må form</w:t>
      </w:r>
      <w:r w:rsidR="00ED5BD3">
        <w:t>o</w:t>
      </w:r>
      <w:r w:rsidR="00ED5BD3">
        <w:t>des ikke at være en fysisk skade ifølge FS</w:t>
      </w:r>
      <w:r w:rsidR="00A51029">
        <w:t>.</w:t>
      </w:r>
    </w:p>
    <w:p w14:paraId="5FE56CF3" w14:textId="77777777" w:rsidR="00ED5BD3" w:rsidRDefault="00ED5BD3" w:rsidP="0020194D"/>
    <w:p w14:paraId="7F919505" w14:textId="64BBAF7C" w:rsidR="00ED5BD3" w:rsidRDefault="00FA6E47" w:rsidP="0020194D">
      <w:r>
        <w:t xml:space="preserve">Nævnet udtaler: </w:t>
      </w:r>
      <w:r w:rsidRPr="00FA6E47">
        <w:rPr>
          <w:i/>
        </w:rPr>
        <w:t>”Nævnet har gennemgået sagen og finder, at de anmeldte skader, elektrisk stød ved berøring af vandhanerne, må anses som en skjult skade, dvs. en skade som følge af den ulovlige elinstallation.”</w:t>
      </w:r>
      <w:r>
        <w:rPr>
          <w:rStyle w:val="Fodnotehenvisning"/>
        </w:rPr>
        <w:footnoteReference w:id="75"/>
      </w:r>
      <w:r>
        <w:t xml:space="preserve"> Af dette kan udledes, at det ikke kun er de åbenlyse skader, som bliver omfattet af sælgerbeskyttelsen i LFFE, men også andre skader, som knytter sig meget direkte op af den ulovl</w:t>
      </w:r>
      <w:r>
        <w:t>i</w:t>
      </w:r>
      <w:r>
        <w:t>ge elinstallation. At genstande afgiver stød, som følge af en ulovlig elinstallation, og derved ikke har resulteret i en endelig skade, som har ændret tilstanden i ejendommen, gør ikke skaden mindre betydningsfuld for køber. Køber må kunne regne med</w:t>
      </w:r>
      <w:r w:rsidR="006666D6">
        <w:t>,</w:t>
      </w:r>
      <w:r>
        <w:t xml:space="preserve"> at denne ikke får stød af at anvende appar</w:t>
      </w:r>
      <w:r>
        <w:t>a</w:t>
      </w:r>
      <w:r>
        <w:t>turerne i ejendommen.</w:t>
      </w:r>
    </w:p>
    <w:p w14:paraId="07154619" w14:textId="77777777" w:rsidR="00F2739C" w:rsidRDefault="00F2739C" w:rsidP="0020194D"/>
    <w:p w14:paraId="562EE654" w14:textId="0DB053C2" w:rsidR="00F2739C" w:rsidRDefault="00F2739C" w:rsidP="0020194D">
      <w:r>
        <w:t>Samlet viser ankenævnets udtalels</w:t>
      </w:r>
      <w:r w:rsidR="005718B3">
        <w:t>e, at det ikke kun er de åbenbare skader som følge af ulovlige  elinstallationer, der falder in</w:t>
      </w:r>
      <w:r w:rsidR="006666D6">
        <w:t>d under sælgers beskyttelse. D</w:t>
      </w:r>
      <w:r w:rsidR="005718B3">
        <w:t>et er ligeledes skader, som umiddelbart ikke har givet anledning til en æ</w:t>
      </w:r>
      <w:r w:rsidR="006666D6">
        <w:t xml:space="preserve">ndring i </w:t>
      </w:r>
      <w:r w:rsidR="00A51029">
        <w:t>den fysiske tilstand</w:t>
      </w:r>
      <w:r w:rsidR="005718B3">
        <w:t xml:space="preserve"> på ejendommen. At en vandhane giver stød ændrer ligeledes på en ejendoms fysiske tilstand, desuagtet at der ikke er tale om en skade, so</w:t>
      </w:r>
      <w:r w:rsidR="00A51029">
        <w:t>m syner anderledes</w:t>
      </w:r>
      <w:r w:rsidR="000100B6">
        <w:t>, end på tidspunktet for købers overtagelse af</w:t>
      </w:r>
      <w:r w:rsidR="005718B3">
        <w:t xml:space="preserve"> ejendommen. Det </w:t>
      </w:r>
      <w:r w:rsidR="00583AC9">
        <w:t>er ikke muligt at opregne</w:t>
      </w:r>
      <w:r w:rsidR="005718B3">
        <w:t xml:space="preserve"> en udtømmende liste over skader, som </w:t>
      </w:r>
      <w:r w:rsidR="00A51029">
        <w:t>er dække</w:t>
      </w:r>
      <w:r w:rsidR="00583AC9">
        <w:t>t af sælgerbeskyttelsen.</w:t>
      </w:r>
    </w:p>
    <w:p w14:paraId="26A23A00" w14:textId="3897E03A" w:rsidR="00AD5C2B" w:rsidRDefault="00AD5C2B" w:rsidP="00AD5C2B">
      <w:pPr>
        <w:pStyle w:val="Overskrift3"/>
      </w:pPr>
      <w:bookmarkStart w:id="30" w:name="_Toc179963433"/>
      <w:r>
        <w:t>3.2.5 Sammenfatning</w:t>
      </w:r>
      <w:bookmarkEnd w:id="30"/>
    </w:p>
    <w:p w14:paraId="3581DCD3" w14:textId="1773489B" w:rsidR="00AD5C2B" w:rsidRPr="00AD5C2B" w:rsidRDefault="00AD5C2B" w:rsidP="00AD5C2B">
      <w:r>
        <w:t>De fire forhold ovenfor viser, at rene konstaterede ulovlige elinstallationer og ulovlige elinstallati</w:t>
      </w:r>
      <w:r>
        <w:t>o</w:t>
      </w:r>
      <w:r>
        <w:t>ner, der er påbudt lovliggjort er omfattet af begrebet retlige m</w:t>
      </w:r>
      <w:r w:rsidR="007B50AB">
        <w:t>angler, og kan kategoriseres som</w:t>
      </w:r>
      <w:r>
        <w:t xml:space="preserve"> at høre ind under undtagelsesbestemmelsen i LFFE § 2, stk. 5, 1. pkt. som på trods af sælgerbeskytte</w:t>
      </w:r>
      <w:r>
        <w:t>l</w:t>
      </w:r>
      <w:r>
        <w:t>sen i LFFE § 2, stk. 1 ikke fritager sælger fra mangelsansvar. Derimod er skader og risiko for sk</w:t>
      </w:r>
      <w:r>
        <w:t>a</w:t>
      </w:r>
      <w:r>
        <w:t>der, som følge af en ulovlig elinstallation omfattet af sælgerbeskyttelsen, og bliver derved kategor</w:t>
      </w:r>
      <w:r>
        <w:t>i</w:t>
      </w:r>
      <w:r>
        <w:t>seret som en faktisk mangel. Det er således uden betydning</w:t>
      </w:r>
      <w:r w:rsidR="006666D6">
        <w:t>, at skadens oprindelse kan henføres til</w:t>
      </w:r>
      <w:r>
        <w:t xml:space="preserve"> en ulovlig elinstalla</w:t>
      </w:r>
      <w:r w:rsidR="006666D6">
        <w:t>tion, idet</w:t>
      </w:r>
      <w:r>
        <w:t xml:space="preserve"> sælger bliver fritaget for mangelsansvar. Det er forholdet, at der er opstået en skade eller risiko for skade, som er afgørende i vurderingen af, hvem der skal hæfte for udbedring af skaden. </w:t>
      </w:r>
    </w:p>
    <w:p w14:paraId="6450A364" w14:textId="63FA0524" w:rsidR="00084953" w:rsidRDefault="008A3FC5" w:rsidP="001A79AD">
      <w:pPr>
        <w:pStyle w:val="Overskrift2"/>
      </w:pPr>
      <w:bookmarkStart w:id="31" w:name="_Toc179963434"/>
      <w:r>
        <w:t xml:space="preserve">3.3 </w:t>
      </w:r>
      <w:r w:rsidR="00560BDB">
        <w:t xml:space="preserve">Ledende dom - </w:t>
      </w:r>
      <w:r w:rsidR="00084953">
        <w:t>U.2002.828H</w:t>
      </w:r>
      <w:bookmarkEnd w:id="31"/>
    </w:p>
    <w:p w14:paraId="0FC4C9FD" w14:textId="2C018419" w:rsidR="007C539A" w:rsidRPr="001A79AD" w:rsidRDefault="00951AF0" w:rsidP="007C539A">
      <w:r>
        <w:t>Ovenstående</w:t>
      </w:r>
      <w:r w:rsidR="000100B6">
        <w:t xml:space="preserve"> afsnit</w:t>
      </w:r>
      <w:r>
        <w:t xml:space="preserve"> er</w:t>
      </w:r>
      <w:r w:rsidR="007C539A">
        <w:t xml:space="preserve"> relevant, idet en overtrædelse af en offentligretlig forskrift ofte vil indgå i bedømmelsen af, om et givent forhold udgør en faktisk mangel.</w:t>
      </w:r>
      <w:r w:rsidR="007C539A">
        <w:rPr>
          <w:rStyle w:val="Fodnotehenvisning"/>
        </w:rPr>
        <w:footnoteReference w:id="76"/>
      </w:r>
      <w:r w:rsidR="007C539A">
        <w:t xml:space="preserve"> Hvis offentligretlige forskrifter udgør en re</w:t>
      </w:r>
      <w:r w:rsidR="006666D6">
        <w:t xml:space="preserve">tlig </w:t>
      </w:r>
      <w:r w:rsidR="007C539A">
        <w:t>mangel i LFFE’s forstand, vil køber kunne påber</w:t>
      </w:r>
      <w:r w:rsidR="00B67EF5">
        <w:t>åbe sig LFFE § 2, stk. 5, 1. pkt</w:t>
      </w:r>
      <w:r w:rsidR="007C539A">
        <w:t xml:space="preserve"> overfor sælger. Eftersom faktiske mangler i væsentlig udstrækning udspringer af en overtrædelse af en offentligretlig forskrift, vil </w:t>
      </w:r>
      <w:r w:rsidR="006666D6">
        <w:t>adskillige</w:t>
      </w:r>
      <w:r w:rsidR="007C539A">
        <w:t xml:space="preserve"> faktiske mangler kunne karakteriseres som en ulovlig by</w:t>
      </w:r>
      <w:r w:rsidR="007C539A">
        <w:t>g</w:t>
      </w:r>
      <w:r w:rsidR="007C539A">
        <w:t>ningsindretning</w:t>
      </w:r>
      <w:r w:rsidR="006666D6">
        <w:t xml:space="preserve">. Dette ville kunne resultere i, at i </w:t>
      </w:r>
      <w:r w:rsidR="00A16BC6">
        <w:t>stedet for at</w:t>
      </w:r>
      <w:r w:rsidR="006666D6">
        <w:t xml:space="preserve"> blive henført</w:t>
      </w:r>
      <w:r w:rsidR="00A16BC6">
        <w:t xml:space="preserve"> til sælgerfritagel</w:t>
      </w:r>
      <w:r w:rsidR="006666D6">
        <w:t>sen i LFFE § 2, stk. 1,</w:t>
      </w:r>
      <w:r w:rsidR="007C539A">
        <w:t xml:space="preserve"> </w:t>
      </w:r>
      <w:r w:rsidR="006666D6">
        <w:t xml:space="preserve">ville forholdet </w:t>
      </w:r>
      <w:r w:rsidR="007C539A">
        <w:t>fal</w:t>
      </w:r>
      <w:r w:rsidR="006666D6">
        <w:t>de</w:t>
      </w:r>
      <w:r w:rsidR="007C539A">
        <w:t xml:space="preserve"> ind under</w:t>
      </w:r>
      <w:r>
        <w:t xml:space="preserve"> anvendelsesområdet i</w:t>
      </w:r>
      <w:r w:rsidR="00B67EF5">
        <w:t xml:space="preserve"> LFFE § 2, stk. 5, 1. pkt</w:t>
      </w:r>
      <w:r w:rsidR="007C539A">
        <w:t>. B</w:t>
      </w:r>
      <w:r w:rsidR="007C539A">
        <w:t>e</w:t>
      </w:r>
      <w:r w:rsidR="007C539A">
        <w:t>skyttelsesordningen vil derved miste en del af sin betydning</w:t>
      </w:r>
      <w:r w:rsidR="003A187E">
        <w:t>, som er</w:t>
      </w:r>
      <w:r w:rsidR="006666D6">
        <w:t>,</w:t>
      </w:r>
      <w:r w:rsidR="003A187E">
        <w:t xml:space="preserve"> at meget få sager skal kunne henføres til sælger</w:t>
      </w:r>
      <w:r w:rsidR="006666D6">
        <w:t>. Dette fordi,</w:t>
      </w:r>
      <w:r w:rsidR="007C539A">
        <w:t xml:space="preserve"> bestemmelsen vil kunne </w:t>
      </w:r>
      <w:r w:rsidR="006666D6">
        <w:t>for</w:t>
      </w:r>
      <w:r w:rsidR="007C539A">
        <w:t>tolkes således, at det er op til domstol</w:t>
      </w:r>
      <w:r w:rsidR="007C539A">
        <w:t>e</w:t>
      </w:r>
      <w:r w:rsidR="007C539A">
        <w:t>ne i hvert enkelt tilfælde at afgøre, hvem af køber og sælger</w:t>
      </w:r>
      <w:r w:rsidR="0039125D">
        <w:t>,</w:t>
      </w:r>
      <w:r w:rsidR="007C539A">
        <w:t xml:space="preserve"> der har den bedste argumentation, idet reglerne kan falde ud til begges fordel. Dette har Højesteret taget stilli</w:t>
      </w:r>
      <w:r w:rsidR="0039125D">
        <w:t>ng til i dommen U.2002.828H, der</w:t>
      </w:r>
      <w:r w:rsidR="007C539A">
        <w:t xml:space="preserve"> vil blive gennemgået nedenfor.</w:t>
      </w:r>
    </w:p>
    <w:p w14:paraId="37B75857" w14:textId="77777777" w:rsidR="007C539A" w:rsidRPr="007C539A" w:rsidRDefault="007C539A" w:rsidP="007C539A"/>
    <w:p w14:paraId="1405CA8E" w14:textId="1AB99396" w:rsidR="00C0063D" w:rsidRDefault="00C0063D" w:rsidP="00C0063D">
      <w:r>
        <w:t>Højesteret har afsagt dommen U.2002.828H, hvor der er blevet taget stilling til</w:t>
      </w:r>
      <w:r w:rsidR="00E85506">
        <w:t>,</w:t>
      </w:r>
      <w:r>
        <w:t xml:space="preserve"> hvornår et forhold kan karakteriseres som</w:t>
      </w:r>
      <w:r w:rsidR="00CD5203">
        <w:t xml:space="preserve"> værende</w:t>
      </w:r>
      <w:r>
        <w:t xml:space="preserve"> offentligretlige forskrif</w:t>
      </w:r>
      <w:r w:rsidR="00B67EF5">
        <w:t>ter i LFFE’s § 2, stk. 5, 1. pkt’</w:t>
      </w:r>
      <w:r>
        <w:t>s forstand. Ovenfor er k</w:t>
      </w:r>
      <w:r w:rsidR="00CC7242">
        <w:t>arakteriseret, hvad der</w:t>
      </w:r>
      <w:r w:rsidR="00E85506">
        <w:t xml:space="preserve"> har</w:t>
      </w:r>
      <w:r>
        <w:t xml:space="preserve"> indflydelse på om et forhold kan henledes under undtagelsen til sælgerbeskytt</w:t>
      </w:r>
      <w:r w:rsidR="00B67EF5">
        <w:t>elsen i LFFE § 2, stk. 5, 1. pkt</w:t>
      </w:r>
      <w:r>
        <w:t>. Med Højesterets dom</w:t>
      </w:r>
      <w:r w:rsidR="00E85506">
        <w:t xml:space="preserve"> </w:t>
      </w:r>
      <w:r w:rsidR="005840CD">
        <w:t xml:space="preserve">er det </w:t>
      </w:r>
      <w:r w:rsidR="00A16BC6">
        <w:t xml:space="preserve">entydigt </w:t>
      </w:r>
      <w:r w:rsidR="005840CD">
        <w:t>konstateret,</w:t>
      </w:r>
      <w:r>
        <w:t xml:space="preserve"> hvilke retningslin</w:t>
      </w:r>
      <w:r w:rsidR="00A16BC6">
        <w:t>jer, der</w:t>
      </w:r>
      <w:r>
        <w:t xml:space="preserve"> skal følges for, at et forhold kan henledes til undtagelsesbestemmelsen. Som det vil ses under gennemgangen af dommen, har ovenstående </w:t>
      </w:r>
      <w:r w:rsidR="00A16BC6">
        <w:t xml:space="preserve">afsnit </w:t>
      </w:r>
      <w:r>
        <w:t xml:space="preserve">om </w:t>
      </w:r>
      <w:r w:rsidR="0039125D">
        <w:t xml:space="preserve">retlige og </w:t>
      </w:r>
      <w:r>
        <w:t>faktiske mangler en betydelig rolle i konstateringen af</w:t>
      </w:r>
      <w:r w:rsidR="00E85506">
        <w:t>,</w:t>
      </w:r>
      <w:r>
        <w:t xml:space="preserve"> om det er sælger eller ejerskifteforsik</w:t>
      </w:r>
      <w:r w:rsidR="00DE1BF5">
        <w:t>ringen, der hæ</w:t>
      </w:r>
      <w:r w:rsidR="00DE1BF5">
        <w:t>f</w:t>
      </w:r>
      <w:r w:rsidR="00DE1BF5">
        <w:t>ter for mangler, som følge af en ulovlig elinstallation. Selve dommen omhandler ikke ulovlige eli</w:t>
      </w:r>
      <w:r w:rsidR="00DE1BF5">
        <w:t>n</w:t>
      </w:r>
      <w:r w:rsidR="00DE1BF5">
        <w:t>stallationer</w:t>
      </w:r>
      <w:r w:rsidR="0039125D">
        <w:t>, men omhandler at nogle bygningsindretninger</w:t>
      </w:r>
      <w:r w:rsidR="00DE1BF5">
        <w:t xml:space="preserve"> strider imod offentligretlige forskrifter. Idet offentligretlige forskrifter dækker over elinstallationer såvel som bygningsindretninger, kan dommen anvendes analogt på ulovlige elinstallationer.</w:t>
      </w:r>
    </w:p>
    <w:p w14:paraId="60C716D7" w14:textId="77777777" w:rsidR="00DE1BF5" w:rsidRDefault="00DE1BF5" w:rsidP="00C0063D"/>
    <w:p w14:paraId="308BDE76" w14:textId="7C2693D2" w:rsidR="00882A8A" w:rsidRDefault="006E2B76" w:rsidP="00C0063D">
      <w:r>
        <w:t>Sagen, der ligger til grund for U.2002.828H, blev anlagt af sagsøger (SGR), der fik medhold</w:t>
      </w:r>
      <w:r w:rsidR="005840CD">
        <w:t xml:space="preserve"> i b</w:t>
      </w:r>
      <w:r w:rsidR="005840CD">
        <w:t>y</w:t>
      </w:r>
      <w:r w:rsidR="005840CD">
        <w:t>retten</w:t>
      </w:r>
      <w:r w:rsidR="006F348F">
        <w:t xml:space="preserve"> i</w:t>
      </w:r>
      <w:r w:rsidR="009A49A7">
        <w:t>,</w:t>
      </w:r>
      <w:r w:rsidR="00882A8A">
        <w:t xml:space="preserve"> at sagsøgte (SGT)</w:t>
      </w:r>
      <w:r w:rsidR="006F348F">
        <w:t xml:space="preserve"> skulle betale udbedringsomkostninger</w:t>
      </w:r>
      <w:r w:rsidR="00E85506">
        <w:t>ne i</w:t>
      </w:r>
      <w:r w:rsidR="006F348F">
        <w:t xml:space="preserve"> for</w:t>
      </w:r>
      <w:r w:rsidR="00E85506">
        <w:t>bindelse med</w:t>
      </w:r>
      <w:r w:rsidR="006F348F">
        <w:t xml:space="preserve"> mangler</w:t>
      </w:r>
      <w:r w:rsidR="00E85506">
        <w:t xml:space="preserve"> på den overdragne ejendom</w:t>
      </w:r>
      <w:r w:rsidR="005840CD">
        <w:t>. SGR</w:t>
      </w:r>
      <w:r w:rsidR="00E85506">
        <w:t xml:space="preserve"> fik ikke medhold</w:t>
      </w:r>
      <w:r>
        <w:t xml:space="preserve"> i </w:t>
      </w:r>
      <w:r w:rsidR="005840CD">
        <w:t xml:space="preserve">sin påstand i </w:t>
      </w:r>
      <w:r>
        <w:t>Vestre Landsret</w:t>
      </w:r>
      <w:r w:rsidR="006F348F">
        <w:t>.</w:t>
      </w:r>
      <w:r w:rsidR="006F348F">
        <w:rPr>
          <w:rStyle w:val="Fodnotehenvisning"/>
        </w:rPr>
        <w:footnoteReference w:id="77"/>
      </w:r>
      <w:r w:rsidR="006F348F">
        <w:t xml:space="preserve"> SGR købte eje</w:t>
      </w:r>
      <w:r w:rsidR="006F348F">
        <w:t>n</w:t>
      </w:r>
      <w:r w:rsidR="006F348F">
        <w:t>dommen med henblik på beboelse, og fik</w:t>
      </w:r>
      <w:r w:rsidR="005840CD">
        <w:t xml:space="preserve"> i forbindelse med købet</w:t>
      </w:r>
      <w:r w:rsidR="006F348F">
        <w:t xml:space="preserve"> udleveret en tilstandsrapport og oplysnin</w:t>
      </w:r>
      <w:r w:rsidR="0039125D">
        <w:t>g om ejerskifteforsikring, og var</w:t>
      </w:r>
      <w:r w:rsidR="006F348F">
        <w:t xml:space="preserve"> derfor som udgangspunkt omfattet af LFFE’s anvende</w:t>
      </w:r>
      <w:r w:rsidR="006F348F">
        <w:t>l</w:t>
      </w:r>
      <w:r w:rsidR="006F348F">
        <w:t>ses</w:t>
      </w:r>
      <w:r w:rsidR="0039125D">
        <w:t>område. Ejendommen er</w:t>
      </w:r>
      <w:r w:rsidR="006F348F">
        <w:t xml:space="preserve"> overtage</w:t>
      </w:r>
      <w:r w:rsidR="001174CF">
        <w:t>t d. 1. november 1996, og SGT</w:t>
      </w:r>
      <w:r w:rsidR="0039125D">
        <w:t xml:space="preserve"> skal</w:t>
      </w:r>
      <w:r w:rsidR="006F348F">
        <w:t xml:space="preserve"> derfor ikke opfylde det nuværende krav om, at tilbyde at betale halvdelen af </w:t>
      </w:r>
      <w:r w:rsidR="00A16EAE">
        <w:t xml:space="preserve">præmien på </w:t>
      </w:r>
      <w:r w:rsidR="006F348F">
        <w:t>ejerskifteforsikringen</w:t>
      </w:r>
      <w:r w:rsidR="00BC2977">
        <w:t>, idet dette krav først kom med lovændringen i 2000</w:t>
      </w:r>
      <w:r w:rsidR="006F348F">
        <w:t xml:space="preserve">, jf. </w:t>
      </w:r>
      <w:r w:rsidR="006F348F" w:rsidRPr="009D0254">
        <w:t>afsnit 2.3.3</w:t>
      </w:r>
      <w:r w:rsidR="006F348F">
        <w:t>.</w:t>
      </w:r>
      <w:r w:rsidR="00BC2977">
        <w:rPr>
          <w:rStyle w:val="Fodnotehenvisning"/>
        </w:rPr>
        <w:footnoteReference w:id="78"/>
      </w:r>
      <w:r w:rsidR="006F348F">
        <w:t xml:space="preserve"> </w:t>
      </w:r>
      <w:r w:rsidR="006E7C59">
        <w:t>Ligeledes er der i sagen tale om spørg</w:t>
      </w:r>
      <w:r w:rsidR="006E7C59">
        <w:t>s</w:t>
      </w:r>
      <w:r w:rsidR="006E7C59">
        <w:t xml:space="preserve">mål vedrørende </w:t>
      </w:r>
      <w:r w:rsidR="009A49A7">
        <w:t>daværende LFFE § 2, stk. 4, 1</w:t>
      </w:r>
      <w:r w:rsidR="00A238F9">
        <w:t>. pkt</w:t>
      </w:r>
      <w:r w:rsidR="006E7C59">
        <w:t>. Denne bestemmelse har ikke undergået ændri</w:t>
      </w:r>
      <w:r w:rsidR="006E7C59">
        <w:t>n</w:t>
      </w:r>
      <w:r w:rsidR="006E7C59">
        <w:t>ger siden lovens ikrafttræden, og er således stadig aktuel for den nuværende ud</w:t>
      </w:r>
      <w:r w:rsidR="00B67EF5">
        <w:t xml:space="preserve">gave af LFFE § 2, stk. 5, 1. pkt. </w:t>
      </w:r>
      <w:r w:rsidR="006E7C59">
        <w:t>hvorfor dommen har præju</w:t>
      </w:r>
      <w:r w:rsidR="009A49A7">
        <w:t>diciel virkning for sager ved</w:t>
      </w:r>
      <w:r w:rsidR="00B67EF5">
        <w:t>rørende LFFE § 2, stk. 5, 1. pkt</w:t>
      </w:r>
      <w:r w:rsidR="009A49A7">
        <w:t>.</w:t>
      </w:r>
    </w:p>
    <w:p w14:paraId="75EF1AD1" w14:textId="135916E8" w:rsidR="00910BEB" w:rsidRDefault="00910BEB" w:rsidP="00910BEB">
      <w:pPr>
        <w:pStyle w:val="Overskrift3"/>
      </w:pPr>
      <w:bookmarkStart w:id="32" w:name="_Toc179963435"/>
      <w:r>
        <w:t>3.3.1 Byrettens dom</w:t>
      </w:r>
      <w:bookmarkEnd w:id="32"/>
    </w:p>
    <w:p w14:paraId="00E231A2" w14:textId="29B48388" w:rsidR="00882A8A" w:rsidRDefault="00882A8A" w:rsidP="00C0063D">
      <w:r>
        <w:t>SGR købte en ejendom a</w:t>
      </w:r>
      <w:r w:rsidR="005840CD">
        <w:t>f SGT</w:t>
      </w:r>
      <w:r>
        <w:t xml:space="preserve">. </w:t>
      </w:r>
      <w:r w:rsidR="006E7C59">
        <w:t>SGT oplyste ved handlen, at han selv havde udgravet kælderen, og indrettet den med værelser og badeværelse. Det</w:t>
      </w:r>
      <w:r w:rsidR="009A49A7">
        <w:t>te</w:t>
      </w:r>
      <w:r w:rsidR="006E7C59">
        <w:t xml:space="preserve"> drejede sig om tre fjerdedel</w:t>
      </w:r>
      <w:r w:rsidR="002A28E8">
        <w:t>e af kælderen. Te</w:t>
      </w:r>
      <w:r w:rsidR="002A28E8">
        <w:t>g</w:t>
      </w:r>
      <w:r w:rsidR="002A28E8">
        <w:t xml:space="preserve">ningen hertil, som var udarbejdet af anlægsgartner </w:t>
      </w:r>
      <w:r w:rsidR="00CC7242">
        <w:t>(</w:t>
      </w:r>
      <w:r w:rsidR="002A28E8">
        <w:t>JG</w:t>
      </w:r>
      <w:r w:rsidR="00CC7242">
        <w:t>)</w:t>
      </w:r>
      <w:r w:rsidR="005840CD">
        <w:t>,</w:t>
      </w:r>
      <w:r w:rsidR="002A28E8">
        <w:t xml:space="preserve"> og</w:t>
      </w:r>
      <w:r w:rsidR="006E7C59">
        <w:t xml:space="preserve"> som var godkendt af komm</w:t>
      </w:r>
      <w:r w:rsidR="009A49A7">
        <w:t>unen, udl</w:t>
      </w:r>
      <w:r w:rsidR="009A49A7">
        <w:t>e</w:t>
      </w:r>
      <w:r w:rsidR="009A49A7">
        <w:t>vere</w:t>
      </w:r>
      <w:r w:rsidR="002A28E8">
        <w:t>de SGT</w:t>
      </w:r>
      <w:r w:rsidR="009A49A7">
        <w:t xml:space="preserve"> til SGR</w:t>
      </w:r>
      <w:r w:rsidR="006E7C59">
        <w:t xml:space="preserve"> ved overdragelsen af huset.</w:t>
      </w:r>
      <w:r w:rsidR="002A28E8">
        <w:t xml:space="preserve"> </w:t>
      </w:r>
      <w:r w:rsidR="006E7C59">
        <w:t>SGR begyndte dagen efter overtagelsen</w:t>
      </w:r>
      <w:r w:rsidR="009A49A7">
        <w:t>,</w:t>
      </w:r>
      <w:r w:rsidR="006E7C59">
        <w:t xml:space="preserve"> at udgrave den sidste fjerdel af kælderen, hvor der således trængte vand ind. SGR reklamerede herover til SGT.</w:t>
      </w:r>
      <w:r w:rsidR="002E0BB7">
        <w:t xml:space="preserve"> Der blev udmeldt syn og skøn ved murermester (MM), der anførte</w:t>
      </w:r>
      <w:r w:rsidR="002A28E8">
        <w:t>,</w:t>
      </w:r>
      <w:r w:rsidR="002E0BB7">
        <w:t xml:space="preserve"> at kælderfundamentet ikke var udført fugtteknisk korrekt.</w:t>
      </w:r>
      <w:r w:rsidR="002E0BB7">
        <w:rPr>
          <w:rStyle w:val="Fodnotehenvisning"/>
        </w:rPr>
        <w:footnoteReference w:id="79"/>
      </w:r>
      <w:r w:rsidR="006E7C59">
        <w:t xml:space="preserve"> </w:t>
      </w:r>
      <w:r w:rsidR="00C464D3">
        <w:t>På denne baggrund anlagde SGR sag mod SGT med påstand om, at SGT skulle betale udbedringsomkostningerne til lovliggørelse af kælderen.</w:t>
      </w:r>
      <w:r w:rsidR="002A28E8">
        <w:t xml:space="preserve"> SGT påstod frifindelse.</w:t>
      </w:r>
    </w:p>
    <w:p w14:paraId="7358364F" w14:textId="77777777" w:rsidR="00DC0EF1" w:rsidRDefault="00DC0EF1" w:rsidP="00C0063D"/>
    <w:p w14:paraId="1EACABD5" w14:textId="421C6772" w:rsidR="00C464D3" w:rsidRDefault="00DC0EF1" w:rsidP="00C0063D">
      <w:r>
        <w:t xml:space="preserve">Byretten </w:t>
      </w:r>
      <w:r w:rsidR="0039125D">
        <w:t>lægger,</w:t>
      </w:r>
      <w:r w:rsidR="009A49A7">
        <w:t xml:space="preserve"> i sin begrundelse for</w:t>
      </w:r>
      <w:r w:rsidR="002A28E8">
        <w:t>,</w:t>
      </w:r>
      <w:r w:rsidR="009A49A7">
        <w:t xml:space="preserve"> at give SGR medhold</w:t>
      </w:r>
      <w:r w:rsidR="0039125D">
        <w:t>, vægt på, at kælderen ikke er</w:t>
      </w:r>
      <w:r>
        <w:t xml:space="preserve"> som f</w:t>
      </w:r>
      <w:r>
        <w:t>o</w:t>
      </w:r>
      <w:r>
        <w:t>reskrevet i Bygningsreglementet 1977</w:t>
      </w:r>
      <w:r>
        <w:rPr>
          <w:rStyle w:val="Fodnotehenvisning"/>
        </w:rPr>
        <w:footnoteReference w:id="80"/>
      </w:r>
      <w:r w:rsidR="00B61127">
        <w:t xml:space="preserve"> Denne tilsidesættelse medfører, at SGR, uanset at de har fået udleveret tilstandsrapport og tilbud om ejerskifteforsikring, som udgangspunkt kan påberåbe sig</w:t>
      </w:r>
      <w:r w:rsidR="009A49A7">
        <w:t xml:space="preserve"> dette forhold overfor SGT ved</w:t>
      </w:r>
      <w:r w:rsidR="00B61127">
        <w:t xml:space="preserve"> undtagelsesbestemmelsen </w:t>
      </w:r>
      <w:r w:rsidR="00A238F9">
        <w:t>i LFFE § 2, stk. 4, 1. pkt</w:t>
      </w:r>
      <w:r w:rsidR="009A49A7">
        <w:t xml:space="preserve"> (nuv</w:t>
      </w:r>
      <w:r w:rsidR="00F1356E">
        <w:t>ærende</w:t>
      </w:r>
      <w:r w:rsidR="002A28E8">
        <w:t xml:space="preserve"> § 2, </w:t>
      </w:r>
      <w:r w:rsidR="00A238F9">
        <w:t>stk. 5, 1. pkt</w:t>
      </w:r>
      <w:r w:rsidR="0039125D">
        <w:t>). Byretten anser</w:t>
      </w:r>
      <w:r w:rsidR="002A28E8">
        <w:t xml:space="preserve"> det for</w:t>
      </w:r>
      <w:r w:rsidR="009A49A7">
        <w:t xml:space="preserve"> bevist</w:t>
      </w:r>
      <w:r w:rsidR="002A28E8">
        <w:t>,</w:t>
      </w:r>
      <w:r w:rsidR="009A49A7">
        <w:t xml:space="preserve"> at </w:t>
      </w:r>
      <w:r w:rsidR="001801C6">
        <w:t>den manglende beskyttelse mod fugt, som følge af overtrædelse af bygningsregle</w:t>
      </w:r>
      <w:r w:rsidR="00CC7242">
        <w:t>mentet, har medført gener for</w:t>
      </w:r>
      <w:r w:rsidR="001801C6">
        <w:t xml:space="preserve"> normal brug af kælderen. At kælderen ikke opfylder bygningsreglementets krav til fugtbeskyttelse, må således anses som en retlig relevant mangel, der kan danne grundlag for erstatning.</w:t>
      </w:r>
      <w:r w:rsidR="001801C6">
        <w:rPr>
          <w:rStyle w:val="Fodnotehenvisning"/>
        </w:rPr>
        <w:footnoteReference w:id="81"/>
      </w:r>
      <w:r w:rsidR="001801C6">
        <w:t xml:space="preserve"> Byretten lægger således vægt på, at der er tale om en overtrædelse af bygningsreglementet, </w:t>
      </w:r>
      <w:r w:rsidR="00CD5203">
        <w:t>hvilket</w:t>
      </w:r>
      <w:r w:rsidR="001801C6">
        <w:t xml:space="preserve"> er et forhold i strid med en offentligretlig forskrift efter </w:t>
      </w:r>
      <w:r w:rsidR="00A238F9">
        <w:t>LFFE § 2, stk. 4, 1. pkt (nuværende § 2, stk. 5, 1. pkt</w:t>
      </w:r>
      <w:r w:rsidR="00CD5203">
        <w:t>)</w:t>
      </w:r>
      <w:r w:rsidR="001801C6">
        <w:t xml:space="preserve">, jf. </w:t>
      </w:r>
      <w:r w:rsidR="009D0254" w:rsidRPr="009D0254">
        <w:t>afsnit 3.1.1</w:t>
      </w:r>
      <w:r w:rsidR="001801C6">
        <w:t xml:space="preserve"> om offentligretlige fo</w:t>
      </w:r>
      <w:r w:rsidR="001801C6">
        <w:t>r</w:t>
      </w:r>
      <w:r w:rsidR="001801C6">
        <w:t>skrifter. Byretten bemærker ligeledes</w:t>
      </w:r>
      <w:r w:rsidR="002A28E8">
        <w:t>,</w:t>
      </w:r>
      <w:r w:rsidR="0039125D">
        <w:t xml:space="preserve"> at den anser</w:t>
      </w:r>
      <w:r w:rsidR="005840CD">
        <w:t xml:space="preserve"> det for</w:t>
      </w:r>
      <w:r w:rsidR="001801C6">
        <w:t xml:space="preserve"> bevist</w:t>
      </w:r>
      <w:r w:rsidR="002A28E8">
        <w:t>,</w:t>
      </w:r>
      <w:r w:rsidR="001801C6">
        <w:t xml:space="preserve"> at den manglende overholdelse</w:t>
      </w:r>
      <w:r w:rsidR="0039125D">
        <w:t xml:space="preserve"> af bygningsreglementet</w:t>
      </w:r>
      <w:r w:rsidR="001801C6">
        <w:t xml:space="preserve"> har medført fugtgener.</w:t>
      </w:r>
      <w:r w:rsidR="0039125D">
        <w:t xml:space="preserve"> Byretten anvender</w:t>
      </w:r>
      <w:r w:rsidR="001801C6">
        <w:t xml:space="preserve"> dog ikke</w:t>
      </w:r>
      <w:r w:rsidR="0039125D">
        <w:t xml:space="preserve"> denne detalje</w:t>
      </w:r>
      <w:r w:rsidR="002A28E8">
        <w:t xml:space="preserve"> dybere </w:t>
      </w:r>
      <w:r w:rsidR="0039125D">
        <w:t>end, at idet</w:t>
      </w:r>
      <w:r w:rsidR="002A28E8">
        <w:t xml:space="preserve"> der er konstateret en</w:t>
      </w:r>
      <w:r w:rsidR="001801C6">
        <w:t xml:space="preserve"> overtrædelse af bygningsreglemen</w:t>
      </w:r>
      <w:r w:rsidR="002A28E8">
        <w:t>tet</w:t>
      </w:r>
      <w:r w:rsidR="0039125D">
        <w:t>,</w:t>
      </w:r>
      <w:r w:rsidR="002A28E8">
        <w:t xml:space="preserve"> som har medført fugtgener</w:t>
      </w:r>
      <w:r w:rsidR="0013743C">
        <w:t>,</w:t>
      </w:r>
      <w:r w:rsidR="002A28E8">
        <w:t xml:space="preserve"> er</w:t>
      </w:r>
      <w:r w:rsidR="001801C6">
        <w:t xml:space="preserve"> der tale o</w:t>
      </w:r>
      <w:r w:rsidR="0039125D">
        <w:t xml:space="preserve">m en retlig relevant mangel. I denne sammenhæng, må dette </w:t>
      </w:r>
      <w:r w:rsidR="001801C6">
        <w:t>antages at bety</w:t>
      </w:r>
      <w:r w:rsidR="0039125D">
        <w:t>de, at der</w:t>
      </w:r>
      <w:r w:rsidR="001801C6">
        <w:t xml:space="preserve"> er</w:t>
      </w:r>
      <w:r w:rsidR="0039125D">
        <w:t xml:space="preserve"> tale om</w:t>
      </w:r>
      <w:r w:rsidR="001801C6">
        <w:t xml:space="preserve"> en skade, som giver SGR misligholdelsesbeføjelser.</w:t>
      </w:r>
    </w:p>
    <w:p w14:paraId="5BD08CD5" w14:textId="6AB7BD50" w:rsidR="00910BEB" w:rsidRDefault="00910BEB" w:rsidP="00910BEB">
      <w:pPr>
        <w:pStyle w:val="Overskrift3"/>
      </w:pPr>
      <w:bookmarkStart w:id="33" w:name="_Toc179963436"/>
      <w:r>
        <w:t>3.3.2 Landsrettens dom</w:t>
      </w:r>
      <w:bookmarkEnd w:id="33"/>
    </w:p>
    <w:p w14:paraId="6148C2F3" w14:textId="1B9C2C8D" w:rsidR="00C464D3" w:rsidRDefault="0039125D" w:rsidP="00C0063D">
      <w:r>
        <w:t>SGT appellerer</w:t>
      </w:r>
      <w:r w:rsidR="002A28E8">
        <w:t xml:space="preserve"> dommen til </w:t>
      </w:r>
      <w:r>
        <w:t>landsretten, hvorved denne</w:t>
      </w:r>
      <w:r w:rsidR="00F1356E">
        <w:t xml:space="preserve"> bliver</w:t>
      </w:r>
      <w:r w:rsidR="00277BCA">
        <w:t xml:space="preserve"> appellant (APL)</w:t>
      </w:r>
      <w:r w:rsidR="00F1356E">
        <w:t xml:space="preserve"> og</w:t>
      </w:r>
      <w:r w:rsidR="00C464D3">
        <w:t xml:space="preserve"> SGR</w:t>
      </w:r>
      <w:r w:rsidR="002A28E8">
        <w:t xml:space="preserve"> </w:t>
      </w:r>
      <w:r w:rsidR="00F1356E">
        <w:t xml:space="preserve">bliver </w:t>
      </w:r>
      <w:r w:rsidR="00C464D3">
        <w:t>in</w:t>
      </w:r>
      <w:r w:rsidR="00C464D3">
        <w:t>d</w:t>
      </w:r>
      <w:r w:rsidR="00C464D3">
        <w:t>stævnte (INDST)</w:t>
      </w:r>
      <w:r w:rsidR="00277BCA">
        <w:t>. Begge parte</w:t>
      </w:r>
      <w:r w:rsidR="00A2225F">
        <w:t>r</w:t>
      </w:r>
      <w:r w:rsidR="0071575C">
        <w:t xml:space="preserve"> har gentaget deres påstande fra</w:t>
      </w:r>
      <w:r w:rsidR="00277BCA">
        <w:t xml:space="preserve"> byretten, således at APL påstår fr</w:t>
      </w:r>
      <w:r w:rsidR="00277BCA">
        <w:t>i</w:t>
      </w:r>
      <w:r w:rsidR="00277BCA">
        <w:t xml:space="preserve">findelse helt eller delvist, og at INDST påstår, at APL skal betale udbedringsomkostningerne til lovliggørelse af kælderen. </w:t>
      </w:r>
      <w:r w:rsidR="00F1356E">
        <w:t>Under sagen bliver følgende fremhævet fra de almindelige bemærkninger</w:t>
      </w:r>
      <w:r w:rsidR="003E2570">
        <w:t xml:space="preserve"> </w:t>
      </w:r>
      <w:r w:rsidR="006664A9">
        <w:t>jf. FT 1994-95, tillæg A, side 2983: ”</w:t>
      </w:r>
      <w:r w:rsidR="006664A9">
        <w:rPr>
          <w:i/>
        </w:rPr>
        <w:t>Visse fejl eller tegn på fejl ved en bygning vil imidlertid kunne være skjulte selv for en bygningssagkyndig, fordi dennes undersøgelse i praksis må foregå uden omfattende fysiske indgreb i bygningen. Som regel vil sælgeren heller ikke kende til sådanne skjulte fejl. Udbedringsomkostningerne ved sådanne fejl vil undertiden kunne være betydelige, navnlig ved visse skjulte konstruktionsfejl. Sådanne fejl vil være sjældent forekommende, men situationen vil i givet fald ofte være den, at hverken køber eller sælger har råd til at betale udbedringsomkostni</w:t>
      </w:r>
      <w:r w:rsidR="006664A9">
        <w:rPr>
          <w:i/>
        </w:rPr>
        <w:t>n</w:t>
      </w:r>
      <w:r w:rsidR="006664A9">
        <w:rPr>
          <w:i/>
        </w:rPr>
        <w:t>gerne. Problemet med denne tilbageværende risiko kan bedst løses ved en forsikringsmæssig a</w:t>
      </w:r>
      <w:r w:rsidR="006664A9">
        <w:rPr>
          <w:i/>
        </w:rPr>
        <w:t>f</w:t>
      </w:r>
      <w:r w:rsidR="006664A9">
        <w:rPr>
          <w:i/>
        </w:rPr>
        <w:t>dækning, således at et forsikringsselskab dækker udgiften til udbedring af manglen.”</w:t>
      </w:r>
      <w:r w:rsidR="006664A9">
        <w:rPr>
          <w:rStyle w:val="Fodnotehenvisning"/>
          <w:i/>
        </w:rPr>
        <w:footnoteReference w:id="82"/>
      </w:r>
      <w:r w:rsidR="006664A9">
        <w:t xml:space="preserve"> Derudover er fremhævet </w:t>
      </w:r>
      <w:r w:rsidR="00443A3A">
        <w:t>fra bemærkningerne til § 2, stk. 4, 1. pkt., jf. side 2992: ”</w:t>
      </w:r>
      <w:r w:rsidR="00443A3A">
        <w:rPr>
          <w:i/>
        </w:rPr>
        <w:t>For det andet fritages sælger ikke for mangelshæftelse for så vidt angår, hvad der normalt med en samlebetegnelse kaldes ulovl</w:t>
      </w:r>
      <w:r w:rsidR="00443A3A">
        <w:rPr>
          <w:i/>
        </w:rPr>
        <w:t>i</w:t>
      </w:r>
      <w:r w:rsidR="00443A3A">
        <w:rPr>
          <w:i/>
        </w:rPr>
        <w:t>ge bygningsindretninger. Baggrunden for denne begrænsning er, at de bygningssagkyndige udover, om byggelovgivningens krav er opfyldt, kun i få tilfælde vil have sagkundskab til at kunne vurdere, om bygningen med tilhørende installationer m.v. er lovligt indrettet og benyttet…”</w:t>
      </w:r>
      <w:r w:rsidR="00443A3A">
        <w:rPr>
          <w:rStyle w:val="Fodnotehenvisning"/>
          <w:i/>
        </w:rPr>
        <w:footnoteReference w:id="83"/>
      </w:r>
      <w:r w:rsidR="00A27B76">
        <w:t xml:space="preserve"> </w:t>
      </w:r>
    </w:p>
    <w:p w14:paraId="1EB52931" w14:textId="77777777" w:rsidR="00443A3A" w:rsidRDefault="00443A3A" w:rsidP="00C0063D"/>
    <w:p w14:paraId="0B2DD27B" w14:textId="68DB03EB" w:rsidR="00BC3AC6" w:rsidRDefault="005D69B7" w:rsidP="00BC3AC6">
      <w:r>
        <w:t>Landsretten</w:t>
      </w:r>
      <w:r w:rsidR="00654E11">
        <w:t xml:space="preserve"> lægger</w:t>
      </w:r>
      <w:r>
        <w:t xml:space="preserve"> ud fra</w:t>
      </w:r>
      <w:r w:rsidR="00443A3A">
        <w:t xml:space="preserve"> MM’s </w:t>
      </w:r>
      <w:r>
        <w:t>forklaring</w:t>
      </w:r>
      <w:r w:rsidR="00443A3A">
        <w:t xml:space="preserve"> til grun</w:t>
      </w:r>
      <w:r w:rsidR="007977BC">
        <w:t>d, at kælderen ikke er udført hå</w:t>
      </w:r>
      <w:r w:rsidR="00443A3A">
        <w:t>ndværksmæssigt kor</w:t>
      </w:r>
      <w:r>
        <w:t>rekt, og uanset at der</w:t>
      </w:r>
      <w:r w:rsidR="00443A3A">
        <w:t xml:space="preserve"> i APL ejertid</w:t>
      </w:r>
      <w:r>
        <w:t xml:space="preserve"> ikke</w:t>
      </w:r>
      <w:r w:rsidR="00443A3A">
        <w:t xml:space="preserve"> har været probl</w:t>
      </w:r>
      <w:r w:rsidR="00A265C4">
        <w:t>emer med kælderen, tiltræder landsre</w:t>
      </w:r>
      <w:r w:rsidR="00A265C4">
        <w:t>t</w:t>
      </w:r>
      <w:r w:rsidR="00A265C4">
        <w:t>ten</w:t>
      </w:r>
      <w:r w:rsidR="00443A3A">
        <w:t>, at forholdet må anses for en mangel ved ejendommen.</w:t>
      </w:r>
      <w:r w:rsidR="007977BC">
        <w:t xml:space="preserve"> </w:t>
      </w:r>
      <w:r w:rsidR="006B5628">
        <w:t>For at vurdere om der er tale om en f</w:t>
      </w:r>
      <w:r w:rsidR="006B5628">
        <w:t>y</w:t>
      </w:r>
      <w:r w:rsidR="006B5628">
        <w:t>sisk mangel eller en overtrædelse af en offentligretlig forskrift</w:t>
      </w:r>
      <w:r w:rsidR="006B011D">
        <w:t xml:space="preserve"> fremhæver landsretten</w:t>
      </w:r>
      <w:r w:rsidR="007977BC">
        <w:t xml:space="preserve"> at: ”</w:t>
      </w:r>
      <w:r w:rsidR="007977BC" w:rsidRPr="007977BC">
        <w:rPr>
          <w:i/>
        </w:rPr>
        <w:t>By</w:t>
      </w:r>
      <w:r w:rsidR="007977BC" w:rsidRPr="007977BC">
        <w:rPr>
          <w:i/>
        </w:rPr>
        <w:t>g</w:t>
      </w:r>
      <w:r w:rsidR="007977BC" w:rsidRPr="007977BC">
        <w:rPr>
          <w:i/>
        </w:rPr>
        <w:t>ningsreglementet er en del af byggelovgivningen, og de anførte bestemmelser har karakter af gen</w:t>
      </w:r>
      <w:r w:rsidR="007977BC" w:rsidRPr="007977BC">
        <w:rPr>
          <w:i/>
        </w:rPr>
        <w:t>e</w:t>
      </w:r>
      <w:r w:rsidR="007977BC" w:rsidRPr="007977BC">
        <w:rPr>
          <w:i/>
        </w:rPr>
        <w:t>relle byggetekniske standarder med tilknyttede anvisninger på, hvordan den krævede sikring mod fugtindtrængen kan opnås. Bestemmelsen indeholder derimod ikke konkrete påbud om, hvordan sikringen mod vand- fugtindtrængen skal ske. Den manglende opfyldelse af bygningsreglementets krav om sikring mod fugtindtrængen findes herefter ikke at kunne anses for en tilsidesættelse af offentligretlige forskrifter efter § 2, stk. 4, 1. pkt i LFFE.</w:t>
      </w:r>
      <w:r w:rsidR="007977BC">
        <w:t>”</w:t>
      </w:r>
      <w:r w:rsidR="007977BC">
        <w:rPr>
          <w:rStyle w:val="Fodnotehenvisning"/>
        </w:rPr>
        <w:footnoteReference w:id="84"/>
      </w:r>
      <w:r w:rsidR="007977BC">
        <w:t xml:space="preserve"> </w:t>
      </w:r>
      <w:r w:rsidR="006B5628">
        <w:t>Ud fra ovenstående konstaterer land</w:t>
      </w:r>
      <w:r w:rsidR="006B5628">
        <w:t>s</w:t>
      </w:r>
      <w:r w:rsidR="006B5628">
        <w:t xml:space="preserve">retten, at de regler der gælder i </w:t>
      </w:r>
      <w:r w:rsidR="009D021A">
        <w:t>bygningsreglementet 1977 om kældre er retn</w:t>
      </w:r>
      <w:r w:rsidR="0071575C">
        <w:t>ingsgivende, og ikke et direkte</w:t>
      </w:r>
      <w:r w:rsidR="00A265C4">
        <w:t xml:space="preserve"> </w:t>
      </w:r>
      <w:r w:rsidR="009D021A">
        <w:t>påbud om en bestemt indretning. Den bygningssagkyndige skal vurdere en bygning uden omfattende fysiske ind</w:t>
      </w:r>
      <w:r w:rsidR="00A265C4">
        <w:t>greb, og som anført af</w:t>
      </w:r>
      <w:r w:rsidR="009D021A">
        <w:t xml:space="preserve"> MM var kælderen tør de steder, hvor der ikke var f</w:t>
      </w:r>
      <w:r w:rsidR="009D021A">
        <w:t>o</w:t>
      </w:r>
      <w:r w:rsidR="009D021A">
        <w:t>retaget udgravning.</w:t>
      </w:r>
      <w:r w:rsidR="005726CC">
        <w:rPr>
          <w:rStyle w:val="Fodnotehenvisning"/>
        </w:rPr>
        <w:footnoteReference w:id="85"/>
      </w:r>
      <w:r w:rsidR="00654E11">
        <w:t xml:space="preserve"> At kælderen er tør de steder, hvor der ikke er foretaget udgravning, og at u</w:t>
      </w:r>
      <w:r w:rsidR="00654E11">
        <w:t>d</w:t>
      </w:r>
      <w:r w:rsidR="00654E11">
        <w:t>gravningen først er sket efter udarbejdelsen af tilstandsrapporten</w:t>
      </w:r>
      <w:r w:rsidR="009D021A">
        <w:t xml:space="preserve"> </w:t>
      </w:r>
      <w:r w:rsidR="000100B6">
        <w:t>må antages at betyde</w:t>
      </w:r>
      <w:r w:rsidR="009D021A">
        <w:t>, at den by</w:t>
      </w:r>
      <w:r w:rsidR="009D021A">
        <w:t>g</w:t>
      </w:r>
      <w:r w:rsidR="009D021A">
        <w:t>ningssagkyndige ikke har kunnet afdække skaderne i forbindelse med sin gennemgang</w:t>
      </w:r>
      <w:r w:rsidR="005726CC">
        <w:t xml:space="preserve"> af eje</w:t>
      </w:r>
      <w:r w:rsidR="005726CC">
        <w:t>n</w:t>
      </w:r>
      <w:r w:rsidR="005726CC">
        <w:t>dommen</w:t>
      </w:r>
      <w:r w:rsidR="009D021A">
        <w:t xml:space="preserve"> til udarbejdelse af tilstandsrapporten. </w:t>
      </w:r>
      <w:r w:rsidR="007977BC">
        <w:t>Landsret</w:t>
      </w:r>
      <w:r w:rsidR="00654E11">
        <w:t>ten lægger herved</w:t>
      </w:r>
      <w:r w:rsidR="007977BC">
        <w:t xml:space="preserve"> vægt på</w:t>
      </w:r>
      <w:r w:rsidR="00FA3D28">
        <w:t xml:space="preserve"> de almindelige</w:t>
      </w:r>
      <w:r w:rsidR="007977BC">
        <w:t xml:space="preserve"> bemærkningerne</w:t>
      </w:r>
      <w:r w:rsidR="00FA3D28">
        <w:t xml:space="preserve"> samt bemærkningerne til § 2, stk. 4, 1. pkt.</w:t>
      </w:r>
      <w:r w:rsidR="00A265C4">
        <w:t xml:space="preserve"> (nuv</w:t>
      </w:r>
      <w:r w:rsidR="00A238F9">
        <w:t>ærende § 2, stk. 5, 1. pkt.</w:t>
      </w:r>
      <w:r w:rsidR="00A265C4">
        <w:t>)</w:t>
      </w:r>
      <w:r w:rsidR="00FA3D28">
        <w:t xml:space="preserve"> som er nævnt </w:t>
      </w:r>
      <w:r w:rsidR="00654E11">
        <w:t xml:space="preserve">lige </w:t>
      </w:r>
      <w:r w:rsidR="00FA3D28">
        <w:t>ovenfor</w:t>
      </w:r>
      <w:r w:rsidR="004F30F3">
        <w:t xml:space="preserve"> om, at den bygningssagkyndige forudsættes at have sagkundskab til at vurdere om byggelovgivningens krav er overholdt, men ikke om bygningen og dens installationer er lovlig indrettet og benyttet. </w:t>
      </w:r>
      <w:r w:rsidR="00654E11">
        <w:t>Derudover tillægger</w:t>
      </w:r>
      <w:r w:rsidR="001F4D25">
        <w:t xml:space="preserve"> L</w:t>
      </w:r>
      <w:r w:rsidR="005726CC">
        <w:t>ands</w:t>
      </w:r>
      <w:r w:rsidR="00654E11">
        <w:t>retten</w:t>
      </w:r>
      <w:r w:rsidR="005726CC">
        <w:t xml:space="preserve"> det betydning, </w:t>
      </w:r>
      <w:r w:rsidR="001F4D25">
        <w:t>at hvis forholdet skal henføres til undtagelsesbestemmelsen i LFFE § 2, stk. 5, 1. pkt.</w:t>
      </w:r>
      <w:r w:rsidR="005726CC">
        <w:t xml:space="preserve"> </w:t>
      </w:r>
      <w:r w:rsidR="001F4D25">
        <w:t>vil det indebære</w:t>
      </w:r>
      <w:r w:rsidR="005726CC">
        <w:t>, at en meget betydelig del af de almindeligt forekom</w:t>
      </w:r>
      <w:r w:rsidR="001F4D25">
        <w:t>mende mangler vil</w:t>
      </w:r>
      <w:r w:rsidR="005726CC">
        <w:t xml:space="preserve"> være omfattet af bestemmelsen.</w:t>
      </w:r>
      <w:r w:rsidR="005726CC">
        <w:rPr>
          <w:rStyle w:val="Fodnotehenvisning"/>
        </w:rPr>
        <w:footnoteReference w:id="86"/>
      </w:r>
      <w:r w:rsidR="005726CC">
        <w:t xml:space="preserve"> </w:t>
      </w:r>
      <w:r w:rsidR="001F4D25">
        <w:t>L</w:t>
      </w:r>
      <w:r w:rsidR="005726CC">
        <w:t>andsretten</w:t>
      </w:r>
      <w:r w:rsidR="00BC2977">
        <w:t xml:space="preserve"> konstat</w:t>
      </w:r>
      <w:r w:rsidR="00BC2977">
        <w:t>e</w:t>
      </w:r>
      <w:r w:rsidR="00BC2977">
        <w:t>rer</w:t>
      </w:r>
      <w:r w:rsidR="005726CC">
        <w:t xml:space="preserve"> det samme, som ovenfor antydet, at hvis ikke der er en</w:t>
      </w:r>
      <w:r w:rsidR="001F4D25">
        <w:t xml:space="preserve"> klar</w:t>
      </w:r>
      <w:r w:rsidR="005726CC">
        <w:t xml:space="preserve"> afgrænsning af, hvornår en mangel er et forhold i strid med offentligretlige forskrifter, og derved en</w:t>
      </w:r>
      <w:r w:rsidR="00A238F9">
        <w:t xml:space="preserve"> del af LFFE § 2, stk. 5, 1. pkt.</w:t>
      </w:r>
      <w:r w:rsidR="005726CC">
        <w:t>, vil de fleste forh</w:t>
      </w:r>
      <w:r w:rsidR="00441B7C">
        <w:t>old kunne henledes under denne bestemmelse.</w:t>
      </w:r>
      <w:r w:rsidR="00BC2977">
        <w:t xml:space="preserve"> Derved konkluderer Landsretten at INDST ikke overfor APL kan påberåbe sig at en bygnings fysiske tilstand er mangelfuld.</w:t>
      </w:r>
    </w:p>
    <w:p w14:paraId="25E6A285" w14:textId="37A89DBB" w:rsidR="00910BEB" w:rsidRDefault="00910BEB" w:rsidP="00910BEB">
      <w:pPr>
        <w:pStyle w:val="Overskrift3"/>
      </w:pPr>
      <w:bookmarkStart w:id="34" w:name="_Toc179963437"/>
      <w:r>
        <w:t>3.3.3 Højesterets dom</w:t>
      </w:r>
      <w:bookmarkEnd w:id="34"/>
    </w:p>
    <w:p w14:paraId="77DC5FAD" w14:textId="77999625" w:rsidR="00BB0B69" w:rsidRDefault="00BB0B69" w:rsidP="00BC3AC6">
      <w:r>
        <w:t>INDST fra landsretten har ved Procesbevillingsnævnet fået godkendelse til at få prøvet sagen for Højesteret, jf. RPL § 22, stk. 1.</w:t>
      </w:r>
      <w:r>
        <w:rPr>
          <w:rStyle w:val="Fodnotehenvisning"/>
        </w:rPr>
        <w:footnoteReference w:id="87"/>
      </w:r>
      <w:r>
        <w:t xml:space="preserve"> INDST bliver derved appellant (APLH) i Højesteret. Idet APLH stævner APL, bliver denne således indstævnte i Højesteret (INDSTH).</w:t>
      </w:r>
      <w:r w:rsidR="003873C0">
        <w:t xml:space="preserve"> APLH har nedlagt påstand om, at INDSTH skal betale udbedringsomkostningerne med procesrente fra sagens begyndelse i byretten. INDS</w:t>
      </w:r>
      <w:r w:rsidR="001F4D25">
        <w:t>TH har påstået stadfæstelse af L</w:t>
      </w:r>
      <w:r w:rsidR="003873C0">
        <w:t>andsrettens dom, subsid</w:t>
      </w:r>
      <w:r w:rsidR="005348CC">
        <w:t>i</w:t>
      </w:r>
      <w:r w:rsidR="003873C0">
        <w:t>ært betal</w:t>
      </w:r>
      <w:r w:rsidR="005348CC">
        <w:t>ing af et mindre beløb.</w:t>
      </w:r>
    </w:p>
    <w:p w14:paraId="2CDA2911" w14:textId="77777777" w:rsidR="005348CC" w:rsidRDefault="005348CC" w:rsidP="00BC3AC6"/>
    <w:p w14:paraId="704CA4A5" w14:textId="5A22036C" w:rsidR="00D8471C" w:rsidRDefault="00F82905" w:rsidP="00BC3AC6">
      <w:r>
        <w:t>Der er ved</w:t>
      </w:r>
      <w:r w:rsidR="005348CC">
        <w:t xml:space="preserve"> Højesteret fremhævet et uddrag af en erklæring </w:t>
      </w:r>
      <w:r>
        <w:t>afgivet af</w:t>
      </w:r>
      <w:r w:rsidR="005348CC">
        <w:t xml:space="preserve"> MM</w:t>
      </w:r>
      <w:r>
        <w:t xml:space="preserve"> i 1997</w:t>
      </w:r>
      <w:r w:rsidR="005348CC">
        <w:t>, hvori det bekræ</w:t>
      </w:r>
      <w:r w:rsidR="005348CC">
        <w:t>f</w:t>
      </w:r>
      <w:r w:rsidR="005348CC">
        <w:t>tes</w:t>
      </w:r>
      <w:r>
        <w:t>,</w:t>
      </w:r>
      <w:r w:rsidR="005348CC">
        <w:t xml:space="preserve"> at der er tale om </w:t>
      </w:r>
      <w:r w:rsidR="001F4D25">
        <w:t xml:space="preserve">et </w:t>
      </w:r>
      <w:r w:rsidR="005348CC">
        <w:t>forhold, som ikke er opført forskriftsmæssigt.</w:t>
      </w:r>
      <w:r w:rsidR="00D8471C">
        <w:t xml:space="preserve"> Dette anvender Højesteret til at konstatere</w:t>
      </w:r>
      <w:r w:rsidR="00A265C4">
        <w:t>,</w:t>
      </w:r>
      <w:r w:rsidR="00D8471C">
        <w:t xml:space="preserve"> at der er tale om et forhold, som strider imod god byggeskik og har medført ødelæ</w:t>
      </w:r>
      <w:r w:rsidR="00D8471C">
        <w:t>g</w:t>
      </w:r>
      <w:r w:rsidR="00D8471C">
        <w:t>gelser, som må anses for værende en mangel ved ejendommen.</w:t>
      </w:r>
      <w:r w:rsidR="005348CC">
        <w:t xml:space="preserve"> </w:t>
      </w:r>
    </w:p>
    <w:p w14:paraId="2F86C90C" w14:textId="77777777" w:rsidR="00D8471C" w:rsidRDefault="00D8471C" w:rsidP="00BC3AC6"/>
    <w:p w14:paraId="1BE48804" w14:textId="3532370C" w:rsidR="009F4BED" w:rsidRDefault="005348CC" w:rsidP="00BC3AC6">
      <w:r>
        <w:t>Endvidere er der fremhævet fra betænkning nr. 1276/1994 om LFFE, hvilke krav der bør stilles til</w:t>
      </w:r>
      <w:r w:rsidR="00F82905">
        <w:t xml:space="preserve"> den bygningssagkyndiges undersø</w:t>
      </w:r>
      <w:r>
        <w:t>gelse: ”</w:t>
      </w:r>
      <w:r w:rsidR="00F82905" w:rsidRPr="008177C4">
        <w:rPr>
          <w:i/>
        </w:rPr>
        <w:t>De fejl og mangler, som tilstandsrapporten skal give o</w:t>
      </w:r>
      <w:r w:rsidR="00F82905" w:rsidRPr="008177C4">
        <w:rPr>
          <w:i/>
        </w:rPr>
        <w:t>p</w:t>
      </w:r>
      <w:r w:rsidR="00F82905" w:rsidRPr="008177C4">
        <w:rPr>
          <w:i/>
        </w:rPr>
        <w:t>lysninger om, er skader, dvs. brud, lækage, deformering, svækkelse, revnedannelser, ødelæggelser eller svækkelse i bygningen eller andre fysiske forhold, når disse forhold nedsætter bygningens brugbarhed efter dens formål</w:t>
      </w:r>
      <w:r w:rsidR="00F82905">
        <w:t>.”</w:t>
      </w:r>
      <w:r w:rsidR="00F82905">
        <w:rPr>
          <w:rStyle w:val="Fodnotehenvisning"/>
        </w:rPr>
        <w:footnoteReference w:id="88"/>
      </w:r>
      <w:r>
        <w:t xml:space="preserve"> </w:t>
      </w:r>
      <w:r w:rsidR="00CC7242">
        <w:t xml:space="preserve">Derudover er fra samme betænkning </w:t>
      </w:r>
      <w:r w:rsidR="008177C4">
        <w:t>fremhævet</w:t>
      </w:r>
      <w:r w:rsidR="00BC2977">
        <w:t xml:space="preserve"> i dommen</w:t>
      </w:r>
      <w:r w:rsidR="008177C4">
        <w:t>: ”</w:t>
      </w:r>
      <w:r w:rsidR="00CC7242">
        <w:rPr>
          <w:i/>
        </w:rPr>
        <w:t>Det ku</w:t>
      </w:r>
      <w:r w:rsidR="008177C4" w:rsidRPr="008177C4">
        <w:rPr>
          <w:i/>
        </w:rPr>
        <w:t>n</w:t>
      </w:r>
      <w:r w:rsidR="00CC7242">
        <w:rPr>
          <w:i/>
        </w:rPr>
        <w:t>ne</w:t>
      </w:r>
      <w:r w:rsidR="008177C4" w:rsidRPr="008177C4">
        <w:rPr>
          <w:i/>
        </w:rPr>
        <w:t xml:space="preserve"> diskuteres, om forholdet til byggelovgivningen - som de bygningssagkyndige må forudsættes at have forstand på - burde omfattes af tilstandsrapporten. Det er dog opfattelsen, at rapporten skal samle sig om skader, tegn på skader og nærliggende risiko for skader.</w:t>
      </w:r>
      <w:r w:rsidR="008177C4">
        <w:t>”</w:t>
      </w:r>
      <w:r w:rsidR="008177C4">
        <w:rPr>
          <w:rStyle w:val="Fodnotehenvisning"/>
        </w:rPr>
        <w:footnoteReference w:id="89"/>
      </w:r>
      <w:r w:rsidR="008177C4">
        <w:t xml:space="preserve"> Ovenstående belyser o</w:t>
      </w:r>
      <w:r w:rsidR="008177C4">
        <w:t>m</w:t>
      </w:r>
      <w:r w:rsidR="008177C4">
        <w:t>fanget af tilstandsrap</w:t>
      </w:r>
      <w:r w:rsidR="00D8471C">
        <w:t xml:space="preserve">porten, og giver en indikation af, hvad der skal betegnes som skader. </w:t>
      </w:r>
      <w:r w:rsidR="008177C4">
        <w:t>Højest</w:t>
      </w:r>
      <w:r w:rsidR="008177C4">
        <w:t>e</w:t>
      </w:r>
      <w:r w:rsidR="008177C4">
        <w:t>ret frem</w:t>
      </w:r>
      <w:r w:rsidR="001F4D25">
        <w:t>hæver</w:t>
      </w:r>
      <w:r w:rsidR="008177C4">
        <w:t xml:space="preserve"> også</w:t>
      </w:r>
      <w:r w:rsidR="00D8471C">
        <w:t>,</w:t>
      </w:r>
      <w:r w:rsidR="008177C4">
        <w:t xml:space="preserve"> hvad der efter høring med Assurandør-Societetet over et udkast til lovforslaget til LFFE, skal være dækket af en ejerskifteforsikring: </w:t>
      </w:r>
      <w:r w:rsidR="008177C4" w:rsidRPr="008177C4">
        <w:rPr>
          <w:i/>
        </w:rPr>
        <w:t>”…at der ved ”fejl”, der som udgangspunkt skal være dækket af en ejerskifteforsikring, forstås skader, tegn på mulige skader samt forhold ved den pågældende bygning, der giver nærliggende risiko for skader, hvis ikke der sættes ind med sæ</w:t>
      </w:r>
      <w:r w:rsidR="008177C4" w:rsidRPr="008177C4">
        <w:rPr>
          <w:i/>
        </w:rPr>
        <w:t>r</w:t>
      </w:r>
      <w:r w:rsidR="008177C4" w:rsidRPr="008177C4">
        <w:rPr>
          <w:i/>
        </w:rPr>
        <w:t>ligt omfattende vedligeholdelsesarbejder eller andre forbyggende foranstaltninger</w:t>
      </w:r>
      <w:r w:rsidR="008177C4">
        <w:t xml:space="preserve">… </w:t>
      </w:r>
      <w:r w:rsidR="008177C4" w:rsidRPr="008177C4">
        <w:rPr>
          <w:i/>
        </w:rPr>
        <w:t>Forsikringen skal normalt …</w:t>
      </w:r>
      <w:r w:rsidR="008177C4">
        <w:t xml:space="preserve"> </w:t>
      </w:r>
      <w:r w:rsidR="008177C4" w:rsidRPr="008177C4">
        <w:rPr>
          <w:i/>
        </w:rPr>
        <w:t>ikke dække forhold vedrørende installationers funktion mv. eller ulovlige bygning</w:t>
      </w:r>
      <w:r w:rsidR="008177C4" w:rsidRPr="008177C4">
        <w:rPr>
          <w:i/>
        </w:rPr>
        <w:t>s</w:t>
      </w:r>
      <w:r w:rsidR="008177C4" w:rsidRPr="008177C4">
        <w:rPr>
          <w:i/>
        </w:rPr>
        <w:t>indretninger, som ikke har medført en fejl i den ovenfor anførte forstand”</w:t>
      </w:r>
      <w:r w:rsidR="008177C4" w:rsidRPr="008177C4">
        <w:rPr>
          <w:rStyle w:val="Fodnotehenvisning"/>
          <w:i/>
        </w:rPr>
        <w:footnoteReference w:id="90"/>
      </w:r>
      <w:r w:rsidR="00D8471C">
        <w:t xml:space="preserve"> Omfanget af tilstand</w:t>
      </w:r>
      <w:r w:rsidR="00D8471C">
        <w:t>s</w:t>
      </w:r>
      <w:r w:rsidR="00D8471C">
        <w:t>rapporten stillet op imod</w:t>
      </w:r>
      <w:r w:rsidR="00A265C4">
        <w:t>,</w:t>
      </w:r>
      <w:r w:rsidR="00D8471C">
        <w:t xml:space="preserve"> hvad en ejerskifteforsikring sk</w:t>
      </w:r>
      <w:r w:rsidR="00CC7242">
        <w:t>al dække, giver en indikation af</w:t>
      </w:r>
      <w:r w:rsidR="00D8471C">
        <w:t>, hvad sæ</w:t>
      </w:r>
      <w:r w:rsidR="00D8471C">
        <w:t>l</w:t>
      </w:r>
      <w:r w:rsidR="00D8471C">
        <w:t xml:space="preserve">gerbeskyttelsen dækker. </w:t>
      </w:r>
      <w:r w:rsidR="009F4BED">
        <w:t>Tilstandsrapporten dækker de synlige og for den bygningssagkyndige ko</w:t>
      </w:r>
      <w:r w:rsidR="009F4BED">
        <w:t>n</w:t>
      </w:r>
      <w:r w:rsidR="009F4BED">
        <w:t>staterbare skader</w:t>
      </w:r>
      <w:r w:rsidR="007F6E1D">
        <w:t>, hvor ejerskifteforsikringen dækker de skjulte skader</w:t>
      </w:r>
      <w:r w:rsidR="00A265C4">
        <w:t>, som den bygningssagkynd</w:t>
      </w:r>
      <w:r w:rsidR="00A265C4">
        <w:t>i</w:t>
      </w:r>
      <w:r w:rsidR="00A265C4">
        <w:t>ge ikke har kunnet konstatere</w:t>
      </w:r>
      <w:r w:rsidR="007F6E1D">
        <w:t>. Ovenfor er angivet</w:t>
      </w:r>
      <w:r w:rsidR="00A265C4">
        <w:t>,</w:t>
      </w:r>
      <w:r w:rsidR="007F6E1D">
        <w:t xml:space="preserve"> hvad en tilstandsrapport blandt andet skal ind</w:t>
      </w:r>
      <w:r w:rsidR="007F6E1D">
        <w:t>e</w:t>
      </w:r>
      <w:r w:rsidR="007F6E1D">
        <w:t>holde. Dette er åbenlyse skader, tegn på skader eller risiko for at skade vil opstå. Ejerskifteforsi</w:t>
      </w:r>
      <w:r w:rsidR="007F6E1D">
        <w:t>k</w:t>
      </w:r>
      <w:r w:rsidR="007F6E1D">
        <w:t>ringen omfatt</w:t>
      </w:r>
      <w:r w:rsidR="001F4D25">
        <w:t>er samme definition, hvilket</w:t>
      </w:r>
      <w:r w:rsidR="007F6E1D">
        <w:t xml:space="preserve"> begrundes i</w:t>
      </w:r>
      <w:r w:rsidR="00A265C4">
        <w:t>,</w:t>
      </w:r>
      <w:r w:rsidR="007F6E1D">
        <w:t xml:space="preserve"> at tilstandsrapporten og ejerskifteforsikri</w:t>
      </w:r>
      <w:r w:rsidR="007F6E1D">
        <w:t>n</w:t>
      </w:r>
      <w:r w:rsidR="007F6E1D">
        <w:t>gen skal supplere</w:t>
      </w:r>
      <w:r w:rsidR="001F4D25">
        <w:t xml:space="preserve"> hinanden, således at sælger opnår</w:t>
      </w:r>
      <w:r w:rsidR="00A265C4">
        <w:t xml:space="preserve"> beskyttelse mod disse</w:t>
      </w:r>
      <w:r w:rsidR="007F6E1D">
        <w:t xml:space="preserve"> </w:t>
      </w:r>
      <w:r w:rsidR="00A265C4">
        <w:t xml:space="preserve">fysiske </w:t>
      </w:r>
      <w:r w:rsidR="007F6E1D">
        <w:t>mangler. Højest</w:t>
      </w:r>
      <w:r w:rsidR="007F6E1D">
        <w:t>e</w:t>
      </w:r>
      <w:r w:rsidR="007F6E1D">
        <w:t>ret bemærker</w:t>
      </w:r>
      <w:r w:rsidR="00A265C4">
        <w:t>,</w:t>
      </w:r>
      <w:r w:rsidR="007F6E1D">
        <w:t xml:space="preserve"> at efter de standardvilkår for ejerskifteforsikring, som er udarbejdet i tilknytning til LFFE, </w:t>
      </w:r>
      <w:r w:rsidR="001F4D25">
        <w:t>vil en mangel</w:t>
      </w:r>
      <w:r w:rsidR="007F6E1D">
        <w:t xml:space="preserve"> som den foreliggende</w:t>
      </w:r>
      <w:r w:rsidR="001F4D25">
        <w:t>,</w:t>
      </w:r>
      <w:r w:rsidR="007F6E1D">
        <w:t xml:space="preserve"> være en dækningsberettiget skade. Dette fordi, der er tale om en fejl i lovens forstand, som falder ind under dækningsomfanget i ejerskifteforsikringer.</w:t>
      </w:r>
    </w:p>
    <w:p w14:paraId="7FAAFA0D" w14:textId="77777777" w:rsidR="009F4BED" w:rsidRDefault="009F4BED" w:rsidP="00BC3AC6"/>
    <w:p w14:paraId="1DB2420D" w14:textId="40B5BE24" w:rsidR="0046155A" w:rsidRDefault="00D8471C" w:rsidP="00BC3AC6">
      <w:r>
        <w:t xml:space="preserve">For at klarlægge omfanget </w:t>
      </w:r>
      <w:r w:rsidR="009F4BED">
        <w:t xml:space="preserve">af </w:t>
      </w:r>
      <w:r w:rsidR="00A238F9">
        <w:t>LFFE § 2, stk. 4, 1. pkt. (nuværende § 2, stk. 5, 1. pkt.</w:t>
      </w:r>
      <w:r w:rsidR="00CD5203">
        <w:t>)</w:t>
      </w:r>
      <w:r w:rsidR="001F4D25">
        <w:t xml:space="preserve"> </w:t>
      </w:r>
      <w:r>
        <w:t>mere præcist er</w:t>
      </w:r>
      <w:r w:rsidR="00041204">
        <w:t xml:space="preserve"> fremhævet, hvad J</w:t>
      </w:r>
      <w:r w:rsidR="00A76084">
        <w:t xml:space="preserve">ustitsministeren har svaret til spørgsmålet om, hvorledes en sælger hæfter for mangler, </w:t>
      </w:r>
      <w:r w:rsidR="007F2A4B">
        <w:t>d</w:t>
      </w:r>
      <w:r w:rsidR="00A76084">
        <w:t xml:space="preserve">er skyldes ulovlige bygningsindretning: </w:t>
      </w:r>
      <w:r w:rsidR="00A76084" w:rsidRPr="00A76084">
        <w:rPr>
          <w:i/>
        </w:rPr>
        <w:t>”…Bestemmelsen i § 2, stk. 4 medfører derimod ikke, at sælgeren hæfter for eventuelle skader i en ulovlig bygningsdel. Selv om en tilbygning er opført uden fornøden tilladelse, hæfter sælgeren således f.eks. ikke for eventuelle rådskader i den pågældende tilbygning, såfremt køberen har modtaget en tilstandsrapport mv. Sælgeren hæfter he</w:t>
      </w:r>
      <w:r w:rsidR="00A76084" w:rsidRPr="00A76084">
        <w:rPr>
          <w:i/>
        </w:rPr>
        <w:t>l</w:t>
      </w:r>
      <w:r w:rsidR="00A76084" w:rsidRPr="00A76084">
        <w:rPr>
          <w:i/>
        </w:rPr>
        <w:t>ler ikke for eventuelle skader - f.eks. fugtskader - der er opstået som følge af, at en bygningsdel ikke er opført i overensstemmelse med gældende regler.</w:t>
      </w:r>
      <w:r w:rsidR="00A76084">
        <w:t>”</w:t>
      </w:r>
      <w:r w:rsidR="00A76084">
        <w:rPr>
          <w:rStyle w:val="Fodnotehenvisning"/>
        </w:rPr>
        <w:footnoteReference w:id="91"/>
      </w:r>
      <w:r w:rsidR="0046155A">
        <w:t xml:space="preserve"> Med dette fremhæver Højesteret Justitsmin</w:t>
      </w:r>
      <w:r w:rsidR="0046155A">
        <w:t>i</w:t>
      </w:r>
      <w:r w:rsidR="0046155A">
        <w:t>sterens udtalelse o</w:t>
      </w:r>
      <w:r w:rsidR="00837A4E">
        <w:t>m, hvad der ikke skal</w:t>
      </w:r>
      <w:r w:rsidR="0046155A">
        <w:t xml:space="preserve"> betegnes som et forhold værende i strid med en offentli</w:t>
      </w:r>
      <w:r w:rsidR="0046155A">
        <w:t>g</w:t>
      </w:r>
      <w:r w:rsidR="0046155A">
        <w:t xml:space="preserve">retlig forskrift efter </w:t>
      </w:r>
      <w:r w:rsidR="00A238F9">
        <w:t>LFFE § 2, stk. 4, 1. pkt.</w:t>
      </w:r>
      <w:r w:rsidR="00CD5203">
        <w:t xml:space="preserve"> (nuværen</w:t>
      </w:r>
      <w:r w:rsidR="00A238F9">
        <w:t>de § 2, stk. 5, 1. pkt.</w:t>
      </w:r>
      <w:r w:rsidR="00CD5203">
        <w:t>)</w:t>
      </w:r>
      <w:r w:rsidR="001F4D25">
        <w:t xml:space="preserve">. </w:t>
      </w:r>
      <w:r w:rsidR="007F2A4B">
        <w:t>At en bygning er ulo</w:t>
      </w:r>
      <w:r w:rsidR="007F2A4B">
        <w:t>v</w:t>
      </w:r>
      <w:r w:rsidR="007F2A4B">
        <w:t>ligt opført eller at en elinstallation ikke er udført efter lovens forskrifter bevirker ikke, at fysiske skader, som udspringer af disse forhold</w:t>
      </w:r>
      <w:r w:rsidR="00837A4E">
        <w:t>, skal henledes til forhold stridende med offentligretlige fo</w:t>
      </w:r>
      <w:r w:rsidR="00837A4E">
        <w:t>r</w:t>
      </w:r>
      <w:r w:rsidR="00837A4E">
        <w:t>skrifter</w:t>
      </w:r>
      <w:r w:rsidR="007F2A4B">
        <w:t>, men skal anses som værende en fysisk skade, som er omfattet af LFFE § 2, stk. 1.</w:t>
      </w:r>
    </w:p>
    <w:p w14:paraId="4A9A1E12" w14:textId="77777777" w:rsidR="0046155A" w:rsidRDefault="0046155A" w:rsidP="00BC3AC6"/>
    <w:p w14:paraId="48663DAD" w14:textId="11AB1299" w:rsidR="005348CC" w:rsidRDefault="00041204" w:rsidP="00BC3AC6">
      <w:r>
        <w:t>Til sidst er fremhævet hvilke forhold</w:t>
      </w:r>
      <w:r w:rsidR="00807DCC">
        <w:t>,</w:t>
      </w:r>
      <w:r>
        <w:t xml:space="preserve"> der er dækket af</w:t>
      </w:r>
      <w:r w:rsidR="00807DCC">
        <w:t xml:space="preserve"> den af</w:t>
      </w:r>
      <w:r>
        <w:t xml:space="preserve"> APLH tegnede ejerskifteforsikring: ”</w:t>
      </w:r>
      <w:r w:rsidRPr="00D8471C">
        <w:rPr>
          <w:i/>
        </w:rPr>
        <w:t>Forsikringen dækker ikke forhold vedrørende bygningers funktion eller lovlighed i henhold til byggelovgivning</w:t>
      </w:r>
      <w:r w:rsidR="00D8471C" w:rsidRPr="00D8471C">
        <w:rPr>
          <w:i/>
        </w:rPr>
        <w:t xml:space="preserve"> mv…”</w:t>
      </w:r>
      <w:r w:rsidR="00807DCC">
        <w:t xml:space="preserve"> Dette blev</w:t>
      </w:r>
      <w:r w:rsidR="00D8471C">
        <w:t xml:space="preserve"> præciseret yderligere kort efter at APLH havde tegnet forsikri</w:t>
      </w:r>
      <w:r w:rsidR="00D8471C">
        <w:t>n</w:t>
      </w:r>
      <w:r w:rsidR="00D8471C">
        <w:t xml:space="preserve">gen: </w:t>
      </w:r>
      <w:r w:rsidR="00D8471C" w:rsidRPr="00D8471C">
        <w:rPr>
          <w:i/>
        </w:rPr>
        <w:t>”…medmindre der er indtrådt en skade, eller det konstateres, at der er nærliggende risiko for, at skaden vil opstå.”</w:t>
      </w:r>
      <w:r w:rsidR="00D8471C" w:rsidRPr="00D8471C">
        <w:rPr>
          <w:rStyle w:val="Fodnotehenvisning"/>
          <w:i/>
        </w:rPr>
        <w:footnoteReference w:id="92"/>
      </w:r>
      <w:r w:rsidR="00D8471C">
        <w:rPr>
          <w:i/>
        </w:rPr>
        <w:t xml:space="preserve"> </w:t>
      </w:r>
      <w:r w:rsidR="00807DCC">
        <w:t>Højesteret har konstateret</w:t>
      </w:r>
      <w:r w:rsidR="007F2A4B">
        <w:t>,</w:t>
      </w:r>
      <w:r w:rsidR="00807DCC">
        <w:t xml:space="preserve"> at selvom udvidelse</w:t>
      </w:r>
      <w:r w:rsidR="00192AFE">
        <w:t>n</w:t>
      </w:r>
      <w:r w:rsidR="00807DCC">
        <w:t xml:space="preserve"> ikke er nedfældet i den af APLH tegnede ejerskifteforsikring, er der blot tale om en præcisering af den gældende police, og der er således ikke tale om nogen ændring af praksis.</w:t>
      </w:r>
      <w:r w:rsidR="00807DCC">
        <w:rPr>
          <w:rStyle w:val="Fodnotehenvisning"/>
        </w:rPr>
        <w:footnoteReference w:id="93"/>
      </w:r>
    </w:p>
    <w:p w14:paraId="152713F3" w14:textId="77777777" w:rsidR="009F4BED" w:rsidRDefault="009F4BED" w:rsidP="00BC3AC6"/>
    <w:p w14:paraId="17351D08" w14:textId="4D9A8317" w:rsidR="009F4BED" w:rsidRDefault="009F4BED" w:rsidP="00BC3AC6">
      <w:r>
        <w:t xml:space="preserve">Højesteret anfører i sine bemærkninger til dommen, at ved vurderingen af, om forholdet er omfattet af </w:t>
      </w:r>
      <w:r w:rsidR="00A238F9">
        <w:t>LFFE § 2, stk. 4, 1. pkt. (nuværende § 2, stk. 5, 1. pkt.</w:t>
      </w:r>
      <w:r w:rsidR="00CD5203">
        <w:t>)</w:t>
      </w:r>
      <w:r>
        <w:t>, skal det tages i betragtning</w:t>
      </w:r>
      <w:r w:rsidR="007F2A4B">
        <w:t>,</w:t>
      </w:r>
      <w:r>
        <w:t xml:space="preserve"> at formålet med lovens regler om modtagelse af tilstandsrapport og oplysning om ejerskifteforsikring er</w:t>
      </w:r>
      <w:r w:rsidR="007F2A4B">
        <w:t>,</w:t>
      </w:r>
      <w:r>
        <w:t xml:space="preserve"> at etablere en retstilstand, hvorefter aftaler om køb af fast ejendom kun undtagelsesvis skal kunn</w:t>
      </w:r>
      <w:r w:rsidR="00CC7242">
        <w:t>e give anledning til, at køber</w:t>
      </w:r>
      <w:r>
        <w:t xml:space="preserve"> kan fremsæt</w:t>
      </w:r>
      <w:r w:rsidR="00CC7242">
        <w:t>te et krav mod sælger</w:t>
      </w:r>
      <w:r>
        <w:t xml:space="preserve"> begrundet i en bygnings fysiske tilstand.</w:t>
      </w:r>
      <w:r>
        <w:rPr>
          <w:rStyle w:val="Fodnotehenvisning"/>
        </w:rPr>
        <w:footnoteReference w:id="94"/>
      </w:r>
      <w:r>
        <w:t xml:space="preserve"> Baggrunden for samm</w:t>
      </w:r>
      <w:r w:rsidR="00CD5203">
        <w:t>e bestemmelse er</w:t>
      </w:r>
      <w:r w:rsidR="007F6E1D">
        <w:t>,</w:t>
      </w:r>
      <w:r>
        <w:t xml:space="preserve"> at sælger som udgangspunkt ikke bør fritages for hæftelse med hensyn </w:t>
      </w:r>
      <w:r w:rsidR="001F4D25">
        <w:t>til forhold, som</w:t>
      </w:r>
      <w:r>
        <w:t xml:space="preserve"> ikke belyses i en </w:t>
      </w:r>
      <w:r w:rsidR="0028198E">
        <w:t>tilstandsrapport, og som køber</w:t>
      </w:r>
      <w:r>
        <w:t xml:space="preserve"> kan sikre sig imod. </w:t>
      </w:r>
      <w:r w:rsidR="007F2A4B">
        <w:t>Højesteret gør det derved klart</w:t>
      </w:r>
      <w:r w:rsidR="001F4D25">
        <w:t>,</w:t>
      </w:r>
      <w:r w:rsidR="007F2A4B">
        <w:t xml:space="preserve"> at </w:t>
      </w:r>
      <w:r w:rsidR="00A238F9">
        <w:t>LFFE § 2, stk. 4, 1. pkt. (nuværende § 2, stk. 5, 1. pkt.</w:t>
      </w:r>
      <w:r w:rsidR="00DC0EAE">
        <w:t>)</w:t>
      </w:r>
      <w:r w:rsidR="001F4D25">
        <w:t xml:space="preserve"> </w:t>
      </w:r>
      <w:r w:rsidR="007F2A4B">
        <w:t>skal fo</w:t>
      </w:r>
      <w:r w:rsidR="007F2A4B">
        <w:t>r</w:t>
      </w:r>
      <w:r w:rsidR="007F2A4B">
        <w:t>tolkes indskrænkende</w:t>
      </w:r>
      <w:r w:rsidR="00DC0EAE">
        <w:t>,</w:t>
      </w:r>
      <w:r w:rsidR="007F2A4B">
        <w:t xml:space="preserve"> og at det der</w:t>
      </w:r>
      <w:r w:rsidR="001F4D25">
        <w:t>ved kun er meget få forhold, der skal henføres</w:t>
      </w:r>
      <w:r w:rsidR="007F2A4B">
        <w:t xml:space="preserve"> under bestemme</w:t>
      </w:r>
      <w:r w:rsidR="007F2A4B">
        <w:t>l</w:t>
      </w:r>
      <w:r w:rsidR="007F2A4B">
        <w:t>sen.</w:t>
      </w:r>
    </w:p>
    <w:p w14:paraId="5822A1E8" w14:textId="77777777" w:rsidR="00192AFE" w:rsidRDefault="00192AFE" w:rsidP="00BC3AC6"/>
    <w:p w14:paraId="3544CF56" w14:textId="44E5A4F1" w:rsidR="00192AFE" w:rsidRDefault="00192AFE" w:rsidP="00BC3AC6">
      <w:r>
        <w:t xml:space="preserve">På den anførte baggrund finder Højesteret, at den manglende efterlevelse af bygningsreglementet ikke skal henføres til </w:t>
      </w:r>
      <w:r w:rsidR="00A238F9">
        <w:t>LFFE § 2, stk. 4, 1. pkt.</w:t>
      </w:r>
      <w:r w:rsidR="00DC0EAE">
        <w:t xml:space="preserve"> (nuværende § 2, stk. 5, </w:t>
      </w:r>
      <w:r w:rsidR="00A238F9">
        <w:t>1. pkt.</w:t>
      </w:r>
      <w:r w:rsidR="00DC0EAE">
        <w:t>)</w:t>
      </w:r>
      <w:r>
        <w:t>. Der er således ikke tale om et forhold</w:t>
      </w:r>
      <w:r w:rsidR="007F2A4B">
        <w:t>,</w:t>
      </w:r>
      <w:r>
        <w:t xml:space="preserve"> der strider imod en offentligretlig forskrift, men et forhold der kan henføres til LFFE § 2, stk. 1, som værende en bygnings fysiske tilstand. </w:t>
      </w:r>
    </w:p>
    <w:p w14:paraId="57A737E9" w14:textId="77777777" w:rsidR="00192AFE" w:rsidRDefault="00192AFE" w:rsidP="00BC3AC6"/>
    <w:p w14:paraId="691E09D2" w14:textId="3E675335" w:rsidR="00BE2907" w:rsidRDefault="00192AFE" w:rsidP="00BC3AC6">
      <w:r>
        <w:t>Højesteret lader det således være op til dækningsomfanget for ejerskifteforsikringer, hvad der kan karakteriseres som værende et forhold i strid med en offen</w:t>
      </w:r>
      <w:r w:rsidR="006B0A95">
        <w:t>tligretlig forskrift, og derved</w:t>
      </w:r>
      <w:r>
        <w:t xml:space="preserve"> falde</w:t>
      </w:r>
      <w:r w:rsidR="007F2A4B">
        <w:t>r</w:t>
      </w:r>
      <w:r>
        <w:t xml:space="preserve"> ind under undtagelsesbestemmelsen </w:t>
      </w:r>
      <w:r w:rsidR="00A238F9">
        <w:t>i LFFE § 2, stk. 5, 1. pkt</w:t>
      </w:r>
      <w:r w:rsidR="001F4D25">
        <w:t>. Såfremt</w:t>
      </w:r>
      <w:r>
        <w:t xml:space="preserve"> forholdet er dækket af en eje</w:t>
      </w:r>
      <w:r>
        <w:t>r</w:t>
      </w:r>
      <w:r>
        <w:t>skifte</w:t>
      </w:r>
      <w:r w:rsidR="006B0A95">
        <w:t>forsikring, kan køber</w:t>
      </w:r>
      <w:r>
        <w:t xml:space="preserve"> ikke påberå</w:t>
      </w:r>
      <w:r w:rsidR="006B0A95">
        <w:t>be sig forholdet overfor sælger, men skal rette sit krav mod det pågældende forsikringsselskab.</w:t>
      </w:r>
      <w:r>
        <w:t xml:space="preserve"> Hvis forholdet derimod ikke er omfattet af en ejerskifte</w:t>
      </w:r>
      <w:r w:rsidR="006B0A95">
        <w:t>forsi</w:t>
      </w:r>
      <w:r w:rsidR="006B0A95">
        <w:t>k</w:t>
      </w:r>
      <w:r w:rsidR="006B0A95">
        <w:t>ring</w:t>
      </w:r>
      <w:r>
        <w:t>, vil det kunne falde ind under undtagelsesbestemmelsen i LFFE.</w:t>
      </w:r>
      <w:r w:rsidR="006B0A95">
        <w:t xml:space="preserve"> Kravene for at sælger ifalder ansvar skal være opfyldt, for at denne kan stilles til ansvar for eventuell</w:t>
      </w:r>
      <w:r w:rsidR="001F4D25">
        <w:t>e skader. Kravene</w:t>
      </w:r>
      <w:r w:rsidR="006B0A95">
        <w:t xml:space="preserve"> er blandt andet</w:t>
      </w:r>
      <w:r w:rsidR="001F4D25">
        <w:t>,</w:t>
      </w:r>
      <w:r w:rsidR="006B0A95">
        <w:t xml:space="preserve"> at der skal være tale om en culpavurdering, og at køber skal have lidt et tab.</w:t>
      </w:r>
      <w:r>
        <w:t xml:space="preserve"> </w:t>
      </w:r>
    </w:p>
    <w:p w14:paraId="7E99903B" w14:textId="1A7FB76B" w:rsidR="00BE2907" w:rsidRDefault="008A3FC5" w:rsidP="00EA4943">
      <w:pPr>
        <w:pStyle w:val="Overskrift3"/>
      </w:pPr>
      <w:bookmarkStart w:id="35" w:name="_Toc179963438"/>
      <w:r>
        <w:t>3.</w:t>
      </w:r>
      <w:r w:rsidR="00910BEB">
        <w:t xml:space="preserve">3.4 </w:t>
      </w:r>
      <w:r w:rsidR="00D65EDA">
        <w:t>Dækningsomfanget for</w:t>
      </w:r>
      <w:r w:rsidR="00EA4943">
        <w:t xml:space="preserve"> ejerskifteforsikring</w:t>
      </w:r>
      <w:bookmarkEnd w:id="35"/>
    </w:p>
    <w:p w14:paraId="43AA1859" w14:textId="248FA073" w:rsidR="00192AFE" w:rsidRDefault="00EA4943" w:rsidP="00BC3AC6">
      <w:r>
        <w:t>På trods af at Højesteret tillægger en ejerskifteforsikrings dækningso</w:t>
      </w:r>
      <w:r w:rsidR="00F34F3E">
        <w:t>mfang afgørende betydning ved vurderingen af</w:t>
      </w:r>
      <w:r w:rsidR="000100B6">
        <w:t>,</w:t>
      </w:r>
      <w:r w:rsidR="00F34F3E">
        <w:t xml:space="preserve"> om et forhold er omfattet af LFFE § 2, stk. 5, 1. pkt.</w:t>
      </w:r>
      <w:r w:rsidR="006B0A95">
        <w:t>,</w:t>
      </w:r>
      <w:r w:rsidR="007F2A4B">
        <w:t xml:space="preserve"> er </w:t>
      </w:r>
      <w:r w:rsidR="006B0A95">
        <w:t xml:space="preserve">det </w:t>
      </w:r>
      <w:r w:rsidR="007F2A4B">
        <w:t>uden betydning</w:t>
      </w:r>
      <w:r w:rsidR="00BC2977">
        <w:t xml:space="preserve"> for afgørelsen</w:t>
      </w:r>
      <w:r w:rsidR="009B7C23">
        <w:t xml:space="preserve"> om køber</w:t>
      </w:r>
      <w:r w:rsidR="007F2A4B">
        <w:t xml:space="preserve"> har teg</w:t>
      </w:r>
      <w:r w:rsidR="006B0A95">
        <w:t>net en</w:t>
      </w:r>
      <w:r w:rsidR="007F2A4B">
        <w:t xml:space="preserve"> </w:t>
      </w:r>
      <w:r w:rsidR="009B7C23">
        <w:t xml:space="preserve">tillægsforsikring til den </w:t>
      </w:r>
      <w:r w:rsidR="007F2A4B">
        <w:t>ejerskifteforsikring</w:t>
      </w:r>
      <w:r w:rsidR="009B7C23">
        <w:t>, som sælger har fremlagt tilbud på,</w:t>
      </w:r>
      <w:r w:rsidR="000100B6">
        <w:t xml:space="preserve"> </w:t>
      </w:r>
      <w:r w:rsidR="007F2A4B">
        <w:t xml:space="preserve">hvilket kan ses </w:t>
      </w:r>
      <w:r w:rsidR="008C4DA7">
        <w:t>ud fra</w:t>
      </w:r>
      <w:r w:rsidR="007F2A4B">
        <w:t xml:space="preserve"> U.2006.1</w:t>
      </w:r>
      <w:r w:rsidR="00BE2907">
        <w:t>003V.</w:t>
      </w:r>
      <w:r w:rsidR="009B7C23">
        <w:t xml:space="preserve"> Den ejerskifteforsikring, som er grundl</w:t>
      </w:r>
      <w:r w:rsidR="009B7C23">
        <w:t>a</w:t>
      </w:r>
      <w:r w:rsidR="009B7C23">
        <w:t>get for vurderingen af, om et forhold kan henføres til undtagelsesbestemmelsen i LFFE § 2, stk. 5, 1. pkt., er den ejerskifteforsikring, som sælger har tilbudt køber i forbindelse med opfyldelsen af kravene for sælgerbeskyttelsen.</w:t>
      </w:r>
      <w:r w:rsidR="002624C8">
        <w:t xml:space="preserve"> </w:t>
      </w:r>
      <w:r w:rsidR="009B7C23">
        <w:t>U.2006.1003V</w:t>
      </w:r>
      <w:r w:rsidR="00BC2977">
        <w:t xml:space="preserve"> bekræfter</w:t>
      </w:r>
      <w:r w:rsidR="00F34F3E">
        <w:t xml:space="preserve"> derudover</w:t>
      </w:r>
      <w:r w:rsidR="008C4DA7">
        <w:t>, at det</w:t>
      </w:r>
      <w:r w:rsidR="00F34F3E">
        <w:t xml:space="preserve"> er Højesterets argume</w:t>
      </w:r>
      <w:r w:rsidR="00F34F3E">
        <w:t>n</w:t>
      </w:r>
      <w:r w:rsidR="00F34F3E">
        <w:t>tation, der anvendes, når det skal fastlægges om et forhold skal falde ind under undtagelsesbeste</w:t>
      </w:r>
      <w:r w:rsidR="00F34F3E">
        <w:t>m</w:t>
      </w:r>
      <w:r w:rsidR="00F34F3E">
        <w:t>melsen i LFFE § 2, stk. 5, 1. pkt. S</w:t>
      </w:r>
      <w:r w:rsidR="002624C8">
        <w:t>ag</w:t>
      </w:r>
      <w:r w:rsidR="00F34F3E">
        <w:t>en</w:t>
      </w:r>
      <w:r w:rsidR="008C4DA7">
        <w:t xml:space="preserve"> omhandler spørgsmålet</w:t>
      </w:r>
      <w:r w:rsidR="002624C8">
        <w:t>, hvorvidt sælger kan blive fritaget for mangelsansvar efter LFFE § 2, stk. 1, når det er muligt at tegne en tillægsforsikring</w:t>
      </w:r>
      <w:r w:rsidR="00F34F3E">
        <w:t xml:space="preserve"> til den ti</w:t>
      </w:r>
      <w:r w:rsidR="00F34F3E">
        <w:t>l</w:t>
      </w:r>
      <w:r w:rsidR="00F34F3E">
        <w:t>budte basisforsikring</w:t>
      </w:r>
      <w:r w:rsidR="002624C8">
        <w:t>, som dækker</w:t>
      </w:r>
      <w:r w:rsidR="00F34F3E">
        <w:t xml:space="preserve"> lovliggørelse af </w:t>
      </w:r>
      <w:r w:rsidR="002624C8">
        <w:t xml:space="preserve"> ulovlige elinstallationer</w:t>
      </w:r>
      <w:r w:rsidR="000443A8">
        <w:t>.</w:t>
      </w:r>
    </w:p>
    <w:p w14:paraId="5A1D57D6" w14:textId="77777777" w:rsidR="000443A8" w:rsidRDefault="000443A8" w:rsidP="00BC3AC6"/>
    <w:p w14:paraId="5716AD79" w14:textId="6722DE05" w:rsidR="00C05246" w:rsidRDefault="000443A8" w:rsidP="00BC3AC6">
      <w:r>
        <w:t xml:space="preserve">Sælger solgte en ejendom </w:t>
      </w:r>
      <w:r w:rsidR="000100B6">
        <w:t>til køber, som viste sig at indeholde</w:t>
      </w:r>
      <w:r>
        <w:t xml:space="preserve"> ulovlige elinstallationer. Køber a</w:t>
      </w:r>
      <w:r>
        <w:t>n</w:t>
      </w:r>
      <w:r>
        <w:t xml:space="preserve">lagde sag mod sælger med påstand om afslag i købesummen. Sælger påstod frifindelse. </w:t>
      </w:r>
      <w:r w:rsidR="00BD683B">
        <w:t>Køber gjo</w:t>
      </w:r>
      <w:r w:rsidR="00BD683B">
        <w:t>r</w:t>
      </w:r>
      <w:r w:rsidR="00BD683B">
        <w:t>de til støtte for sin påstand gældende</w:t>
      </w:r>
      <w:r w:rsidR="00F34F3E">
        <w:t>,</w:t>
      </w:r>
      <w:r w:rsidR="00BD683B">
        <w:t xml:space="preserve"> at der på ejendommen var konstateret ulovlige elinstallationer af en skønsmand. Derudover gjorde køber gældende</w:t>
      </w:r>
      <w:r w:rsidR="00F34F3E">
        <w:t>,</w:t>
      </w:r>
      <w:r w:rsidR="00BD683B">
        <w:t xml:space="preserve"> at de ulovlige elinstallationer ikke var omfattet af ansvarsfritagelsen i LFFE § 2, stk. 1, idet forholdet i stedet skulle henledes til undtagelsesb</w:t>
      </w:r>
      <w:r w:rsidR="00BD683B">
        <w:t>e</w:t>
      </w:r>
      <w:r w:rsidR="00BD683B">
        <w:t>stemmelsen i LFFE § 2, stk. 5. Sælger har til støtte for sin pås</w:t>
      </w:r>
      <w:r w:rsidR="007932E5">
        <w:t>tand gjort gældende, at sagen var</w:t>
      </w:r>
      <w:r w:rsidR="00BD683B">
        <w:t xml:space="preserve"> o</w:t>
      </w:r>
      <w:r w:rsidR="00BD683B">
        <w:t>m</w:t>
      </w:r>
      <w:r w:rsidR="00BD683B">
        <w:t>fattet af beskyttelsesordningen i LFFE, og at udgangspunktet i ordningen er</w:t>
      </w:r>
      <w:r w:rsidR="00C05246">
        <w:t>,</w:t>
      </w:r>
      <w:r w:rsidR="00BD683B">
        <w:t xml:space="preserve"> at køber over for sæ</w:t>
      </w:r>
      <w:r w:rsidR="00BD683B">
        <w:t>l</w:t>
      </w:r>
      <w:r w:rsidR="00BD683B">
        <w:t>ger ikke kan påberåbe sig en mangel ved ejendommen.</w:t>
      </w:r>
      <w:r w:rsidR="00C05246">
        <w:t xml:space="preserve"> Derudover har sælger påberåbt sig, at der ikke er mangler ved ejendommen, som er omf</w:t>
      </w:r>
      <w:r w:rsidR="007A1786">
        <w:t>attet af LFFE § 2, stk. 5, 1. pkt</w:t>
      </w:r>
      <w:r w:rsidR="008C4DA7">
        <w:t>.</w:t>
      </w:r>
      <w:r w:rsidR="00C05246">
        <w:t>, idet der ikke er påvist mangler, som i almindelighed ikke belyses i en tilstandsrapport, og som køber ikke kunne forsikre sig imod.</w:t>
      </w:r>
      <w:r w:rsidR="00C05246">
        <w:rPr>
          <w:rStyle w:val="Fodnotehenvisning"/>
        </w:rPr>
        <w:footnoteReference w:id="95"/>
      </w:r>
      <w:r w:rsidR="00BD683B">
        <w:t xml:space="preserve"> </w:t>
      </w:r>
    </w:p>
    <w:p w14:paraId="40BC81B4" w14:textId="77777777" w:rsidR="00C05246" w:rsidRDefault="00C05246" w:rsidP="00BC3AC6"/>
    <w:p w14:paraId="32BF8E13" w14:textId="31001E33" w:rsidR="000443A8" w:rsidRDefault="000443A8" w:rsidP="00BC3AC6">
      <w:r>
        <w:t>Byret</w:t>
      </w:r>
      <w:r w:rsidR="008C4DA7">
        <w:t>ten lægger</w:t>
      </w:r>
      <w:r w:rsidR="00C05246">
        <w:t xml:space="preserve"> til grund</w:t>
      </w:r>
      <w:r w:rsidR="007932E5">
        <w:t>,</w:t>
      </w:r>
      <w:r w:rsidR="00C05246">
        <w:t xml:space="preserve"> at </w:t>
      </w:r>
      <w:r w:rsidR="008C4DA7">
        <w:t>det er</w:t>
      </w:r>
      <w:r>
        <w:t xml:space="preserve"> ubestridt, at ha</w:t>
      </w:r>
      <w:r w:rsidR="008C4DA7">
        <w:t>ndlen mellem køber og sælger er</w:t>
      </w:r>
      <w:r>
        <w:t xml:space="preserve"> omfattet af b</w:t>
      </w:r>
      <w:r>
        <w:t>e</w:t>
      </w:r>
      <w:r>
        <w:t xml:space="preserve">skyttelsesordningen i LFFE. </w:t>
      </w:r>
      <w:r w:rsidR="00C05246">
        <w:t>Ligeledes anfører byretten</w:t>
      </w:r>
      <w:r w:rsidR="007932E5">
        <w:t>,</w:t>
      </w:r>
      <w:r w:rsidR="00C05246">
        <w:t xml:space="preserve"> at b</w:t>
      </w:r>
      <w:r>
        <w:t>aggrunden for § 2</w:t>
      </w:r>
      <w:r w:rsidR="00C05246">
        <w:t>, stk. 5, 1</w:t>
      </w:r>
      <w:r w:rsidR="008C4DA7">
        <w:t>. pkt. i LFFE er</w:t>
      </w:r>
      <w:r w:rsidR="00C05246">
        <w:t>, at sælger som udgangspunkt ikke bør fritages for hæftelse med hensyn til forhold, som i almi</w:t>
      </w:r>
      <w:r w:rsidR="00C05246">
        <w:t>n</w:t>
      </w:r>
      <w:r w:rsidR="00C05246">
        <w:t>delighed ikke belyses i en tilstandsrapport, og som køber ikke kan forsikre sig imod.</w:t>
      </w:r>
      <w:r w:rsidR="00C05246">
        <w:rPr>
          <w:rStyle w:val="Fodnotehenvisning"/>
        </w:rPr>
        <w:footnoteReference w:id="96"/>
      </w:r>
      <w:r>
        <w:t xml:space="preserve"> </w:t>
      </w:r>
      <w:r w:rsidR="00C05246">
        <w:t>Byretten fremhæver</w:t>
      </w:r>
      <w:r w:rsidR="007932E5">
        <w:t>, at det fremgår af</w:t>
      </w:r>
      <w:r w:rsidR="00C05246">
        <w:t xml:space="preserve"> det tilbud på en ejerskifteforsikring, som køber har fået tilsendt, at køber kunne forsikre sig mod bl.a. lovliggørelse af ulovlige elinstallationer. Byretten finder således, at de ulovlige elinstallationer ikke kan henføres under undtagelsesbestemme</w:t>
      </w:r>
      <w:r w:rsidR="007932E5">
        <w:t>lsen i LFFE § 2, stk. 5, 1. pkt, og frifinder sælger.</w:t>
      </w:r>
    </w:p>
    <w:p w14:paraId="442A0E77" w14:textId="77777777" w:rsidR="00C45000" w:rsidRDefault="00C45000" w:rsidP="00BC3AC6"/>
    <w:p w14:paraId="5A43FA20" w14:textId="69C3E6C1" w:rsidR="00C45000" w:rsidRDefault="00C45000" w:rsidP="00BC3AC6">
      <w:r>
        <w:t>Det kan således konstateres, at efter Højesterets dom U.2002.828H bliver der nu som udgangspunkt taget stilling til, om et forhold er dækket af ejerskifteforsikringen</w:t>
      </w:r>
      <w:r w:rsidR="007932E5">
        <w:t>, når det skal vurderes om et fo</w:t>
      </w:r>
      <w:r w:rsidR="007932E5">
        <w:t>r</w:t>
      </w:r>
      <w:r w:rsidR="007932E5">
        <w:t>hold skal henføres til undtagelsesbestemmelsen i LFFE § 2, stk. 5, 1. pkt. Hvis forholdet er dækket af en ejerskifteforsikring</w:t>
      </w:r>
      <w:r>
        <w:t>, som i U.2006.1003V, falder sagen ud til sælgers fordel. Oven</w:t>
      </w:r>
      <w:r w:rsidR="007932E5">
        <w:t>for fremh</w:t>
      </w:r>
      <w:r w:rsidR="007932E5">
        <w:t>æ</w:t>
      </w:r>
      <w:r w:rsidR="007932E5">
        <w:t>ver</w:t>
      </w:r>
      <w:r>
        <w:t xml:space="preserve"> byretten såle</w:t>
      </w:r>
      <w:r w:rsidR="007932E5">
        <w:t>des</w:t>
      </w:r>
      <w:r>
        <w:t xml:space="preserve"> formålet med undtagelsesbestemmel</w:t>
      </w:r>
      <w:r w:rsidR="007932E5">
        <w:t>sen.</w:t>
      </w:r>
      <w:r>
        <w:t xml:space="preserve"> </w:t>
      </w:r>
      <w:r w:rsidR="007932E5">
        <w:t xml:space="preserve">Byretten </w:t>
      </w:r>
      <w:r>
        <w:t>lægger vægt på, at for at de</w:t>
      </w:r>
      <w:r w:rsidR="008C4DA7">
        <w:t>r skal være tale om forhold, der</w:t>
      </w:r>
      <w:r>
        <w:t xml:space="preserve"> falder ind under undtagelsesbestem</w:t>
      </w:r>
      <w:r w:rsidR="007932E5">
        <w:t>melsen, skal der være tale om anliggender</w:t>
      </w:r>
      <w:r>
        <w:t>, som køber ikke kan forsikre sig i mod. Byretten anvender det tilbud på en ejerskift</w:t>
      </w:r>
      <w:r>
        <w:t>e</w:t>
      </w:r>
      <w:r>
        <w:t>forsikring, som køber har fået tilsendt</w:t>
      </w:r>
      <w:r w:rsidR="007932E5">
        <w:t xml:space="preserve"> af sælger</w:t>
      </w:r>
      <w:r>
        <w:t>, som argu</w:t>
      </w:r>
      <w:r w:rsidR="00B84E4B">
        <w:t>mentation for, hvorfor sælger få</w:t>
      </w:r>
      <w:r>
        <w:t>r medhold i sin frifindelsespåstand.</w:t>
      </w:r>
      <w:r w:rsidR="007932E5">
        <w:t xml:space="preserve"> Tilbuddet som sælger har fremsendt til køber, mener byretten, dækker lo</w:t>
      </w:r>
      <w:r w:rsidR="007932E5">
        <w:t>v</w:t>
      </w:r>
      <w:r w:rsidR="007932E5">
        <w:t>liggørelse af ulovlige elin</w:t>
      </w:r>
      <w:r w:rsidR="008202BC">
        <w:t xml:space="preserve">stallationer, og derved opfyldes </w:t>
      </w:r>
      <w:r w:rsidR="007932E5">
        <w:t>Højesterets krav om, at sælger fritages for ansvar, når en ejerskifteforsikring dækker forholdet.</w:t>
      </w:r>
      <w:r w:rsidR="00B84E4B">
        <w:t xml:space="preserve"> Landsretten anvender samme fremgangsmåde, men kommer frem til et andet resultat end byretten.</w:t>
      </w:r>
    </w:p>
    <w:p w14:paraId="10E7D91C" w14:textId="77777777" w:rsidR="00B84E4B" w:rsidRDefault="00B84E4B" w:rsidP="00BC3AC6"/>
    <w:p w14:paraId="6A044F70" w14:textId="6230A6B7" w:rsidR="00E32721" w:rsidRDefault="00F32884" w:rsidP="00BC3AC6">
      <w:r>
        <w:t>Parterne har fremført de samme påstande, som anført for byretten. Køber påstår sælger til at betale for lovliggørelse af de ulovlige elinstallationer, og sælger påstår frifindelse, subsidiært betaling af et mindre beløb end køber påstår. Landsrettens argumentation tager udgangspunkt i ordlyden af LFFE § 2, stk. 5, som anfører</w:t>
      </w:r>
      <w:r w:rsidR="00E32721">
        <w:t>,</w:t>
      </w:r>
      <w:r>
        <w:t xml:space="preserve"> at køber uanset bestemmelsen i LFFE § 2, stk. 1 kan påberåbe sig, at et forhold strider mod o</w:t>
      </w:r>
      <w:r w:rsidR="007A1786">
        <w:t>ffentligretlige forskrifter. Landsretten finder det</w:t>
      </w:r>
      <w:r>
        <w:t xml:space="preserve"> ubestridt</w:t>
      </w:r>
      <w:r w:rsidR="008778BB">
        <w:t>, at der</w:t>
      </w:r>
      <w:r>
        <w:t xml:space="preserve"> er tale om ulovlige elinstallationer, og således forhold i strid med offentligretlige forskrifter. </w:t>
      </w:r>
      <w:r w:rsidR="008778BB">
        <w:t>Landsretten fremhæver</w:t>
      </w:r>
      <w:r w:rsidR="00E32721">
        <w:t>,</w:t>
      </w:r>
      <w:r w:rsidR="008778BB">
        <w:t xml:space="preserve"> at det forsikr</w:t>
      </w:r>
      <w:r w:rsidR="008C4DA7">
        <w:t>ingstilbud, som sælger har forelagt for køber, og som sælger har tilbudt</w:t>
      </w:r>
      <w:r w:rsidR="008778BB">
        <w:t xml:space="preserve"> at beta</w:t>
      </w:r>
      <w:r w:rsidR="008C4DA7">
        <w:t>le halvdelen af præmien for, er</w:t>
      </w:r>
      <w:r w:rsidR="008778BB">
        <w:t xml:space="preserve"> et tilbud om en basisej</w:t>
      </w:r>
      <w:r w:rsidR="008C4DA7">
        <w:t>erskifteforsikring, der opfylder</w:t>
      </w:r>
      <w:r w:rsidR="008778BB">
        <w:t xml:space="preserve"> min</w:t>
      </w:r>
      <w:r w:rsidR="008778BB">
        <w:t>i</w:t>
      </w:r>
      <w:r w:rsidR="008778BB">
        <w:t>mumskravene for, at sælger</w:t>
      </w:r>
      <w:r w:rsidR="008C4DA7">
        <w:t xml:space="preserve"> kan</w:t>
      </w:r>
      <w:r w:rsidR="008778BB">
        <w:t xml:space="preserve"> bli</w:t>
      </w:r>
      <w:r w:rsidR="008202BC">
        <w:t>ve</w:t>
      </w:r>
      <w:r w:rsidR="008778BB">
        <w:t xml:space="preserve"> fritaget for ansvar i henhold til LFFE.</w:t>
      </w:r>
      <w:r w:rsidR="008778BB">
        <w:rPr>
          <w:rStyle w:val="Fodnotehenvisning"/>
        </w:rPr>
        <w:footnoteReference w:id="97"/>
      </w:r>
      <w:r w:rsidR="008778BB">
        <w:t xml:space="preserve"> Denne basisforsikring dækker ikke bygningens lovlighed i henhold til offentligretlige forskrifter, hvilket fremgår af forsi</w:t>
      </w:r>
      <w:r w:rsidR="008778BB">
        <w:t>k</w:t>
      </w:r>
      <w:r w:rsidR="008778BB">
        <w:t>ringsbetingelser</w:t>
      </w:r>
      <w:r w:rsidR="008C4DA7">
        <w:t>ne. Forsikringen kan</w:t>
      </w:r>
      <w:r w:rsidR="008778BB">
        <w:t xml:space="preserve"> dog mod en merpræmie udvides til at dække lovliggørelse af ulovlige elinstallationer.</w:t>
      </w:r>
      <w:r w:rsidR="008778BB">
        <w:rPr>
          <w:rStyle w:val="Fodnotehenvisning"/>
        </w:rPr>
        <w:footnoteReference w:id="98"/>
      </w:r>
      <w:r w:rsidR="008778BB">
        <w:t xml:space="preserve"> Landsretten anfører</w:t>
      </w:r>
      <w:r w:rsidR="00E32721">
        <w:t>,</w:t>
      </w:r>
      <w:r w:rsidR="008778BB">
        <w:t xml:space="preserve"> at idet køber ikke ved at acceptere det forsikringsti</w:t>
      </w:r>
      <w:r w:rsidR="008778BB">
        <w:t>l</w:t>
      </w:r>
      <w:r w:rsidR="008C4DA7">
        <w:t>bud, som sælger har fremlagt, vil opnå</w:t>
      </w:r>
      <w:r w:rsidR="008778BB">
        <w:t xml:space="preserve"> forsikringsdækning for de ulovlige elinstallationer, kan sæ</w:t>
      </w:r>
      <w:r w:rsidR="008778BB">
        <w:t>l</w:t>
      </w:r>
      <w:r w:rsidR="008778BB">
        <w:t xml:space="preserve">ger ikke anses for frigjort for sit ansvar i henhold til LFFE § 2, stk. 5, 1. pkt. </w:t>
      </w:r>
    </w:p>
    <w:p w14:paraId="3B3DC455" w14:textId="77777777" w:rsidR="00E32721" w:rsidRDefault="00E32721" w:rsidP="00BC3AC6"/>
    <w:p w14:paraId="4CDB2914" w14:textId="09E9A204" w:rsidR="00B84E4B" w:rsidRPr="00807DCC" w:rsidRDefault="008778BB" w:rsidP="00BC3AC6">
      <w:r>
        <w:t>Landsretten præciserer således Højesterets dom, U.2002.828H</w:t>
      </w:r>
      <w:r w:rsidR="008C4DA7">
        <w:t>. Højesteret lægger</w:t>
      </w:r>
      <w:r w:rsidR="00183C72">
        <w:t xml:space="preserve"> vægt på</w:t>
      </w:r>
      <w:r w:rsidR="00E32721">
        <w:t>,</w:t>
      </w:r>
      <w:r w:rsidR="008C4DA7">
        <w:t xml:space="preserve"> at der skal</w:t>
      </w:r>
      <w:r w:rsidR="00183C72">
        <w:t xml:space="preserve"> være tale om en dækningsbere</w:t>
      </w:r>
      <w:r w:rsidR="008C4DA7">
        <w:t>ttiget skade, for at sælger kan blive</w:t>
      </w:r>
      <w:r w:rsidR="00183C72">
        <w:t xml:space="preserve"> fritaget for ansvar. Landsre</w:t>
      </w:r>
      <w:r w:rsidR="00183C72">
        <w:t>t</w:t>
      </w:r>
      <w:r w:rsidR="008C4DA7">
        <w:t>ten uddyber</w:t>
      </w:r>
      <w:r w:rsidR="007A1786">
        <w:t xml:space="preserve"> dette</w:t>
      </w:r>
      <w:r w:rsidR="00183C72">
        <w:t>, og ser på den</w:t>
      </w:r>
      <w:r w:rsidR="007A1786">
        <w:t xml:space="preserve"> specifikke</w:t>
      </w:r>
      <w:r w:rsidR="00183C72">
        <w:t xml:space="preserve"> ejerskifteforsikring, som sælger har tilbudt køber, a</w:t>
      </w:r>
      <w:r w:rsidR="00E32721">
        <w:t>t betale halvdelen af præmien for</w:t>
      </w:r>
      <w:r w:rsidR="009B7C23">
        <w:t>, i stedet for en overordnet</w:t>
      </w:r>
      <w:r w:rsidR="007A1786">
        <w:t xml:space="preserve"> vurdering af ejerskifteforsikringer</w:t>
      </w:r>
      <w:r w:rsidR="00183C72">
        <w:t>. I de</w:t>
      </w:r>
      <w:r w:rsidR="00183C72">
        <w:t>t</w:t>
      </w:r>
      <w:r w:rsidR="00183C72">
        <w:t>te tilfælde er der tale om en basisforsikring, som ikke dækker lovliggørelse af ulovlige elinstallati</w:t>
      </w:r>
      <w:r w:rsidR="00183C72">
        <w:t>o</w:t>
      </w:r>
      <w:r w:rsidR="00183C72">
        <w:t xml:space="preserve">ner. </w:t>
      </w:r>
      <w:r w:rsidR="00E32721">
        <w:t xml:space="preserve">Forsikringstilbuddet, som sælger fremkommer med til køber, dækker således ikke de ulovlige </w:t>
      </w:r>
      <w:r w:rsidR="00CF6D3B">
        <w:t>elinstallationer, og køber vil</w:t>
      </w:r>
      <w:r w:rsidR="00E32721">
        <w:t xml:space="preserve"> ikke kunne opnå dækning ved at tegne den frem</w:t>
      </w:r>
      <w:r w:rsidR="00CF6D3B">
        <w:t>satte forsikring. At køber har</w:t>
      </w:r>
      <w:r w:rsidR="00E32721">
        <w:t xml:space="preserve"> mulighed for at udvide dækningsomfanget ved at tegne en tillægsforsikring, ændre</w:t>
      </w:r>
      <w:r w:rsidR="00CF6D3B">
        <w:t>r ikke på, at køber ikke opnår</w:t>
      </w:r>
      <w:r w:rsidR="00E32721">
        <w:t xml:space="preserve"> dækning for de ulovlige elinstallationer ved at tegne den</w:t>
      </w:r>
      <w:r w:rsidR="00FB42E0">
        <w:t xml:space="preserve"> af sælger fremsatte forsikring. Således er det uden betydning for vurderingen af om et forhold falder </w:t>
      </w:r>
      <w:r w:rsidR="00CF6D3B">
        <w:t xml:space="preserve">ind </w:t>
      </w:r>
      <w:r w:rsidR="00FB42E0">
        <w:t>under undt</w:t>
      </w:r>
      <w:r w:rsidR="00FB42E0">
        <w:t>a</w:t>
      </w:r>
      <w:r w:rsidR="00FB42E0">
        <w:t>gelsesbestemmelsen i LFFE § 2, stk. 5, 1. pkt. om køber har mulighed for at dække sig ind ved at tegne tillægsforsikringer, hvis ikke disse forsikringer er fremsat af sælger med tilbud om, at sælger betaler halvdelen af præmien for de foreslåede forsikringer.</w:t>
      </w:r>
    </w:p>
    <w:p w14:paraId="41DF29C8" w14:textId="31BD4A44" w:rsidR="008E1EA1" w:rsidRDefault="00910BEB" w:rsidP="001A79AD">
      <w:pPr>
        <w:pStyle w:val="Overskrift2"/>
      </w:pPr>
      <w:bookmarkStart w:id="36" w:name="_Toc179963439"/>
      <w:r>
        <w:t xml:space="preserve">3.4 </w:t>
      </w:r>
      <w:r w:rsidR="008E1EA1">
        <w:t xml:space="preserve">Anvendelsesområdet for LFFE § 2, stk. 5, 1. </w:t>
      </w:r>
      <w:r w:rsidR="00336B0A">
        <w:t>pkt.</w:t>
      </w:r>
      <w:bookmarkEnd w:id="36"/>
    </w:p>
    <w:p w14:paraId="66940E83" w14:textId="46C7FD1A" w:rsidR="000D68A0" w:rsidRDefault="000D68A0" w:rsidP="000D68A0">
      <w:r>
        <w:t>Udgangspunktet er</w:t>
      </w:r>
      <w:r w:rsidR="005700B5">
        <w:t>,</w:t>
      </w:r>
      <w:r>
        <w:t xml:space="preserve"> at sælger kan opnå beskyttelse mod mangelskrav fra</w:t>
      </w:r>
      <w:r w:rsidR="00DC0EAE">
        <w:t xml:space="preserve"> køber ved at opfylde en række</w:t>
      </w:r>
      <w:r>
        <w:t xml:space="preserve"> nærmere fastsatte krav, jf. </w:t>
      </w:r>
      <w:r w:rsidRPr="009D0254">
        <w:t>afsnit 2.3</w:t>
      </w:r>
      <w:r w:rsidR="00DC0EAE">
        <w:t>. Der findes imidlertid enkelte</w:t>
      </w:r>
      <w:r>
        <w:t xml:space="preserve"> områder, hvor sælger ikke kan opnå be</w:t>
      </w:r>
      <w:r w:rsidR="00DC0EAE">
        <w:t>skyttelse. Et</w:t>
      </w:r>
      <w:r w:rsidR="00A9419F">
        <w:t xml:space="preserve"> af disse</w:t>
      </w:r>
      <w:r w:rsidR="00DC0EAE">
        <w:t xml:space="preserve"> område</w:t>
      </w:r>
      <w:r w:rsidR="00A9419F">
        <w:t>r</w:t>
      </w:r>
      <w:r w:rsidR="00DC0EAE">
        <w:t xml:space="preserve"> er</w:t>
      </w:r>
      <w:r w:rsidR="00A6006C">
        <w:t xml:space="preserve"> forhold</w:t>
      </w:r>
      <w:r w:rsidR="00DC0EAE">
        <w:t>, der</w:t>
      </w:r>
      <w:r>
        <w:t xml:space="preserve"> strider imod offentligretlige forskrifter</w:t>
      </w:r>
      <w:r w:rsidR="005700B5">
        <w:t>, jf. LFFE § 2, stk. 5, 1. pkt</w:t>
      </w:r>
      <w:r>
        <w:t>.</w:t>
      </w:r>
      <w:r w:rsidR="005700B5">
        <w:t xml:space="preserve"> O</w:t>
      </w:r>
      <w:r w:rsidR="00A6006C">
        <w:t>ffentligretlig</w:t>
      </w:r>
      <w:r w:rsidR="005700B5">
        <w:t>e</w:t>
      </w:r>
      <w:r w:rsidR="00A6006C">
        <w:t xml:space="preserve"> forskrift</w:t>
      </w:r>
      <w:r w:rsidR="005700B5">
        <w:t>er</w:t>
      </w:r>
      <w:r w:rsidR="00A6006C">
        <w:t xml:space="preserve"> er love og bekendtgørelser</w:t>
      </w:r>
      <w:r w:rsidR="00857324">
        <w:t>,</w:t>
      </w:r>
      <w:r w:rsidR="00A6006C">
        <w:t xml:space="preserve"> der</w:t>
      </w:r>
      <w:r w:rsidR="00857324">
        <w:t xml:space="preserve"> blandt andet</w:t>
      </w:r>
      <w:r w:rsidR="00A6006C">
        <w:t xml:space="preserve"> fastsætter retningslinjer for</w:t>
      </w:r>
      <w:r w:rsidR="00857324">
        <w:t>,</w:t>
      </w:r>
      <w:r w:rsidR="00A6006C">
        <w:t xml:space="preserve"> hvordan en ejendom skal være opført. Et eksempel på en offentligret</w:t>
      </w:r>
      <w:r w:rsidR="00857324">
        <w:t>lig forskrift, som kan henføres til undtagelsesbestemmelsen i LFFE § 2, stk. 5, 1. pkt.</w:t>
      </w:r>
      <w:r w:rsidR="005700B5">
        <w:t xml:space="preserve"> er s</w:t>
      </w:r>
      <w:r w:rsidR="00A6006C">
        <w:t>tærkstrøm</w:t>
      </w:r>
      <w:r w:rsidR="00A6006C">
        <w:t>s</w:t>
      </w:r>
      <w:r w:rsidR="00A6006C">
        <w:t>bekendtgørelsen (SSBK</w:t>
      </w:r>
      <w:r w:rsidR="00857324">
        <w:t>). Denne</w:t>
      </w:r>
      <w:r w:rsidR="00A6006C">
        <w:t xml:space="preserve"> fastsætter retningslinjerne for elektriske installationer i en eje</w:t>
      </w:r>
      <w:r w:rsidR="00A6006C">
        <w:t>n</w:t>
      </w:r>
      <w:r w:rsidR="00A6006C">
        <w:t>dom.</w:t>
      </w:r>
      <w:r w:rsidR="00A9419F">
        <w:t xml:space="preserve"> Såfremt</w:t>
      </w:r>
      <w:r w:rsidR="00074380">
        <w:t xml:space="preserve"> fremgangsmåden ved elinstallationer strider imod reglerne i SSBK, vil det</w:t>
      </w:r>
      <w:r w:rsidR="00857324">
        <w:t>te være en indikation på</w:t>
      </w:r>
      <w:r w:rsidR="005700B5">
        <w:t>,</w:t>
      </w:r>
      <w:r w:rsidR="00074380">
        <w:t xml:space="preserve"> at køber kan påberåbe sig forholdet overfor sælger. Imidlertid er der dog flere fakt</w:t>
      </w:r>
      <w:r w:rsidR="00074380">
        <w:t>o</w:t>
      </w:r>
      <w:r w:rsidR="00074380">
        <w:t>rer</w:t>
      </w:r>
      <w:r w:rsidR="00857324">
        <w:t>,</w:t>
      </w:r>
      <w:r w:rsidR="00074380">
        <w:t xml:space="preserve"> som </w:t>
      </w:r>
      <w:r w:rsidR="00857324">
        <w:t>kan spille</w:t>
      </w:r>
      <w:r w:rsidR="00074380">
        <w:t xml:space="preserve"> ind, når det skal vurderes om et forhold kan henføres til LFFE § 2, stk. 5, 1. pkt.</w:t>
      </w:r>
      <w:r>
        <w:t xml:space="preserve"> </w:t>
      </w:r>
    </w:p>
    <w:p w14:paraId="233B9B16" w14:textId="77777777" w:rsidR="00074380" w:rsidRDefault="00074380" w:rsidP="000D68A0"/>
    <w:p w14:paraId="023084FB" w14:textId="6AB72EC6" w:rsidR="004404D8" w:rsidRDefault="004404D8" w:rsidP="000D68A0">
      <w:r>
        <w:t>Ordlyden i LFFE § 2, stk. 5, 1. pkt. er bred, idet offentligretlige forskrif</w:t>
      </w:r>
      <w:r w:rsidR="00DA2AA0">
        <w:t>ter dækker over en lang række af</w:t>
      </w:r>
      <w:r>
        <w:t xml:space="preserve"> regler. Justitsministeren har i sit svar til </w:t>
      </w:r>
      <w:r w:rsidR="00903F6E">
        <w:t>spm. nr. S</w:t>
      </w:r>
      <w:r w:rsidR="009F5E05">
        <w:t xml:space="preserve"> </w:t>
      </w:r>
      <w:r w:rsidR="00903F6E">
        <w:t>1487 udtalt, at LFFE § 2, stk. 5, 1. pkt. ikke omfatter skader</w:t>
      </w:r>
      <w:r w:rsidR="009F5E05">
        <w:t>,</w:t>
      </w:r>
      <w:r w:rsidR="00857324">
        <w:t xml:space="preserve"> der</w:t>
      </w:r>
      <w:r w:rsidR="00903F6E">
        <w:t xml:space="preserve"> er opstået som følge af</w:t>
      </w:r>
      <w:r w:rsidR="00857324">
        <w:t>,</w:t>
      </w:r>
      <w:r w:rsidR="009F5E05">
        <w:t xml:space="preserve"> at</w:t>
      </w:r>
      <w:r w:rsidR="00903F6E">
        <w:t xml:space="preserve"> et forhold strider imod en offentligretlig fo</w:t>
      </w:r>
      <w:r w:rsidR="00903F6E">
        <w:t>r</w:t>
      </w:r>
      <w:r w:rsidR="00903F6E">
        <w:t>skrift.</w:t>
      </w:r>
      <w:r w:rsidR="00B523B0">
        <w:rPr>
          <w:rStyle w:val="Fodnotehenvisning"/>
        </w:rPr>
        <w:footnoteReference w:id="99"/>
      </w:r>
      <w:r w:rsidR="00903F6E">
        <w:t xml:space="preserve"> Dette må antages at betyde</w:t>
      </w:r>
      <w:r w:rsidR="00857324">
        <w:t>,</w:t>
      </w:r>
      <w:r w:rsidR="00903F6E">
        <w:t xml:space="preserve"> at bestemmelsen har et snævert anvendelsesområde, idet de ska</w:t>
      </w:r>
      <w:r w:rsidR="009F5E05">
        <w:t>der, der</w:t>
      </w:r>
      <w:r w:rsidR="00903F6E">
        <w:t xml:space="preserve"> opstår</w:t>
      </w:r>
      <w:r w:rsidR="005700B5">
        <w:t>,</w:t>
      </w:r>
      <w:r w:rsidR="00903F6E">
        <w:t xml:space="preserve"> som følge af et ulovligt forhold</w:t>
      </w:r>
      <w:r w:rsidR="005700B5">
        <w:t>,</w:t>
      </w:r>
      <w:r w:rsidR="00903F6E">
        <w:t xml:space="preserve"> er </w:t>
      </w:r>
      <w:r w:rsidR="00DA2AA0">
        <w:t>frasorteret</w:t>
      </w:r>
      <w:r w:rsidR="00903F6E">
        <w:t xml:space="preserve">. </w:t>
      </w:r>
      <w:r w:rsidR="00857324">
        <w:t>Et forhold i strid med en offentli</w:t>
      </w:r>
      <w:r w:rsidR="00857324">
        <w:t>g</w:t>
      </w:r>
      <w:r w:rsidR="00857324">
        <w:t xml:space="preserve">retlig forskrift betragtes som en retlig mangel, idet </w:t>
      </w:r>
      <w:r w:rsidR="00DA2AA0">
        <w:t>beskyttelsesordningen omfatter fysiske mangler</w:t>
      </w:r>
      <w:r w:rsidR="00A9419F">
        <w:t xml:space="preserve">, og </w:t>
      </w:r>
      <w:r w:rsidR="005700B5">
        <w:t>retlige mangler er undtaget fra beskyttelsesordningen</w:t>
      </w:r>
      <w:r w:rsidR="00DA2AA0">
        <w:t xml:space="preserve">. </w:t>
      </w:r>
      <w:r w:rsidR="00903F6E">
        <w:t>Sondringen mellem en faktisk</w:t>
      </w:r>
      <w:r w:rsidR="00DA2AA0">
        <w:t xml:space="preserve"> (fysisk)</w:t>
      </w:r>
      <w:r w:rsidR="00903F6E">
        <w:t xml:space="preserve"> og en retlig man</w:t>
      </w:r>
      <w:r w:rsidR="00DA2AA0">
        <w:t>gel har</w:t>
      </w:r>
      <w:r w:rsidR="00903F6E">
        <w:t xml:space="preserve"> betydning</w:t>
      </w:r>
      <w:r w:rsidR="00857324">
        <w:t>,</w:t>
      </w:r>
      <w:r w:rsidR="00BC4717">
        <w:t xml:space="preserve"> når anvendelsesområdet skal fastlægges</w:t>
      </w:r>
      <w:r w:rsidR="00903F6E">
        <w:t xml:space="preserve">, idet de faktiske mangler skal henledes til LFFE § 2, stk. 1 og de retlige mangler skal henføres til LFFE § 2, stk. 5, 1. pkt. </w:t>
      </w:r>
    </w:p>
    <w:p w14:paraId="1E72BE78" w14:textId="77777777" w:rsidR="00BC4717" w:rsidRDefault="00BC4717" w:rsidP="000D68A0"/>
    <w:p w14:paraId="40B9561C" w14:textId="62F91791" w:rsidR="00074380" w:rsidRDefault="00A65D3B" w:rsidP="000D68A0">
      <w:r w:rsidRPr="009D0254">
        <w:t>Afsnit 3.2</w:t>
      </w:r>
      <w:r w:rsidR="00BC4717">
        <w:t xml:space="preserve"> om</w:t>
      </w:r>
      <w:r w:rsidR="009D0254">
        <w:t xml:space="preserve"> retlige og</w:t>
      </w:r>
      <w:r w:rsidR="00BC4717">
        <w:t xml:space="preserve"> faktiske mangler er </w:t>
      </w:r>
      <w:r w:rsidR="008A235F">
        <w:t>op</w:t>
      </w:r>
      <w:r w:rsidR="00BC4717">
        <w:t>d</w:t>
      </w:r>
      <w:r w:rsidR="008A235F">
        <w:t>elt</w:t>
      </w:r>
      <w:r w:rsidR="00DC0EAE">
        <w:t xml:space="preserve"> i forskellige forhold</w:t>
      </w:r>
      <w:r w:rsidR="00BC4717">
        <w:t xml:space="preserve">, hvor ulovlige </w:t>
      </w:r>
      <w:r w:rsidR="00B523B0">
        <w:t>elinstallati</w:t>
      </w:r>
      <w:r w:rsidR="00B523B0">
        <w:t>o</w:t>
      </w:r>
      <w:r w:rsidR="00B523B0">
        <w:t>ner ind</w:t>
      </w:r>
      <w:r w:rsidR="00DC0EAE">
        <w:t>går. Det</w:t>
      </w:r>
      <w:r w:rsidR="00B523B0">
        <w:t xml:space="preserve"> først</w:t>
      </w:r>
      <w:r w:rsidR="00064351">
        <w:t>e</w:t>
      </w:r>
      <w:r w:rsidR="00DC0EAE">
        <w:t xml:space="preserve"> forhold</w:t>
      </w:r>
      <w:r w:rsidR="00B523B0">
        <w:t xml:space="preserve"> er, hvor</w:t>
      </w:r>
      <w:r w:rsidR="008A235F">
        <w:t xml:space="preserve"> en ulovlig elinstallation</w:t>
      </w:r>
      <w:r w:rsidR="00BC4717">
        <w:t xml:space="preserve"> bliver konstateret uden</w:t>
      </w:r>
      <w:r w:rsidR="00064351">
        <w:t>,</w:t>
      </w:r>
      <w:r w:rsidR="00BC4717">
        <w:t xml:space="preserve"> at denne har medført skade eller fare for skade, og hvor elinstal</w:t>
      </w:r>
      <w:r w:rsidR="00F03423">
        <w:t>lationen ikke er påbudt</w:t>
      </w:r>
      <w:r w:rsidR="00BC4717">
        <w:t xml:space="preserve"> lovliggjort udefra. I denne situation er der tale om en retlig mangel, som falder ind under LFFE § 2, stk</w:t>
      </w:r>
      <w:r w:rsidR="00DC0EAE">
        <w:t>. 5, 1. pkt., hvilket ses i</w:t>
      </w:r>
      <w:r w:rsidR="00BC4717">
        <w:t xml:space="preserve"> dommen U.1998.474H. Denne fastslår</w:t>
      </w:r>
      <w:r w:rsidR="00F03423">
        <w:t>,</w:t>
      </w:r>
      <w:r w:rsidR="00BC4717">
        <w:t xml:space="preserve"> </w:t>
      </w:r>
      <w:r w:rsidR="00074380">
        <w:t>at køber ikke skal acceptere, at der findes ulovlige elinsta</w:t>
      </w:r>
      <w:r w:rsidR="00074380">
        <w:t>l</w:t>
      </w:r>
      <w:r w:rsidR="00074380">
        <w:t xml:space="preserve">lationer </w:t>
      </w:r>
      <w:r w:rsidR="00F03423">
        <w:t>i</w:t>
      </w:r>
      <w:r w:rsidR="00B523B0">
        <w:t xml:space="preserve"> ejendom</w:t>
      </w:r>
      <w:r w:rsidR="00F03423">
        <w:t>men</w:t>
      </w:r>
      <w:r w:rsidR="00B523B0">
        <w:t>, hvorfor</w:t>
      </w:r>
      <w:r w:rsidR="004404D8">
        <w:t xml:space="preserve"> køber</w:t>
      </w:r>
      <w:r w:rsidR="00B523B0">
        <w:t xml:space="preserve"> kan</w:t>
      </w:r>
      <w:r w:rsidR="00F03423">
        <w:t xml:space="preserve"> påberåbe sig manglerne</w:t>
      </w:r>
      <w:r w:rsidR="004404D8">
        <w:t>.</w:t>
      </w:r>
      <w:r w:rsidR="00F03423">
        <w:t xml:space="preserve"> Når der er tale om</w:t>
      </w:r>
      <w:r w:rsidR="00DC0EAE">
        <w:t>,</w:t>
      </w:r>
      <w:r w:rsidR="00F03423">
        <w:t xml:space="preserve"> a</w:t>
      </w:r>
      <w:r w:rsidR="00B523B0">
        <w:t>t en elinsta</w:t>
      </w:r>
      <w:r w:rsidR="00B523B0">
        <w:t>l</w:t>
      </w:r>
      <w:r w:rsidR="00B523B0">
        <w:t>lation blot er konstateret uden</w:t>
      </w:r>
      <w:r w:rsidR="00064351">
        <w:t>,</w:t>
      </w:r>
      <w:r w:rsidR="00B523B0">
        <w:t xml:space="preserve"> at der er opstået skade</w:t>
      </w:r>
      <w:r w:rsidR="00DC0EAE">
        <w:t>,</w:t>
      </w:r>
      <w:r w:rsidR="00B523B0">
        <w:t xml:space="preserve"> er det som udgangspunkt overfor sælger</w:t>
      </w:r>
      <w:r w:rsidR="00064351">
        <w:t>,</w:t>
      </w:r>
      <w:r w:rsidR="00B523B0">
        <w:t xml:space="preserve"> at køber skal påberåbe sig den ulovlige elinstallation.</w:t>
      </w:r>
      <w:r w:rsidR="00DC0EAE">
        <w:t xml:space="preserve"> Undtaget er</w:t>
      </w:r>
      <w:r w:rsidR="009B7C23">
        <w:t xml:space="preserve"> blandt andet</w:t>
      </w:r>
      <w:r w:rsidR="00DC0EAE">
        <w:t xml:space="preserve"> den situation,</w:t>
      </w:r>
      <w:r w:rsidR="00F03423">
        <w:t xml:space="preserve"> hvor </w:t>
      </w:r>
      <w:r w:rsidR="00064351">
        <w:t>den ulovlige elinstallation</w:t>
      </w:r>
      <w:r w:rsidR="00F03423">
        <w:t xml:space="preserve"> fremgår tydeligt, og hvor den bygningssagkyndige burde have n</w:t>
      </w:r>
      <w:r w:rsidR="00064351">
        <w:t xml:space="preserve">ævnt denne i tilstandsrapporten, jf. </w:t>
      </w:r>
      <w:r w:rsidR="00064351" w:rsidRPr="009D0254">
        <w:t>afsnit 2.2.2.</w:t>
      </w:r>
      <w:r w:rsidR="00DC0EAE">
        <w:t xml:space="preserve"> I så fald</w:t>
      </w:r>
      <w:r w:rsidR="00064351">
        <w:t xml:space="preserve"> er det den bygningssagkyndige, der har ansvaret for</w:t>
      </w:r>
      <w:r w:rsidR="008A235F">
        <w:t>,</w:t>
      </w:r>
      <w:r w:rsidR="00064351">
        <w:t xml:space="preserve"> at fejlen ikke er nævnt, og </w:t>
      </w:r>
      <w:r>
        <w:t xml:space="preserve">derved bærer risikoen </w:t>
      </w:r>
      <w:r w:rsidR="008A235F">
        <w:t>herfor.</w:t>
      </w:r>
    </w:p>
    <w:p w14:paraId="3FE17320" w14:textId="77777777" w:rsidR="00BC4717" w:rsidRDefault="00BC4717" w:rsidP="000D68A0"/>
    <w:p w14:paraId="470A566F" w14:textId="416183D9" w:rsidR="00BC4717" w:rsidRDefault="00E266ED" w:rsidP="000D68A0">
      <w:r>
        <w:t>Det næste forhold</w:t>
      </w:r>
      <w:r w:rsidR="00BC4717">
        <w:t xml:space="preserve">, som er omtalt i </w:t>
      </w:r>
      <w:r w:rsidR="00A65D3B" w:rsidRPr="009D0254">
        <w:t>afsnit 3.2.2</w:t>
      </w:r>
      <w:r w:rsidR="00BC4717">
        <w:t xml:space="preserve"> er, hvor køber er blevet påbudt at lovliggøre en ulo</w:t>
      </w:r>
      <w:r w:rsidR="00BC4717">
        <w:t>v</w:t>
      </w:r>
      <w:r w:rsidR="00BC4717">
        <w:t>lig elinstallation</w:t>
      </w:r>
      <w:r w:rsidR="00A85C3F">
        <w:t>,</w:t>
      </w:r>
      <w:r w:rsidR="00376F32">
        <w:t xml:space="preserve"> som fandtes i eje</w:t>
      </w:r>
      <w:r w:rsidR="000A30D2">
        <w:t>ndommen</w:t>
      </w:r>
      <w:r w:rsidR="00A85C3F">
        <w:t>,</w:t>
      </w:r>
      <w:r w:rsidR="000A30D2">
        <w:t xml:space="preserve"> før køber overtog denne fra sælger.</w:t>
      </w:r>
      <w:r w:rsidR="00A85C3F">
        <w:t xml:space="preserve"> Landsrets</w:t>
      </w:r>
      <w:r w:rsidR="009B7C23">
        <w:t>dommen U.2005.1108V fastslår</w:t>
      </w:r>
      <w:r w:rsidR="00F03423">
        <w:t>,</w:t>
      </w:r>
      <w:r w:rsidR="00A85C3F">
        <w:t xml:space="preserve"> at køber kan påberåbe sig en ulovlig elinstallation overfor sælger, hvis k</w:t>
      </w:r>
      <w:r w:rsidR="00A85C3F">
        <w:t>ø</w:t>
      </w:r>
      <w:r w:rsidR="00A85C3F">
        <w:t>ber er blevet påbudt udefra at lovliggøre denne. I dommen er der ikke taget stilling til, hvor</w:t>
      </w:r>
      <w:r w:rsidR="009B7C23">
        <w:t>ledes</w:t>
      </w:r>
      <w:r w:rsidR="00A85C3F">
        <w:t xml:space="preserve"> situationen ser ud, hvis den elinstallation, som er blevet påbudt lovliggjort har medført en ska</w:t>
      </w:r>
      <w:r>
        <w:t>de. Det må i givet fald antages, at</w:t>
      </w:r>
      <w:r w:rsidR="00A85C3F">
        <w:t xml:space="preserve"> forholdet</w:t>
      </w:r>
      <w:r>
        <w:t xml:space="preserve"> falder</w:t>
      </w:r>
      <w:r w:rsidR="00A85C3F">
        <w:t xml:space="preserve"> ind under beskyttelsesordningen i LFFE § 2, stk. 1, idet </w:t>
      </w:r>
      <w:r w:rsidR="00544B8D">
        <w:t>udbedringen af skaden således også omfatter lovliggørelse af elinstallatio</w:t>
      </w:r>
      <w:r w:rsidR="009B7C23">
        <w:t xml:space="preserve">nen. </w:t>
      </w:r>
      <w:r>
        <w:t>Det afhænger dermed</w:t>
      </w:r>
      <w:r w:rsidR="00666FFD">
        <w:t xml:space="preserve"> af situationen, om køber kan påberåbe sig LFFE § 2, stk. 5, 1. pkt. overfor sælger eller ej</w:t>
      </w:r>
      <w:r w:rsidR="00F03423">
        <w:t>, når køber bliver påbudt at lovliggøre en ulovlig elinstallation</w:t>
      </w:r>
      <w:r w:rsidR="008A235F">
        <w:t>. Såfremt</w:t>
      </w:r>
      <w:r w:rsidR="00666FFD">
        <w:t xml:space="preserve"> der alene er tale om en ulo</w:t>
      </w:r>
      <w:r w:rsidR="00666FFD">
        <w:t>v</w:t>
      </w:r>
      <w:r w:rsidR="00666FFD">
        <w:t>lig elinstallation</w:t>
      </w:r>
      <w:r w:rsidR="00F03423">
        <w:t>,</w:t>
      </w:r>
      <w:r w:rsidR="00666FFD">
        <w:t xml:space="preserve"> som påbydes lovliggjort, skal forhol</w:t>
      </w:r>
      <w:r w:rsidR="00F03423">
        <w:t>det</w:t>
      </w:r>
      <w:r>
        <w:t xml:space="preserve"> påberåbes overfor</w:t>
      </w:r>
      <w:r w:rsidR="008A235F">
        <w:t xml:space="preserve"> sælger. H</w:t>
      </w:r>
      <w:r w:rsidR="00666FFD">
        <w:t>vis den ulovlig elinstallation har medført en skade eller risiko for skade, kan køber ikke påberåbe sig forholdet overfor sælger, idet denne er beskyt</w:t>
      </w:r>
      <w:r w:rsidR="008A235F">
        <w:t>tet af LFFE § 2, stk. 1 vedrørende fysiske mangler.</w:t>
      </w:r>
      <w:r w:rsidR="00666FFD">
        <w:t xml:space="preserve"> </w:t>
      </w:r>
    </w:p>
    <w:p w14:paraId="28CB580A" w14:textId="77777777" w:rsidR="00666FFD" w:rsidRDefault="00666FFD" w:rsidP="000D68A0"/>
    <w:p w14:paraId="1BFD31DB" w14:textId="2C354D2D" w:rsidR="00666FFD" w:rsidRDefault="00E266ED" w:rsidP="000D68A0">
      <w:r>
        <w:t>De sidste forhold</w:t>
      </w:r>
      <w:r w:rsidR="00DC2C0B">
        <w:t xml:space="preserve"> kan sammenfattes til at omhandle en ulovlig eli</w:t>
      </w:r>
      <w:r w:rsidR="008A235F">
        <w:t>nstallation, der</w:t>
      </w:r>
      <w:r w:rsidR="00DC2C0B">
        <w:t xml:space="preserve"> har medført en skade eller fare for skade.</w:t>
      </w:r>
      <w:r>
        <w:t xml:space="preserve"> Disse forhold adskiller sig fra de to ovenstående forhold ved at have medført en konkret skade eller risiko herfor, hvilket ikke er tilf</w:t>
      </w:r>
      <w:r w:rsidR="009B7C23">
        <w:t>ældet ved de øvrige</w:t>
      </w:r>
      <w:r>
        <w:t xml:space="preserve"> forhold.</w:t>
      </w:r>
      <w:r w:rsidR="00DC2C0B">
        <w:t xml:space="preserve"> </w:t>
      </w:r>
      <w:r w:rsidR="00666FFD">
        <w:t>Når en ulovlig elinstallation medfører en skade</w:t>
      </w:r>
      <w:r w:rsidR="00DC2C0B">
        <w:t xml:space="preserve"> eller fare for skade</w:t>
      </w:r>
      <w:r w:rsidR="00666FFD">
        <w:t xml:space="preserve"> på </w:t>
      </w:r>
      <w:r w:rsidR="001249EF">
        <w:t xml:space="preserve">en </w:t>
      </w:r>
      <w:r w:rsidR="00666FFD">
        <w:t>ejend</w:t>
      </w:r>
      <w:r w:rsidR="001249EF">
        <w:t>om</w:t>
      </w:r>
      <w:r w:rsidR="00B43C68">
        <w:t>, og køber ikke er</w:t>
      </w:r>
      <w:r w:rsidR="00666FFD">
        <w:t xml:space="preserve"> gjort opmærk</w:t>
      </w:r>
      <w:r w:rsidR="001249EF">
        <w:t>som på denn</w:t>
      </w:r>
      <w:r w:rsidR="00666FFD">
        <w:t>e f</w:t>
      </w:r>
      <w:r w:rsidR="00B43C68">
        <w:t xml:space="preserve">ør overtagelsesdagen, kan køber ikke påberåbe sig undtagelsesbestemmelsen i LFFE § 2, stk. 5, 1. pkt., idet forholdet falder ind under beskyttelsesordningen i LFFE § 2, stk. 1. </w:t>
      </w:r>
      <w:r w:rsidR="009B7C23">
        <w:t>Såfremt</w:t>
      </w:r>
      <w:r w:rsidR="00DC2C0B">
        <w:t xml:space="preserve"> en ulovlig elinstallation har medført en skade eller</w:t>
      </w:r>
      <w:r w:rsidR="00E70408">
        <w:t xml:space="preserve"> fare for skade bliver dette den</w:t>
      </w:r>
      <w:r w:rsidR="00DC2C0B">
        <w:t xml:space="preserve"> afgørende</w:t>
      </w:r>
      <w:r w:rsidR="00E70408">
        <w:t xml:space="preserve"> faktor</w:t>
      </w:r>
      <w:r w:rsidR="00DC2C0B">
        <w:t>, og det er således uden betydning for vurderingen af</w:t>
      </w:r>
      <w:r w:rsidR="00F03423">
        <w:t>,</w:t>
      </w:r>
      <w:r w:rsidR="00DC2C0B">
        <w:t xml:space="preserve"> hvem der skal bære ris</w:t>
      </w:r>
      <w:r w:rsidR="00EE59F0">
        <w:t>ikoen</w:t>
      </w:r>
      <w:r w:rsidR="00F03423">
        <w:t>,</w:t>
      </w:r>
      <w:r w:rsidR="00E70408">
        <w:t xml:space="preserve"> at skaden kommer fra en</w:t>
      </w:r>
      <w:r w:rsidR="003A1170">
        <w:t xml:space="preserve"> ulovlig</w:t>
      </w:r>
      <w:r w:rsidR="00DC2C0B">
        <w:t xml:space="preserve"> elinstallation. </w:t>
      </w:r>
      <w:r w:rsidR="00EE59F0">
        <w:t>Baggrunden for LFFE § 2, stk. 5, 1. pkt. er, at sælger som u</w:t>
      </w:r>
      <w:r w:rsidR="00EE59F0">
        <w:t>d</w:t>
      </w:r>
      <w:r w:rsidR="00EE59F0">
        <w:t>gangspunkt ikke bør fritages for mangelshæftelsen med hensyn til forhold, som ikke belyses i en tilstandsrapport, og som køber ikke kan forsikre sig imod.</w:t>
      </w:r>
      <w:r w:rsidR="00EE59F0">
        <w:rPr>
          <w:rStyle w:val="Fodnotehenvisning"/>
        </w:rPr>
        <w:footnoteReference w:id="100"/>
      </w:r>
      <w:r w:rsidR="00F03423">
        <w:t xml:space="preserve"> </w:t>
      </w:r>
      <w:r w:rsidR="00EE59F0">
        <w:t>Skader og fare for skader vil som u</w:t>
      </w:r>
      <w:r w:rsidR="00EE59F0">
        <w:t>d</w:t>
      </w:r>
      <w:r w:rsidR="00EE59F0">
        <w:t>gangspunkt være afdækket i en tilstand</w:t>
      </w:r>
      <w:r w:rsidR="00276CFA">
        <w:t>srapport, og hvis dette ikke er tilfæ</w:t>
      </w:r>
      <w:r w:rsidR="00EE59F0">
        <w:t>ldet, kan skaderne være dækket af en eventuelt tegnet ejerskifteforsikring, eller af den bygningssagkyndige</w:t>
      </w:r>
      <w:r w:rsidR="00F03423">
        <w:t>s professionsa</w:t>
      </w:r>
      <w:r w:rsidR="00F03423">
        <w:t>n</w:t>
      </w:r>
      <w:r w:rsidR="00F03423">
        <w:t>svar</w:t>
      </w:r>
      <w:r w:rsidR="00EE59F0">
        <w:t>.</w:t>
      </w:r>
      <w:r w:rsidR="003A4839">
        <w:t xml:space="preserve"> I de situationer hvor skader som følge af en ulovlig elinstallation ikke</w:t>
      </w:r>
      <w:r w:rsidR="00276CFA">
        <w:t xml:space="preserve"> er afdækket i en ti</w:t>
      </w:r>
      <w:r w:rsidR="00276CFA">
        <w:t>l</w:t>
      </w:r>
      <w:r w:rsidR="00276CFA">
        <w:t>standsrapport</w:t>
      </w:r>
      <w:r w:rsidR="008A235F">
        <w:t>,</w:t>
      </w:r>
      <w:r w:rsidR="00276CFA">
        <w:t xml:space="preserve"> og køber </w:t>
      </w:r>
      <w:r w:rsidR="003A4839">
        <w:t>ikke kan forsikre sig imod disse skader, vil skaderne</w:t>
      </w:r>
      <w:r w:rsidR="008A235F">
        <w:t xml:space="preserve"> eventuelt</w:t>
      </w:r>
      <w:r w:rsidR="003A4839">
        <w:t xml:space="preserve"> kunne påb</w:t>
      </w:r>
      <w:r w:rsidR="003A4839">
        <w:t>e</w:t>
      </w:r>
      <w:r w:rsidR="003A4839">
        <w:t>råbes overfor sælger efter</w:t>
      </w:r>
      <w:r w:rsidR="00276CFA">
        <w:t xml:space="preserve"> en af de andre undtagelsesbestemmelser i LFFE § 2, stk. 5</w:t>
      </w:r>
      <w:r w:rsidR="008A235F">
        <w:t xml:space="preserve"> eller overfor den bygningssagkyndige</w:t>
      </w:r>
      <w:r w:rsidR="00276CFA">
        <w:t>.</w:t>
      </w:r>
      <w:r w:rsidR="008A235F">
        <w:rPr>
          <w:rStyle w:val="Fodnotehenvisning"/>
        </w:rPr>
        <w:footnoteReference w:id="101"/>
      </w:r>
      <w:r w:rsidR="00276CFA">
        <w:t xml:space="preserve"> Derved kan det konstateres at skader eller risiko for skader, der opstår som følge af en u</w:t>
      </w:r>
      <w:r w:rsidR="003A4839">
        <w:t>lovlig elinstallation ikke</w:t>
      </w:r>
      <w:r w:rsidR="00276CFA">
        <w:t xml:space="preserve"> er en del af LFFE § 2, stk. 5, 1. pkt’s anvendelsesområde.</w:t>
      </w:r>
    </w:p>
    <w:p w14:paraId="1A80DEEF" w14:textId="77777777" w:rsidR="00E32FDE" w:rsidRDefault="00E32FDE" w:rsidP="000D68A0"/>
    <w:p w14:paraId="5CF54190" w14:textId="2A13FE55" w:rsidR="00E32FDE" w:rsidRDefault="00E32FDE" w:rsidP="000D68A0">
      <w:r>
        <w:t>Ove</w:t>
      </w:r>
      <w:r w:rsidR="00A54682">
        <w:t>nfor er redegjort for</w:t>
      </w:r>
      <w:r w:rsidR="00E266ED">
        <w:t xml:space="preserve"> fire forhold,</w:t>
      </w:r>
      <w:r w:rsidR="008A235F">
        <w:t xml:space="preserve"> som kan</w:t>
      </w:r>
      <w:r>
        <w:t xml:space="preserve"> opstå i forbindelse med </w:t>
      </w:r>
      <w:r w:rsidR="00CA664E">
        <w:t xml:space="preserve">at </w:t>
      </w:r>
      <w:r>
        <w:t>en ulovlig elinstallation</w:t>
      </w:r>
      <w:r w:rsidR="00007047">
        <w:t xml:space="preserve"> i en ejendom</w:t>
      </w:r>
      <w:r>
        <w:t xml:space="preserve">. </w:t>
      </w:r>
      <w:r w:rsidR="0067698A">
        <w:t xml:space="preserve">Højesteret er </w:t>
      </w:r>
      <w:r w:rsidR="00CA664E">
        <w:t>frem</w:t>
      </w:r>
      <w:r w:rsidR="0067698A">
        <w:t>kommet m</w:t>
      </w:r>
      <w:r w:rsidR="009B7C23">
        <w:t>ed en simpel løsning på, hvorledes</w:t>
      </w:r>
      <w:r w:rsidR="0067698A">
        <w:t xml:space="preserve"> anvendelsesområdet f</w:t>
      </w:r>
      <w:r w:rsidR="00007047">
        <w:t>or LFFE § 2,</w:t>
      </w:r>
      <w:r w:rsidR="00CA664E">
        <w:t xml:space="preserve"> stk. 5, 1. pkt. skal</w:t>
      </w:r>
      <w:r w:rsidR="0067698A">
        <w:t xml:space="preserve"> afgrænses</w:t>
      </w:r>
      <w:r w:rsidR="009B7C23">
        <w:t xml:space="preserve">. </w:t>
      </w:r>
      <w:r w:rsidR="00E266ED">
        <w:t>Ved</w:t>
      </w:r>
      <w:r w:rsidR="0067698A">
        <w:t xml:space="preserve"> U.2002.282H</w:t>
      </w:r>
      <w:r w:rsidR="001F0C50">
        <w:t xml:space="preserve"> </w:t>
      </w:r>
      <w:r w:rsidR="00007047">
        <w:t>fastslår Højesteret</w:t>
      </w:r>
      <w:r w:rsidR="001F0C50">
        <w:t>, at det e</w:t>
      </w:r>
      <w:r w:rsidR="00CA664E">
        <w:t>neste der har betydning for</w:t>
      </w:r>
      <w:r w:rsidR="00007047">
        <w:t>,</w:t>
      </w:r>
      <w:r w:rsidR="00CA664E">
        <w:t xml:space="preserve"> om e</w:t>
      </w:r>
      <w:r w:rsidR="001F0C50">
        <w:t>t forhol</w:t>
      </w:r>
      <w:r w:rsidR="00CA664E">
        <w:t>d kan karakteriseres som hørende</w:t>
      </w:r>
      <w:r w:rsidR="001F0C50">
        <w:t xml:space="preserve"> under LFFE § 2, stk. 5, 1. pkt’s anven</w:t>
      </w:r>
      <w:r w:rsidR="00CA664E">
        <w:t>delsesområde</w:t>
      </w:r>
      <w:r w:rsidR="001F0C50">
        <w:t xml:space="preserve"> er</w:t>
      </w:r>
      <w:r w:rsidR="00CA664E">
        <w:t>,</w:t>
      </w:r>
      <w:r w:rsidR="001F0C50">
        <w:t xml:space="preserve"> om forholdet er dækket af en ejerskiftefor</w:t>
      </w:r>
      <w:r w:rsidR="008A235F">
        <w:t>sikring</w:t>
      </w:r>
      <w:r w:rsidR="001F0C50">
        <w:t>. Det er således den enkelte ejerskifteforsikrings dækningsomfang</w:t>
      </w:r>
      <w:r w:rsidR="00CA664E">
        <w:t>,</w:t>
      </w:r>
      <w:r w:rsidR="001F0C50">
        <w:t xml:space="preserve"> der er afgørende for, om et forhold skal henledes til LFFE § 2, stk. 5, 1. pkt. Idet policerne</w:t>
      </w:r>
      <w:r w:rsidR="00CA664E">
        <w:t xml:space="preserve"> til ejerskifteforsikringerne</w:t>
      </w:r>
      <w:r w:rsidR="001F0C50">
        <w:t xml:space="preserve"> antag</w:t>
      </w:r>
      <w:r w:rsidR="008A235F">
        <w:t xml:space="preserve">es at være forskellige, </w:t>
      </w:r>
      <w:r w:rsidR="001F0C50">
        <w:t>anvendes</w:t>
      </w:r>
      <w:r w:rsidR="008A235F">
        <w:t xml:space="preserve"> ESBK</w:t>
      </w:r>
      <w:r w:rsidR="001F0C50">
        <w:t xml:space="preserve"> til at give et nogenlunde </w:t>
      </w:r>
      <w:r w:rsidR="00CA664E">
        <w:t>retvisende</w:t>
      </w:r>
      <w:r w:rsidR="001F0C50">
        <w:t xml:space="preserve"> billede af, hvornå</w:t>
      </w:r>
      <w:r w:rsidR="003D248F">
        <w:t>r elinstallationer kan anses for værende dækket af en ejerskifteforsikring, og således falde udenfor LFFE § 2, stk. 5, 1. pkt’s anvendelse</w:t>
      </w:r>
      <w:r w:rsidR="003D248F">
        <w:t>s</w:t>
      </w:r>
      <w:r w:rsidR="003D248F">
        <w:t>område. Denne bekendtgørelse giver s</w:t>
      </w:r>
      <w:r w:rsidR="008A235F">
        <w:t>amme billede, som de fire forhold</w:t>
      </w:r>
      <w:r w:rsidR="003D248F">
        <w:t xml:space="preserve"> ovenfor, såled</w:t>
      </w:r>
      <w:r w:rsidR="003626CC">
        <w:t>es at det kun er de forhold, der</w:t>
      </w:r>
      <w:r w:rsidR="003D248F">
        <w:t xml:space="preserve"> kan karakteriseres</w:t>
      </w:r>
      <w:r w:rsidR="00CA664E">
        <w:t xml:space="preserve"> som</w:t>
      </w:r>
      <w:r w:rsidR="003D248F">
        <w:t xml:space="preserve"> ulovlige elinstallatio</w:t>
      </w:r>
      <w:r w:rsidR="00CA664E">
        <w:t>ner, der</w:t>
      </w:r>
      <w:r w:rsidR="003D248F">
        <w:t xml:space="preserve"> ikke har medført skade eller fare for skade, som kan henføres til anvendelsesområdet for LFFE § 2, stk. 5, 1. pkt. Det er her uden betydning om køber er blevet påbudt at lovliggøre elinstal</w:t>
      </w:r>
      <w:r w:rsidR="00E266ED">
        <w:t>lationen eller ej, idet</w:t>
      </w:r>
      <w:r w:rsidR="00007047">
        <w:t xml:space="preserve"> </w:t>
      </w:r>
      <w:r w:rsidR="00E266ED">
        <w:t>Højesteret slår fast i dommen,</w:t>
      </w:r>
      <w:r w:rsidR="003D248F">
        <w:t xml:space="preserve"> at køber ikke skal acceptere at overtage en ejendom med ulovlige elinstallationer.</w:t>
      </w:r>
    </w:p>
    <w:p w14:paraId="0987E4E9" w14:textId="77777777" w:rsidR="00CA664E" w:rsidRDefault="00CA664E" w:rsidP="000D68A0"/>
    <w:p w14:paraId="3D658381" w14:textId="66D22EFB" w:rsidR="00CA664E" w:rsidRPr="000D68A0" w:rsidRDefault="00007047" w:rsidP="000D68A0">
      <w:r>
        <w:t xml:space="preserve">Samlet set </w:t>
      </w:r>
      <w:r w:rsidR="00CA664E">
        <w:t>afdækkes anvendelsesområdet for LFFE § 2, stk. 5, 1. pkt. af den enkelte ejerskiftefo</w:t>
      </w:r>
      <w:r w:rsidR="00CA664E">
        <w:t>r</w:t>
      </w:r>
      <w:r w:rsidR="00CA664E">
        <w:t>sikrings dækningsomfang. Idet dæ</w:t>
      </w:r>
      <w:r w:rsidR="003626CC">
        <w:t>kningsomfanget på</w:t>
      </w:r>
      <w:r w:rsidR="00CA664E">
        <w:t xml:space="preserve"> ejerskifteforsikringer er forskellige anvendes ESBK som udgangspunkt for, hvad der omfattes af LFFE § 2, stk. 5, 1. pkt. Ifølge ESBK er det således elinstallationer, som ikke har medført skade eller fare for skade, som kan henføres til undt</w:t>
      </w:r>
      <w:r w:rsidR="00CA664E">
        <w:t>a</w:t>
      </w:r>
      <w:r w:rsidR="00CA664E">
        <w:t xml:space="preserve">gelsesbestemmelsen. </w:t>
      </w:r>
      <w:r w:rsidR="003A55E5">
        <w:t>Andre forhold med ulovlige elinstallationer skal henføres enten til beskytte</w:t>
      </w:r>
      <w:r w:rsidR="003A55E5">
        <w:t>l</w:t>
      </w:r>
      <w:r w:rsidR="003A55E5">
        <w:t>sesordningen i LFFE § 2, stk. 1 eller de andre undtagelsesbestemmelser i LFFE § 2, stk. 5.</w:t>
      </w:r>
    </w:p>
    <w:p w14:paraId="26404648" w14:textId="77777777" w:rsidR="006644A8" w:rsidRPr="006644A8" w:rsidRDefault="006644A8" w:rsidP="006644A8"/>
    <w:p w14:paraId="7486A26D" w14:textId="39BDB71A" w:rsidR="00BA3098" w:rsidRDefault="00BA3098" w:rsidP="001A79AD">
      <w:pPr>
        <w:pStyle w:val="Overskrift1"/>
      </w:pPr>
      <w:r>
        <w:br w:type="column"/>
      </w:r>
      <w:bookmarkStart w:id="37" w:name="_Toc179963440"/>
      <w:r w:rsidR="00A82A22">
        <w:t xml:space="preserve">4.0 </w:t>
      </w:r>
      <w:r>
        <w:t>Ulovlige elinstallationer i L89</w:t>
      </w:r>
      <w:bookmarkEnd w:id="37"/>
    </w:p>
    <w:p w14:paraId="4D91C9EA" w14:textId="5C10C138" w:rsidR="00910BEB" w:rsidRDefault="00910BEB" w:rsidP="00910BEB">
      <w:r>
        <w:t>Folketinget har d. 30. maj 2011 vedtaget Lov om ændring af lov om forbrugerbeskyttelse ved e</w:t>
      </w:r>
      <w:r>
        <w:t>r</w:t>
      </w:r>
      <w:r>
        <w:t>hvervelse af fast ejendom mv.</w:t>
      </w:r>
      <w:r w:rsidR="00961CD8">
        <w:t xml:space="preserve"> (L89)</w:t>
      </w:r>
      <w:r>
        <w:t xml:space="preserve">, hvor </w:t>
      </w:r>
      <w:r w:rsidR="00B16844">
        <w:t>formålet er at give forbrugeren en endnu bedre beskytte</w:t>
      </w:r>
      <w:r w:rsidR="00B16844">
        <w:t>l</w:t>
      </w:r>
      <w:r w:rsidR="00B16844">
        <w:t>se end hidtil, når denne handler med</w:t>
      </w:r>
      <w:r w:rsidR="00961CD8">
        <w:t xml:space="preserve"> fast ejendom. L89 beskytter</w:t>
      </w:r>
      <w:r w:rsidR="00B16844">
        <w:t xml:space="preserve"> både køber og sælger af en fast ejendom, idet der er sket</w:t>
      </w:r>
      <w:r w:rsidR="006E0B23">
        <w:t xml:space="preserve"> en</w:t>
      </w:r>
      <w:r w:rsidR="00B16844">
        <w:t xml:space="preserve"> udvidelse</w:t>
      </w:r>
      <w:r w:rsidR="006E0B23">
        <w:t xml:space="preserve"> af</w:t>
      </w:r>
      <w:r w:rsidR="00B16844">
        <w:t xml:space="preserve"> beskyttelsesordningen for sælger, samt</w:t>
      </w:r>
      <w:r w:rsidR="006E0B23">
        <w:t xml:space="preserve"> en udvidelse af</w:t>
      </w:r>
      <w:r w:rsidR="00B16844">
        <w:t xml:space="preserve"> opl</w:t>
      </w:r>
      <w:r w:rsidR="00961CD8">
        <w:t>ysningsgrundlaget til køber</w:t>
      </w:r>
      <w:r w:rsidR="00B16844">
        <w:t xml:space="preserve"> og dækningsomfanget af ejerskifteforsikringen. L89 udspringer af Bet. nr. 1520/2010, som er udarbejdet af et udvalg nedsat af Justitsministeriet. Udvalget har taget stilling til, hvorledes den</w:t>
      </w:r>
      <w:r w:rsidR="00961CD8">
        <w:t xml:space="preserve"> gamle beskyttelsesordning</w:t>
      </w:r>
      <w:r w:rsidR="0045760A">
        <w:t xml:space="preserve"> i LFFE</w:t>
      </w:r>
      <w:r w:rsidR="00961CD8">
        <w:t xml:space="preserve"> kan</w:t>
      </w:r>
      <w:r w:rsidR="00B16844">
        <w:t xml:space="preserve"> forbedres, og dette er blandt andet sket ud fra Re</w:t>
      </w:r>
      <w:r w:rsidR="00961CD8">
        <w:t>aldanias r</w:t>
      </w:r>
      <w:r w:rsidR="00B16844">
        <w:t>apport fra 2006 om huseftersynsordningen.</w:t>
      </w:r>
      <w:r w:rsidR="00961CD8">
        <w:rPr>
          <w:rStyle w:val="Fodnotehenvisning"/>
        </w:rPr>
        <w:footnoteReference w:id="102"/>
      </w:r>
      <w:r w:rsidR="00B16844">
        <w:t xml:space="preserve"> Formålet med</w:t>
      </w:r>
      <w:r w:rsidR="0045760A">
        <w:t xml:space="preserve"> Realdanias</w:t>
      </w:r>
      <w:r w:rsidR="00B16844">
        <w:t xml:space="preserve"> rappor</w:t>
      </w:r>
      <w:r w:rsidR="0045760A">
        <w:t>t var</w:t>
      </w:r>
      <w:r w:rsidR="00B16844">
        <w:t xml:space="preserve"> at gøre status over b</w:t>
      </w:r>
      <w:r w:rsidR="0045760A">
        <w:t>eskyttelsesordningen, der på</w:t>
      </w:r>
      <w:r w:rsidR="00B16844">
        <w:t xml:space="preserve"> </w:t>
      </w:r>
      <w:r w:rsidR="0045760A">
        <w:t>udarbejdelses</w:t>
      </w:r>
      <w:r w:rsidR="00B16844">
        <w:t>tidspunkt</w:t>
      </w:r>
      <w:r w:rsidR="0045760A">
        <w:t>et</w:t>
      </w:r>
      <w:r w:rsidR="00B16844">
        <w:t xml:space="preserve"> havde eks</w:t>
      </w:r>
      <w:r w:rsidR="00B16844">
        <w:t>i</w:t>
      </w:r>
      <w:r w:rsidR="00B16844">
        <w:t xml:space="preserve">steret i 10 år. </w:t>
      </w:r>
      <w:r w:rsidR="00B16844">
        <w:rPr>
          <w:rStyle w:val="Fodnotehenvisning"/>
        </w:rPr>
        <w:footnoteReference w:id="103"/>
      </w:r>
      <w:r w:rsidR="00B16844">
        <w:t xml:space="preserve"> Rap</w:t>
      </w:r>
      <w:r w:rsidR="0045760A">
        <w:t>porten har</w:t>
      </w:r>
      <w:r w:rsidR="00B16844">
        <w:t xml:space="preserve"> ligeledes det formål at skulle inspirere til eventuelle ændringer i den måde, hvorpå beskyttelsesordning</w:t>
      </w:r>
      <w:r w:rsidR="0045760A">
        <w:t>en er indrettet. Konklusionen på rapporten er</w:t>
      </w:r>
      <w:r w:rsidR="003626CC">
        <w:t>,</w:t>
      </w:r>
      <w:r w:rsidR="0045760A">
        <w:t xml:space="preserve"> at både køber</w:t>
      </w:r>
      <w:r w:rsidR="00B16844">
        <w:t xml:space="preserve"> og sælge</w:t>
      </w:r>
      <w:r w:rsidR="0045760A">
        <w:t>r</w:t>
      </w:r>
      <w:r w:rsidR="00B16844">
        <w:t xml:space="preserve"> er meget tilfred</w:t>
      </w:r>
      <w:r w:rsidR="0045760A">
        <w:t>s</w:t>
      </w:r>
      <w:r w:rsidR="003626CC">
        <w:t>e</w:t>
      </w:r>
      <w:r w:rsidR="00B16844">
        <w:t xml:space="preserve"> med beskyttelsesordningen</w:t>
      </w:r>
      <w:r w:rsidR="009B7C23">
        <w:t xml:space="preserve"> i LFFE</w:t>
      </w:r>
      <w:r w:rsidR="00690303">
        <w:t>. Næsten 90% af boligejerne tillægger beskyttelsesordningen stor betydning, og der er stor opbakning til at videreføre beskyttelsesordni</w:t>
      </w:r>
      <w:r w:rsidR="00690303">
        <w:t>n</w:t>
      </w:r>
      <w:r w:rsidR="00690303">
        <w:t>gen, men også til at udbygge og forbedre den.</w:t>
      </w:r>
      <w:r w:rsidR="00690303">
        <w:rPr>
          <w:rStyle w:val="Fodnotehenvisning"/>
        </w:rPr>
        <w:footnoteReference w:id="104"/>
      </w:r>
      <w:r w:rsidR="003626CC">
        <w:t xml:space="preserve"> En stor del af sælger og køber er ligeledes villig til at erlægge en merbetaling for forbedringer i beskyttelsesordningen.</w:t>
      </w:r>
    </w:p>
    <w:p w14:paraId="307AF5AF" w14:textId="77777777" w:rsidR="00690303" w:rsidRDefault="00690303" w:rsidP="00910BEB"/>
    <w:p w14:paraId="78301802" w14:textId="7F466D36" w:rsidR="00690303" w:rsidRDefault="00690303" w:rsidP="00910BEB">
      <w:r>
        <w:t>L89 udvider beskyttelsesordni</w:t>
      </w:r>
      <w:r w:rsidR="0045760A">
        <w:t>ngens anvendelsesområde til</w:t>
      </w:r>
      <w:r>
        <w:t xml:space="preserve"> at omfatte ulovlige elinstallationer, idet der med L89 skal udarbejdes en elinstallationsrapport til køber, hvorefter køber bliver bedre oplyst omkring ejendommens elinstallationer, og sælger bliver fritaget at hæfte for disse. Hvis der findes ulovlige elinstallationer på ejendommen, bliver disse konstateret inden køber træffer beslut</w:t>
      </w:r>
      <w:r w:rsidR="0045760A">
        <w:t>ning omkring prissætningen af ejendommen</w:t>
      </w:r>
      <w:r>
        <w:t>, således at køber kan tage forbehold for</w:t>
      </w:r>
      <w:r w:rsidR="0045760A">
        <w:t xml:space="preserve"> eventuelle</w:t>
      </w:r>
      <w:r>
        <w:t xml:space="preserve"> udbe</w:t>
      </w:r>
      <w:r>
        <w:t>d</w:t>
      </w:r>
      <w:r>
        <w:t>ringsomkostninger, når denne afgive</w:t>
      </w:r>
      <w:r w:rsidR="0045760A">
        <w:t>r sit bud på en købesum.</w:t>
      </w:r>
      <w:r w:rsidR="003626CC">
        <w:t xml:space="preserve"> De ulovlige elinstallationer, der ikke bliver oplyst overfor køber i elinstallationsrapporten inden overtagelsesdagen, bliver dækket af eje</w:t>
      </w:r>
      <w:r w:rsidR="003626CC">
        <w:t>r</w:t>
      </w:r>
      <w:r w:rsidR="003626CC">
        <w:t>skifteforsikringen, hvorfor dennes anvendelsesområde ligeledes udvides.</w:t>
      </w:r>
    </w:p>
    <w:p w14:paraId="0BEFA1B2" w14:textId="77777777" w:rsidR="00C054AD" w:rsidRDefault="00C054AD" w:rsidP="00910BEB"/>
    <w:p w14:paraId="031AED1B" w14:textId="343DAA83" w:rsidR="00C054AD" w:rsidRPr="00910BEB" w:rsidRDefault="0045760A" w:rsidP="00910BEB">
      <w:r>
        <w:t>Nedenfor findes</w:t>
      </w:r>
      <w:r w:rsidR="00C054AD">
        <w:t xml:space="preserve"> en gennemgang af de bestemmelser</w:t>
      </w:r>
      <w:r w:rsidR="009B224F">
        <w:t xml:space="preserve"> i L89</w:t>
      </w:r>
      <w:r>
        <w:t>, som er relevante</w:t>
      </w:r>
      <w:r w:rsidR="00C054AD">
        <w:t xml:space="preserve"> i forhold til elinstall</w:t>
      </w:r>
      <w:r w:rsidR="00C054AD">
        <w:t>a</w:t>
      </w:r>
      <w:r w:rsidR="00C054AD">
        <w:t>tio</w:t>
      </w:r>
      <w:r>
        <w:t>ner. De øvrige</w:t>
      </w:r>
      <w:r w:rsidR="00C054AD">
        <w:t xml:space="preserve"> bestemmelser i L89 vil ikke blive genstand for</w:t>
      </w:r>
      <w:r>
        <w:t xml:space="preserve"> nærmere</w:t>
      </w:r>
      <w:r w:rsidR="00C054AD">
        <w:t xml:space="preserve"> gennemgang i dette sp</w:t>
      </w:r>
      <w:r w:rsidR="00C054AD">
        <w:t>e</w:t>
      </w:r>
      <w:r w:rsidR="00C054AD">
        <w:t>ciale.</w:t>
      </w:r>
    </w:p>
    <w:p w14:paraId="2D8F3A5B" w14:textId="3E262B39" w:rsidR="008A3FC5" w:rsidRDefault="00A82A22" w:rsidP="001A79AD">
      <w:pPr>
        <w:pStyle w:val="Overskrift2"/>
      </w:pPr>
      <w:bookmarkStart w:id="38" w:name="_Toc179963441"/>
      <w:r>
        <w:t xml:space="preserve">4.1 </w:t>
      </w:r>
      <w:r w:rsidR="00E23BE0">
        <w:t>Sælgerbeskyttelsen i L89 § 1</w:t>
      </w:r>
      <w:r w:rsidR="008A3FC5">
        <w:t xml:space="preserve">, stk. </w:t>
      </w:r>
      <w:r w:rsidR="00E23BE0">
        <w:t>2</w:t>
      </w:r>
      <w:bookmarkEnd w:id="38"/>
    </w:p>
    <w:p w14:paraId="15A27F80" w14:textId="1100AA93" w:rsidR="00C054AD" w:rsidRDefault="0045760A" w:rsidP="00C054AD">
      <w:r>
        <w:t>Den udvidede sælgerbeskyttelse</w:t>
      </w:r>
      <w:r w:rsidR="00E23BE0">
        <w:t xml:space="preserve"> er affattet i L</w:t>
      </w:r>
      <w:r w:rsidR="00C739CF">
        <w:t>89 § 1, nr</w:t>
      </w:r>
      <w:r w:rsidR="00E23BE0">
        <w:t>. 2 (fremtidige LFFE § 2, stk. 1)</w:t>
      </w:r>
      <w:r>
        <w:t>. Denne</w:t>
      </w:r>
      <w:r w:rsidR="00E23BE0">
        <w:t xml:space="preserve"> anfø</w:t>
      </w:r>
      <w:r>
        <w:t>rer,</w:t>
      </w:r>
      <w:r w:rsidR="00E23BE0">
        <w:t xml:space="preserve"> at hvis køber fra sælgeren har modtaget en tilstandsrapport og en elinstallationsrapport,</w:t>
      </w:r>
      <w:r w:rsidR="009B7C23">
        <w:rPr>
          <w:rStyle w:val="Fodnotehenvisning"/>
        </w:rPr>
        <w:footnoteReference w:id="105"/>
      </w:r>
      <w:r w:rsidR="00E23BE0">
        <w:t xml:space="preserve"> kan køber ikke overfor sælger påberåbe sig, at en bygnings fysiske tilstand er mangelfuld, eller at en bygnings elinstallationer ikke er funktionsdygtige eller er ulovlige i henhold til offentligretlige forskrifter, jf. dog stk. 2-7 i fremtidige LFFE § 2.</w:t>
      </w:r>
      <w:r w:rsidR="009B7C23">
        <w:rPr>
          <w:rStyle w:val="Fodnotehenvisning"/>
        </w:rPr>
        <w:footnoteReference w:id="106"/>
      </w:r>
      <w:r w:rsidR="00E23BE0">
        <w:t xml:space="preserve"> Sælger kan således opnå</w:t>
      </w:r>
      <w:r w:rsidR="003626CC">
        <w:t xml:space="preserve"> beskyttelse mod ma</w:t>
      </w:r>
      <w:r w:rsidR="003626CC">
        <w:t>n</w:t>
      </w:r>
      <w:r w:rsidR="003626CC">
        <w:t>gelsansvar</w:t>
      </w:r>
      <w:r w:rsidR="00E23BE0">
        <w:t xml:space="preserve"> af fysiske mangler og ulovlige elinstallationer</w:t>
      </w:r>
      <w:r>
        <w:t xml:space="preserve"> i ejendommen</w:t>
      </w:r>
      <w:r w:rsidR="00E23BE0">
        <w:t>, hvis sælger frembringer en tilstandsrapport og en elinst</w:t>
      </w:r>
      <w:r w:rsidR="009B7C23">
        <w:t>allationsrapport til køber,</w:t>
      </w:r>
      <w:r w:rsidR="00E23BE0">
        <w:t xml:space="preserve"> fremkommer </w:t>
      </w:r>
      <w:r w:rsidR="00F15DB7">
        <w:t xml:space="preserve">med </w:t>
      </w:r>
      <w:r w:rsidR="00E23BE0">
        <w:t>oplysninger om en ejerski</w:t>
      </w:r>
      <w:r w:rsidR="00E23BE0">
        <w:t>f</w:t>
      </w:r>
      <w:r w:rsidR="00E23BE0">
        <w:t>tef</w:t>
      </w:r>
      <w:r w:rsidR="00AF56A4">
        <w:t>orsikring</w:t>
      </w:r>
      <w:r w:rsidR="002460AB">
        <w:t>, tilbyder at betale halvdelen af præmien til denne samt gør køber det klart, hvad ret</w:t>
      </w:r>
      <w:r w:rsidR="002460AB">
        <w:t>s</w:t>
      </w:r>
      <w:r w:rsidR="002460AB">
        <w:t>virkningerne er</w:t>
      </w:r>
      <w:r w:rsidR="00AF56A4">
        <w:t>. At sælger skal frembringe en tilstandsrapport er ikke en nyskabelse, men blot en videreførelse af den gamle best</w:t>
      </w:r>
      <w:r>
        <w:t xml:space="preserve">emmelse i LFFE § 2, stk. 1, jf. </w:t>
      </w:r>
      <w:r w:rsidR="00AF56A4" w:rsidRPr="009D0254">
        <w:t>afsnit 2.3.1</w:t>
      </w:r>
      <w:r w:rsidR="00AF56A4">
        <w:t xml:space="preserve"> ovenfor</w:t>
      </w:r>
      <w:r>
        <w:t xml:space="preserve"> for nærmere u</w:t>
      </w:r>
      <w:r>
        <w:t>d</w:t>
      </w:r>
      <w:r>
        <w:t>dybning af den gamle sælgerbeskyttelse</w:t>
      </w:r>
      <w:r w:rsidR="00AF56A4">
        <w:t>. Udvidelsen består i, at sælger skal fremkomme med en elinstallationsrap</w:t>
      </w:r>
      <w:r>
        <w:t>port, der</w:t>
      </w:r>
      <w:r w:rsidR="00AF56A4">
        <w:t xml:space="preserve"> er udarbejdet på bag</w:t>
      </w:r>
      <w:r w:rsidR="00745501">
        <w:t>grund af et el-tjek,</w:t>
      </w:r>
      <w:r w:rsidR="00AF56A4">
        <w:t xml:space="preserve"> forestået af en autoriseret elinsta</w:t>
      </w:r>
      <w:r w:rsidR="00AF56A4">
        <w:t>l</w:t>
      </w:r>
      <w:r w:rsidR="00AF56A4">
        <w:t>la</w:t>
      </w:r>
      <w:r>
        <w:t>tør,</w:t>
      </w:r>
      <w:r w:rsidR="00AF56A4">
        <w:t xml:space="preserve"> samt at sælgerbeskyttelsen fremover dækker ulovlige elinstallationer.</w:t>
      </w:r>
      <w:r w:rsidR="003626CC">
        <w:rPr>
          <w:rStyle w:val="Fodnotehenvisning"/>
        </w:rPr>
        <w:footnoteReference w:id="107"/>
      </w:r>
      <w:r w:rsidR="00745501">
        <w:t xml:space="preserve"> Køber bliver således gjort bekendt med standen af ejendommens elinstallationer, ind</w:t>
      </w:r>
      <w:r w:rsidR="00C30798">
        <w:t>en denne vedkender sig handelen. D</w:t>
      </w:r>
      <w:r w:rsidR="00745501">
        <w:t>erved</w:t>
      </w:r>
      <w:r w:rsidR="00C30798">
        <w:t xml:space="preserve"> kan køber</w:t>
      </w:r>
      <w:r w:rsidR="00745501">
        <w:t xml:space="preserve"> ind</w:t>
      </w:r>
      <w:r>
        <w:t>rette prissætningen af ejendommen</w:t>
      </w:r>
      <w:r w:rsidR="00745501">
        <w:t xml:space="preserve"> efter</w:t>
      </w:r>
      <w:r w:rsidR="00C30798">
        <w:t xml:space="preserve"> eventuelle</w:t>
      </w:r>
      <w:r w:rsidR="00745501">
        <w:t xml:space="preserve"> udbedringsomkostninger i forbindelse med </w:t>
      </w:r>
      <w:r w:rsidR="00D32446">
        <w:t>elinstallationerne. Sælger bliver på den anden side fritaget for at hæfte for event</w:t>
      </w:r>
      <w:r w:rsidR="00D32446">
        <w:t>u</w:t>
      </w:r>
      <w:r w:rsidR="00D32446">
        <w:t xml:space="preserve">elle mangler i forbindelse med elinstallationerne, og </w:t>
      </w:r>
      <w:r w:rsidR="002460AB">
        <w:t>undgår at blive</w:t>
      </w:r>
      <w:r w:rsidR="00D32446">
        <w:t xml:space="preserve"> overrasket af et sagsanlæg</w:t>
      </w:r>
      <w:r w:rsidR="002460AB">
        <w:t xml:space="preserve"> ve</w:t>
      </w:r>
      <w:r w:rsidR="002460AB">
        <w:t>d</w:t>
      </w:r>
      <w:r w:rsidR="002460AB">
        <w:t>rørende ulovlige elinstallationer</w:t>
      </w:r>
      <w:r w:rsidR="00C30798">
        <w:t xml:space="preserve"> fra køber langt tid efter</w:t>
      </w:r>
      <w:r w:rsidR="00D32446">
        <w:t xml:space="preserve"> at handelen er </w:t>
      </w:r>
      <w:r w:rsidR="00ED74A0">
        <w:t xml:space="preserve">endelig </w:t>
      </w:r>
      <w:r w:rsidR="00D32446">
        <w:t>gennemført.</w:t>
      </w:r>
    </w:p>
    <w:p w14:paraId="1563AEE0" w14:textId="77777777" w:rsidR="00D32446" w:rsidRDefault="00D32446" w:rsidP="00C054AD"/>
    <w:p w14:paraId="2C387BAD" w14:textId="4BC59A60" w:rsidR="00D32446" w:rsidRDefault="00D32446" w:rsidP="00C054AD">
      <w:r>
        <w:t>Udvidelsen betyder, at der som udgangspunkt skal foretages et e</w:t>
      </w:r>
      <w:r w:rsidR="00617DEC">
        <w:t>l-tjek af en ejendom, såfremt sæ</w:t>
      </w:r>
      <w:r w:rsidR="00617DEC">
        <w:t>l</w:t>
      </w:r>
      <w:r w:rsidR="00617DEC">
        <w:t>ger ønsker at bl</w:t>
      </w:r>
      <w:r w:rsidR="00ED74A0">
        <w:t>ive fritaget for mangelsansvar</w:t>
      </w:r>
      <w:r>
        <w:t>. De tilfæld</w:t>
      </w:r>
      <w:r w:rsidR="00ED74A0">
        <w:t>e hvor det</w:t>
      </w:r>
      <w:r w:rsidR="00653156">
        <w:t xml:space="preserve"> ikke er nødvendigt</w:t>
      </w:r>
      <w:r w:rsidR="00ED74A0">
        <w:t xml:space="preserve"> at få foret</w:t>
      </w:r>
      <w:r w:rsidR="00ED74A0">
        <w:t>a</w:t>
      </w:r>
      <w:r w:rsidR="00ED74A0">
        <w:t>get et el-tjek</w:t>
      </w:r>
      <w:r>
        <w:t xml:space="preserve"> er</w:t>
      </w:r>
      <w:r w:rsidR="00653156">
        <w:t>,</w:t>
      </w:r>
      <w:r w:rsidR="00ED74A0">
        <w:t xml:space="preserve"> hvor</w:t>
      </w:r>
      <w:r w:rsidR="002460AB">
        <w:t xml:space="preserve"> der i forvejen er foretaget et el-tjek, og</w:t>
      </w:r>
      <w:r w:rsidR="00ED74A0">
        <w:t xml:space="preserve"> dette</w:t>
      </w:r>
      <w:r>
        <w:t xml:space="preserve"> er</w:t>
      </w:r>
      <w:r w:rsidR="00ED74A0">
        <w:t xml:space="preserve"> foretaget</w:t>
      </w:r>
      <w:r>
        <w:t xml:space="preserve"> mindre end</w:t>
      </w:r>
      <w:r w:rsidR="00ED74A0">
        <w:t xml:space="preserve"> et år før den dag, hvor køber modtager elinstallationsrapporten, som fremkommer ved et el-tjek,</w:t>
      </w:r>
      <w:r w:rsidR="00C739CF">
        <w:t xml:space="preserve"> jf. L89</w:t>
      </w:r>
      <w:r>
        <w:t xml:space="preserve"> </w:t>
      </w:r>
      <w:r w:rsidR="00C739CF">
        <w:t>§ 1, nr</w:t>
      </w:r>
      <w:r w:rsidR="00653156">
        <w:t>. 9.</w:t>
      </w:r>
      <w:r w:rsidR="00ED74A0">
        <w:t xml:space="preserve"> E</w:t>
      </w:r>
      <w:r w:rsidR="00C30798">
        <w:t xml:space="preserve">t el-tjek forældes </w:t>
      </w:r>
      <w:r w:rsidR="00ED74A0">
        <w:t xml:space="preserve">således </w:t>
      </w:r>
      <w:r w:rsidR="00C30798">
        <w:t>efter et år. Et el-tjek</w:t>
      </w:r>
      <w:r w:rsidR="002A004B">
        <w:t xml:space="preserve"> skal </w:t>
      </w:r>
      <w:r w:rsidR="00C30798">
        <w:t>udføres</w:t>
      </w:r>
      <w:r w:rsidR="002A004B">
        <w:t xml:space="preserve"> af en autoriseret elinstalla</w:t>
      </w:r>
      <w:r w:rsidR="00617DEC">
        <w:t>tør, og denne skal u</w:t>
      </w:r>
      <w:r w:rsidR="002A004B">
        <w:t>dover en visuel gennemgang af de synlige for</w:t>
      </w:r>
      <w:r w:rsidR="00617DEC">
        <w:t xml:space="preserve">hold, </w:t>
      </w:r>
      <w:r w:rsidR="002A004B">
        <w:t>gennemføre en stikprøvemæssig undersøgelse af blandt andet nedhængte lofter, halogenspots og kontaktpunkter.</w:t>
      </w:r>
      <w:r w:rsidR="002A004B">
        <w:rPr>
          <w:rStyle w:val="Fodnotehenvisning"/>
        </w:rPr>
        <w:footnoteReference w:id="108"/>
      </w:r>
      <w:r w:rsidR="002A004B">
        <w:t xml:space="preserve"> Undersøgelsen skal resultere i udarbejdelse af en elinstallationsrapport, som er den rapport, der skal </w:t>
      </w:r>
      <w:r w:rsidR="00C653A3">
        <w:t>udleveres til køber inden han</w:t>
      </w:r>
      <w:r w:rsidR="00617DEC">
        <w:t>delens indgåelse. Såfremt</w:t>
      </w:r>
      <w:r w:rsidR="00C653A3">
        <w:t xml:space="preserve"> elinstallatøren konstaterer for</w:t>
      </w:r>
      <w:r w:rsidR="00617DEC">
        <w:t>hold under sin gennemgang af ejendommen, der</w:t>
      </w:r>
      <w:r w:rsidR="00C653A3">
        <w:t xml:space="preserve"> skal </w:t>
      </w:r>
      <w:r w:rsidR="00617DEC">
        <w:t>skildres</w:t>
      </w:r>
      <w:r w:rsidR="00C653A3">
        <w:t xml:space="preserve"> i elinstallationsrappor</w:t>
      </w:r>
      <w:r w:rsidR="00617DEC">
        <w:t>ten</w:t>
      </w:r>
      <w:r w:rsidR="002460AB">
        <w:t xml:space="preserve">, </w:t>
      </w:r>
      <w:r w:rsidR="00C653A3">
        <w:t>skærpes undersøgelsespligten.</w:t>
      </w:r>
      <w:r w:rsidR="00C653A3">
        <w:rPr>
          <w:rStyle w:val="Fodnotehenvisning"/>
        </w:rPr>
        <w:footnoteReference w:id="109"/>
      </w:r>
      <w:r w:rsidR="00C653A3">
        <w:t xml:space="preserve"> </w:t>
      </w:r>
      <w:r w:rsidR="00ED74A0">
        <w:t xml:space="preserve">At undersøgelsespligten skærpes svarer til den forpligtelse, som påhviler den bygningssagkyndige ved en bygningsgennemgang. </w:t>
      </w:r>
      <w:r w:rsidR="00C653A3">
        <w:t>Et el-tjek skal som udgangspunkt udføres uden de</w:t>
      </w:r>
      <w:r w:rsidR="00617DEC">
        <w:t xml:space="preserve">struktive indgreb. </w:t>
      </w:r>
      <w:r w:rsidR="00781A41">
        <w:t>Eli</w:t>
      </w:r>
      <w:r w:rsidR="00781A41">
        <w:t>n</w:t>
      </w:r>
      <w:r w:rsidR="00781A41">
        <w:t>stallatøren skal under et el-tjek stikprøvevis undersøge aftage</w:t>
      </w:r>
      <w:r w:rsidR="002460AB">
        <w:t xml:space="preserve">lige og løftbare dele af </w:t>
      </w:r>
      <w:r w:rsidR="00781A41">
        <w:t>elinstallati</w:t>
      </w:r>
      <w:r w:rsidR="00781A41">
        <w:t>o</w:t>
      </w:r>
      <w:r w:rsidR="00781A41">
        <w:t>nerne. Dette kunne være at adskille enkelte kontakter og ned</w:t>
      </w:r>
      <w:r w:rsidR="001B1B39">
        <w:t>tage enkelte halogenspots, hvilket ikke</w:t>
      </w:r>
      <w:r w:rsidR="00781A41">
        <w:t xml:space="preserve"> an</w:t>
      </w:r>
      <w:r w:rsidR="001B1B39">
        <w:t>ses</w:t>
      </w:r>
      <w:r w:rsidR="00781A41">
        <w:t xml:space="preserve"> som værende destruktive indgreb, idet undersøgelsen ikke ødelægger elinstallationerne eller kontakten omkring.</w:t>
      </w:r>
      <w:r w:rsidR="00617DEC">
        <w:t xml:space="preserve"> </w:t>
      </w:r>
      <w:r w:rsidR="00D71468">
        <w:t>Til sidst skal det fremgå af elinstallationsrapporten, hvilke forhold der er unde</w:t>
      </w:r>
      <w:r w:rsidR="00D71468">
        <w:t>r</w:t>
      </w:r>
      <w:r w:rsidR="00D71468">
        <w:t>søgt ved de enkelte installati</w:t>
      </w:r>
      <w:r w:rsidR="009435AD">
        <w:t>oner, for at bringe klarhed over</w:t>
      </w:r>
      <w:r w:rsidR="00D71468">
        <w:t xml:space="preserve"> præcis</w:t>
      </w:r>
      <w:r w:rsidR="009435AD">
        <w:t>t,</w:t>
      </w:r>
      <w:r w:rsidR="002460AB">
        <w:t xml:space="preserve"> hvad der er undersøgt. </w:t>
      </w:r>
      <w:r w:rsidR="00D71468">
        <w:t>Dette kan blive anvendeligt v</w:t>
      </w:r>
      <w:r w:rsidR="009435AD">
        <w:t>ed en eventuel forsikringssag, således at forsikringsselskabet kan fastslå hvilke elinstallationer, der har været genstand for nærmere gennemgang</w:t>
      </w:r>
      <w:r w:rsidR="00D71468">
        <w:t>.</w:t>
      </w:r>
      <w:r w:rsidR="00D71468">
        <w:rPr>
          <w:rStyle w:val="Fodnotehenvisning"/>
        </w:rPr>
        <w:footnoteReference w:id="110"/>
      </w:r>
      <w:r w:rsidR="00D71468">
        <w:t xml:space="preserve"> </w:t>
      </w:r>
    </w:p>
    <w:p w14:paraId="2FFF9D46" w14:textId="77777777" w:rsidR="00F15DB7" w:rsidRDefault="00F15DB7" w:rsidP="00C054AD"/>
    <w:p w14:paraId="7C415002" w14:textId="337C3D17" w:rsidR="00F15DB7" w:rsidRPr="00C054AD" w:rsidRDefault="002460AB" w:rsidP="00C054AD">
      <w:r>
        <w:t>Samlet</w:t>
      </w:r>
      <w:r w:rsidR="00F15DB7">
        <w:t xml:space="preserve"> bliver sælgerbeskyttelsen </w:t>
      </w:r>
      <w:r>
        <w:t>i sin nuværende form udvidet til</w:t>
      </w:r>
      <w:r w:rsidR="009435AD">
        <w:t xml:space="preserve"> også at omfatte</w:t>
      </w:r>
      <w:r w:rsidR="00F15DB7">
        <w:t xml:space="preserve"> elinstallatio</w:t>
      </w:r>
      <w:r>
        <w:t>ner. Udvidelsen</w:t>
      </w:r>
      <w:r w:rsidR="00F15DB7">
        <w:t xml:space="preserve"> betyder, at sælger skal fremkomme me</w:t>
      </w:r>
      <w:r w:rsidR="009435AD">
        <w:t>d en elinstallationsrapport, der</w:t>
      </w:r>
      <w:r w:rsidR="00F15DB7">
        <w:t xml:space="preserve"> indeholder oply</w:t>
      </w:r>
      <w:r w:rsidR="00F15DB7">
        <w:t>s</w:t>
      </w:r>
      <w:r w:rsidR="00F15DB7">
        <w:t>ninger om et el-tjek, som er forestået af en autoriseret elinstallatør. El-tjekket skal indeholde en v</w:t>
      </w:r>
      <w:r w:rsidR="00F15DB7">
        <w:t>i</w:t>
      </w:r>
      <w:r w:rsidR="00F15DB7">
        <w:t>suel gennemgang af ejendommens elinstallationer, og en stikprøvevis undersøgelse af fx. haloge</w:t>
      </w:r>
      <w:r w:rsidR="00F15DB7">
        <w:t>n</w:t>
      </w:r>
      <w:r w:rsidR="009435AD">
        <w:t>spot og kontakter. Un</w:t>
      </w:r>
      <w:r w:rsidR="00F15DB7">
        <w:t>dersøgelsespligten skærpes, hvis der ved stikprøvekontrollen konstateres fo</w:t>
      </w:r>
      <w:r w:rsidR="00F15DB7">
        <w:t>r</w:t>
      </w:r>
      <w:r w:rsidR="00F15DB7">
        <w:t>hold, som skal beskrives nærmere i elinstallationsrapporten.</w:t>
      </w:r>
    </w:p>
    <w:p w14:paraId="27A2EB96" w14:textId="59550E2F" w:rsidR="008A3FC5" w:rsidRDefault="00A82A22" w:rsidP="008A3FC5">
      <w:pPr>
        <w:pStyle w:val="Overskrift2"/>
      </w:pPr>
      <w:bookmarkStart w:id="39" w:name="_Toc179963442"/>
      <w:r>
        <w:t xml:space="preserve">4.2 </w:t>
      </w:r>
      <w:r w:rsidR="008A3FC5">
        <w:t xml:space="preserve">Undtagelsesbestemmelsen i L89 § </w:t>
      </w:r>
      <w:r w:rsidR="00E23BE0">
        <w:t>1, stk. 4</w:t>
      </w:r>
      <w:bookmarkEnd w:id="39"/>
    </w:p>
    <w:p w14:paraId="219CC50A" w14:textId="20991727" w:rsidR="00816F5D" w:rsidRPr="00816F5D" w:rsidRDefault="00D9417C" w:rsidP="00816F5D">
      <w:r>
        <w:t>Undtagelsesbestemmelsen i LFFE § 2, stk. 5, 1. pkt. omhandlende købers mulighed for at påberåbe sig forhold stridende mod offentligretlige forskrifter overfor sælger, ophæves med L89. I stedet indsættes</w:t>
      </w:r>
      <w:r w:rsidR="001B1B39">
        <w:t xml:space="preserve"> i LFFE § 2, stk. 5</w:t>
      </w:r>
      <w:r w:rsidR="00E12C46">
        <w:t>,</w:t>
      </w:r>
      <w:r w:rsidR="002460AB">
        <w:t xml:space="preserve"> hvori det anføres</w:t>
      </w:r>
      <w:r w:rsidR="00E12C46">
        <w:t xml:space="preserve"> at uanset beskyttelsesordninge</w:t>
      </w:r>
      <w:r w:rsidR="009435AD">
        <w:t>n i LFFE § 2, stk. 1 kan køber</w:t>
      </w:r>
      <w:r w:rsidR="00E12C46">
        <w:t xml:space="preserve"> påberåbe sig, at et forhold strider mod en servitut eller offentligretlige forskrifter, me</w:t>
      </w:r>
      <w:r w:rsidR="00E12C46">
        <w:t>d</w:t>
      </w:r>
      <w:r w:rsidR="00E12C46">
        <w:t>mindre der er tale om, at en elinstallation er ulovlig i henhold til offentligretli</w:t>
      </w:r>
      <w:r w:rsidR="00C739CF">
        <w:t>ge forskrifter, jf. L89 § 1, nr</w:t>
      </w:r>
      <w:r w:rsidR="00E12C46">
        <w:t>. 4</w:t>
      </w:r>
      <w:r w:rsidR="009435AD">
        <w:t xml:space="preserve"> (fremtidige LFFE § 2, stk. 5, 1. pkt.)</w:t>
      </w:r>
      <w:r w:rsidR="00E12C46">
        <w:t>. At den oprindelige undtagel</w:t>
      </w:r>
      <w:r w:rsidR="009435AD">
        <w:t>sesbestemmelse i</w:t>
      </w:r>
      <w:r w:rsidR="00E12C46">
        <w:t xml:space="preserve"> LFFE § 2, stk. 5, 1. pkt</w:t>
      </w:r>
      <w:r w:rsidR="004F575E">
        <w:t>.</w:t>
      </w:r>
      <w:r w:rsidR="009435AD">
        <w:t xml:space="preserve"> bliver</w:t>
      </w:r>
      <w:r w:rsidR="00E12C46">
        <w:t xml:space="preserve"> ophævet må begrundes i, at L89 bygger på, at ulovlige elinstallationer s</w:t>
      </w:r>
      <w:r w:rsidR="00E12C46">
        <w:t>ø</w:t>
      </w:r>
      <w:r w:rsidR="00E12C46">
        <w:t>ges at blive fremlagt inden handelens indgåelse</w:t>
      </w:r>
      <w:r w:rsidR="004F575E">
        <w:t xml:space="preserve"> ved</w:t>
      </w:r>
      <w:r w:rsidR="009435AD">
        <w:t>,</w:t>
      </w:r>
      <w:r w:rsidR="004F575E">
        <w:t xml:space="preserve"> at der udarbejdes en elinstallationsrapport over ejendommen</w:t>
      </w:r>
      <w:r w:rsidR="00E12C46">
        <w:t xml:space="preserve">, og således bliver en del af sælgerbeskyttelsen. </w:t>
      </w:r>
      <w:r w:rsidR="004F575E">
        <w:t>Den tilføjelse der sker i bestemmelsen, og som træder i stedet for den tidligere undtagelsesbestemmelse er blot en præcisering af, at</w:t>
      </w:r>
      <w:r w:rsidR="009435AD">
        <w:t xml:space="preserve"> det er elinstallationer, der</w:t>
      </w:r>
      <w:r w:rsidR="004F575E">
        <w:t xml:space="preserve"> bliver en del af sælgerbeskyttelsen, men at andre forhold der strider imod o</w:t>
      </w:r>
      <w:r w:rsidR="004F575E">
        <w:t>f</w:t>
      </w:r>
      <w:r w:rsidR="004F575E">
        <w:t>fentligretlige forskrifter således stadig undtages fra sælgerbeskyttelsen i LFFE § 2, stk. 1.</w:t>
      </w:r>
      <w:r w:rsidR="004F575E">
        <w:rPr>
          <w:rStyle w:val="Fodnotehenvisning"/>
        </w:rPr>
        <w:footnoteReference w:id="111"/>
      </w:r>
      <w:r>
        <w:t xml:space="preserve"> </w:t>
      </w:r>
    </w:p>
    <w:p w14:paraId="093A67CE" w14:textId="2F0E112B" w:rsidR="008A3FC5" w:rsidRDefault="00A82A22" w:rsidP="008A3FC5">
      <w:pPr>
        <w:pStyle w:val="Overskrift2"/>
      </w:pPr>
      <w:bookmarkStart w:id="40" w:name="_Toc179963443"/>
      <w:r>
        <w:t xml:space="preserve">4.3 </w:t>
      </w:r>
      <w:r w:rsidR="008A3FC5">
        <w:t>Definition</w:t>
      </w:r>
      <w:r w:rsidR="00C56BBB">
        <w:t>er</w:t>
      </w:r>
      <w:r w:rsidR="008A3FC5">
        <w:t xml:space="preserve"> </w:t>
      </w:r>
      <w:r w:rsidR="00C56BBB">
        <w:t>i L89</w:t>
      </w:r>
      <w:bookmarkEnd w:id="40"/>
    </w:p>
    <w:p w14:paraId="62FABEFA" w14:textId="7527EE6D" w:rsidR="007C2A03" w:rsidRPr="007C2A03" w:rsidRDefault="007C2A03" w:rsidP="007C2A03">
      <w:r>
        <w:t>Det har været genstand for</w:t>
      </w:r>
      <w:r w:rsidR="001B1B39">
        <w:t xml:space="preserve"> debat, hvorledes køber har</w:t>
      </w:r>
      <w:r>
        <w:t xml:space="preserve"> den korrekte opfattelse af, hvad en til</w:t>
      </w:r>
      <w:r w:rsidR="00637BE2">
        <w:t>stand</w:t>
      </w:r>
      <w:r w:rsidR="00637BE2">
        <w:t>s</w:t>
      </w:r>
      <w:r w:rsidR="001B1B39">
        <w:t>rapports indhold betyder</w:t>
      </w:r>
      <w:r w:rsidR="00637BE2">
        <w:t xml:space="preserve">. </w:t>
      </w:r>
      <w:r>
        <w:t>Real</w:t>
      </w:r>
      <w:r w:rsidR="00637BE2">
        <w:t>d</w:t>
      </w:r>
      <w:r>
        <w:t>anias rapport fra 2006, som Bet. nr. 1520/2010 blandt an</w:t>
      </w:r>
      <w:r w:rsidR="00637BE2">
        <w:t>det er bas</w:t>
      </w:r>
      <w:r w:rsidR="00637BE2">
        <w:t>e</w:t>
      </w:r>
      <w:r w:rsidR="00637BE2">
        <w:t>ret på</w:t>
      </w:r>
      <w:r>
        <w:t xml:space="preserve"> viser</w:t>
      </w:r>
      <w:r w:rsidR="00637BE2">
        <w:t>,</w:t>
      </w:r>
      <w:r>
        <w:t xml:space="preserve"> at hver anden forbruger tror, at tilstandsrapporten er en slags varedeklaration på den pågældende ejendom, herunder at den belyser mere, end tilfældet er.</w:t>
      </w:r>
      <w:r>
        <w:rPr>
          <w:rStyle w:val="Fodnotehenvisning"/>
        </w:rPr>
        <w:footnoteReference w:id="112"/>
      </w:r>
      <w:r w:rsidR="00A970A9">
        <w:t xml:space="preserve"> Med baggru</w:t>
      </w:r>
      <w:r w:rsidR="00C739CF">
        <w:t>nd i dette er der i L89 § 1, nr</w:t>
      </w:r>
      <w:r w:rsidR="00A970A9">
        <w:t>. 6</w:t>
      </w:r>
      <w:r w:rsidR="00637BE2">
        <w:t xml:space="preserve"> (fremtidige LFFE § 2a)</w:t>
      </w:r>
      <w:r w:rsidR="00A970A9">
        <w:t xml:space="preserve"> indsat en</w:t>
      </w:r>
      <w:r w:rsidR="00637BE2">
        <w:t xml:space="preserve"> bestemmelse, der</w:t>
      </w:r>
      <w:r w:rsidR="00A970A9">
        <w:t xml:space="preserve"> defin</w:t>
      </w:r>
      <w:r w:rsidR="00637BE2">
        <w:t>erer,</w:t>
      </w:r>
      <w:r w:rsidR="00A970A9">
        <w:t xml:space="preserve"> hvad en tilstands- og en elinstallationsrapport er</w:t>
      </w:r>
      <w:r w:rsidR="00637BE2">
        <w:t>,</w:t>
      </w:r>
      <w:r w:rsidR="00A970A9">
        <w:t xml:space="preserve"> og hvad formålet med disse rapporter er. Dette for at skabe klarhed over rapporterne</w:t>
      </w:r>
      <w:r w:rsidR="00637BE2">
        <w:t>s indhold og formål, samt</w:t>
      </w:r>
      <w:r w:rsidR="00A970A9">
        <w:t xml:space="preserve"> </w:t>
      </w:r>
      <w:r w:rsidR="00637BE2">
        <w:t>for at minimere sagsanlæg, der</w:t>
      </w:r>
      <w:r w:rsidR="00A970A9">
        <w:t xml:space="preserve"> er baseret på, at køber</w:t>
      </w:r>
      <w:r w:rsidR="00637BE2">
        <w:t xml:space="preserve"> er</w:t>
      </w:r>
      <w:r w:rsidR="00A970A9">
        <w:t xml:space="preserve"> i den tro, at en tilstandsrap</w:t>
      </w:r>
      <w:r w:rsidR="00637BE2">
        <w:t>port</w:t>
      </w:r>
      <w:r w:rsidR="00A970A9">
        <w:t xml:space="preserve"> afdækker samtlige skader på en ejendom, og at en elinstallationsrapport frikender en ejendom for </w:t>
      </w:r>
      <w:r w:rsidR="00B85B84">
        <w:t xml:space="preserve">indeholdende </w:t>
      </w:r>
      <w:r w:rsidR="00A970A9">
        <w:t>ulovlige elinstallationer. Elinstallationsrapporten er en n</w:t>
      </w:r>
      <w:r w:rsidR="00A970A9">
        <w:t>y</w:t>
      </w:r>
      <w:r w:rsidR="00A970A9">
        <w:t>skabelse, og den har således ikk</w:t>
      </w:r>
      <w:r w:rsidR="00B85B84">
        <w:t>e været genstand for debat. I</w:t>
      </w:r>
      <w:r w:rsidR="00A970A9">
        <w:t>det</w:t>
      </w:r>
      <w:r w:rsidR="00B85B84">
        <w:t xml:space="preserve"> en elinstallationsrapport</w:t>
      </w:r>
      <w:r w:rsidR="00A970A9">
        <w:t xml:space="preserve"> har samme formål som en tilstandsrapport, må det antages</w:t>
      </w:r>
      <w:r w:rsidR="00B85B84">
        <w:t>,</w:t>
      </w:r>
      <w:r w:rsidR="00A970A9">
        <w:t xml:space="preserve"> at ved at indføre en definitionsbeskrivelse på en elinstallationsrapport</w:t>
      </w:r>
      <w:r w:rsidR="00C739CF">
        <w:t xml:space="preserve"> i L89, søges de</w:t>
      </w:r>
      <w:r w:rsidR="00B85B84">
        <w:t xml:space="preserve">t at undgå de problemer, </w:t>
      </w:r>
      <w:r w:rsidR="002460AB">
        <w:t>der har</w:t>
      </w:r>
      <w:r w:rsidR="00C739CF">
        <w:t xml:space="preserve"> været med</w:t>
      </w:r>
      <w:r w:rsidR="00B85B84">
        <w:t xml:space="preserve"> forståelsen af </w:t>
      </w:r>
      <w:r w:rsidR="00C739CF">
        <w:t>ti</w:t>
      </w:r>
      <w:r w:rsidR="00C739CF">
        <w:t>l</w:t>
      </w:r>
      <w:r w:rsidR="00C739CF">
        <w:t>standsrapporten i LFFE.</w:t>
      </w:r>
    </w:p>
    <w:p w14:paraId="20AD0F86" w14:textId="49B56E45" w:rsidR="008A3FC5" w:rsidRDefault="00A82A22" w:rsidP="008A3FC5">
      <w:pPr>
        <w:pStyle w:val="Overskrift3"/>
      </w:pPr>
      <w:bookmarkStart w:id="41" w:name="_Toc179963444"/>
      <w:r>
        <w:t xml:space="preserve">4.3.1 </w:t>
      </w:r>
      <w:r w:rsidR="008A3FC5">
        <w:t>Tilstandsrapport</w:t>
      </w:r>
      <w:bookmarkEnd w:id="41"/>
    </w:p>
    <w:p w14:paraId="3BC63821" w14:textId="03956698" w:rsidR="00C739CF" w:rsidRPr="00C739CF" w:rsidRDefault="002460AB" w:rsidP="00C739CF">
      <w:r>
        <w:t xml:space="preserve">Indsættelsen af </w:t>
      </w:r>
      <w:r w:rsidR="00C739CF">
        <w:t>L8</w:t>
      </w:r>
      <w:r>
        <w:t>9 § 1, nr. 6 medfører</w:t>
      </w:r>
      <w:r w:rsidR="00B51DB0">
        <w:t>,</w:t>
      </w:r>
      <w:r w:rsidR="000F55C8">
        <w:t xml:space="preserve"> at der</w:t>
      </w:r>
      <w:r w:rsidR="00C739CF">
        <w:t xml:space="preserve"> indsættes en ny b</w:t>
      </w:r>
      <w:r w:rsidR="00B51DB0">
        <w:t>estemmelse i LFFE efter § 2, der</w:t>
      </w:r>
      <w:r w:rsidR="00C739CF">
        <w:t xml:space="preserve"> bliver til § 2a</w:t>
      </w:r>
      <w:r w:rsidR="0041799C">
        <w:t>, stk. 1</w:t>
      </w:r>
      <w:r w:rsidR="00C739CF">
        <w:t>. Denne bestemmelses stk. 1</w:t>
      </w:r>
      <w:r w:rsidR="000F55C8">
        <w:t xml:space="preserve"> </w:t>
      </w:r>
      <w:r w:rsidR="00C739CF">
        <w:t>f</w:t>
      </w:r>
      <w:r w:rsidR="0041799C">
        <w:t>astlægger det nærmere indhold i</w:t>
      </w:r>
      <w:r w:rsidR="00C739CF">
        <w:t xml:space="preserve"> en tilstandsra</w:t>
      </w:r>
      <w:r w:rsidR="00C739CF">
        <w:t>p</w:t>
      </w:r>
      <w:r w:rsidR="00C739CF">
        <w:t xml:space="preserve">port. </w:t>
      </w:r>
      <w:r w:rsidR="00CD3F50">
        <w:t>Af bestemmelsen fremgår det, at der ved en tilstandsrapport skal forstås en rapport, der ind</w:t>
      </w:r>
      <w:r w:rsidR="00CD3F50">
        <w:t>e</w:t>
      </w:r>
      <w:r w:rsidR="00CD3F50">
        <w:t xml:space="preserve">holder resultatet af den bygningssagkyndiges bygningsgennemgang, og at bygningsgennemgangen har til formål at afklare, i hvilket omfang den gennemgåede bygnings fysiske tilstand er ringere end tilstanden af tilsvarende intakte bygninger </w:t>
      </w:r>
      <w:r w:rsidR="0041799C">
        <w:t>af samme alder. Der skal</w:t>
      </w:r>
      <w:r w:rsidR="00CD3F50">
        <w:t xml:space="preserve"> ved bygningsgennemgangen fortsat afdækkes skader eller tegn på skader, såsom brud og lækager</w:t>
      </w:r>
      <w:r w:rsidR="0041799C">
        <w:t>.</w:t>
      </w:r>
      <w:r w:rsidR="00CD3F50">
        <w:t xml:space="preserve"> Dette for at afdække</w:t>
      </w:r>
      <w:r w:rsidR="0041799C">
        <w:t>,</w:t>
      </w:r>
      <w:r w:rsidR="00CD3F50">
        <w:t xml:space="preserve"> hvorvidt den pågældende bygnings fysiske tilstand er ringere end tilstanden i tilsvarende intakte bygninger af samme alder.</w:t>
      </w:r>
      <w:r w:rsidR="00CD3F50">
        <w:rPr>
          <w:rStyle w:val="Fodnotehenvisning"/>
        </w:rPr>
        <w:footnoteReference w:id="113"/>
      </w:r>
      <w:r w:rsidR="0041799C">
        <w:t xml:space="preserve"> Tilstandsrapporten har således til formål at </w:t>
      </w:r>
      <w:r w:rsidR="006258A8">
        <w:t>fortæl</w:t>
      </w:r>
      <w:r w:rsidR="0041799C">
        <w:t>le,</w:t>
      </w:r>
      <w:r w:rsidR="006258A8">
        <w:t xml:space="preserve"> hvorledes bygningen er i fo</w:t>
      </w:r>
      <w:r w:rsidR="006258A8">
        <w:t>r</w:t>
      </w:r>
      <w:r w:rsidR="006258A8">
        <w:t>hold til andre sammenlignelige bygninger. Rapporten fortæller ikke, hvorvi</w:t>
      </w:r>
      <w:r w:rsidR="00AD247B">
        <w:t>dt ejendommen skal</w:t>
      </w:r>
      <w:r w:rsidR="006258A8">
        <w:t xml:space="preserve"> betragtes i forhold til en ny bygning, hvilket bevirker, at der ikke er tale om en rapport</w:t>
      </w:r>
      <w:r w:rsidR="0041799C">
        <w:t>,</w:t>
      </w:r>
      <w:r w:rsidR="006258A8">
        <w:t xml:space="preserve"> der afdæ</w:t>
      </w:r>
      <w:r w:rsidR="006258A8">
        <w:t>k</w:t>
      </w:r>
      <w:r w:rsidR="006258A8">
        <w:t>ker samtlige skader</w:t>
      </w:r>
      <w:r w:rsidR="00AD247B">
        <w:t xml:space="preserve"> på ejendommen</w:t>
      </w:r>
      <w:r w:rsidR="006258A8">
        <w:t>. Tilstandsrapp</w:t>
      </w:r>
      <w:r w:rsidR="00AD247B">
        <w:t>orten giver blot et bille</w:t>
      </w:r>
      <w:r>
        <w:t>de af de skader</w:t>
      </w:r>
      <w:r w:rsidR="0041799C">
        <w:t xml:space="preserve"> det er m</w:t>
      </w:r>
      <w:r w:rsidR="0041799C">
        <w:t>u</w:t>
      </w:r>
      <w:r w:rsidR="0041799C">
        <w:t>ligt for den</w:t>
      </w:r>
      <w:r w:rsidR="00AD247B">
        <w:t xml:space="preserve"> </w:t>
      </w:r>
      <w:r w:rsidR="001B1B39">
        <w:t>bygnings</w:t>
      </w:r>
      <w:r w:rsidR="00AD247B">
        <w:t>sagkyndig</w:t>
      </w:r>
      <w:r w:rsidR="0041799C">
        <w:t>e at</w:t>
      </w:r>
      <w:r w:rsidR="00AD247B">
        <w:t xml:space="preserve"> afdække uden at anvende destruktive ind</w:t>
      </w:r>
      <w:r w:rsidR="0041799C">
        <w:t>greb. Dette</w:t>
      </w:r>
      <w:r w:rsidR="00AD247B">
        <w:t xml:space="preserve"> betyder</w:t>
      </w:r>
      <w:r w:rsidR="00530F1C">
        <w:t>,</w:t>
      </w:r>
      <w:r w:rsidR="00AD247B">
        <w:t xml:space="preserve"> at der er tale om en </w:t>
      </w:r>
      <w:r w:rsidR="00530F1C">
        <w:t>visuel gennemgang af ejendommen, som resulterer i en rapport. De nærmere krav til bygningsgennemgangen og tilstandsrapportens indhold vil fortsat blive fastsat administrativt, ligesom der fortsat i håndbog for de bygningssagkyndige vil blive givet blandt andet vejledning til de bygningssagkyndige om bygningsgennemgangens foretagelse og tilstandsrapportens udarbejde</w:t>
      </w:r>
      <w:r w:rsidR="00530F1C">
        <w:t>l</w:t>
      </w:r>
      <w:r w:rsidR="00530F1C">
        <w:t>se.</w:t>
      </w:r>
      <w:r w:rsidR="00530F1C">
        <w:rPr>
          <w:rStyle w:val="Fodnotehenvisning"/>
        </w:rPr>
        <w:footnoteReference w:id="114"/>
      </w:r>
      <w:r w:rsidR="00530F1C">
        <w:t xml:space="preserve"> </w:t>
      </w:r>
      <w:r w:rsidR="00D37D61">
        <w:t>Dette må antages at betyde</w:t>
      </w:r>
      <w:r w:rsidR="00913C7A">
        <w:t xml:space="preserve">, at </w:t>
      </w:r>
      <w:r w:rsidR="00E07E45">
        <w:t>L89 § 1, nr. 6</w:t>
      </w:r>
      <w:r w:rsidR="0041799C">
        <w:t xml:space="preserve"> (fremtidige LFFE § 2a, stk. 1)</w:t>
      </w:r>
      <w:r w:rsidR="00E07E45">
        <w:t xml:space="preserve"> således har til en</w:t>
      </w:r>
      <w:r w:rsidR="00E07E45">
        <w:t>e</w:t>
      </w:r>
      <w:r w:rsidR="00E07E45">
        <w:t>ste formål</w:t>
      </w:r>
      <w:r w:rsidR="0041799C">
        <w:t>,</w:t>
      </w:r>
      <w:r w:rsidR="00913C7A">
        <w:t xml:space="preserve"> at give køber og sælger bedre oplysning om formålet med en tilstandsrapport</w:t>
      </w:r>
      <w:r w:rsidR="00E07E45">
        <w:t xml:space="preserve"> og by</w:t>
      </w:r>
      <w:r w:rsidR="00E07E45">
        <w:t>g</w:t>
      </w:r>
      <w:r w:rsidR="00E07E45">
        <w:t xml:space="preserve">ningsgennemgangen. Bestemmelsen skal søge at </w:t>
      </w:r>
      <w:r w:rsidR="00332079">
        <w:t>minimere</w:t>
      </w:r>
      <w:r w:rsidR="00E07E45">
        <w:t xml:space="preserve"> købers skuffelse</w:t>
      </w:r>
      <w:r w:rsidR="00332079">
        <w:t xml:space="preserve"> ved</w:t>
      </w:r>
      <w:r w:rsidR="0041799C">
        <w:t xml:space="preserve"> at</w:t>
      </w:r>
      <w:r w:rsidR="00332079">
        <w:t xml:space="preserve"> </w:t>
      </w:r>
      <w:r w:rsidR="00D37D61">
        <w:t xml:space="preserve">oplyse </w:t>
      </w:r>
      <w:r w:rsidR="0041799C">
        <w:t xml:space="preserve">køber </w:t>
      </w:r>
      <w:r w:rsidR="00D37D61">
        <w:t>om</w:t>
      </w:r>
      <w:r w:rsidR="0041799C">
        <w:t>,</w:t>
      </w:r>
      <w:r w:rsidR="00D37D61">
        <w:t xml:space="preserve"> </w:t>
      </w:r>
      <w:r w:rsidR="00332079">
        <w:t>at tilstandsrapporten ikke er en varedeklaration for ejen</w:t>
      </w:r>
      <w:r w:rsidR="00D37D61">
        <w:t>dommen, men blot en overordnet b</w:t>
      </w:r>
      <w:r w:rsidR="00D37D61">
        <w:t>e</w:t>
      </w:r>
      <w:r w:rsidR="00D37D61">
        <w:t>skrivelse af, hvad køber kan forvente af ejendommens stand.</w:t>
      </w:r>
    </w:p>
    <w:p w14:paraId="5CFD9A34" w14:textId="50542A20" w:rsidR="008A3FC5" w:rsidRDefault="00A82A22" w:rsidP="008A3FC5">
      <w:pPr>
        <w:pStyle w:val="Overskrift3"/>
      </w:pPr>
      <w:bookmarkStart w:id="42" w:name="_Toc179963445"/>
      <w:r>
        <w:t xml:space="preserve">4.3.2 </w:t>
      </w:r>
      <w:r w:rsidR="008A3FC5">
        <w:t>Typebeskrivelse</w:t>
      </w:r>
      <w:bookmarkEnd w:id="42"/>
    </w:p>
    <w:p w14:paraId="5FCE1758" w14:textId="6A89F8F3" w:rsidR="00BA57D5" w:rsidRDefault="00AF533C" w:rsidP="00D37D61">
      <w:r>
        <w:t>En tilstandsrapport beskriver en ejendoms fysiske tilstand i forhold til tilsvarende intakte</w:t>
      </w:r>
      <w:r w:rsidR="00D21C1E">
        <w:t xml:space="preserve"> by</w:t>
      </w:r>
      <w:r w:rsidR="00063B11">
        <w:t>gninger. For at gøre det lettere</w:t>
      </w:r>
      <w:r>
        <w:t xml:space="preserve"> for køber at vurdere</w:t>
      </w:r>
      <w:r w:rsidR="00D21C1E">
        <w:t>,</w:t>
      </w:r>
      <w:r>
        <w:t xml:space="preserve"> hvad en</w:t>
      </w:r>
      <w:r w:rsidR="00D21C1E">
        <w:t xml:space="preserve"> tilsvarende intakt bygning er, </w:t>
      </w:r>
      <w:r>
        <w:t>er der i L89 § 1, nr. 6 (</w:t>
      </w:r>
      <w:r w:rsidR="00D21C1E">
        <w:t>fremtidige LFFE</w:t>
      </w:r>
      <w:r w:rsidR="00582A6F">
        <w:t xml:space="preserve"> § 2, stk. 2) indsat en bemyndigelse til Økonomi- og Erhvervsministeren til at fastsætte regler om, at der med tilstandsrapporten skal udleveres en generel typebeskrivelse, der er relevant for den bygning, som tilstandsrapporten vedrører.</w:t>
      </w:r>
      <w:r>
        <w:t xml:space="preserve"> </w:t>
      </w:r>
      <w:r w:rsidR="00582A6F">
        <w:t>Ved at udlevere en generel beskrivelse</w:t>
      </w:r>
      <w:r w:rsidR="00BA57D5">
        <w:t xml:space="preserve"> til køber</w:t>
      </w:r>
      <w:r w:rsidR="00582A6F">
        <w:t xml:space="preserve"> af de væsentligste karakteristika ved den hustype</w:t>
      </w:r>
      <w:r w:rsidR="00BA57D5">
        <w:t>, som tilstandsrapporten angår</w:t>
      </w:r>
      <w:r w:rsidR="00D21C1E">
        <w:t xml:space="preserve">, forbedres købers </w:t>
      </w:r>
      <w:r w:rsidR="002460AB">
        <w:t xml:space="preserve">mulighed for </w:t>
      </w:r>
      <w:r w:rsidR="00D21C1E">
        <w:t>forståelse</w:t>
      </w:r>
      <w:r w:rsidR="002460AB">
        <w:t xml:space="preserve"> af</w:t>
      </w:r>
      <w:r w:rsidR="00BA57D5">
        <w:t>, at der ikke foretages en sammenligning af</w:t>
      </w:r>
      <w:r w:rsidR="00D21C1E">
        <w:t xml:space="preserve"> ejendommen med et nyopført hus. D</w:t>
      </w:r>
      <w:r w:rsidR="00BA57D5">
        <w:t>erimod</w:t>
      </w:r>
      <w:r w:rsidR="00D21C1E">
        <w:t xml:space="preserve"> foretages der</w:t>
      </w:r>
      <w:r w:rsidR="00BA57D5">
        <w:t xml:space="preserve"> en relativ beskrivelse af bygningen, som baserer sig på en sammenligning med andre tilsvarende intakte bygninger af samme alder.</w:t>
      </w:r>
      <w:r w:rsidR="00BA57D5">
        <w:rPr>
          <w:rStyle w:val="Fodnotehenvisning"/>
        </w:rPr>
        <w:footnoteReference w:id="115"/>
      </w:r>
      <w:r w:rsidR="00BA57D5">
        <w:t xml:space="preserve"> Køber bliver således opmærksom på, at visse forhold ikke udgør skader, men er typiske forhold ved den pågældende hustype. Dette kan blandt andet være, at fugt i gamle huse er normalt, og derfor ikke udgør en sk</w:t>
      </w:r>
      <w:r w:rsidR="00BA57D5">
        <w:t>a</w:t>
      </w:r>
      <w:r w:rsidR="00BA57D5">
        <w:t>de. Med indførslen af udlevering af typebeskrivelser til køb</w:t>
      </w:r>
      <w:r w:rsidR="001D2C21">
        <w:t>er</w:t>
      </w:r>
      <w:r w:rsidR="00D21C1E">
        <w:t>,</w:t>
      </w:r>
      <w:r w:rsidR="00BA57D5">
        <w:t xml:space="preserve"> minime</w:t>
      </w:r>
      <w:r w:rsidR="00D21C1E">
        <w:t>res købers</w:t>
      </w:r>
      <w:r w:rsidR="00BA57D5">
        <w:t xml:space="preserve"> mulighed for at misforstå tilstandsrapportens ind</w:t>
      </w:r>
      <w:r w:rsidR="00D21C1E">
        <w:t>hold. Dette fordi køber</w:t>
      </w:r>
      <w:r w:rsidR="00BA57D5">
        <w:t xml:space="preserve"> får et skriftligt sammenligningsgrundlag</w:t>
      </w:r>
      <w:r w:rsidR="001D2C21">
        <w:t xml:space="preserve"> med overblik over de væsentligste skader, som denne skal acceptere som en del af handelen. </w:t>
      </w:r>
    </w:p>
    <w:p w14:paraId="2D9C83C4" w14:textId="77777777" w:rsidR="001D2C21" w:rsidRDefault="001D2C21" w:rsidP="00D37D61"/>
    <w:p w14:paraId="6877C699" w14:textId="2391316D" w:rsidR="001D2C21" w:rsidRDefault="001D2C21" w:rsidP="00D37D61">
      <w:r>
        <w:t>Typebeskrivelserne er et redska</w:t>
      </w:r>
      <w:r w:rsidR="00D21C1E">
        <w:t>b til køber, således at denne bliver</w:t>
      </w:r>
      <w:r>
        <w:t xml:space="preserve"> bedre oplyst omkring tilstand</w:t>
      </w:r>
      <w:r>
        <w:t>s</w:t>
      </w:r>
      <w:r>
        <w:t xml:space="preserve">rapportens formål. Det </w:t>
      </w:r>
      <w:r w:rsidR="00D21C1E">
        <w:t xml:space="preserve">er </w:t>
      </w:r>
      <w:r>
        <w:t>vigtigt at understrege</w:t>
      </w:r>
      <w:r w:rsidR="00D21C1E">
        <w:t>,</w:t>
      </w:r>
      <w:r>
        <w:t xml:space="preserve"> at typebeskrivelser alene har til formål</w:t>
      </w:r>
      <w:r w:rsidR="00D21C1E">
        <w:t>,</w:t>
      </w:r>
      <w:r>
        <w:t xml:space="preserve"> at udgøre en generel, supplerende information om den pågældende hustypes særlige karakteristika. Typeb</w:t>
      </w:r>
      <w:r>
        <w:t>e</w:t>
      </w:r>
      <w:r>
        <w:t>skrivelserne har ingen indflydelse på den bygningsgennemgang, som den bygningssagkyndige skal foretage, eller hvad der skal anses for en skade ved den pågældende ejendom.</w:t>
      </w:r>
      <w:r>
        <w:rPr>
          <w:rStyle w:val="Fodnotehenvisning"/>
        </w:rPr>
        <w:footnoteReference w:id="116"/>
      </w:r>
      <w:r>
        <w:t xml:space="preserve"> Typebeskrivelsen har således ikke nogen indvirkning på den bygningssagkyndiges arbejde</w:t>
      </w:r>
      <w:r w:rsidR="002460AB">
        <w:t xml:space="preserve"> i forbindelse med by</w:t>
      </w:r>
      <w:r w:rsidR="002460AB">
        <w:t>g</w:t>
      </w:r>
      <w:r w:rsidR="002460AB">
        <w:t>ningsgennemgangen</w:t>
      </w:r>
      <w:r>
        <w:t>. Typebeskrivelsen udvæl</w:t>
      </w:r>
      <w:r w:rsidR="00D21C1E">
        <w:t xml:space="preserve">ges </w:t>
      </w:r>
      <w:r w:rsidR="00063B11">
        <w:t>af den bygningssagkyndige. Såfremt</w:t>
      </w:r>
      <w:r w:rsidR="005B33FD">
        <w:t xml:space="preserve"> den by</w:t>
      </w:r>
      <w:r w:rsidR="005B33FD">
        <w:t>g</w:t>
      </w:r>
      <w:r w:rsidR="005B33FD">
        <w:t xml:space="preserve">ningssagkyndige </w:t>
      </w:r>
      <w:r w:rsidR="00063B11">
        <w:t xml:space="preserve">har </w:t>
      </w:r>
      <w:r w:rsidR="00077727">
        <w:t>valgt en forkert typebe</w:t>
      </w:r>
      <w:r w:rsidR="00D21C1E">
        <w:t>skrivelse, der</w:t>
      </w:r>
      <w:r w:rsidR="00077727">
        <w:t xml:space="preserve"> giver køber forkerte informationer vedr</w:t>
      </w:r>
      <w:r w:rsidR="00077727">
        <w:t>ø</w:t>
      </w:r>
      <w:r w:rsidR="00077727">
        <w:t xml:space="preserve">rende ejendommens </w:t>
      </w:r>
      <w:r w:rsidR="00D21C1E">
        <w:t xml:space="preserve">generelle </w:t>
      </w:r>
      <w:r w:rsidR="00077727">
        <w:t>fysiske stand</w:t>
      </w:r>
      <w:r w:rsidR="00D21C1E">
        <w:t>,</w:t>
      </w:r>
      <w:r w:rsidR="005B33FD">
        <w:t xml:space="preserve"> vil det ber</w:t>
      </w:r>
      <w:r w:rsidR="00D21C1E">
        <w:t>o på de almindelige regler om professionsa</w:t>
      </w:r>
      <w:r w:rsidR="00D21C1E">
        <w:t>n</w:t>
      </w:r>
      <w:r w:rsidR="00D21C1E">
        <w:t>svar</w:t>
      </w:r>
      <w:r w:rsidR="005B33FD">
        <w:t xml:space="preserve"> i LFFE § 3</w:t>
      </w:r>
      <w:r w:rsidR="00D21C1E">
        <w:t>, stk. 1 om den bygningssagkyndige er ansvarlig</w:t>
      </w:r>
      <w:r w:rsidR="002460AB">
        <w:t>. Der skal</w:t>
      </w:r>
      <w:r w:rsidR="005B33FD">
        <w:t xml:space="preserve"> tages hensyn til, at </w:t>
      </w:r>
      <w:r w:rsidR="00C06310">
        <w:t>en ejendom kan adskille sig så meget fra de generelle typebeskrivelser, hvorfor det er umuligt for den bygningssagkyndige at placere ejendommen blandt de typebeskrivelser</w:t>
      </w:r>
      <w:r w:rsidR="00D21C1E">
        <w:t>,</w:t>
      </w:r>
      <w:r w:rsidR="00C06310">
        <w:t xml:space="preserve"> der er udarbejdet. Hvis den bygningssagkyndige alligevel har udvalgt en typebeskrivelse på ejendommen, kan det anses for en formildnende omstændighed</w:t>
      </w:r>
      <w:r w:rsidR="00D21C1E">
        <w:t>,</w:t>
      </w:r>
      <w:r w:rsidR="00C06310">
        <w:t xml:space="preserve"> at ejendommen har været vanskelig at placere.</w:t>
      </w:r>
    </w:p>
    <w:p w14:paraId="368BA6BD" w14:textId="77777777" w:rsidR="00395514" w:rsidRDefault="00395514" w:rsidP="00D37D61"/>
    <w:p w14:paraId="2B729D9F" w14:textId="71BF6154" w:rsidR="00395514" w:rsidRPr="00D37D61" w:rsidRDefault="002460AB" w:rsidP="00D37D61">
      <w:r>
        <w:t>Samlet</w:t>
      </w:r>
      <w:r w:rsidR="00395514">
        <w:t xml:space="preserve"> er der i L89 § 1, nr. 6 (</w:t>
      </w:r>
      <w:r w:rsidR="00D21C1E">
        <w:t>fremtidige LFFE</w:t>
      </w:r>
      <w:r w:rsidR="00395514">
        <w:t xml:space="preserve"> § 2, stk. 2) åbnet mulighed for, at der kan udarbe</w:t>
      </w:r>
      <w:r w:rsidR="00395514">
        <w:t>j</w:t>
      </w:r>
      <w:r w:rsidR="00395514">
        <w:t>des typebeskrivel</w:t>
      </w:r>
      <w:r w:rsidR="00A73AC0">
        <w:t>ser på forskellige hustyper. Dette</w:t>
      </w:r>
      <w:r w:rsidR="00395514">
        <w:t xml:space="preserve"> er medvirkende til</w:t>
      </w:r>
      <w:r w:rsidR="00A73AC0">
        <w:t>,</w:t>
      </w:r>
      <w:r w:rsidR="00395514">
        <w:t xml:space="preserve"> at køber bliver bedre oplyst om, hvad det vil sige</w:t>
      </w:r>
      <w:r w:rsidR="00A73AC0">
        <w:t>,</w:t>
      </w:r>
      <w:r w:rsidR="00395514">
        <w:t xml:space="preserve"> at en byg</w:t>
      </w:r>
      <w:r w:rsidR="00A73AC0">
        <w:t>nings fysiske tilstand er ringe</w:t>
      </w:r>
      <w:r w:rsidR="00395514">
        <w:t>re end tilstanden på tilsvarende intakte bygninger af samme alder, som er udgangspunktet ved en bygningsgennemgang.</w:t>
      </w:r>
    </w:p>
    <w:p w14:paraId="7032041D" w14:textId="47E0FE64" w:rsidR="008A3FC5" w:rsidRDefault="00A82A22" w:rsidP="008A3FC5">
      <w:pPr>
        <w:pStyle w:val="Overskrift3"/>
      </w:pPr>
      <w:bookmarkStart w:id="43" w:name="_Toc179963446"/>
      <w:r>
        <w:t xml:space="preserve">4.3.3 </w:t>
      </w:r>
      <w:r w:rsidR="008A3FC5">
        <w:t>Elinstallationsrapport</w:t>
      </w:r>
      <w:bookmarkEnd w:id="43"/>
    </w:p>
    <w:p w14:paraId="547CF071" w14:textId="6196BC4E" w:rsidR="00395514" w:rsidRDefault="00A73AC0" w:rsidP="00395514">
      <w:r>
        <w:t>Med L89 er det</w:t>
      </w:r>
      <w:r w:rsidR="00FB2C64">
        <w:t xml:space="preserve"> indført</w:t>
      </w:r>
      <w:r>
        <w:t>,</w:t>
      </w:r>
      <w:r w:rsidR="00FB2C64">
        <w:t xml:space="preserve"> at sælger skal udlevere en elinstallationsrapport til køber, for at sælger kan opn</w:t>
      </w:r>
      <w:r w:rsidR="00063B11">
        <w:t>å fritagelse for mangelsansvar</w:t>
      </w:r>
      <w:r w:rsidR="00FB2C64">
        <w:t xml:space="preserve">. </w:t>
      </w:r>
      <w:r>
        <w:t>Tilsvarende</w:t>
      </w:r>
      <w:r w:rsidR="00FB2C64">
        <w:t xml:space="preserve"> med definitionen på tilstandsrapporten i L89 § 1, nr. 6 (</w:t>
      </w:r>
      <w:r>
        <w:t>fremtidige LFFE</w:t>
      </w:r>
      <w:r w:rsidR="00FB2C64">
        <w:t xml:space="preserve"> § 2, stk. 1) er der indført en definition samt formål på elinstallationsrapporten, for at skabe klarhed omkring denne. </w:t>
      </w:r>
    </w:p>
    <w:p w14:paraId="6EB8747F" w14:textId="77777777" w:rsidR="00FB2C64" w:rsidRDefault="00FB2C64" w:rsidP="00395514"/>
    <w:p w14:paraId="5B1CA8B3" w14:textId="31911685" w:rsidR="00FB2C64" w:rsidRDefault="00FB2C64" w:rsidP="00395514">
      <w:r>
        <w:t>Definitionen på en elinstallationsrapport findes i L89 § 1, nr. 6 (</w:t>
      </w:r>
      <w:r w:rsidR="00A73AC0">
        <w:t>fremtidige LFFE</w:t>
      </w:r>
      <w:r>
        <w:t xml:space="preserve"> § 2, stk. 3</w:t>
      </w:r>
      <w:r w:rsidR="0092236E">
        <w:t>, 1. pkt.</w:t>
      </w:r>
      <w:r>
        <w:t>)</w:t>
      </w:r>
      <w:r w:rsidR="00E66A2E">
        <w:t>, som</w:t>
      </w:r>
      <w:r>
        <w:t xml:space="preserve"> anfører</w:t>
      </w:r>
      <w:r w:rsidR="00E37FF6">
        <w:t>,</w:t>
      </w:r>
      <w:r>
        <w:t xml:space="preserve"> at der ved en elinstallationsrapport skal forstås en rapport, der indeholder resu</w:t>
      </w:r>
      <w:r>
        <w:t>l</w:t>
      </w:r>
      <w:r>
        <w:t>tatet af gennemgangen af byg</w:t>
      </w:r>
      <w:r w:rsidR="00E66A2E">
        <w:t xml:space="preserve">ningens elinstallationer. Som anført i </w:t>
      </w:r>
      <w:r w:rsidR="009D0254" w:rsidRPr="009D0254">
        <w:t>afsnit 4.3.1</w:t>
      </w:r>
      <w:r w:rsidR="00E66A2E">
        <w:t xml:space="preserve"> </w:t>
      </w:r>
      <w:r w:rsidR="00532324">
        <w:t>er en gennemgang af en bygnings elinstallationer et el-tjek, der skal forestås af en autoriseret elinstallatør. Denne skal foretage en visuel gennemgang af de synlige forhold ved elinst</w:t>
      </w:r>
      <w:r w:rsidR="00A73AC0">
        <w:t>allationerne samt en stikprøvevis</w:t>
      </w:r>
      <w:r w:rsidR="00532324">
        <w:t xml:space="preserve"> under</w:t>
      </w:r>
      <w:r w:rsidR="00A73AC0">
        <w:t>søgelse af en række nærmere beskrevne forhold,</w:t>
      </w:r>
      <w:r w:rsidR="00532324">
        <w:t xml:space="preserve"> som</w:t>
      </w:r>
      <w:r w:rsidR="00A73AC0">
        <w:t xml:space="preserve"> fx.</w:t>
      </w:r>
      <w:r w:rsidR="00532324">
        <w:t xml:space="preserve"> nedhængte lofter og halogenspots.</w:t>
      </w:r>
      <w:r w:rsidR="00532324">
        <w:rPr>
          <w:rStyle w:val="Fodnotehenvisning"/>
        </w:rPr>
        <w:footnoteReference w:id="117"/>
      </w:r>
      <w:r w:rsidR="00E37FF6">
        <w:t xml:space="preserve"> En elinstallationsrapport er således en rapport</w:t>
      </w:r>
      <w:r w:rsidR="00A73AC0">
        <w:t>,</w:t>
      </w:r>
      <w:r w:rsidR="00E37FF6">
        <w:t xml:space="preserve"> der fortæller</w:t>
      </w:r>
      <w:r w:rsidR="00A73AC0">
        <w:t>,</w:t>
      </w:r>
      <w:r w:rsidR="00E37FF6">
        <w:t xml:space="preserve"> hvad den bygningssagkyndige har a</w:t>
      </w:r>
      <w:r w:rsidR="00E37FF6">
        <w:t>f</w:t>
      </w:r>
      <w:r w:rsidR="00E37FF6">
        <w:t xml:space="preserve">dækket </w:t>
      </w:r>
      <w:r w:rsidR="00A73AC0">
        <w:t>under et</w:t>
      </w:r>
      <w:r w:rsidR="0092236E">
        <w:t xml:space="preserve"> el-tjek. Elinstallatøren skal registre præcis</w:t>
      </w:r>
      <w:r w:rsidR="00A73AC0">
        <w:t>t,</w:t>
      </w:r>
      <w:r w:rsidR="0092236E">
        <w:t xml:space="preserve"> hvilke elinstallationer, der er foretaget stikprø</w:t>
      </w:r>
      <w:r w:rsidR="00A73AC0">
        <w:t>vevis</w:t>
      </w:r>
      <w:r w:rsidR="0092236E">
        <w:t xml:space="preserve"> kontrol af, for at elinstallationsrapporten skal k</w:t>
      </w:r>
      <w:r w:rsidR="00A73AC0">
        <w:t>unne anvendes i en sag med blandt a</w:t>
      </w:r>
      <w:r w:rsidR="00A73AC0">
        <w:t>n</w:t>
      </w:r>
      <w:r w:rsidR="00A73AC0">
        <w:t>det ejerskifteforsikringen.</w:t>
      </w:r>
      <w:r w:rsidR="0092236E">
        <w:t xml:space="preserve"> Præcision af el-tjekket er med til at skabe klarhed for køber</w:t>
      </w:r>
      <w:r w:rsidR="00A73AC0">
        <w:t>,</w:t>
      </w:r>
      <w:r w:rsidR="0092236E">
        <w:t xml:space="preserve"> og</w:t>
      </w:r>
      <w:r w:rsidR="00A73AC0">
        <w:t xml:space="preserve"> til at føre bevis i et</w:t>
      </w:r>
      <w:r w:rsidR="0092236E">
        <w:t xml:space="preserve"> eventu</w:t>
      </w:r>
      <w:r w:rsidR="00A73AC0">
        <w:t>elt</w:t>
      </w:r>
      <w:r w:rsidR="0092236E">
        <w:t xml:space="preserve"> sag</w:t>
      </w:r>
      <w:r w:rsidR="00A73AC0">
        <w:t>sanlæg</w:t>
      </w:r>
      <w:r w:rsidR="0092236E">
        <w:t xml:space="preserve">. </w:t>
      </w:r>
    </w:p>
    <w:p w14:paraId="51705698" w14:textId="77777777" w:rsidR="0092236E" w:rsidRDefault="0092236E" w:rsidP="00395514"/>
    <w:p w14:paraId="5DB6DF0E" w14:textId="45895275" w:rsidR="0092236E" w:rsidRDefault="0092236E" w:rsidP="00395514">
      <w:r>
        <w:t>Udover definition</w:t>
      </w:r>
      <w:r w:rsidR="00B56745">
        <w:t>en på en elinstallationsrapport</w:t>
      </w:r>
      <w:r w:rsidR="00063B11">
        <w:t>, findes</w:t>
      </w:r>
      <w:r>
        <w:t xml:space="preserve"> formålet med gennemgangen af elinstallat</w:t>
      </w:r>
      <w:r>
        <w:t>i</w:t>
      </w:r>
      <w:r>
        <w:t>onerne i L89 § 1, nr. 6 (</w:t>
      </w:r>
      <w:r w:rsidR="00A73AC0">
        <w:t>fremtidige LFFE</w:t>
      </w:r>
      <w:r>
        <w:t xml:space="preserve"> § 2, stk. 3, 2. pkt.)</w:t>
      </w:r>
      <w:r w:rsidR="00A73AC0">
        <w:t>. Formålet er</w:t>
      </w:r>
      <w:r w:rsidR="00B56745">
        <w:t xml:space="preserve"> at afklare, i hvilket omfang </w:t>
      </w:r>
      <w:r w:rsidR="00E86F2A">
        <w:t>bygningens elinstallationer er funktionsdygtige og lovlige i henhold til offentligretlige forskrifter.</w:t>
      </w:r>
      <w:r w:rsidR="00822F85">
        <w:t xml:space="preserve"> Når det er fastlagt om bygningens elinstallationer er funktionsdygtige, og om elinstallationerne er udført efter gældende forskrifter, har køber oversigt over, om der skul</w:t>
      </w:r>
      <w:r w:rsidR="002460AB">
        <w:t>le være forhold, som denne skal være opmærksom på</w:t>
      </w:r>
      <w:r w:rsidR="00822F85">
        <w:t xml:space="preserve">. Dette giver køber flere konkrete oplysninger om ejendommen, </w:t>
      </w:r>
      <w:r w:rsidR="00A73AC0">
        <w:t>end de oplysninger</w:t>
      </w:r>
      <w:r w:rsidR="00822F85">
        <w:t xml:space="preserve"> køber får i tilstandsrapporten, hvilket kan medvirke til at sikre en bedre prissætning af ejendommen. Derudover kan øgede oplysninger om bygningers elinstallationer endvidere medvirke til at minimere risikoen for el-relaterede brande. Derved er formålet ikke blot at gøre køber bedre oplyst omkring elinstallationerne i ejendommen</w:t>
      </w:r>
      <w:r w:rsidR="00063B11">
        <w:t>, men ligeledes</w:t>
      </w:r>
      <w:r w:rsidR="002460AB">
        <w:t xml:space="preserve"> at</w:t>
      </w:r>
      <w:r w:rsidR="00063B11">
        <w:t xml:space="preserve"> forsøge at minimere risikoen for</w:t>
      </w:r>
      <w:r w:rsidR="002460AB">
        <w:t>,</w:t>
      </w:r>
      <w:r w:rsidR="00063B11">
        <w:t xml:space="preserve"> at der opstår el-relaterede brande.</w:t>
      </w:r>
      <w:r w:rsidR="00822F85">
        <w:t xml:space="preserve"> </w:t>
      </w:r>
    </w:p>
    <w:p w14:paraId="37A23088" w14:textId="77777777" w:rsidR="00822F85" w:rsidRDefault="00822F85" w:rsidP="00395514"/>
    <w:p w14:paraId="642CB5BC" w14:textId="402D3123" w:rsidR="00822F85" w:rsidRPr="00395514" w:rsidRDefault="00822F85" w:rsidP="00395514">
      <w:r>
        <w:t>En elinstallationsrapport er således en rapport</w:t>
      </w:r>
      <w:r w:rsidR="00A73AC0">
        <w:t>,</w:t>
      </w:r>
      <w:r>
        <w:t xml:space="preserve"> der giver oplysninger om en bygnings elinstallati</w:t>
      </w:r>
      <w:r>
        <w:t>o</w:t>
      </w:r>
      <w:r>
        <w:t>ner</w:t>
      </w:r>
      <w:r w:rsidR="00063B11">
        <w:t>,</w:t>
      </w:r>
      <w:r>
        <w:t xml:space="preserve"> </w:t>
      </w:r>
      <w:r w:rsidR="00063B11">
        <w:t xml:space="preserve">og hvorvidt disse </w:t>
      </w:r>
      <w:r>
        <w:t>er udført efter gæl</w:t>
      </w:r>
      <w:r w:rsidR="00A73AC0">
        <w:t>dende forskrifter. Derudover øges forudsætningerne for at</w:t>
      </w:r>
      <w:r>
        <w:t xml:space="preserve"> prissætningen af ejend</w:t>
      </w:r>
      <w:r w:rsidR="00063B11">
        <w:t>ommen kan tage</w:t>
      </w:r>
      <w:r>
        <w:t xml:space="preserve"> forbehold for eventuelle udbedringsomkostninger til de ulovlige elinstallationer. Dette bevirker, at et senere sagsanlæg eventuelt kan und</w:t>
      </w:r>
      <w:r w:rsidR="00063B11">
        <w:t>gås, idet</w:t>
      </w:r>
      <w:r>
        <w:t xml:space="preserve"> køber har fået taget forbe</w:t>
      </w:r>
      <w:r w:rsidR="00A73AC0">
        <w:t>hold for</w:t>
      </w:r>
      <w:r>
        <w:t xml:space="preserve"> ulovlige elinstallationer i købesummen.</w:t>
      </w:r>
    </w:p>
    <w:p w14:paraId="58308BFA" w14:textId="1D8C2A55" w:rsidR="008A3FC5" w:rsidRDefault="00A82A22" w:rsidP="008A3FC5">
      <w:pPr>
        <w:pStyle w:val="Overskrift2"/>
      </w:pPr>
      <w:bookmarkStart w:id="44" w:name="_Toc179963447"/>
      <w:r>
        <w:t xml:space="preserve">4.4 </w:t>
      </w:r>
      <w:r w:rsidR="008A3FC5">
        <w:t>Professionsansvar</w:t>
      </w:r>
      <w:bookmarkEnd w:id="44"/>
    </w:p>
    <w:p w14:paraId="405C5D4C" w14:textId="163F33B5" w:rsidR="008A3FC5" w:rsidRDefault="00747D07" w:rsidP="007C0C1D">
      <w:r>
        <w:t>Den bygningssagkyndige kan blive ansvarlig for skader, hvis denne ikke har udført bygningsge</w:t>
      </w:r>
      <w:r>
        <w:t>n</w:t>
      </w:r>
      <w:r>
        <w:t xml:space="preserve">nemgangen med professionalisme og </w:t>
      </w:r>
      <w:r w:rsidR="00A73AC0">
        <w:t>omhyggelighed</w:t>
      </w:r>
      <w:r w:rsidR="00D263B5">
        <w:t xml:space="preserve">, jf. </w:t>
      </w:r>
      <w:r w:rsidR="00D263B5" w:rsidRPr="009D0254">
        <w:t>afsnit 2.2.2</w:t>
      </w:r>
      <w:r>
        <w:t>. Bedømmelsen af om den by</w:t>
      </w:r>
      <w:r>
        <w:t>g</w:t>
      </w:r>
      <w:r>
        <w:t>ningssagkyndige kan gøres ansvarlig er en faglig vurdering af</w:t>
      </w:r>
      <w:r w:rsidR="00F01CF9">
        <w:t>,</w:t>
      </w:r>
      <w:r>
        <w:t xml:space="preserve"> om den bygningssagkyndige har begået fejl</w:t>
      </w:r>
      <w:r w:rsidR="001976AD">
        <w:t>,</w:t>
      </w:r>
      <w:r w:rsidR="00F01CF9">
        <w:t xml:space="preserve"> og derved har undladt at afdække</w:t>
      </w:r>
      <w:r>
        <w:t xml:space="preserve"> forhold, </w:t>
      </w:r>
      <w:r w:rsidR="001976AD">
        <w:t>der</w:t>
      </w:r>
      <w:r w:rsidR="00F01CF9">
        <w:t xml:space="preserve"> burde være</w:t>
      </w:r>
      <w:r>
        <w:t xml:space="preserve"> omtalt i tilstandsrapporten.</w:t>
      </w:r>
      <w:r>
        <w:rPr>
          <w:rStyle w:val="Fodnotehenvisning"/>
        </w:rPr>
        <w:footnoteReference w:id="118"/>
      </w:r>
      <w:r w:rsidR="00D263B5">
        <w:t xml:space="preserve"> Den bygningssagkyndiges ansvar findes i LFFE § 3, stk. 1, og denne bestemmelse</w:t>
      </w:r>
      <w:r w:rsidR="00F01CF9">
        <w:t xml:space="preserve"> udvider ikke købers almindelige lovmæssige krav, men</w:t>
      </w:r>
      <w:r w:rsidR="00D263B5">
        <w:t xml:space="preserve"> medfører alene en præcisering af købers retstilling, der gør at denne kan rette et eventuelt erstatningskrav direkte mod den b</w:t>
      </w:r>
      <w:r w:rsidR="001976AD">
        <w:t>ygningssagkyndige, på trods af at</w:t>
      </w:r>
      <w:r w:rsidR="00D263B5">
        <w:t xml:space="preserve"> køber ikke har et kontraktforhold til den bygningssagkyndige. I L89 § 1, nr. 7 (</w:t>
      </w:r>
      <w:r w:rsidR="001976AD">
        <w:t>fremtidige LFFE</w:t>
      </w:r>
      <w:r w:rsidR="00D263B5">
        <w:t xml:space="preserve"> § 3, stk. 1) udvides den forhenværende bestemmelse om den bygningssagkyndiges ansvar til også at omfatte ansvar for den autoriserede elinstalla</w:t>
      </w:r>
      <w:r w:rsidR="001976AD">
        <w:t>tør. Dette sker</w:t>
      </w:r>
      <w:r w:rsidR="00D263B5">
        <w:t xml:space="preserve"> som konsekvens af, at sælger for at o</w:t>
      </w:r>
      <w:r w:rsidR="00D263B5">
        <w:t>p</w:t>
      </w:r>
      <w:r w:rsidR="00D263B5">
        <w:t>nå beskyttelse mod mangelskrav fra køber, skal udlevere en elinstallationsrapport. Sælger og køber skal</w:t>
      </w:r>
      <w:r w:rsidR="002460AB">
        <w:t xml:space="preserve"> på samme måde, som der er mulighed for</w:t>
      </w:r>
      <w:r w:rsidR="001976AD">
        <w:t xml:space="preserve"> ved den bygningssagkyndige,</w:t>
      </w:r>
      <w:r w:rsidR="00D263B5">
        <w:t xml:space="preserve"> </w:t>
      </w:r>
      <w:r w:rsidR="002460AB">
        <w:t>kunne</w:t>
      </w:r>
      <w:r w:rsidR="00D263B5">
        <w:t xml:space="preserve"> rette et krav mod den autoriserede elinstallatør, hvis denne ikke har udarbejdet elinstallationsrapporten korrekt. </w:t>
      </w:r>
    </w:p>
    <w:p w14:paraId="3273FCEF" w14:textId="2540B6DA" w:rsidR="008A3FC5" w:rsidRDefault="00A82A22" w:rsidP="008A3FC5">
      <w:pPr>
        <w:pStyle w:val="Overskrift3"/>
      </w:pPr>
      <w:bookmarkStart w:id="45" w:name="_Toc179963448"/>
      <w:r>
        <w:t xml:space="preserve">4.4.1 </w:t>
      </w:r>
      <w:r w:rsidR="008A3FC5">
        <w:t>Elinstallatør</w:t>
      </w:r>
      <w:r w:rsidR="00DA2BB4">
        <w:t>ens professionsansvar</w:t>
      </w:r>
      <w:bookmarkEnd w:id="45"/>
    </w:p>
    <w:p w14:paraId="7EEE0DE3" w14:textId="7CBB5DCD" w:rsidR="00D263B5" w:rsidRDefault="00881BA5" w:rsidP="00D263B5">
      <w:r>
        <w:t xml:space="preserve">Som ovenfor beskrevet er der i L89 indført en adgang for køber til at </w:t>
      </w:r>
      <w:r w:rsidR="00C87549">
        <w:t>påberåbe sig fejl ved en eli</w:t>
      </w:r>
      <w:r w:rsidR="00C87549">
        <w:t>n</w:t>
      </w:r>
      <w:r w:rsidR="00C87549">
        <w:t>stallationsrapport overfor den autoriserede elinstallatør. Denne adgang findes i L89 § 1, nr. 7 (</w:t>
      </w:r>
      <w:r w:rsidR="001976AD">
        <w:t>fre</w:t>
      </w:r>
      <w:r w:rsidR="001976AD">
        <w:t>m</w:t>
      </w:r>
      <w:r w:rsidR="001976AD">
        <w:t xml:space="preserve">tidige LFFE § 3, stk. 1). </w:t>
      </w:r>
      <w:r w:rsidR="002460AB">
        <w:t>I d</w:t>
      </w:r>
      <w:r w:rsidR="00C87549">
        <w:t>enne</w:t>
      </w:r>
      <w:r w:rsidR="002460AB">
        <w:t xml:space="preserve"> bestemmelse anføres</w:t>
      </w:r>
      <w:r w:rsidR="001976AD">
        <w:t>, at køber</w:t>
      </w:r>
      <w:r w:rsidR="00CF70B5">
        <w:t xml:space="preserve"> </w:t>
      </w:r>
      <w:r w:rsidR="00C87549">
        <w:t>overfor den autoriserede elinstall</w:t>
      </w:r>
      <w:r w:rsidR="00C87549">
        <w:t>a</w:t>
      </w:r>
      <w:r w:rsidR="00C87549">
        <w:t xml:space="preserve">tørvirksomhed, der har udarbejdet elinstallationsrapporten, </w:t>
      </w:r>
      <w:r w:rsidR="001976AD">
        <w:t xml:space="preserve">kan </w:t>
      </w:r>
      <w:r w:rsidR="00C87549">
        <w:t>fremsætte krav om skadeserstatning for fej</w:t>
      </w:r>
      <w:r w:rsidR="001976AD">
        <w:t>l</w:t>
      </w:r>
      <w:r w:rsidR="00C87549">
        <w:t>, der burde have væ</w:t>
      </w:r>
      <w:r w:rsidR="00CF70B5">
        <w:t>ret omtalt i rapporten. At køber</w:t>
      </w:r>
      <w:r w:rsidR="00C87549">
        <w:t xml:space="preserve"> henvises til at fremsætte krav mod eli</w:t>
      </w:r>
      <w:r w:rsidR="00C87549">
        <w:t>n</w:t>
      </w:r>
      <w:r w:rsidR="00C87549">
        <w:t>stallatørvirksomheden, o</w:t>
      </w:r>
      <w:r w:rsidR="002460AB">
        <w:t>g ikke selve elinstallatøren</w:t>
      </w:r>
      <w:r w:rsidR="00C87549">
        <w:t xml:space="preserve"> begrundes i, at der er tale om et professionsa</w:t>
      </w:r>
      <w:r w:rsidR="00C87549">
        <w:t>n</w:t>
      </w:r>
      <w:r w:rsidR="00C87549">
        <w:t xml:space="preserve">svar, og ikke et ansvar rettet direkte og personligt mod elinstallatøren. Der er ikke tale om, at </w:t>
      </w:r>
      <w:r w:rsidR="001976AD">
        <w:t>eli</w:t>
      </w:r>
      <w:r w:rsidR="001976AD">
        <w:t>n</w:t>
      </w:r>
      <w:r w:rsidR="001976AD">
        <w:t>stallatøren</w:t>
      </w:r>
      <w:r w:rsidR="00C87549">
        <w:t xml:space="preserve"> overtager sæ</w:t>
      </w:r>
      <w:r w:rsidR="002460AB">
        <w:t>lgerens mangelsansvar</w:t>
      </w:r>
      <w:r w:rsidR="001976AD">
        <w:t>,</w:t>
      </w:r>
      <w:r w:rsidR="00C87549">
        <w:t xml:space="preserve"> og dermed hæfter for skjulte fejl, som ikke ud fra de faglige normer burde have været opdaget af elinstallatøren.</w:t>
      </w:r>
      <w:r w:rsidR="00C87549">
        <w:rPr>
          <w:rStyle w:val="Fodnotehenvisning"/>
        </w:rPr>
        <w:footnoteReference w:id="119"/>
      </w:r>
      <w:r w:rsidR="00C87549">
        <w:t xml:space="preserve"> Sælger hæfter således stadig for de fejl, som den bygningssagkyndige ikke burde have afdækket</w:t>
      </w:r>
      <w:r w:rsidR="001976AD">
        <w:t>,</w:t>
      </w:r>
      <w:r w:rsidR="00C87549">
        <w:t xml:space="preserve"> og som sælger ikke er fritaget at hæfte for efter undtagelsesbest</w:t>
      </w:r>
      <w:r w:rsidR="001976AD">
        <w:t>emmelsen i LFFE § 2, stk. 5. Imidlertid</w:t>
      </w:r>
      <w:r w:rsidR="00C87549">
        <w:t xml:space="preserve"> er elinstallatørens ansvar ikke b</w:t>
      </w:r>
      <w:r w:rsidR="00C87549">
        <w:t>e</w:t>
      </w:r>
      <w:r w:rsidR="00C87549">
        <w:t>grænset af sælgerbeskyttelsen i LFFE § 2, stk. 1. Elinstallatørens ansvar gælder således uanset om sælger er beskyttet af LFFE § 2, stk. 1 eller ej.</w:t>
      </w:r>
    </w:p>
    <w:p w14:paraId="3FE83F46" w14:textId="77777777" w:rsidR="00C87549" w:rsidRDefault="00C87549" w:rsidP="00D263B5"/>
    <w:p w14:paraId="03741B26" w14:textId="77280175" w:rsidR="00C87549" w:rsidRDefault="00C87549" w:rsidP="00D263B5">
      <w:r>
        <w:t>Det vil afhænge af de almind</w:t>
      </w:r>
      <w:r w:rsidR="00CF70B5">
        <w:t>elige erstatningsregler, hvorvidt</w:t>
      </w:r>
      <w:r>
        <w:t xml:space="preserve"> der foreligger det fornødne ansvar</w:t>
      </w:r>
      <w:r>
        <w:t>s</w:t>
      </w:r>
      <w:r>
        <w:t xml:space="preserve">grundlag for elinstallatøren. </w:t>
      </w:r>
      <w:r w:rsidR="00522871">
        <w:t>Det afgørende vil være, om elinstallatøren ud fra de faglige normer på området har begået en fejl ved sin besigtigelse af ejendommens elinstallationer.</w:t>
      </w:r>
      <w:r w:rsidR="00522871">
        <w:rPr>
          <w:rStyle w:val="Fodnotehenvisning"/>
        </w:rPr>
        <w:footnoteReference w:id="120"/>
      </w:r>
      <w:r w:rsidR="00522871">
        <w:t xml:space="preserve"> Dette gælder dog ikke tilfælde, hvor elinstallatøren har påtaget sig at indestå for rigtigheden af en oplysning. I denne situation vil elinstall</w:t>
      </w:r>
      <w:r w:rsidR="002460AB">
        <w:t>atøren ifalde ansvar, såfremt</w:t>
      </w:r>
      <w:r w:rsidR="001976AD">
        <w:t xml:space="preserve"> den afgivne</w:t>
      </w:r>
      <w:r w:rsidR="00522871">
        <w:t xml:space="preserve"> garanti ikke er opfyldt. Erstatning</w:t>
      </w:r>
      <w:r w:rsidR="00522871">
        <w:t>s</w:t>
      </w:r>
      <w:r w:rsidR="00522871">
        <w:t>summen afhænger af de almindelige erstatningsregler, hvorefter der som udgangspunkt kan kræves erstatning for det fulde tab. Sælger og elinstallatøren er solidarisk ansvarlig</w:t>
      </w:r>
      <w:r w:rsidR="001976AD">
        <w:t>e</w:t>
      </w:r>
      <w:r w:rsidR="002460AB">
        <w:t>, såfremt</w:t>
      </w:r>
      <w:r w:rsidR="00522871">
        <w:t xml:space="preserve"> begge parter er erstatningsansvarlige, og det er således erstatningsansvarslovens regler om flere erstatningsa</w:t>
      </w:r>
      <w:r w:rsidR="00522871">
        <w:t>n</w:t>
      </w:r>
      <w:r w:rsidR="00522871">
        <w:t>svarlige, der finder anvendelse.</w:t>
      </w:r>
    </w:p>
    <w:p w14:paraId="7513A322" w14:textId="77777777" w:rsidR="00522871" w:rsidRDefault="00522871" w:rsidP="00D263B5"/>
    <w:p w14:paraId="2A2BFF25" w14:textId="473DD68A" w:rsidR="00522871" w:rsidRDefault="00FE6765" w:rsidP="00D263B5">
      <w:r>
        <w:t>Det e</w:t>
      </w:r>
      <w:r w:rsidR="001976AD">
        <w:t>r ikke muligt for køber</w:t>
      </w:r>
      <w:r w:rsidR="00CF70B5">
        <w:t xml:space="preserve"> og sælger</w:t>
      </w:r>
      <w:r w:rsidR="001976AD">
        <w:t xml:space="preserve"> at</w:t>
      </w:r>
      <w:r>
        <w:t xml:space="preserve"> påberåbe sig forhold, som burde have været nævnt i en elinstallationsrapport </w:t>
      </w:r>
      <w:r w:rsidR="001976AD">
        <w:t>uendeligt</w:t>
      </w:r>
      <w:r>
        <w:t>. I L89 § 1, nr. 7 (</w:t>
      </w:r>
      <w:r w:rsidR="001976AD">
        <w:t>fremtidige LFFE § 3, stk. 2) fastsættes</w:t>
      </w:r>
      <w:r>
        <w:t xml:space="preserve"> en forælde</w:t>
      </w:r>
      <w:r>
        <w:t>l</w:t>
      </w:r>
      <w:r>
        <w:t>sesfrist for, hvornår køber senest kan påberåbe sig forhold ove</w:t>
      </w:r>
      <w:r w:rsidR="003F4F28">
        <w:t>rfor elinstallatøren. Den person, der vil påberåbe sig et forhold overfor elinstallatøren skal meddele denne</w:t>
      </w:r>
      <w:r w:rsidR="00DA2BB4">
        <w:t xml:space="preserve"> om forholdet inden 5 år fra den overtagelsesdag, der er aftalt mellem køber og sælger, dog senest 6 år fra rapportens datering. Hvis påberåbelsen ikke sker inden tidsfristen, mister den pågældende retten til at påberåbe sig, at fejlen burde have været omtalt i elinstallationsrapporten</w:t>
      </w:r>
      <w:r w:rsidR="00CF70B5">
        <w:t xml:space="preserve"> overfor elinstallatøren</w:t>
      </w:r>
      <w:r w:rsidR="00DA2BB4">
        <w:t>. At det ikke er spec</w:t>
      </w:r>
      <w:r w:rsidR="00DA2BB4">
        <w:t>i</w:t>
      </w:r>
      <w:r w:rsidR="00DA2BB4">
        <w:t>ficeret nærmere, hvilken person, der kan påberåbe sig et forhol</w:t>
      </w:r>
      <w:r w:rsidR="00F01CF9">
        <w:t>d overfor elinstallatøren begrundes</w:t>
      </w:r>
      <w:r w:rsidR="00DA2BB4">
        <w:t xml:space="preserve"> i, at både køber og sælger har denne mulighed. Købers mulighed er nærmere beskrevet ovenfor</w:t>
      </w:r>
      <w:r w:rsidR="001976AD">
        <w:t xml:space="preserve"> i dette afsnit</w:t>
      </w:r>
      <w:r w:rsidR="00DA2BB4">
        <w:t xml:space="preserve">, og sælger har muligheden, hvis køber har påberåbt sig forholdet overfor denne, og sælger derved får et regreskrav mod elinstallatøren. </w:t>
      </w:r>
    </w:p>
    <w:p w14:paraId="12A3A5E5" w14:textId="77777777" w:rsidR="00DA2BB4" w:rsidRDefault="00DA2BB4" w:rsidP="00D263B5"/>
    <w:p w14:paraId="2B1FF67E" w14:textId="7F7D8160" w:rsidR="00DA2BB4" w:rsidRPr="00D263B5" w:rsidRDefault="002460AB" w:rsidP="00D263B5">
      <w:r>
        <w:t>Samlet</w:t>
      </w:r>
      <w:r w:rsidR="00DA2BB4">
        <w:t xml:space="preserve"> har køber mulighed for at påberåbe sig forhold ove</w:t>
      </w:r>
      <w:r>
        <w:t>rfor den elinstallatør</w:t>
      </w:r>
      <w:r w:rsidR="00DA2BB4">
        <w:t>, der har udarbejdet elinstallationsrapporten på ejendommen, hvis forholdet burde have været omtalt i elinstallationsra</w:t>
      </w:r>
      <w:r w:rsidR="00DA2BB4">
        <w:t>p</w:t>
      </w:r>
      <w:r w:rsidR="00DA2BB4">
        <w:t>porten. Hvis køber har påberåbt sig forholdet overfor sælger, og sælger mener</w:t>
      </w:r>
      <w:r w:rsidR="001976AD">
        <w:t>,</w:t>
      </w:r>
      <w:r w:rsidR="00DA2BB4">
        <w:t xml:space="preserve"> at forholdet burde have været omtalt i elinstallationsrapporten, kan sælger søge regres overfor elinstallatøren. Forho</w:t>
      </w:r>
      <w:r w:rsidR="00DA2BB4">
        <w:t>l</w:t>
      </w:r>
      <w:r w:rsidR="00DA2BB4">
        <w:t>det skal påberåbes overfor elinstallatøren senest 5 år efter overtagelsesdagen, dog senest 6 år efter udarbejdelse af elinstallationsrapporten. Det er dansk rets almindelige erstatningsre</w:t>
      </w:r>
      <w:r w:rsidR="000A2073">
        <w:t>gler, der finder anvendelse ved fastsættelse af</w:t>
      </w:r>
      <w:r w:rsidR="00DA2BB4">
        <w:t xml:space="preserve"> e</w:t>
      </w:r>
      <w:r w:rsidR="000A2073">
        <w:t>rstatningskravet</w:t>
      </w:r>
      <w:r w:rsidR="00DA2BB4">
        <w:t xml:space="preserve">. </w:t>
      </w:r>
    </w:p>
    <w:p w14:paraId="6C122B14" w14:textId="3EB396F9" w:rsidR="00BA3098" w:rsidRDefault="00A82A22" w:rsidP="0054034F">
      <w:pPr>
        <w:pStyle w:val="Overskrift2"/>
      </w:pPr>
      <w:bookmarkStart w:id="46" w:name="_Toc179963449"/>
      <w:r>
        <w:t xml:space="preserve">4.5 </w:t>
      </w:r>
      <w:r w:rsidR="008A3FC5">
        <w:t>Dækningsomfang af</w:t>
      </w:r>
      <w:r w:rsidR="0054034F">
        <w:t xml:space="preserve"> ejerskifteforsikringer</w:t>
      </w:r>
      <w:bookmarkEnd w:id="46"/>
    </w:p>
    <w:p w14:paraId="64306A89" w14:textId="196E411B" w:rsidR="00E266ED" w:rsidRDefault="00D85835" w:rsidP="00E266ED">
      <w:r>
        <w:t>Baggrunden for LFFE § 2, stk. 5, 1. pkt. er, at sælger som udgan</w:t>
      </w:r>
      <w:r w:rsidR="00D90465">
        <w:t>gspunkt ikke bør fritages for ansvar</w:t>
      </w:r>
      <w:r>
        <w:t xml:space="preserve"> med hensyn til forhold, som i almindelighed ikke belyses i en tilstandsrapport, og som køber</w:t>
      </w:r>
      <w:r w:rsidR="00D90465">
        <w:t xml:space="preserve"> ikke</w:t>
      </w:r>
      <w:r>
        <w:t xml:space="preserve"> kan sikre sig imod. Med L89 fjernes undtagelsesbestemmelsen i LFFE § 2, stk. 5, 1. pkt. og ersta</w:t>
      </w:r>
      <w:r>
        <w:t>t</w:t>
      </w:r>
      <w:r>
        <w:t>tes af en ny bestemmelse, som ikke indehol</w:t>
      </w:r>
      <w:r w:rsidR="00CF70B5">
        <w:t>der elinstallationer. Det</w:t>
      </w:r>
      <w:r>
        <w:t xml:space="preserve"> antages</w:t>
      </w:r>
      <w:r w:rsidR="001976AD">
        <w:t>,</w:t>
      </w:r>
      <w:r>
        <w:t xml:space="preserve"> at baggrunden for den gamle undtagelsesbestemmelse stadig er gældende for elinstallationer, således at for at sælger kan blive beskyttet mod ulovlig elinstallationer, skal køber kunne sikre sig imod disse. </w:t>
      </w:r>
      <w:r w:rsidR="00165365">
        <w:t>For at baggr</w:t>
      </w:r>
      <w:r>
        <w:t>u</w:t>
      </w:r>
      <w:r>
        <w:t>n</w:t>
      </w:r>
      <w:r>
        <w:t>den for undtagelsesbestemmelsen overholdes ved L89, skal dækningsomfanget af ejerskifteforsi</w:t>
      </w:r>
      <w:r>
        <w:t>k</w:t>
      </w:r>
      <w:r>
        <w:t xml:space="preserve">ringer udvides på lige vilkår med beskyttelsesordningen. </w:t>
      </w:r>
    </w:p>
    <w:p w14:paraId="47724D36" w14:textId="0AB396C4" w:rsidR="000B0447" w:rsidRDefault="00A82A22" w:rsidP="00E30074">
      <w:pPr>
        <w:pStyle w:val="Overskrift3"/>
      </w:pPr>
      <w:bookmarkStart w:id="47" w:name="_Toc179963450"/>
      <w:r>
        <w:t xml:space="preserve">4.5.1 </w:t>
      </w:r>
      <w:r w:rsidR="00E30074">
        <w:t>Omfang</w:t>
      </w:r>
      <w:bookmarkEnd w:id="47"/>
    </w:p>
    <w:p w14:paraId="3AB9801B" w14:textId="4CE3A259" w:rsidR="005075C3" w:rsidRDefault="008D59A6" w:rsidP="00E266ED">
      <w:r>
        <w:t>Det er ikke fastsat</w:t>
      </w:r>
      <w:r w:rsidR="000B0447">
        <w:t xml:space="preserve"> i L89, hvad dækningsomfanget af ejerskifteforsikringer minimum skal omfatte. I LFFE § 5, stk. 3 er givet justitsministeren bemyndigelse til at fastsætte</w:t>
      </w:r>
      <w:r w:rsidR="009D3C37">
        <w:t xml:space="preserve"> nærmere</w:t>
      </w:r>
      <w:r w:rsidR="000B0447">
        <w:t xml:space="preserve"> regler om dæ</w:t>
      </w:r>
      <w:r w:rsidR="000B0447">
        <w:t>k</w:t>
      </w:r>
      <w:r w:rsidR="000B0447">
        <w:t>ningsomfanget for ejerskifteforsikringer</w:t>
      </w:r>
      <w:r>
        <w:t>. Justitsministeren har hidtil</w:t>
      </w:r>
      <w:r w:rsidR="009D3C37">
        <w:t xml:space="preserve"> benyttet sig af denne mulighed og</w:t>
      </w:r>
      <w:r>
        <w:t xml:space="preserve"> fastsat reglerne om dækningsomfanget for ejerskifteforsikringer i ESBK, jf. </w:t>
      </w:r>
      <w:r w:rsidR="00D65EDA" w:rsidRPr="00D65EDA">
        <w:t>afsnit 2.3.2</w:t>
      </w:r>
      <w:r w:rsidRPr="00D65EDA">
        <w:t>.</w:t>
      </w:r>
      <w:r>
        <w:t xml:space="preserve"> LFFE § 5, stk. 3 har ikke undergået ændringer i forbindelse med vedtagelsen af L89, hvorfor det stadig er gældende</w:t>
      </w:r>
      <w:r w:rsidR="009D3C37">
        <w:t>,</w:t>
      </w:r>
      <w:r>
        <w:t xml:space="preserve"> at Justitsministeren er bemyndiget til at fastsætte de nærmere regler for dækningsomfa</w:t>
      </w:r>
      <w:r w:rsidR="005075C3">
        <w:t>n</w:t>
      </w:r>
      <w:r w:rsidR="005075C3">
        <w:t>get af ejerskiftefor</w:t>
      </w:r>
      <w:r w:rsidR="009D3C37">
        <w:t>sikringer.</w:t>
      </w:r>
      <w:r w:rsidR="00284E28">
        <w:rPr>
          <w:rStyle w:val="Fodnotehenvisning"/>
        </w:rPr>
        <w:footnoteReference w:id="121"/>
      </w:r>
      <w:r w:rsidR="00CF70B5">
        <w:t xml:space="preserve"> </w:t>
      </w:r>
      <w:r w:rsidR="009D3C37">
        <w:t xml:space="preserve">Det er </w:t>
      </w:r>
      <w:r w:rsidR="005075C3">
        <w:t>nedfældet i L89 § 1, nr. 10 (</w:t>
      </w:r>
      <w:r w:rsidR="009D3C37">
        <w:t>fremtidige LFFE</w:t>
      </w:r>
      <w:r w:rsidR="005075C3">
        <w:t xml:space="preserve"> § 5, stk. 1, nr. 1) hvad den ejerskifteforsikring, som sælger skal tilbyde køber at betale halvdelen af præmien af, som minimum skal dække for at opfylde kra</w:t>
      </w:r>
      <w:r w:rsidR="00CF687C">
        <w:t xml:space="preserve">vene til </w:t>
      </w:r>
      <w:r w:rsidR="005075C3">
        <w:t>sælgers hæftelsesfritagelse.</w:t>
      </w:r>
      <w:r w:rsidR="00284E28">
        <w:t xml:space="preserve"> Nyskabelsen i denne bestemmelse ligger i, at elinstallationer bliver en del af sælgerbeskyttelsen, hvorfor</w:t>
      </w:r>
      <w:r w:rsidR="005075C3">
        <w:t xml:space="preserve"> </w:t>
      </w:r>
      <w:r w:rsidR="00284E28">
        <w:t>b</w:t>
      </w:r>
      <w:r w:rsidR="00CF687C">
        <w:t>estemmelsen anfører, at ejerskifteforsikringen skal dække manglende eller nedsat funktion af og ulovlige forhold ved bygningens elinstallationer, der var til stede ved købers overtagelse af ejendommen, og som ikke er nævnt eller er klart forkert beskr</w:t>
      </w:r>
      <w:r w:rsidR="009D3C37">
        <w:t xml:space="preserve">evet i elinstallationsrapporten. </w:t>
      </w:r>
      <w:r w:rsidR="00CF687C">
        <w:t>Således skal ejerskifteforsi</w:t>
      </w:r>
      <w:r w:rsidR="00CF687C">
        <w:t>k</w:t>
      </w:r>
      <w:r w:rsidR="00CF687C">
        <w:t>ringen udvides til at dække forhold ved ejendommens elinstallationer, som køber ikke er blevet o</w:t>
      </w:r>
      <w:r w:rsidR="00CF687C">
        <w:t>p</w:t>
      </w:r>
      <w:r w:rsidR="009D3C37">
        <w:t xml:space="preserve">lyst om. Dette er sammenfaldende </w:t>
      </w:r>
      <w:r w:rsidR="00CF687C">
        <w:t>med, at en ejerskifteforsikring før L89</w:t>
      </w:r>
      <w:r w:rsidR="009D3C37">
        <w:t xml:space="preserve"> vedtagelse,</w:t>
      </w:r>
      <w:r w:rsidR="00CF687C">
        <w:t xml:space="preserve"> skulle dække skjulte fysiske skader ved ejendommen, og at det var en bygnings fysiske tilstand, som sælger blev fritaget at hæfte for. L89 har udvidet sælgerbeskyttelsen til at omfatte ulovlige elinstallationer, hvorfor ejerskifteforsikringen skal dække forhold, som må kunne henledes til skjul</w:t>
      </w:r>
      <w:r w:rsidR="009D3C37">
        <w:t>t</w:t>
      </w:r>
      <w:r w:rsidR="00CF687C">
        <w:t xml:space="preserve">e forhold ved ejendommens elinstallationer. Med L89 § 1, nr. 10 bliver forholdet mellem køber og sælgers risiko </w:t>
      </w:r>
      <w:r w:rsidR="00E221CD">
        <w:t>udjævnet således, at sælger opnår beskyttelse mod at hæfte for bygningens ulovlige elinstalla</w:t>
      </w:r>
      <w:r w:rsidR="009D3C37">
        <w:t>tioner, imedens</w:t>
      </w:r>
      <w:r w:rsidR="00E221CD">
        <w:t xml:space="preserve"> køber opnår kendskab til disse. Elinstallationer, der ikke er oplyst i elinstallationsrappo</w:t>
      </w:r>
      <w:r w:rsidR="00E221CD">
        <w:t>r</w:t>
      </w:r>
      <w:r w:rsidR="00E221CD">
        <w:t xml:space="preserve">ten, og som ikke opfylder de krav, der er til disse, bliver </w:t>
      </w:r>
      <w:r w:rsidR="009D3C37">
        <w:t>omfattet af</w:t>
      </w:r>
      <w:r w:rsidR="00E221CD">
        <w:t xml:space="preserve"> ejerskifteforsikringen</w:t>
      </w:r>
      <w:r w:rsidR="009D3C37">
        <w:t>s dæ</w:t>
      </w:r>
      <w:r w:rsidR="009D3C37">
        <w:t>k</w:t>
      </w:r>
      <w:r w:rsidR="009D3C37">
        <w:t>ningsomfang</w:t>
      </w:r>
      <w:r w:rsidR="00D90465">
        <w:t>.</w:t>
      </w:r>
    </w:p>
    <w:p w14:paraId="10991432" w14:textId="26AB9B8C" w:rsidR="00DD2B01" w:rsidRDefault="00A82A22" w:rsidP="00E30074">
      <w:pPr>
        <w:pStyle w:val="Overskrift3"/>
      </w:pPr>
      <w:bookmarkStart w:id="48" w:name="_Toc179963451"/>
      <w:r>
        <w:t xml:space="preserve">4.5.2 </w:t>
      </w:r>
      <w:r w:rsidR="00E30074">
        <w:t>Tidshorisont</w:t>
      </w:r>
      <w:bookmarkEnd w:id="48"/>
    </w:p>
    <w:p w14:paraId="5BA86A19" w14:textId="53D82020" w:rsidR="00DD2B01" w:rsidRDefault="00DD2B01" w:rsidP="00E266ED">
      <w:r>
        <w:t xml:space="preserve">Endnu en nyskabelse ved L89 er, at ejerskifteforsikringen </w:t>
      </w:r>
      <w:r w:rsidR="009D3C37">
        <w:t xml:space="preserve">tidsmæssigt </w:t>
      </w:r>
      <w:r>
        <w:t>dækker</w:t>
      </w:r>
      <w:r w:rsidR="009D3C37">
        <w:t xml:space="preserve"> forhold, der konst</w:t>
      </w:r>
      <w:r w:rsidR="009D3C37">
        <w:t>a</w:t>
      </w:r>
      <w:r w:rsidR="009D3C37">
        <w:t>teres</w:t>
      </w:r>
      <w:r>
        <w:t xml:space="preserve"> fra elinstallationsrapportens ud</w:t>
      </w:r>
      <w:r w:rsidR="007E2E27">
        <w:t>arbejdelse og ikke som i</w:t>
      </w:r>
      <w:r>
        <w:t xml:space="preserve"> LFFE</w:t>
      </w:r>
      <w:r w:rsidR="007E2E27">
        <w:t>, hvor ejerskifteforsikringen</w:t>
      </w:r>
      <w:r w:rsidR="00D90465">
        <w:t xml:space="preserve"> kun</w:t>
      </w:r>
      <w:r w:rsidR="007E2E27">
        <w:t xml:space="preserve"> dækkede</w:t>
      </w:r>
      <w:r>
        <w:t xml:space="preserve"> skader, som viste sig efter overtagelsesdagen. Dette gælder dog kun i de tilfælde, hvor køber har valgt at tegne en ejerskifteforsikring, jf. L89 § 1, nr. 4</w:t>
      </w:r>
      <w:r w:rsidR="009D3C37">
        <w:t xml:space="preserve"> (fremtidige LFFE § 2, stk. 5, 2. pkt.)</w:t>
      </w:r>
      <w:r w:rsidR="00284E28">
        <w:t xml:space="preserve"> Såfremt</w:t>
      </w:r>
      <w:r>
        <w:t xml:space="preserve"> køber ikke tegner ejerskifteforsikringen, kan denne</w:t>
      </w:r>
      <w:r w:rsidR="00F266A2">
        <w:t xml:space="preserve"> påberåbe sig forhold</w:t>
      </w:r>
      <w:r w:rsidR="009D3C37">
        <w:t xml:space="preserve"> overfor sæ</w:t>
      </w:r>
      <w:r w:rsidR="009D3C37">
        <w:t>l</w:t>
      </w:r>
      <w:r w:rsidR="009D3C37">
        <w:t>ger, der</w:t>
      </w:r>
      <w:r w:rsidR="00F266A2">
        <w:t xml:space="preserve"> er opstået efter udarbejdelsen af tilstands- og elinstallationsrapporten. Dette må antages</w:t>
      </w:r>
      <w:r w:rsidR="009D3C37">
        <w:t>,</w:t>
      </w:r>
      <w:r w:rsidR="00F266A2">
        <w:t xml:space="preserve"> at være begrundet i, at køber ellers ville skulle bære risikoen fra rapportens udarbejdelse og frem til overtagelsesdagen, hvilket ikke kan anses for rimeligt, medmindre dette er aftalt mellem køber og sælger, jf. L89</w:t>
      </w:r>
      <w:r w:rsidR="007E2E27">
        <w:t xml:space="preserve"> § 1, nr. 11 (</w:t>
      </w:r>
      <w:r w:rsidR="009D3C37">
        <w:t>fremtidige LFFE</w:t>
      </w:r>
      <w:r w:rsidR="007E2E27">
        <w:t xml:space="preserve"> § 21, stk. 1, 2. pkt.). Det obligationsretlige udgang</w:t>
      </w:r>
      <w:r w:rsidR="007E2E27">
        <w:t>s</w:t>
      </w:r>
      <w:r w:rsidR="007E2E27">
        <w:t>punkt er</w:t>
      </w:r>
      <w:r w:rsidR="009D3C37">
        <w:t>,</w:t>
      </w:r>
      <w:r w:rsidR="007E2E27">
        <w:t xml:space="preserve"> at sælger bærer risikoen for skader frem til overtagelsesda</w:t>
      </w:r>
      <w:r w:rsidR="009D3C37">
        <w:t>gen, hvorfra</w:t>
      </w:r>
      <w:r w:rsidR="007E2E27">
        <w:t xml:space="preserve"> risiko</w:t>
      </w:r>
      <w:r w:rsidR="009D3C37">
        <w:t>en går over på køber</w:t>
      </w:r>
      <w:r w:rsidR="007E2E27">
        <w:t>. At ejerskifteforsikringen dækker skader</w:t>
      </w:r>
      <w:r w:rsidR="009D3C37">
        <w:t>, der</w:t>
      </w:r>
      <w:r w:rsidR="007E2E27">
        <w:t xml:space="preserve"> viser sig efter udarbejdelsen af tilstands- og elinstallationsrapporten og frem til overtagelsesdagen, må begrundes i, at en skade som viser sig efter udar</w:t>
      </w:r>
      <w:r w:rsidR="00C34556">
        <w:t>bejdelsen må antages at have eksisteret inden også. Det er kun de hændelige skader og forhold, som kan henføres</w:t>
      </w:r>
      <w:r w:rsidR="00986844">
        <w:t xml:space="preserve"> til den bygningssagkyndige, der</w:t>
      </w:r>
      <w:r w:rsidR="00C34556">
        <w:t xml:space="preserve"> med sikkerhed ikke skal dækkes af eje</w:t>
      </w:r>
      <w:r w:rsidR="00C34556">
        <w:t>r</w:t>
      </w:r>
      <w:r w:rsidR="00C34556">
        <w:t>skifteforsikringen, hvorfor forsikringsselskabet må antages at have regres mod henholdsvis sælger og den bygningssagkynd</w:t>
      </w:r>
      <w:r w:rsidR="00986844">
        <w:t>ige, hvis denne vælger at dække sådanne forhold.</w:t>
      </w:r>
    </w:p>
    <w:p w14:paraId="1E757300" w14:textId="77777777" w:rsidR="00C34556" w:rsidRDefault="00C34556" w:rsidP="00E266ED"/>
    <w:p w14:paraId="1AC9815F" w14:textId="1162CFBD" w:rsidR="00C34556" w:rsidRPr="00E266ED" w:rsidRDefault="00D90465" w:rsidP="00E266ED">
      <w:r>
        <w:t>Samlet</w:t>
      </w:r>
      <w:r w:rsidR="00C34556">
        <w:t xml:space="preserve"> skal en ejerskifteforsikring dække ulovlige elinstallationer for at opfylde kravet til sælger om, at denne skal fremkomme med et tilbud på en ejerskifteforsikring, og tilbyde at betale halvd</w:t>
      </w:r>
      <w:r w:rsidR="00C34556">
        <w:t>e</w:t>
      </w:r>
      <w:r w:rsidR="00C34556">
        <w:t>len af præmien på denne. Ejerskifteforsikringen dækker fra udarbejdelse a</w:t>
      </w:r>
      <w:r>
        <w:t>f elinstallationsrapporten, såfremt</w:t>
      </w:r>
      <w:r w:rsidR="00C34556">
        <w:t xml:space="preserve"> køber tegner en ejerskifteforsikring. </w:t>
      </w:r>
      <w:r w:rsidR="00AE0521">
        <w:t>Minimumsomfanget af en ejerskifteforsikring fastsæ</w:t>
      </w:r>
      <w:r w:rsidR="00986844">
        <w:t>t</w:t>
      </w:r>
      <w:r w:rsidR="00986844">
        <w:t>tes af Justitsministeren. Justitsministeren</w:t>
      </w:r>
      <w:r w:rsidR="00AE0521">
        <w:t xml:space="preserve"> er ved dette speciales afslutning ikke fremkommet med en ny bekendtgørelse vedrørende dækningsomfanget for ejerskifteforsikringer, og der er derfor ikke noget sammenligningsgrundlag med ESBK.</w:t>
      </w:r>
    </w:p>
    <w:p w14:paraId="100B854C" w14:textId="7A25827A" w:rsidR="00BA3098" w:rsidRDefault="00BA3098" w:rsidP="001A79AD">
      <w:pPr>
        <w:pStyle w:val="Overskrift2"/>
      </w:pPr>
    </w:p>
    <w:p w14:paraId="005AAAEC" w14:textId="2AC9F0ED" w:rsidR="00BA3098" w:rsidRDefault="00E74891" w:rsidP="001A79AD">
      <w:pPr>
        <w:pStyle w:val="Overskrift1"/>
      </w:pPr>
      <w:r>
        <w:br w:type="column"/>
      </w:r>
      <w:bookmarkStart w:id="49" w:name="_Toc179963452"/>
      <w:r w:rsidR="00BB3980">
        <w:t xml:space="preserve">5.0 </w:t>
      </w:r>
      <w:r w:rsidR="0090558E">
        <w:t>Betydning i</w:t>
      </w:r>
      <w:r w:rsidR="00BA3098">
        <w:t xml:space="preserve"> praksis</w:t>
      </w:r>
      <w:bookmarkEnd w:id="49"/>
    </w:p>
    <w:p w14:paraId="16346C16" w14:textId="36F9D924" w:rsidR="00AD5C2B" w:rsidRDefault="008710B6" w:rsidP="00AD5C2B">
      <w:r>
        <w:t>Ovenfor er gennemgået</w:t>
      </w:r>
      <w:r w:rsidR="00BB3980">
        <w:t>, hvorledes</w:t>
      </w:r>
      <w:r>
        <w:t xml:space="preserve"> </w:t>
      </w:r>
      <w:r w:rsidR="00BB3980">
        <w:t>reglerne om huseftersynsordningen skal fortolkes. De nuvære</w:t>
      </w:r>
      <w:r w:rsidR="00BB3980">
        <w:t>n</w:t>
      </w:r>
      <w:r w:rsidR="00BB3980">
        <w:t>de regler på området er fortolket ud fra retspraksis, litteratur og forarbej</w:t>
      </w:r>
      <w:r w:rsidR="002351A3">
        <w:t>der. D</w:t>
      </w:r>
      <w:r w:rsidR="00536C19">
        <w:t>erved</w:t>
      </w:r>
      <w:r w:rsidR="002351A3">
        <w:t xml:space="preserve"> er det muligt at få</w:t>
      </w:r>
      <w:r w:rsidR="00BB3980">
        <w:t xml:space="preserve"> et forholdsvis klart </w:t>
      </w:r>
      <w:r w:rsidR="006C6296">
        <w:t>billede af, hvorledes praksis</w:t>
      </w:r>
      <w:r w:rsidR="00BB3980">
        <w:t xml:space="preserve"> forh</w:t>
      </w:r>
      <w:r w:rsidR="00536C19">
        <w:t>older sig til ulovlige elinstallationer i forbi</w:t>
      </w:r>
      <w:r w:rsidR="00536C19">
        <w:t>n</w:t>
      </w:r>
      <w:r w:rsidR="00536C19">
        <w:t>delse med huseftersynsordningen</w:t>
      </w:r>
      <w:r w:rsidR="006C6296">
        <w:t>.</w:t>
      </w:r>
      <w:r w:rsidR="00BB3980">
        <w:t xml:space="preserve"> Med</w:t>
      </w:r>
      <w:r w:rsidR="004C7400">
        <w:t xml:space="preserve"> indførslen af L89 fra 1.1.2012</w:t>
      </w:r>
      <w:r w:rsidR="00BB3980">
        <w:t xml:space="preserve"> bliver de nuværende regler æn</w:t>
      </w:r>
      <w:r w:rsidR="002351A3">
        <w:t xml:space="preserve">dret, og </w:t>
      </w:r>
      <w:r w:rsidR="00BB3980">
        <w:t>derved</w:t>
      </w:r>
      <w:r w:rsidR="002351A3">
        <w:t xml:space="preserve"> er det interessant at belyse</w:t>
      </w:r>
      <w:r w:rsidR="00BB3980">
        <w:t xml:space="preserve"> om det</w:t>
      </w:r>
      <w:r w:rsidR="004D37C0">
        <w:t>te</w:t>
      </w:r>
      <w:r w:rsidR="0090558E">
        <w:t xml:space="preserve"> har betydning i</w:t>
      </w:r>
      <w:r w:rsidR="00BB3980">
        <w:t xml:space="preserve"> praksis</w:t>
      </w:r>
      <w:r w:rsidR="004D37C0">
        <w:t>.</w:t>
      </w:r>
      <w:r w:rsidR="00782517">
        <w:t xml:space="preserve"> Dette spørgsmål søges besvaret nedenfor.</w:t>
      </w:r>
    </w:p>
    <w:p w14:paraId="2B22F0BB" w14:textId="401E5A3F" w:rsidR="004D37C0" w:rsidRDefault="004D37C0" w:rsidP="004D37C0">
      <w:pPr>
        <w:pStyle w:val="Overskrift2"/>
      </w:pPr>
      <w:bookmarkStart w:id="50" w:name="_Toc179963453"/>
      <w:r>
        <w:t>5.1 Praksis med LFFE</w:t>
      </w:r>
      <w:bookmarkEnd w:id="50"/>
    </w:p>
    <w:p w14:paraId="553FE207" w14:textId="0C825DB0" w:rsidR="004550E6" w:rsidRDefault="0090558E" w:rsidP="00782517">
      <w:r>
        <w:t>Dette afsnit behandler</w:t>
      </w:r>
      <w:r w:rsidR="004A335C">
        <w:t>,</w:t>
      </w:r>
      <w:r w:rsidR="004550E6">
        <w:t xml:space="preserve"> hvordan beskyttelsesordningen og dennes undtagelser påvirker praksis i dag, og hvilken betydning dette har for køber og sælger.</w:t>
      </w:r>
    </w:p>
    <w:p w14:paraId="614F464E" w14:textId="77777777" w:rsidR="004550E6" w:rsidRDefault="004550E6" w:rsidP="00782517"/>
    <w:p w14:paraId="37DF9988" w14:textId="4C1A7374" w:rsidR="001B14FE" w:rsidRDefault="001B14FE" w:rsidP="00782517">
      <w:r>
        <w:t xml:space="preserve">Retspraksis er meget entydig, hvad angår ulovlige elinstallationer i forbindelse med handel med fast ejendom. Højesteret har </w:t>
      </w:r>
      <w:r w:rsidR="004C7400">
        <w:t>minimum</w:t>
      </w:r>
      <w:r w:rsidR="00EE3AAD">
        <w:t xml:space="preserve"> </w:t>
      </w:r>
      <w:r>
        <w:t>to gange haft anledning til at tage stilling til</w:t>
      </w:r>
      <w:r w:rsidR="004C7400">
        <w:t xml:space="preserve"> spørgsmålet vedr</w:t>
      </w:r>
      <w:r w:rsidR="004C7400">
        <w:t>ø</w:t>
      </w:r>
      <w:r w:rsidR="004C7400">
        <w:t>rende</w:t>
      </w:r>
      <w:r>
        <w:t xml:space="preserve"> ulovlige elinstallationer efter</w:t>
      </w:r>
      <w:r w:rsidR="004C7400">
        <w:t>,</w:t>
      </w:r>
      <w:r>
        <w:t xml:space="preserve"> at LFFE trådte i kraft i 1996. Dommen, U.1998.474H, omhan</w:t>
      </w:r>
      <w:r>
        <w:t>d</w:t>
      </w:r>
      <w:r>
        <w:t xml:space="preserve">ler ikke </w:t>
      </w:r>
      <w:r w:rsidR="00E85A02">
        <w:t xml:space="preserve">ulovlige </w:t>
      </w:r>
      <w:r>
        <w:t>elinstallationer</w:t>
      </w:r>
      <w:r w:rsidR="00E85A02">
        <w:t xml:space="preserve"> i ejendomme handlet under</w:t>
      </w:r>
      <w:r>
        <w:t xml:space="preserve"> huseftersynsordningen, idet </w:t>
      </w:r>
      <w:r w:rsidR="004C7400">
        <w:t xml:space="preserve">den </w:t>
      </w:r>
      <w:r>
        <w:t>eje</w:t>
      </w:r>
      <w:r>
        <w:t>n</w:t>
      </w:r>
      <w:r>
        <w:t>dom</w:t>
      </w:r>
      <w:r w:rsidR="004C7400">
        <w:t>, som sagen omhandler</w:t>
      </w:r>
      <w:r>
        <w:t xml:space="preserve"> blev handlet før LFFE’s i</w:t>
      </w:r>
      <w:r w:rsidR="00E85A02">
        <w:t>krafttræden. Dommen</w:t>
      </w:r>
      <w:r>
        <w:t xml:space="preserve"> anvendes</w:t>
      </w:r>
      <w:r w:rsidR="00E85A02">
        <w:t xml:space="preserve"> imidlertid</w:t>
      </w:r>
      <w:r>
        <w:t xml:space="preserve"> analogt på </w:t>
      </w:r>
      <w:r w:rsidR="00156231">
        <w:t>ejendomme handlet efter LFFE’s ikrafttræden</w:t>
      </w:r>
      <w:r w:rsidR="00E85A02">
        <w:t xml:space="preserve">. Dette fordi, </w:t>
      </w:r>
      <w:r w:rsidR="002351A3">
        <w:t xml:space="preserve">sager vedrørende </w:t>
      </w:r>
      <w:r w:rsidR="003432EB">
        <w:t>ulovlige elinstallati</w:t>
      </w:r>
      <w:r w:rsidR="002351A3">
        <w:t>oner</w:t>
      </w:r>
      <w:r w:rsidR="003432EB">
        <w:t xml:space="preserve"> ikke falder under beskyttelsesordningens anvendelsesområde</w:t>
      </w:r>
      <w:r w:rsidR="002351A3">
        <w:t>, jf. LFFE § 2, stk. 5, 1. pkt</w:t>
      </w:r>
      <w:r w:rsidR="003432EB">
        <w:t>. Sælger er derved ikke beskyttet mod mangelskrav vedrørende ulovlige elinstallatio</w:t>
      </w:r>
      <w:r w:rsidR="001B779E">
        <w:t>ner efter beskyttelsesordningen. K</w:t>
      </w:r>
      <w:r w:rsidR="002351A3">
        <w:t>øber kan</w:t>
      </w:r>
      <w:r w:rsidR="003432EB">
        <w:t xml:space="preserve"> påberåbe sig forholdet over</w:t>
      </w:r>
      <w:r w:rsidR="001B779E">
        <w:t>for sælger, hvorfor mangelskrav</w:t>
      </w:r>
      <w:r w:rsidR="003432EB">
        <w:t xml:space="preserve"> ve</w:t>
      </w:r>
      <w:r w:rsidR="003432EB">
        <w:t>d</w:t>
      </w:r>
      <w:r w:rsidR="003432EB">
        <w:t>rørende ulovlige elinstallationer skal løses på samme måde, som før LFFE trådte i kraft. Dette er dog kun udgangspunktet, hvorfo</w:t>
      </w:r>
      <w:r w:rsidR="001B779E">
        <w:t>r</w:t>
      </w:r>
      <w:r w:rsidR="003432EB">
        <w:t xml:space="preserve"> </w:t>
      </w:r>
      <w:r w:rsidR="00156231">
        <w:t>der findes modifikationer hertil. Modifikationerne findes i undt</w:t>
      </w:r>
      <w:r w:rsidR="00156231">
        <w:t>a</w:t>
      </w:r>
      <w:r w:rsidR="00156231">
        <w:t xml:space="preserve">gelsesbestemmelsen i LFFE § 2, stk. 5, 1. pkt. </w:t>
      </w:r>
      <w:r w:rsidR="009D1F55">
        <w:t>Højesteret har i U.2002.828H præciseret, hvornår en ulovlig elinstallation skal henføres til undtagelsesbestemmelsen i LFFE § 2, stk. 5, 1. pkt., og hvo</w:t>
      </w:r>
      <w:r w:rsidR="009D1F55">
        <w:t>r</w:t>
      </w:r>
      <w:r w:rsidR="009D1F55">
        <w:t>når sælger er beskyttet mod mangelskrav vedrørende ulovlige elinstallationer efter LFFE § 2, stk. 1.</w:t>
      </w:r>
      <w:r w:rsidR="009979D5">
        <w:t xml:space="preserve"> Højesteret har</w:t>
      </w:r>
      <w:r w:rsidR="00BC311C">
        <w:t xml:space="preserve"> derved</w:t>
      </w:r>
      <w:r w:rsidR="009D1F55">
        <w:t xml:space="preserve"> fastlagt</w:t>
      </w:r>
      <w:r w:rsidR="00A56F45">
        <w:t>,</w:t>
      </w:r>
      <w:r w:rsidR="009D1F55">
        <w:t xml:space="preserve"> at det som udgangspunkt ikke er køber</w:t>
      </w:r>
      <w:r w:rsidR="00A56F45">
        <w:t>,</w:t>
      </w:r>
      <w:r w:rsidR="009D1F55">
        <w:t xml:space="preserve"> der skal bære risikoen for ulovlige elinstallationer, og hvad anvendelsesområdet for LFFE § 2, stk. 5, 1. pkt. er. </w:t>
      </w:r>
    </w:p>
    <w:p w14:paraId="5AFF36C5" w14:textId="77777777" w:rsidR="00E85A02" w:rsidRDefault="00E85A02" w:rsidP="00782517"/>
    <w:p w14:paraId="4CF3F3D2" w14:textId="2521B18F" w:rsidR="002118B7" w:rsidRDefault="001B14FE" w:rsidP="00782517">
      <w:r>
        <w:t>I U.1998.474H fastslår Højesteret</w:t>
      </w:r>
      <w:r w:rsidR="00A56F45">
        <w:t>,</w:t>
      </w:r>
      <w:r>
        <w:t xml:space="preserve"> at køber ikke skal acceptere</w:t>
      </w:r>
      <w:r w:rsidR="00A56F45">
        <w:t>,</w:t>
      </w:r>
      <w:r>
        <w:t xml:space="preserve"> at der forefindes ulovlige elinstall</w:t>
      </w:r>
      <w:r>
        <w:t>a</w:t>
      </w:r>
      <w:r>
        <w:t>tion</w:t>
      </w:r>
      <w:r w:rsidR="00A56F45">
        <w:t>er, der</w:t>
      </w:r>
      <w:r>
        <w:t xml:space="preserve"> er udført før</w:t>
      </w:r>
      <w:r w:rsidR="006C6296">
        <w:t xml:space="preserve"> overtagelsesdagen, i </w:t>
      </w:r>
      <w:r w:rsidR="001B779E">
        <w:t>d</w:t>
      </w:r>
      <w:r w:rsidR="006C6296">
        <w:t>en</w:t>
      </w:r>
      <w:r w:rsidR="001B779E">
        <w:t xml:space="preserve"> handlende</w:t>
      </w:r>
      <w:r w:rsidR="006C6296">
        <w:t xml:space="preserve"> ejendom</w:t>
      </w:r>
      <w:r w:rsidR="009979D5">
        <w:t>. Med dette fastslår</w:t>
      </w:r>
      <w:r>
        <w:t xml:space="preserve"> Højesteret</w:t>
      </w:r>
      <w:r w:rsidR="00A56F45">
        <w:t>,</w:t>
      </w:r>
      <w:r>
        <w:t xml:space="preserve"> at det som udgangspunkt ikke er køber</w:t>
      </w:r>
      <w:r w:rsidR="00A56F45">
        <w:t>,</w:t>
      </w:r>
      <w:r>
        <w:t xml:space="preserve"> der skal bære risikoen for </w:t>
      </w:r>
      <w:r w:rsidR="001B779E">
        <w:t xml:space="preserve">lovliggørelse af </w:t>
      </w:r>
      <w:r>
        <w:t>ulovl</w:t>
      </w:r>
      <w:r w:rsidR="00A56F45">
        <w:t>ige elinsta</w:t>
      </w:r>
      <w:r w:rsidR="00A56F45">
        <w:t>l</w:t>
      </w:r>
      <w:r w:rsidR="00A56F45">
        <w:t>la</w:t>
      </w:r>
      <w:r w:rsidR="00156231">
        <w:t>tioner. Med udgangspunkt i at køber ikke skal bære risikoen for lovliggørelse af ulovlige elinsta</w:t>
      </w:r>
      <w:r w:rsidR="00156231">
        <w:t>l</w:t>
      </w:r>
      <w:r w:rsidR="00156231">
        <w:t>lationer</w:t>
      </w:r>
      <w:r w:rsidR="00A56F45">
        <w:t xml:space="preserve"> konkluderes det, at køber ikke skal betale for</w:t>
      </w:r>
      <w:r w:rsidR="001B779E">
        <w:t xml:space="preserve"> udbedringsomkostnin</w:t>
      </w:r>
      <w:r w:rsidR="00156231">
        <w:t>gerne hertil</w:t>
      </w:r>
      <w:r w:rsidR="00A56F45">
        <w:t>.</w:t>
      </w:r>
      <w:r w:rsidR="001B779E">
        <w:t xml:space="preserve"> Såfremt sælger bliver pålagt at bære risikoen for lovliggørelse af de ulovlige elinstallatio</w:t>
      </w:r>
      <w:r w:rsidR="00BC311C">
        <w:t>ner, udmåles</w:t>
      </w:r>
      <w:r w:rsidR="00156231">
        <w:t xml:space="preserve"> u</w:t>
      </w:r>
      <w:r w:rsidR="00156231">
        <w:t>d</w:t>
      </w:r>
      <w:r w:rsidR="00156231">
        <w:t>bed</w:t>
      </w:r>
      <w:r w:rsidR="00BC311C">
        <w:t xml:space="preserve">ringsomkostningerne som </w:t>
      </w:r>
      <w:r w:rsidR="001B779E">
        <w:t xml:space="preserve">et afslag </w:t>
      </w:r>
      <w:r w:rsidR="009979D5">
        <w:t>i købesummen</w:t>
      </w:r>
      <w:r w:rsidR="001B779E">
        <w:t>.</w:t>
      </w:r>
      <w:r w:rsidR="00156231">
        <w:t xml:space="preserve"> I</w:t>
      </w:r>
      <w:r w:rsidR="001454E9">
        <w:t>midler</w:t>
      </w:r>
      <w:r w:rsidR="00156231">
        <w:t>tid er der</w:t>
      </w:r>
      <w:r w:rsidR="001454E9">
        <w:t xml:space="preserve"> den modifikation, at do</w:t>
      </w:r>
      <w:r w:rsidR="001454E9">
        <w:t>m</w:t>
      </w:r>
      <w:r w:rsidR="001454E9">
        <w:t>stolene har fastlagt en bagatelgrænse</w:t>
      </w:r>
      <w:r w:rsidR="00DC27EF">
        <w:t xml:space="preserve"> i forbindelse med afslagsbeføjelsen</w:t>
      </w:r>
      <w:r w:rsidR="00156231">
        <w:t>. Bagatelgrænsen</w:t>
      </w:r>
      <w:r w:rsidR="001454E9">
        <w:t xml:space="preserve"> sætter en grænse for, hvornår sælger kan pålægges at give et afslag i købesummen.</w:t>
      </w:r>
      <w:r w:rsidR="001454E9">
        <w:rPr>
          <w:rStyle w:val="Fodnotehenvisning"/>
        </w:rPr>
        <w:footnoteReference w:id="122"/>
      </w:r>
      <w:r w:rsidR="006C6296">
        <w:t xml:space="preserve"> </w:t>
      </w:r>
      <w:r w:rsidR="009979D5">
        <w:t>Det kan</w:t>
      </w:r>
      <w:r w:rsidR="00C418ED">
        <w:t xml:space="preserve"> udledes af H</w:t>
      </w:r>
      <w:r w:rsidR="00C418ED">
        <w:t>ø</w:t>
      </w:r>
      <w:r w:rsidR="00C418ED">
        <w:t>jesterets dom, at køber ikke skal bære risikoe</w:t>
      </w:r>
      <w:r w:rsidR="00C42E35">
        <w:t xml:space="preserve">n for ulovlige elinstallationer. Dommen anfører ikke mod hvem køber kan rette sit krav. </w:t>
      </w:r>
      <w:r w:rsidR="00A56F45">
        <w:t>LFFE § 2, stk. 5, 1. pkt. anfører, at et krav vedrørende ulovlige elinstallationer</w:t>
      </w:r>
      <w:r w:rsidR="00C42E35">
        <w:t xml:space="preserve"> som udgangspunkt</w:t>
      </w:r>
      <w:r w:rsidR="00A56F45">
        <w:t xml:space="preserve"> skal rettes mod sælger. Som anført i </w:t>
      </w:r>
      <w:r w:rsidR="00A56F45" w:rsidRPr="00D65EDA">
        <w:t xml:space="preserve">afsnit </w:t>
      </w:r>
      <w:r w:rsidR="00045FC2" w:rsidRPr="00D65EDA">
        <w:t>3.2 omkring retlige og faktiske mang</w:t>
      </w:r>
      <w:r w:rsidR="00C42E35">
        <w:t>ler findes der modifikationer til udgangspunktet, og</w:t>
      </w:r>
      <w:r w:rsidR="00045FC2" w:rsidRPr="00D65EDA">
        <w:t xml:space="preserve"> </w:t>
      </w:r>
      <w:r w:rsidR="00C42E35">
        <w:t>forhold omhandlende ulovlige elinstallationer skal ikke entydigt rettes mod sælger,</w:t>
      </w:r>
      <w:r w:rsidR="009979D5">
        <w:t xml:space="preserve"> hvorfor det kan være</w:t>
      </w:r>
      <w:r w:rsidR="00045FC2">
        <w:t xml:space="preserve"> særdeles svært for køber at vide mod hvem, denne skal rette sit krav. </w:t>
      </w:r>
      <w:r w:rsidR="00DC27EF">
        <w:t xml:space="preserve">Ud fra de fire forhold, der er nævnt i </w:t>
      </w:r>
      <w:r w:rsidR="00DC27EF" w:rsidRPr="00D65EDA">
        <w:t>afsnit 3.2</w:t>
      </w:r>
      <w:r w:rsidR="00DC27EF">
        <w:t xml:space="preserve"> er det afhængigt af, i hvilken form den ulovlige elinstal</w:t>
      </w:r>
      <w:r w:rsidR="00C418ED">
        <w:t>lation viser</w:t>
      </w:r>
      <w:r w:rsidR="00DC27EF">
        <w:t xml:space="preserve"> sig, </w:t>
      </w:r>
      <w:r w:rsidR="00C501DD">
        <w:t xml:space="preserve">mod </w:t>
      </w:r>
      <w:r w:rsidR="00DC27EF">
        <w:t>hvem kø</w:t>
      </w:r>
      <w:r w:rsidR="00C501DD">
        <w:t>ber skal rette sit krav</w:t>
      </w:r>
      <w:r w:rsidR="00DC27EF">
        <w:t>.</w:t>
      </w:r>
      <w:r w:rsidR="00C42E35">
        <w:t xml:space="preserve"> De fire forhold</w:t>
      </w:r>
      <w:r w:rsidR="00BC311C">
        <w:t xml:space="preserve"> i afsnit 2.3</w:t>
      </w:r>
      <w:r w:rsidR="00C42E35">
        <w:t xml:space="preserve"> er afgørende for sager før Højesterets dom, U.2002.828H, og i sager, hvor ejerskifteforsikringen ikke dækker. De fire forhold anvendes ligeledes efter dommen, men udelukkende som rettesnor for de forhold, som ikke er dækket af ejerskifteforsikringen.</w:t>
      </w:r>
      <w:r w:rsidR="00DC27EF">
        <w:t xml:space="preserve"> </w:t>
      </w:r>
    </w:p>
    <w:p w14:paraId="611A5ABA" w14:textId="77777777" w:rsidR="002118B7" w:rsidRDefault="002118B7" w:rsidP="00782517"/>
    <w:p w14:paraId="0BC4F488" w14:textId="4717DAF6" w:rsidR="00782517" w:rsidRDefault="002118B7" w:rsidP="00782517">
      <w:r>
        <w:t xml:space="preserve">En ulovlig elinstallation kan vise sig både i form af en retlig mangel og en faktisk mangel. Sælger er som udgangspunkt beskyttet imod mangelskrav vedrørende faktiske mangler, såfremt sælger har opfyldt en nærmere række krav, jf. </w:t>
      </w:r>
      <w:r w:rsidRPr="00D65EDA">
        <w:t>afsnit 2.3.</w:t>
      </w:r>
      <w:r w:rsidR="003F71CC">
        <w:t xml:space="preserve"> Dette betyder, at sælger ikke kan gøres ansvarlig</w:t>
      </w:r>
      <w:r>
        <w:t xml:space="preserve"> for ulovlige elinstallationer, der udgør en faktisk mangel, jf</w:t>
      </w:r>
      <w:r w:rsidRPr="00D65EDA">
        <w:t>. afsnit 3.2.3 og 3.2.4 for</w:t>
      </w:r>
      <w:r>
        <w:t xml:space="preserve"> nærmere definition af ulovlige elinstallationer som faktiske mangler. Såfremt der opstår et mangelskrav vedrørende disse mangler, er køber frataget muligheden for at påberåbe sig disse overfor sælger. </w:t>
      </w:r>
      <w:r w:rsidR="004666AB">
        <w:t>Købers muli</w:t>
      </w:r>
      <w:r w:rsidR="004666AB">
        <w:t>g</w:t>
      </w:r>
      <w:r w:rsidR="004666AB">
        <w:t xml:space="preserve">hed for at få dækket sit mangelskrav, skal i stedet findes i LFFE kap. 1’s øvrige bestemmelser. </w:t>
      </w:r>
      <w:r w:rsidR="009850A2">
        <w:t>I disse bestemmelser findes mulighed for</w:t>
      </w:r>
      <w:r w:rsidR="003F71CC">
        <w:t>,</w:t>
      </w:r>
      <w:r w:rsidR="009850A2">
        <w:t xml:space="preserve"> at kø</w:t>
      </w:r>
      <w:r w:rsidR="00C501DD">
        <w:t>ber kan påberåbe sig</w:t>
      </w:r>
      <w:r w:rsidR="003F71CC">
        <w:t xml:space="preserve"> ulovlige elinstallationer</w:t>
      </w:r>
      <w:r w:rsidR="009850A2">
        <w:t xml:space="preserve"> over</w:t>
      </w:r>
      <w:r w:rsidR="00C501DD">
        <w:t xml:space="preserve">for blandt andet den bygningssagkyndige. </w:t>
      </w:r>
      <w:r w:rsidR="003F71CC">
        <w:t>Anderledes er det, n</w:t>
      </w:r>
      <w:r w:rsidR="00183CEE">
        <w:t>år en ulovlig elinstallation viser</w:t>
      </w:r>
      <w:r w:rsidR="009979D5">
        <w:t xml:space="preserve"> sig i form af en retlig mangel. D</w:t>
      </w:r>
      <w:r w:rsidR="00183CEE">
        <w:t>ette være sig</w:t>
      </w:r>
      <w:r w:rsidR="003F71CC">
        <w:t xml:space="preserve"> som en ulovlig elinstallation, der ikke</w:t>
      </w:r>
      <w:r w:rsidR="00183CEE">
        <w:t xml:space="preserve"> har medført skade eller risiko for skade, eller hvor denne er påbudt lovliggjort udefra</w:t>
      </w:r>
      <w:r w:rsidR="009979D5">
        <w:t>. I disse situationer</w:t>
      </w:r>
      <w:r w:rsidR="003F71CC">
        <w:t xml:space="preserve"> er</w:t>
      </w:r>
      <w:r w:rsidR="009979D5">
        <w:t xml:space="preserve"> det</w:t>
      </w:r>
      <w:r w:rsidR="00183CEE">
        <w:t xml:space="preserve"> sælger</w:t>
      </w:r>
      <w:r w:rsidR="003F71CC">
        <w:t>,</w:t>
      </w:r>
      <w:r w:rsidR="00183CEE">
        <w:t xml:space="preserve"> der bærer risikoen for omkostningerne til lovliggørelse.</w:t>
      </w:r>
    </w:p>
    <w:p w14:paraId="3D904B63" w14:textId="77777777" w:rsidR="00F20562" w:rsidRDefault="00F20562" w:rsidP="00782517"/>
    <w:p w14:paraId="312DCC37" w14:textId="774159A0" w:rsidR="008B0877" w:rsidRDefault="00F20562" w:rsidP="00782517">
      <w:r>
        <w:t>De mange alternativer køber har, når det skal a</w:t>
      </w:r>
      <w:r w:rsidR="0004315D">
        <w:t>fgøres, hvem køber kan rette sit</w:t>
      </w:r>
      <w:r>
        <w:t xml:space="preserve"> krav mod, besvæ</w:t>
      </w:r>
      <w:r>
        <w:t>r</w:t>
      </w:r>
      <w:r>
        <w:t xml:space="preserve">liggør </w:t>
      </w:r>
      <w:r w:rsidR="008B0877">
        <w:t>sagsforløbet</w:t>
      </w:r>
      <w:r w:rsidR="0004315D">
        <w:t xml:space="preserve"> for køber. </w:t>
      </w:r>
      <w:r>
        <w:t xml:space="preserve">Højesteret </w:t>
      </w:r>
      <w:r w:rsidR="0004315D">
        <w:t xml:space="preserve">har </w:t>
      </w:r>
      <w:r>
        <w:t>gjort</w:t>
      </w:r>
      <w:r w:rsidR="0004315D">
        <w:t xml:space="preserve"> forløbet</w:t>
      </w:r>
      <w:r>
        <w:t xml:space="preserve"> betydelig enklere med dommen U.2002.828H.</w:t>
      </w:r>
      <w:r w:rsidR="008B0877">
        <w:t xml:space="preserve"> Højesteret fastslår, at det er den tegnede ejerskifteforsikrings dækningsomfang, der skal afgø</w:t>
      </w:r>
      <w:r w:rsidR="00F02052">
        <w:t>re, hvorvidt køber kan rette sit</w:t>
      </w:r>
      <w:r w:rsidR="008B0877">
        <w:t xml:space="preserve"> krav mod sælger eller ej. Såfremt forho</w:t>
      </w:r>
      <w:r w:rsidR="0004315D">
        <w:t xml:space="preserve">ldet </w:t>
      </w:r>
      <w:r w:rsidR="008B0877">
        <w:t>er omf</w:t>
      </w:r>
      <w:r w:rsidR="004920B5">
        <w:t>attet af ejerskifteforsikringen</w:t>
      </w:r>
      <w:r w:rsidR="008B0877">
        <w:t xml:space="preserve"> mister køber muligheden for</w:t>
      </w:r>
      <w:r w:rsidR="004920B5">
        <w:t>,</w:t>
      </w:r>
      <w:r w:rsidR="008B0877">
        <w:t xml:space="preserve"> at rette si</w:t>
      </w:r>
      <w:r w:rsidR="009850A2">
        <w:t>t krav mod sælger. Køber kan i stedet</w:t>
      </w:r>
      <w:r w:rsidR="0004315D">
        <w:t xml:space="preserve"> rette sit</w:t>
      </w:r>
      <w:r w:rsidR="008B0877">
        <w:t xml:space="preserve"> krav mod ejerskifteforsikringen</w:t>
      </w:r>
      <w:r w:rsidR="009850A2">
        <w:t>, hvis køber har tegnet denne i forbindelse med køb af eje</w:t>
      </w:r>
      <w:r w:rsidR="009850A2">
        <w:t>n</w:t>
      </w:r>
      <w:r w:rsidR="009850A2">
        <w:t>dommen</w:t>
      </w:r>
      <w:r w:rsidR="00C7299F">
        <w:t>. Højesterets løsning</w:t>
      </w:r>
      <w:r w:rsidR="009979D5">
        <w:t xml:space="preserve"> er til gunst</w:t>
      </w:r>
      <w:r w:rsidR="008B0877">
        <w:t xml:space="preserve"> for køber, </w:t>
      </w:r>
      <w:r w:rsidR="00F02052">
        <w:t>idet køber udelukkende skal fokusere på eje</w:t>
      </w:r>
      <w:r w:rsidR="00F02052">
        <w:t>r</w:t>
      </w:r>
      <w:r w:rsidR="00F02052">
        <w:t>skiftef</w:t>
      </w:r>
      <w:r w:rsidR="0069076E">
        <w:t>orsikringens dækningsomfang, dersom</w:t>
      </w:r>
      <w:r w:rsidR="00F02052">
        <w:t xml:space="preserve"> køber skal </w:t>
      </w:r>
      <w:r w:rsidR="00C7299F">
        <w:t>vurdere, hvem denne kan rette sit</w:t>
      </w:r>
      <w:r w:rsidR="00F02052">
        <w:t xml:space="preserve"> krav mod. D</w:t>
      </w:r>
      <w:r w:rsidR="008B0877">
        <w:t>et er uden betydning om kravet</w:t>
      </w:r>
      <w:r w:rsidR="00C7299F">
        <w:t xml:space="preserve"> udover at kunne rettes mod ejerskifteforsikringen</w:t>
      </w:r>
      <w:r w:rsidR="008B0877">
        <w:t xml:space="preserve"> ligeledes kan rettes mod an</w:t>
      </w:r>
      <w:r w:rsidR="00F02052">
        <w:t>dre,</w:t>
      </w:r>
      <w:r w:rsidR="008B0877">
        <w:t xml:space="preserve"> </w:t>
      </w:r>
      <w:r w:rsidR="00F02052">
        <w:t>idet e</w:t>
      </w:r>
      <w:r w:rsidR="008B0877">
        <w:t>jerskifteforsikrin</w:t>
      </w:r>
      <w:r w:rsidR="00F02052">
        <w:t>gen</w:t>
      </w:r>
      <w:r w:rsidR="008B0877">
        <w:t xml:space="preserve"> således blot </w:t>
      </w:r>
      <w:r w:rsidR="00F02052">
        <w:t>får regres</w:t>
      </w:r>
      <w:r w:rsidR="009850A2">
        <w:t xml:space="preserve"> mod disse andre</w:t>
      </w:r>
      <w:r w:rsidR="00F02052">
        <w:t>. Således er det uden indflydelse</w:t>
      </w:r>
      <w:r w:rsidR="008B0877">
        <w:t xml:space="preserve"> på købers beslut</w:t>
      </w:r>
      <w:r w:rsidR="00F02052">
        <w:t>ning</w:t>
      </w:r>
      <w:r w:rsidR="008B0877">
        <w:t xml:space="preserve"> m</w:t>
      </w:r>
      <w:r w:rsidR="00F02052">
        <w:t>od hvem, der kan rettes et krav, hvis blot ejerskiftefo</w:t>
      </w:r>
      <w:r w:rsidR="00F02052">
        <w:t>r</w:t>
      </w:r>
      <w:r w:rsidR="00F02052">
        <w:t>sikringen dækker forholdet. Dersom ejerskifteforsikringen ikke dækker forholdet, er det ovenståe</w:t>
      </w:r>
      <w:r w:rsidR="00F02052">
        <w:t>n</w:t>
      </w:r>
      <w:r w:rsidR="00F02052">
        <w:t>de</w:t>
      </w:r>
      <w:r w:rsidR="0069076E">
        <w:t xml:space="preserve"> omtalte</w:t>
      </w:r>
      <w:r w:rsidR="00F02052">
        <w:t xml:space="preserve"> alternativer, der er gældende. </w:t>
      </w:r>
      <w:r w:rsidR="0069076E">
        <w:t>Dette er ligeledes gældende i det omfang køber ikke har tegnet en ejerskifteforsikring.</w:t>
      </w:r>
    </w:p>
    <w:p w14:paraId="75F7D8A0" w14:textId="77777777" w:rsidR="0069076E" w:rsidRDefault="0069076E" w:rsidP="00782517"/>
    <w:p w14:paraId="403E5D1F" w14:textId="5DB0D548" w:rsidR="0069076E" w:rsidRDefault="00BC311C" w:rsidP="00782517">
      <w:r>
        <w:t>Samlet</w:t>
      </w:r>
      <w:r w:rsidR="0069076E">
        <w:t xml:space="preserve"> er p</w:t>
      </w:r>
      <w:r w:rsidR="00C501DD">
        <w:t>raksis vedrørende LFFE</w:t>
      </w:r>
      <w:r w:rsidR="0069076E">
        <w:t xml:space="preserve"> således, at køber ikke skal acceptere</w:t>
      </w:r>
      <w:r w:rsidR="00AC1252">
        <w:t>,</w:t>
      </w:r>
      <w:r w:rsidR="0069076E">
        <w:t xml:space="preserve"> at der forefindes ulovlige elinstallationer i dennes ejendom, jf. U.1998.474H. Dersom der bliver konstateret ulovlige elinsta</w:t>
      </w:r>
      <w:r w:rsidR="0069076E">
        <w:t>l</w:t>
      </w:r>
      <w:r w:rsidR="0069076E">
        <w:t>lationer</w:t>
      </w:r>
      <w:r w:rsidR="004920B5">
        <w:t xml:space="preserve"> i ejendommen</w:t>
      </w:r>
      <w:r w:rsidR="0069076E">
        <w:t>, skal køber</w:t>
      </w:r>
      <w:r w:rsidR="004920B5">
        <w:t>s</w:t>
      </w:r>
      <w:r w:rsidR="00AC1252">
        <w:t xml:space="preserve"> vurdering gå på,</w:t>
      </w:r>
      <w:r w:rsidR="0069076E">
        <w:t xml:space="preserve"> hvorvidt en tegnet ejerskifteforsikring dækker forholdet</w:t>
      </w:r>
      <w:r>
        <w:t>, jf. U.2002.828H</w:t>
      </w:r>
      <w:r w:rsidR="0069076E">
        <w:t>. Såfremt dette er tilfældet, mister køber muligheden for at påberåbe fo</w:t>
      </w:r>
      <w:r w:rsidR="0069076E">
        <w:t>r</w:t>
      </w:r>
      <w:r w:rsidR="0069076E">
        <w:t>holdet overfor sælger. Dersom det modsatte er tilfældet, at forholdet ikke er dækket af ejerskiftefo</w:t>
      </w:r>
      <w:r w:rsidR="0069076E">
        <w:t>r</w:t>
      </w:r>
      <w:r w:rsidR="0069076E">
        <w:t xml:space="preserve">sikringen, vurderes det ud fra forholdets karakter, mod hvem et krav kan rettes. </w:t>
      </w:r>
    </w:p>
    <w:p w14:paraId="5A70147C" w14:textId="46315809" w:rsidR="00E44313" w:rsidRDefault="00E44313" w:rsidP="00E44313">
      <w:pPr>
        <w:pStyle w:val="Overskrift2"/>
      </w:pPr>
      <w:bookmarkStart w:id="51" w:name="_Toc179963454"/>
      <w:r>
        <w:t>5.2 Praksis med L89</w:t>
      </w:r>
      <w:bookmarkEnd w:id="51"/>
    </w:p>
    <w:p w14:paraId="0249828C" w14:textId="1232C749" w:rsidR="00830803" w:rsidRPr="00830803" w:rsidRDefault="009A5F5C" w:rsidP="00830803">
      <w:r>
        <w:t>Med vedtagelsen af L89 flyttes ulovlige elinstallationer fra at være udenfor sælgers hæftelsesfrit</w:t>
      </w:r>
      <w:r>
        <w:t>a</w:t>
      </w:r>
      <w:r>
        <w:t>gelse til at være omfattet af denne. Dette giver både LFFE § 2, stk. 1 og LFFE § 2, stk. 5, 1. pkt. et andet anvendelsesområde end før L89’s ikrafttræden. Spørgsmålet er således om ændringen har betydning for</w:t>
      </w:r>
      <w:r w:rsidR="00C7299F">
        <w:t>,</w:t>
      </w:r>
      <w:r w:rsidR="009979D5">
        <w:t xml:space="preserve"> hvordan sager</w:t>
      </w:r>
      <w:r>
        <w:t xml:space="preserve"> vedrørende ulovlige el</w:t>
      </w:r>
      <w:r w:rsidR="00C501DD">
        <w:t>installationer løses i praksis, hvilket belyses nedenfor.</w:t>
      </w:r>
    </w:p>
    <w:p w14:paraId="6E0B39CB" w14:textId="1F3A2495" w:rsidR="00E44313" w:rsidRDefault="00E44313" w:rsidP="00E44313">
      <w:pPr>
        <w:pStyle w:val="Overskrift3"/>
      </w:pPr>
      <w:bookmarkStart w:id="52" w:name="_Toc179963455"/>
      <w:r>
        <w:t>5.2.1 Sælgerbeskyttelsen</w:t>
      </w:r>
      <w:bookmarkEnd w:id="52"/>
    </w:p>
    <w:p w14:paraId="49C44D58" w14:textId="00C531C4" w:rsidR="004550E6" w:rsidRDefault="004550E6" w:rsidP="002E18AA">
      <w:r>
        <w:t>Dette afsnit omhandler den udvidelse der sker med beskyttelsesordningen, når L89 træder i kraft 1.1.2012. Derudover gives der et bille</w:t>
      </w:r>
      <w:r w:rsidR="00BC311C">
        <w:t>de af, hvilken betydning udvidelsen</w:t>
      </w:r>
      <w:r w:rsidR="00C501DD">
        <w:t xml:space="preserve"> få</w:t>
      </w:r>
      <w:r>
        <w:t>r</w:t>
      </w:r>
      <w:r w:rsidR="00C501DD">
        <w:t xml:space="preserve"> for</w:t>
      </w:r>
      <w:r>
        <w:t xml:space="preserve"> køber og sælger.</w:t>
      </w:r>
    </w:p>
    <w:p w14:paraId="0AD7FD0B" w14:textId="77777777" w:rsidR="004550E6" w:rsidRDefault="004550E6" w:rsidP="002E18AA"/>
    <w:p w14:paraId="054EEE1D" w14:textId="6CAA741E" w:rsidR="00A071CD" w:rsidRDefault="004920B5" w:rsidP="002E18AA">
      <w:r>
        <w:t>Beskyttelsesordningen i huseftersynsordningen</w:t>
      </w:r>
      <w:r w:rsidR="00D566EE">
        <w:t xml:space="preserve"> udvides med L89 til at omfatte ulovlige elinstallat</w:t>
      </w:r>
      <w:r w:rsidR="00D566EE">
        <w:t>i</w:t>
      </w:r>
      <w:r w:rsidR="00C501DD">
        <w:t>oner. Udvidelsen</w:t>
      </w:r>
      <w:r w:rsidR="00D566EE">
        <w:t xml:space="preserve"> betyder, at sælger, når denne opfylder en række krav, jf. </w:t>
      </w:r>
      <w:r w:rsidR="00D566EE" w:rsidRPr="00D65EDA">
        <w:t>afsnit 2.3,</w:t>
      </w:r>
      <w:r w:rsidR="00B972CF">
        <w:t xml:space="preserve"> bliver fritaget at</w:t>
      </w:r>
      <w:r w:rsidR="00D566EE">
        <w:t xml:space="preserve"> hæfte for ulovlige elinstallationer, som måtte finde</w:t>
      </w:r>
      <w:r w:rsidR="00C501DD">
        <w:t>s i den handlende ejendom. Fritagelsen</w:t>
      </w:r>
      <w:r w:rsidR="00D566EE">
        <w:t xml:space="preserve"> foru</w:t>
      </w:r>
      <w:r w:rsidR="00D566EE">
        <w:t>d</w:t>
      </w:r>
      <w:r w:rsidR="00D566EE">
        <w:t>sætter imidlertid, at s</w:t>
      </w:r>
      <w:r w:rsidR="002C7E9C">
        <w:t>ælger ik</w:t>
      </w:r>
      <w:r>
        <w:t>ke var bekendt med de ulovlige elinstallationer</w:t>
      </w:r>
      <w:r w:rsidR="00D566EE">
        <w:t xml:space="preserve"> inden købers påber</w:t>
      </w:r>
      <w:r w:rsidR="00D566EE">
        <w:t>å</w:t>
      </w:r>
      <w:r w:rsidR="00D566EE">
        <w:t>belse</w:t>
      </w:r>
      <w:r w:rsidR="00C501DD">
        <w:t xml:space="preserve"> heraf</w:t>
      </w:r>
      <w:r w:rsidR="00D566EE">
        <w:t>.</w:t>
      </w:r>
      <w:r w:rsidR="002C7E9C">
        <w:rPr>
          <w:rStyle w:val="Fodnotehenvisning"/>
        </w:rPr>
        <w:footnoteReference w:id="123"/>
      </w:r>
      <w:r w:rsidR="00D566EE">
        <w:t xml:space="preserve"> </w:t>
      </w:r>
      <w:r w:rsidR="002C7E9C">
        <w:t>I LFFE er sælger som udgangspunkt ikke fritaget</w:t>
      </w:r>
      <w:r w:rsidR="00C501DD">
        <w:t xml:space="preserve"> for</w:t>
      </w:r>
      <w:r w:rsidR="002C7E9C">
        <w:t xml:space="preserve"> at hæfte for ulovlige elinstall</w:t>
      </w:r>
      <w:r w:rsidR="002C7E9C">
        <w:t>a</w:t>
      </w:r>
      <w:r w:rsidR="002C7E9C">
        <w:t>tioner. At ulovlige elinstallati</w:t>
      </w:r>
      <w:r w:rsidR="00C501DD">
        <w:t>oner</w:t>
      </w:r>
      <w:r w:rsidR="002C7E9C">
        <w:t xml:space="preserve"> indgår, som en del af sælgerbeskyttelse</w:t>
      </w:r>
      <w:r w:rsidR="00C501DD">
        <w:t>n medfører</w:t>
      </w:r>
      <w:r w:rsidR="00B972CF">
        <w:t xml:space="preserve"> en ændring i</w:t>
      </w:r>
      <w:r w:rsidR="002C7E9C">
        <w:t xml:space="preserve"> praksis i den forstand, at kø</w:t>
      </w:r>
      <w:r>
        <w:t>ber</w:t>
      </w:r>
      <w:r w:rsidR="002C7E9C">
        <w:t xml:space="preserve"> </w:t>
      </w:r>
      <w:r w:rsidR="00C501DD">
        <w:t xml:space="preserve">overfor sælger </w:t>
      </w:r>
      <w:r w:rsidR="002C7E9C">
        <w:t>som udgangspunkt på intet tidspunkt kan påberåbe sig, at der forefindes ulovlige elinstallationer</w:t>
      </w:r>
      <w:r w:rsidR="00D81A8E">
        <w:t xml:space="preserve"> i ejendommen</w:t>
      </w:r>
      <w:r w:rsidR="002C7E9C">
        <w:t>. Risikoen flyttes således fra sælger</w:t>
      </w:r>
      <w:r w:rsidR="00A93102">
        <w:t>, og over på de øvrige bestemmelser i LFFE’s kap. 1</w:t>
      </w:r>
      <w:r w:rsidR="002C7E9C">
        <w:t>. Sælger bliver dog ikke risikofri uden omkostni</w:t>
      </w:r>
      <w:r w:rsidR="002C7E9C">
        <w:t>n</w:t>
      </w:r>
      <w:r w:rsidR="002C7E9C">
        <w:t>ger. Sælger skal med ved</w:t>
      </w:r>
      <w:r w:rsidR="006647C1">
        <w:t>tagelsen af L89</w:t>
      </w:r>
      <w:r w:rsidR="002C7E9C">
        <w:t xml:space="preserve"> udarbe</w:t>
      </w:r>
      <w:r w:rsidR="006647C1">
        <w:t>jde</w:t>
      </w:r>
      <w:r w:rsidR="002C7E9C">
        <w:t xml:space="preserve"> en elinstallationsrapport til køber</w:t>
      </w:r>
      <w:r w:rsidR="00D81A8E">
        <w:t xml:space="preserve"> inden overt</w:t>
      </w:r>
      <w:r w:rsidR="00D81A8E">
        <w:t>a</w:t>
      </w:r>
      <w:r w:rsidR="00D81A8E">
        <w:t>gelsesdagen</w:t>
      </w:r>
      <w:r w:rsidR="002C7E9C">
        <w:t xml:space="preserve">, således at </w:t>
      </w:r>
      <w:r w:rsidR="00B972CF">
        <w:t xml:space="preserve">de </w:t>
      </w:r>
      <w:r w:rsidR="002C7E9C">
        <w:t>ulovlige elinstallationer bliver fremlag</w:t>
      </w:r>
      <w:r w:rsidR="00D81A8E">
        <w:t>t for køber</w:t>
      </w:r>
      <w:r w:rsidR="006647C1">
        <w:t>, og</w:t>
      </w:r>
      <w:r w:rsidR="00A93102">
        <w:t xml:space="preserve"> disse bliver</w:t>
      </w:r>
      <w:r w:rsidR="002C7E9C">
        <w:t xml:space="preserve"> en del af prissætningsgrundlaget.</w:t>
      </w:r>
      <w:r w:rsidR="002E18AA">
        <w:t xml:space="preserve"> </w:t>
      </w:r>
      <w:r w:rsidR="00B972CF">
        <w:t>Det er sælger, der skal bære omkostningerne til elinstallationsrapporten, samtidig med</w:t>
      </w:r>
      <w:r w:rsidR="006647C1">
        <w:t xml:space="preserve"> at det ligeledes er</w:t>
      </w:r>
      <w:r w:rsidR="00B972CF">
        <w:t xml:space="preserve"> sælger</w:t>
      </w:r>
      <w:r w:rsidR="00145EF9">
        <w:t>,</w:t>
      </w:r>
      <w:r w:rsidR="00B972CF">
        <w:t xml:space="preserve"> der må bære risikoen for</w:t>
      </w:r>
      <w:r w:rsidR="00145EF9">
        <w:t>,</w:t>
      </w:r>
      <w:r w:rsidR="00B972CF">
        <w:t xml:space="preserve"> at ejendommen</w:t>
      </w:r>
      <w:r w:rsidR="00145EF9">
        <w:t>s købesum</w:t>
      </w:r>
      <w:r w:rsidR="00B972CF">
        <w:t xml:space="preserve"> bliver nedsat med </w:t>
      </w:r>
      <w:r w:rsidR="00145EF9">
        <w:t>udbedringsomkostningerne til lovliggørelse af eventuelle ulovlige elinstallationer.</w:t>
      </w:r>
    </w:p>
    <w:p w14:paraId="7BC97258" w14:textId="77777777" w:rsidR="00A071CD" w:rsidRDefault="00A071CD" w:rsidP="002E18AA"/>
    <w:p w14:paraId="5EE3E340" w14:textId="2812D21E" w:rsidR="009A5F5C" w:rsidRDefault="00145EF9" w:rsidP="002E18AA">
      <w:r>
        <w:t>Realdanias rapport fra 2006 viser, at et af de forhold, der giver anledning til sagsanlæg i forbindelse med offentligretlige forskrifter, er ulovlige elinstallationer.</w:t>
      </w:r>
      <w:r w:rsidRPr="0011708C">
        <w:rPr>
          <w:rStyle w:val="Fodnotehenvisning"/>
        </w:rPr>
        <w:t xml:space="preserve"> </w:t>
      </w:r>
      <w:r>
        <w:rPr>
          <w:rStyle w:val="Fodnotehenvisning"/>
        </w:rPr>
        <w:footnoteReference w:id="124"/>
      </w:r>
      <w:r w:rsidR="006647C1">
        <w:t xml:space="preserve"> Dette forhold imødegås ved </w:t>
      </w:r>
      <w:r>
        <w:t>æ</w:t>
      </w:r>
      <w:r w:rsidR="00D81A8E">
        <w:t>ndri</w:t>
      </w:r>
      <w:r w:rsidR="00D81A8E">
        <w:t>n</w:t>
      </w:r>
      <w:r w:rsidR="00D81A8E">
        <w:t>gen</w:t>
      </w:r>
      <w:r>
        <w:t>,</w:t>
      </w:r>
      <w:r w:rsidR="006647C1">
        <w:t xml:space="preserve"> således</w:t>
      </w:r>
      <w:r w:rsidR="00D81A8E">
        <w:t xml:space="preserve"> at sælger</w:t>
      </w:r>
      <w:r w:rsidR="006647C1">
        <w:t xml:space="preserve"> ikke risikerer at blive</w:t>
      </w:r>
      <w:r w:rsidR="002E18AA">
        <w:t xml:space="preserve"> overrasket af et sagsanlæg</w:t>
      </w:r>
      <w:r>
        <w:t xml:space="preserve"> vedrørende ulovlige elinsta</w:t>
      </w:r>
      <w:r>
        <w:t>l</w:t>
      </w:r>
      <w:r>
        <w:t>lationer</w:t>
      </w:r>
      <w:r w:rsidR="002E18AA">
        <w:t xml:space="preserve"> langt tid efter</w:t>
      </w:r>
      <w:r w:rsidR="00D81A8E">
        <w:t>,</w:t>
      </w:r>
      <w:r w:rsidR="002E18AA">
        <w:t xml:space="preserve"> at handelen er gen</w:t>
      </w:r>
      <w:r w:rsidR="00D81A8E">
        <w:t>n</w:t>
      </w:r>
      <w:r w:rsidR="006647C1">
        <w:t>emført. S</w:t>
      </w:r>
      <w:r>
        <w:t>ælger kan</w:t>
      </w:r>
      <w:r w:rsidR="006647C1">
        <w:t xml:space="preserve"> dermed</w:t>
      </w:r>
      <w:r w:rsidR="002E18AA">
        <w:t xml:space="preserve"> indrette sin økonomi efter</w:t>
      </w:r>
      <w:r>
        <w:t>,</w:t>
      </w:r>
      <w:r w:rsidR="002E18AA">
        <w:t xml:space="preserve"> at handelen som udgangspunkt er endeligt afsluttet. </w:t>
      </w:r>
      <w:r>
        <w:t>Det må formodes</w:t>
      </w:r>
      <w:r w:rsidR="00A071CD">
        <w:t>, at sagsanlæg</w:t>
      </w:r>
      <w:r w:rsidR="00D81A8E">
        <w:t xml:space="preserve"> vedrørende ulo</w:t>
      </w:r>
      <w:r w:rsidR="00D81A8E">
        <w:t>v</w:t>
      </w:r>
      <w:r w:rsidR="00D81A8E">
        <w:t>lige elinstallationer</w:t>
      </w:r>
      <w:r>
        <w:t>,</w:t>
      </w:r>
      <w:r w:rsidR="00D81A8E">
        <w:t xml:space="preserve"> som er rettet</w:t>
      </w:r>
      <w:r w:rsidR="00A071CD">
        <w:t xml:space="preserve"> mod sælger</w:t>
      </w:r>
      <w:r w:rsidR="00D81A8E">
        <w:t xml:space="preserve"> vil blive</w:t>
      </w:r>
      <w:r w:rsidR="00A071CD">
        <w:t xml:space="preserve"> mi</w:t>
      </w:r>
      <w:r w:rsidR="00D81A8E">
        <w:t>nimeret</w:t>
      </w:r>
      <w:r w:rsidR="00BC311C">
        <w:t xml:space="preserve"> eller helt bortfalde</w:t>
      </w:r>
      <w:r w:rsidR="00A071CD">
        <w:t xml:space="preserve">, </w:t>
      </w:r>
      <w:r w:rsidR="0011708C">
        <w:t xml:space="preserve">idet </w:t>
      </w:r>
      <w:r>
        <w:t>ejendo</w:t>
      </w:r>
      <w:r>
        <w:t>m</w:t>
      </w:r>
      <w:r>
        <w:t>mens</w:t>
      </w:r>
      <w:r w:rsidR="00A93102">
        <w:t xml:space="preserve"> elinstallationer bliver oplyst bedre</w:t>
      </w:r>
      <w:r w:rsidR="00D81A8E">
        <w:t xml:space="preserve"> overfor køber</w:t>
      </w:r>
      <w:r w:rsidR="00A93102">
        <w:t xml:space="preserve"> inden ejendommen handles</w:t>
      </w:r>
      <w:r w:rsidR="002E18AA">
        <w:t xml:space="preserve">. </w:t>
      </w:r>
      <w:r w:rsidR="00D81A8E">
        <w:t xml:space="preserve">Med indførsel af </w:t>
      </w:r>
      <w:r w:rsidR="002E18AA">
        <w:t>et el-tjek</w:t>
      </w:r>
      <w:r w:rsidR="00D81A8E">
        <w:t xml:space="preserve"> inden overtagelsesdagen</w:t>
      </w:r>
      <w:r w:rsidR="006647C1">
        <w:t xml:space="preserve"> på en ejendom</w:t>
      </w:r>
      <w:r w:rsidR="002E18AA">
        <w:t>,</w:t>
      </w:r>
      <w:r w:rsidR="006647C1">
        <w:t xml:space="preserve"> vil</w:t>
      </w:r>
      <w:r w:rsidR="002E18AA">
        <w:t xml:space="preserve"> de fleste ulovlige elinstallationer blive afdæ</w:t>
      </w:r>
      <w:r w:rsidR="002E18AA">
        <w:t>k</w:t>
      </w:r>
      <w:r w:rsidR="002E18AA">
        <w:t>ket inden købets gennem</w:t>
      </w:r>
      <w:r>
        <w:t>førelse. D</w:t>
      </w:r>
      <w:r w:rsidR="002E18AA">
        <w:t>ette vil begrænse antallet af senere konstaterede ulovlige elinsta</w:t>
      </w:r>
      <w:r w:rsidR="002E18AA">
        <w:t>l</w:t>
      </w:r>
      <w:r w:rsidR="002E18AA">
        <w:t>lationer</w:t>
      </w:r>
      <w:r>
        <w:t>,</w:t>
      </w:r>
      <w:r w:rsidR="002E18AA">
        <w:t xml:space="preserve"> og derved antallet af sagsanlæg. Idet</w:t>
      </w:r>
      <w:r w:rsidR="00D81A8E">
        <w:t xml:space="preserve"> køber ikke kan rette</w:t>
      </w:r>
      <w:r w:rsidR="002E18AA">
        <w:t xml:space="preserve"> krav mod sælger, vil sagsanlæg</w:t>
      </w:r>
      <w:r w:rsidR="00A93102">
        <w:t xml:space="preserve"> som udgangspunkt</w:t>
      </w:r>
      <w:r w:rsidR="002E18AA">
        <w:t xml:space="preserve"> foregå i forsik</w:t>
      </w:r>
      <w:r w:rsidR="00A93102">
        <w:t>ringsregi</w:t>
      </w:r>
      <w:r w:rsidR="002E18AA">
        <w:t>, og sager vedrørende ulovlige elinstallationer ved do</w:t>
      </w:r>
      <w:r w:rsidR="002E18AA">
        <w:t>m</w:t>
      </w:r>
      <w:r w:rsidR="00D81A8E">
        <w:t>stolene vil blive reduceret.</w:t>
      </w:r>
      <w:r w:rsidR="002E18AA">
        <w:t xml:space="preserve"> </w:t>
      </w:r>
      <w:r w:rsidR="00F22E71">
        <w:t>At sager ved domstolene om</w:t>
      </w:r>
      <w:r w:rsidR="0011708C">
        <w:t>handlende</w:t>
      </w:r>
      <w:r w:rsidR="00F22E71">
        <w:t xml:space="preserve"> ulovlige elinstallationer ikke vil bortfal</w:t>
      </w:r>
      <w:r>
        <w:t>de helt</w:t>
      </w:r>
      <w:r w:rsidR="00A93102">
        <w:t xml:space="preserve"> </w:t>
      </w:r>
      <w:r w:rsidR="00F22E71">
        <w:t>begrundes i, at køber kan indbringe en sag mod forsikringsselskabet for domstolene, når denne sag har været igennem det administrative system.</w:t>
      </w:r>
      <w:r w:rsidR="00F22E71">
        <w:rPr>
          <w:rStyle w:val="Fodnotehenvisning"/>
        </w:rPr>
        <w:footnoteReference w:id="125"/>
      </w:r>
    </w:p>
    <w:p w14:paraId="7A348DBB" w14:textId="77777777" w:rsidR="00A071CD" w:rsidRDefault="00A071CD" w:rsidP="002E18AA"/>
    <w:p w14:paraId="4D2E3133" w14:textId="669042E1" w:rsidR="00A071CD" w:rsidRDefault="00D81A8E" w:rsidP="002E18AA">
      <w:r>
        <w:t>Det er ikke udelukkende positivt for sælger, at</w:t>
      </w:r>
      <w:r w:rsidR="00A071CD">
        <w:t xml:space="preserve"> </w:t>
      </w:r>
      <w:r w:rsidR="0011708C">
        <w:t>ulovlige elinstallationer bliver en del af beskyttelse</w:t>
      </w:r>
      <w:r w:rsidR="0011708C">
        <w:t>s</w:t>
      </w:r>
      <w:r w:rsidR="0011708C">
        <w:t>ordnin</w:t>
      </w:r>
      <w:r>
        <w:t>gen</w:t>
      </w:r>
      <w:r w:rsidR="0011708C">
        <w:t>,</w:t>
      </w:r>
      <w:r>
        <w:t xml:space="preserve"> idet </w:t>
      </w:r>
      <w:r w:rsidR="0011708C">
        <w:t>sælger kan risikere, at prissætningen af ejendommen bliver reduceret i forhold til den pris sæ</w:t>
      </w:r>
      <w:r w:rsidR="000426A5">
        <w:t>lger kan have</w:t>
      </w:r>
      <w:r w:rsidR="001E5A9C">
        <w:t xml:space="preserve"> kalkuleret</w:t>
      </w:r>
      <w:r w:rsidR="0011708C">
        <w:t xml:space="preserve"> med. Dette fordi, prisen på ejendommen kan blive reduceret med udbedringsomkostningerne til lovliggørelse af de ulovlige el</w:t>
      </w:r>
      <w:r w:rsidR="00145EF9">
        <w:t>installationer. Dette må formodes</w:t>
      </w:r>
      <w:r w:rsidR="006D716B">
        <w:t>,</w:t>
      </w:r>
      <w:r w:rsidR="0011708C">
        <w:t xml:space="preserve"> at kunne beløbe sig til et forholdsvis stort beløb, såfremt de fleste af ejendommens elinstallationer er ulovli</w:t>
      </w:r>
      <w:r w:rsidR="000426A5">
        <w:t>ge. Såfremt fordele og ulemper s</w:t>
      </w:r>
      <w:r w:rsidR="0011708C">
        <w:t xml:space="preserve">ammenlignes </w:t>
      </w:r>
      <w:r w:rsidR="000426A5">
        <w:t>må det formodes</w:t>
      </w:r>
      <w:r w:rsidR="0011708C">
        <w:t>, at fordelene opvejer ule</w:t>
      </w:r>
      <w:r w:rsidR="0011708C">
        <w:t>m</w:t>
      </w:r>
      <w:r w:rsidR="0011708C">
        <w:t>perne, idet sælger med stor sandsynlighed efter LFFE vil blive ansvarlig for de ulovlige elinstallat</w:t>
      </w:r>
      <w:r w:rsidR="0011708C">
        <w:t>i</w:t>
      </w:r>
      <w:r w:rsidR="0011708C">
        <w:t>oner</w:t>
      </w:r>
      <w:r w:rsidR="000426A5">
        <w:t xml:space="preserve"> uanset om de ulovlige elinstallationer konstateres før eller efter overtagelsesdagen. M</w:t>
      </w:r>
      <w:r w:rsidR="0011708C">
        <w:t>ed vedt</w:t>
      </w:r>
      <w:r w:rsidR="0011708C">
        <w:t>a</w:t>
      </w:r>
      <w:r w:rsidR="0011708C">
        <w:t>gelsen af L89 kan sælger indreg</w:t>
      </w:r>
      <w:r w:rsidR="000426A5">
        <w:t>ne udbedringsomkostningerne i dennes økonomi</w:t>
      </w:r>
      <w:r w:rsidR="0011708C">
        <w:t xml:space="preserve"> inden handelen, og derved fremadrettet indrette sin økonomi efter at handelen er endelig afsluttet. </w:t>
      </w:r>
    </w:p>
    <w:p w14:paraId="2C12A63E" w14:textId="77777777" w:rsidR="00D129E0" w:rsidRDefault="00D129E0" w:rsidP="002E18AA"/>
    <w:p w14:paraId="4D26CE9F" w14:textId="0CD2CFC9" w:rsidR="000C5AD1" w:rsidRDefault="00D129E0" w:rsidP="002E18AA">
      <w:r>
        <w:t>Huseftersynsordn</w:t>
      </w:r>
      <w:r w:rsidR="006647C1">
        <w:t>ingen har til formål</w:t>
      </w:r>
      <w:r>
        <w:t xml:space="preserve"> at beskytte både køber og sælger i forbindelse med handel med fast ejendom. Følgelig er det således relevant at belyse</w:t>
      </w:r>
      <w:r w:rsidR="00145EF9">
        <w:t>,</w:t>
      </w:r>
      <w:r>
        <w:t xml:space="preserve"> </w:t>
      </w:r>
      <w:r w:rsidR="000426A5">
        <w:t xml:space="preserve">hvad det har af betydning for </w:t>
      </w:r>
      <w:r>
        <w:t>kø</w:t>
      </w:r>
      <w:r w:rsidR="000426A5">
        <w:t>ber,</w:t>
      </w:r>
      <w:r>
        <w:t xml:space="preserve"> at sælger bliver bes</w:t>
      </w:r>
      <w:r w:rsidR="006647C1">
        <w:t>kyttet mod mangelskrav</w:t>
      </w:r>
      <w:r w:rsidR="00145EF9">
        <w:t xml:space="preserve"> vedrørende ulovlige elinstallationer</w:t>
      </w:r>
      <w:r>
        <w:t xml:space="preserve">. På </w:t>
      </w:r>
      <w:r w:rsidR="000426A5">
        <w:t>bag</w:t>
      </w:r>
      <w:r>
        <w:t>grund af udf</w:t>
      </w:r>
      <w:r>
        <w:t>ø</w:t>
      </w:r>
      <w:r>
        <w:t>relsen af et el-tjek</w:t>
      </w:r>
      <w:r w:rsidR="00C25F60">
        <w:t xml:space="preserve"> inden handelen indgås</w:t>
      </w:r>
      <w:r>
        <w:t xml:space="preserve">, jf. </w:t>
      </w:r>
      <w:r w:rsidRPr="00D65EDA">
        <w:t>afsnit 4.1,</w:t>
      </w:r>
      <w:r>
        <w:t xml:space="preserve"> får køber flere konkrete oplysninger om ejendommen, hvilket kan medvirke til at sikre en bedre prissætning af ejendommen.</w:t>
      </w:r>
      <w:r>
        <w:rPr>
          <w:rStyle w:val="Fodnotehenvisning"/>
        </w:rPr>
        <w:footnoteReference w:id="126"/>
      </w:r>
      <w:r w:rsidR="002B70E7">
        <w:t xml:space="preserve"> Ved indfør</w:t>
      </w:r>
      <w:r w:rsidR="002B70E7">
        <w:t>s</w:t>
      </w:r>
      <w:r w:rsidR="002B70E7">
        <w:t>len af et e</w:t>
      </w:r>
      <w:r w:rsidR="00A24915">
        <w:t>l-tjek bliver køber oplyst om de væsentligste fejl og mangler på ejendommen i den fo</w:t>
      </w:r>
      <w:r w:rsidR="00A24915">
        <w:t>r</w:t>
      </w:r>
      <w:r w:rsidR="00A24915">
        <w:t>stand, at køber</w:t>
      </w:r>
      <w:r w:rsidR="00145EF9">
        <w:t xml:space="preserve"> både</w:t>
      </w:r>
      <w:r w:rsidR="00A24915">
        <w:t xml:space="preserve"> får en tilstandsrapport, der klarlægger de fejl, en bygningssagkyndig kan a</w:t>
      </w:r>
      <w:r w:rsidR="00A24915">
        <w:t>f</w:t>
      </w:r>
      <w:r w:rsidR="00A24915">
        <w:t>dække ved en visuel gennemgang af ejendommen, og køber får en elinstallationsrapport, der fas</w:t>
      </w:r>
      <w:r w:rsidR="00A24915">
        <w:t>t</w:t>
      </w:r>
      <w:r w:rsidR="00A24915">
        <w:t>lægger de umiddelbare ulovlige elinstallationer, der findes på ejendommen. Begge rapporter er u</w:t>
      </w:r>
      <w:r w:rsidR="00A24915">
        <w:t>d</w:t>
      </w:r>
      <w:r w:rsidR="00A24915">
        <w:t>arbejdet ud fra en v</w:t>
      </w:r>
      <w:r w:rsidR="006647C1">
        <w:t>isuel gennemgang af ejendommen, hvorfor</w:t>
      </w:r>
      <w:r w:rsidR="00A24915">
        <w:t xml:space="preserve"> der</w:t>
      </w:r>
      <w:r w:rsidR="00145EF9">
        <w:t xml:space="preserve"> senere</w:t>
      </w:r>
      <w:r w:rsidR="006647C1">
        <w:t xml:space="preserve"> vil</w:t>
      </w:r>
      <w:r w:rsidR="00BC311C">
        <w:t xml:space="preserve"> kunne vise sig</w:t>
      </w:r>
      <w:r w:rsidR="00A24915">
        <w:t xml:space="preserve"> fejl på ejendommen, som ikke</w:t>
      </w:r>
      <w:r w:rsidR="00145EF9">
        <w:t xml:space="preserve"> er</w:t>
      </w:r>
      <w:r w:rsidR="00A24915">
        <w:t xml:space="preserve"> afdæk</w:t>
      </w:r>
      <w:r w:rsidR="00145EF9">
        <w:t>ket</w:t>
      </w:r>
      <w:r w:rsidR="00A24915">
        <w:t xml:space="preserve"> i rapporterne. På trods af at der kan være forhold, der ikke bl</w:t>
      </w:r>
      <w:r w:rsidR="00A24915">
        <w:t>i</w:t>
      </w:r>
      <w:r w:rsidR="00A24915">
        <w:t>ver afdækket i rapporterne, og der derved kan opstå et mangelskrav efter overtagelsesdagen, er det stadig en fordel for køber med indførslen af et el-tjek. Dette fordi</w:t>
      </w:r>
      <w:r w:rsidR="000426A5">
        <w:t>,</w:t>
      </w:r>
      <w:r w:rsidR="00A24915">
        <w:t xml:space="preserve"> køber bliver gjort opmærksom på de overordnede fejl, der måtte findes ved elinstallationerne inden denne indgår en endelig handel. Køber kan således vurdere om denne ønsker ejendommen og i så fald, foretage prissætning ud fra den viden som tilstandsrapporten og elinstallationsrapporten er fremkommet med. </w:t>
      </w:r>
    </w:p>
    <w:p w14:paraId="573C1F63" w14:textId="77777777" w:rsidR="000C5AD1" w:rsidRDefault="000C5AD1" w:rsidP="002E18AA"/>
    <w:p w14:paraId="62807296" w14:textId="4A74CF18" w:rsidR="00D129E0" w:rsidRDefault="00C25F60" w:rsidP="002E18AA">
      <w:r>
        <w:t>Der</w:t>
      </w:r>
      <w:r w:rsidR="000C5AD1">
        <w:t xml:space="preserve"> er indført en bestemmelse ved vedtagelsen af L89, der giver en definition af, hvad der skal fo</w:t>
      </w:r>
      <w:r w:rsidR="000C5AD1">
        <w:t>r</w:t>
      </w:r>
      <w:r w:rsidR="000C5AD1">
        <w:t>stås ved en tilstandsrapport og en elinstallationsrapport, samt formålet med disse. Dette</w:t>
      </w:r>
      <w:r w:rsidR="00BC311C">
        <w:t xml:space="preserve"> søger at</w:t>
      </w:r>
      <w:r w:rsidR="000C5AD1">
        <w:t xml:space="preserve"> gi</w:t>
      </w:r>
      <w:r w:rsidR="00BC311C">
        <w:t>ve</w:t>
      </w:r>
      <w:r w:rsidR="000C5AD1">
        <w:t xml:space="preserve"> køber en klar forståelse af, at rapporterne ikke er en varedeklaration på ejendommen, og dette gør, at købers forventninger</w:t>
      </w:r>
      <w:r w:rsidR="000426A5">
        <w:t xml:space="preserve"> som udgangspunkt</w:t>
      </w:r>
      <w:r w:rsidR="000C5AD1">
        <w:t xml:space="preserve"> ikke brister efter overtagelsesdagen. Der vil med stor sandsyndighed opstå situationer, hvor den enkelte køber ikke har den rigtige opfattelse af, hvad rapporterne indeholder, men definitionsbestemmelsen vil søge at reducere dette p</w:t>
      </w:r>
      <w:r>
        <w:t>roble</w:t>
      </w:r>
      <w:r w:rsidR="00226F79">
        <w:t xml:space="preserve">m. </w:t>
      </w:r>
      <w:r w:rsidR="000C5AD1">
        <w:t>Med in</w:t>
      </w:r>
      <w:r w:rsidR="000C5AD1">
        <w:t>d</w:t>
      </w:r>
      <w:r w:rsidR="000C5AD1">
        <w:t>førslen af definitionerne</w:t>
      </w:r>
      <w:r w:rsidR="00226F79">
        <w:t xml:space="preserve"> i L89</w:t>
      </w:r>
      <w:r w:rsidR="000C5AD1">
        <w:t xml:space="preserve"> vil det frem</w:t>
      </w:r>
      <w:r w:rsidR="00226F79">
        <w:t>gå,</w:t>
      </w:r>
      <w:r w:rsidR="000C5AD1">
        <w:t xml:space="preserve"> hvad rapporterne indeholder, og dette vil reducere købers mulighed for at anvende den manglende viden til rapporternes indhold og formål som arg</w:t>
      </w:r>
      <w:r w:rsidR="000C5AD1">
        <w:t>u</w:t>
      </w:r>
      <w:r w:rsidR="000C5AD1">
        <w:t>mentation i en eventuel sag.</w:t>
      </w:r>
      <w:r w:rsidR="00A24915">
        <w:t xml:space="preserve"> </w:t>
      </w:r>
      <w:r w:rsidR="006647C1">
        <w:t>Med</w:t>
      </w:r>
      <w:r w:rsidR="00D31324">
        <w:t xml:space="preserve"> køber</w:t>
      </w:r>
      <w:r w:rsidR="006647C1">
        <w:t>s kendskab</w:t>
      </w:r>
      <w:r w:rsidR="00D31324">
        <w:t xml:space="preserve"> </w:t>
      </w:r>
      <w:r w:rsidR="006647C1">
        <w:t>til rapporternes indhold og formål</w:t>
      </w:r>
      <w:r w:rsidR="00D31324">
        <w:t xml:space="preserve"> mindskes de bristede forventnin</w:t>
      </w:r>
      <w:r w:rsidR="00226F79">
        <w:t>ger. K</w:t>
      </w:r>
      <w:r w:rsidR="00D31324">
        <w:t>øber vi</w:t>
      </w:r>
      <w:r w:rsidR="00226F79">
        <w:t xml:space="preserve">l overtage ejendommen med et </w:t>
      </w:r>
      <w:r w:rsidR="00DC7017">
        <w:t xml:space="preserve">nogenlunde </w:t>
      </w:r>
      <w:r w:rsidR="00226F79">
        <w:t>klart billede af,</w:t>
      </w:r>
      <w:r w:rsidR="000426A5">
        <w:t xml:space="preserve"> hvad denne indgår en handel om</w:t>
      </w:r>
      <w:r w:rsidR="00226F79">
        <w:t xml:space="preserve"> ud fra </w:t>
      </w:r>
      <w:r w:rsidR="00D31324">
        <w:t>rapporternes ind</w:t>
      </w:r>
      <w:r w:rsidR="00226F79">
        <w:t>hold og købers</w:t>
      </w:r>
      <w:r w:rsidR="00D31324">
        <w:t xml:space="preserve"> egen gennem</w:t>
      </w:r>
      <w:r w:rsidR="00226F79">
        <w:t>gang.</w:t>
      </w:r>
    </w:p>
    <w:p w14:paraId="61B2EDCE" w14:textId="77777777" w:rsidR="00D31324" w:rsidRDefault="00D31324" w:rsidP="002E18AA"/>
    <w:p w14:paraId="2859EBAD" w14:textId="626FB941" w:rsidR="00D31324" w:rsidRDefault="000426A5" w:rsidP="002E18AA">
      <w:r>
        <w:t>Med indførslen af elinstallationer i beskyttelsesordningen mister køber muligheden for at rette et mangelskrav vedrørende ulovlige elinstallationer mod sælger. I stedet</w:t>
      </w:r>
      <w:r w:rsidR="00DC7017">
        <w:t xml:space="preserve"> kan køber rette sit</w:t>
      </w:r>
      <w:r>
        <w:t xml:space="preserve"> krav mod en eventuelt tegnet ejerskifteforsikring. Det kan imidlertid være en ulempe for køber, idet </w:t>
      </w:r>
      <w:r w:rsidR="00D31324">
        <w:t xml:space="preserve">det kan være </w:t>
      </w:r>
      <w:r>
        <w:t>svært for denne</w:t>
      </w:r>
      <w:r w:rsidR="00D31324">
        <w:t xml:space="preserve"> at overskue, hvad en ejerskifteforsikring faktisk dækker, hvilket ses ud fra dækningsomfanget af ejerskifteforsikringerne i forbindelse med LFFE. Dette vil blive gennemgået i </w:t>
      </w:r>
      <w:r w:rsidR="00D31324" w:rsidRPr="00D65EDA">
        <w:t>afsnit 5.2.3</w:t>
      </w:r>
      <w:r w:rsidR="00D31324">
        <w:t xml:space="preserve"> nedenfor omkring ejerskiftesikringen.</w:t>
      </w:r>
    </w:p>
    <w:p w14:paraId="63C87FF6" w14:textId="77777777" w:rsidR="00F62AC4" w:rsidRDefault="00F62AC4" w:rsidP="002E18AA"/>
    <w:p w14:paraId="1DE1E752" w14:textId="1F1AAB9F" w:rsidR="00F62AC4" w:rsidRPr="009A5F5C" w:rsidRDefault="00F62AC4" w:rsidP="002E18AA">
      <w:r>
        <w:t xml:space="preserve">Samlet set </w:t>
      </w:r>
      <w:r w:rsidR="006647C1">
        <w:t>medfører udvidelsen af beskyttelsesordningen ændringer i praksis. Sælger har</w:t>
      </w:r>
      <w:r>
        <w:t xml:space="preserve"> mulighed for at </w:t>
      </w:r>
      <w:r w:rsidR="006647C1">
        <w:t>minimere kravene, som kan rettet imod denne</w:t>
      </w:r>
      <w:r>
        <w:t xml:space="preserve"> ved</w:t>
      </w:r>
      <w:r w:rsidR="00226F79">
        <w:t>,</w:t>
      </w:r>
      <w:r>
        <w:t xml:space="preserve"> at ulovlige elinstallationer bliver indført i sælgerbeskyttelsen</w:t>
      </w:r>
      <w:r w:rsidR="00DC7017">
        <w:t>.</w:t>
      </w:r>
      <w:r>
        <w:t xml:space="preserve"> Køber bliver bedre oplyst end efter LFFE, idet køber får en bredere viden om ejendommen inden</w:t>
      </w:r>
      <w:r w:rsidR="00DC7017">
        <w:t xml:space="preserve"> denne indgår en handel</w:t>
      </w:r>
      <w:r>
        <w:t>, samt bliver gjort opmærksom på</w:t>
      </w:r>
      <w:r w:rsidR="001629CD">
        <w:t>,</w:t>
      </w:r>
      <w:r>
        <w:t xml:space="preserve"> hvad tilstandsrappo</w:t>
      </w:r>
      <w:r>
        <w:t>r</w:t>
      </w:r>
      <w:r>
        <w:t>ten og elinstallationsrapporten indeholder og har af formål.</w:t>
      </w:r>
    </w:p>
    <w:p w14:paraId="3FB5097F" w14:textId="76FC7CA9" w:rsidR="00E44313" w:rsidRDefault="00E44313" w:rsidP="00E44313">
      <w:pPr>
        <w:pStyle w:val="Overskrift3"/>
      </w:pPr>
      <w:bookmarkStart w:id="53" w:name="_Toc179963456"/>
      <w:r>
        <w:t>5.2.2 Undtagelsesbestemmelsen</w:t>
      </w:r>
      <w:bookmarkEnd w:id="53"/>
    </w:p>
    <w:p w14:paraId="10E4F37B" w14:textId="74FFD192" w:rsidR="004A335C" w:rsidRDefault="00361834" w:rsidP="004A335C">
      <w:r>
        <w:t>Dette afsnit behandler</w:t>
      </w:r>
      <w:r w:rsidR="004A335C">
        <w:t>, hvorledes undtagelsesbestemmelsen har betydning efter, at L89 træder i kraft, og hvordan den ledende do</w:t>
      </w:r>
      <w:r>
        <w:t>m, jf. afsnit 3.3 skal anvendes</w:t>
      </w:r>
      <w:r w:rsidR="004A335C">
        <w:t xml:space="preserve"> efter vedtagelsen.</w:t>
      </w:r>
    </w:p>
    <w:p w14:paraId="3A5D7333" w14:textId="77777777" w:rsidR="004A335C" w:rsidRPr="004A335C" w:rsidRDefault="004A335C" w:rsidP="004A335C"/>
    <w:p w14:paraId="69CA6702" w14:textId="6CE5C135" w:rsidR="00927381" w:rsidRDefault="00DE3DD2" w:rsidP="00927381">
      <w:r>
        <w:t xml:space="preserve">Med vedtagelsen af L89 bliver undtagelsesbestemmelsen i LFFE § 2, stk. 5, 1. pkt. ændret til ikke at omfatte </w:t>
      </w:r>
      <w:r w:rsidR="00E80A41">
        <w:t xml:space="preserve">ulovlige </w:t>
      </w:r>
      <w:r>
        <w:t xml:space="preserve">elinstallationer. </w:t>
      </w:r>
      <w:r w:rsidR="004A335C">
        <w:t xml:space="preserve">I </w:t>
      </w:r>
      <w:r w:rsidR="00A0263F">
        <w:t>LFFE § 2, stk. 5, 1. pkt.</w:t>
      </w:r>
      <w:r w:rsidR="004A335C">
        <w:t xml:space="preserve"> nuværende form</w:t>
      </w:r>
      <w:r w:rsidR="00A0263F">
        <w:t xml:space="preserve"> er </w:t>
      </w:r>
      <w:r w:rsidR="00E80A41">
        <w:t xml:space="preserve">ulovlige </w:t>
      </w:r>
      <w:r w:rsidR="00A0263F">
        <w:t>elinstall</w:t>
      </w:r>
      <w:r w:rsidR="00A0263F">
        <w:t>a</w:t>
      </w:r>
      <w:r w:rsidR="00A0263F">
        <w:t>tio</w:t>
      </w:r>
      <w:r w:rsidR="00E80A41">
        <w:t>ner en stor del af de forhold</w:t>
      </w:r>
      <w:r w:rsidR="00226F79">
        <w:t>,</w:t>
      </w:r>
      <w:r w:rsidR="00BF188A">
        <w:t xml:space="preserve"> der kan henføres til</w:t>
      </w:r>
      <w:r w:rsidR="00A0263F">
        <w:t xml:space="preserve"> </w:t>
      </w:r>
      <w:r w:rsidR="00EF7511">
        <w:t xml:space="preserve">begrebet </w:t>
      </w:r>
      <w:r w:rsidR="00BF188A">
        <w:t>”</w:t>
      </w:r>
      <w:r w:rsidR="00A0263F">
        <w:t>offentligretlige forskrifter</w:t>
      </w:r>
      <w:r w:rsidR="00BF188A">
        <w:t>”</w:t>
      </w:r>
      <w:r w:rsidR="00A0263F">
        <w:t>.</w:t>
      </w:r>
      <w:r w:rsidR="00EF7511">
        <w:t xml:space="preserve"> Idet </w:t>
      </w:r>
      <w:r w:rsidR="00E80A41">
        <w:t>ulo</w:t>
      </w:r>
      <w:r w:rsidR="00E80A41">
        <w:t>v</w:t>
      </w:r>
      <w:r w:rsidR="00E80A41">
        <w:t xml:space="preserve">lige </w:t>
      </w:r>
      <w:r w:rsidR="00EF7511">
        <w:t>elinstallatione</w:t>
      </w:r>
      <w:r w:rsidR="00566D42">
        <w:t>r</w:t>
      </w:r>
      <w:r w:rsidR="00EF7511">
        <w:t xml:space="preserve"> bliver en del af sælgerbeskyttelsen, og derved bortfalder som et af de krav, der kan rettes mod sælger ifølge undtagelsesbestemmelsen, mister denne en del af sit</w:t>
      </w:r>
      <w:r w:rsidR="00E80A41">
        <w:t xml:space="preserve"> nuværende</w:t>
      </w:r>
      <w:r w:rsidR="00EF7511">
        <w:t xml:space="preserve"> o</w:t>
      </w:r>
      <w:r w:rsidR="00EF7511">
        <w:t>m</w:t>
      </w:r>
      <w:r w:rsidR="00EF7511">
        <w:t>fang. Undta</w:t>
      </w:r>
      <w:r w:rsidR="00BF188A">
        <w:t>get fra beskyttelsesordningen bliver således</w:t>
      </w:r>
      <w:r w:rsidR="00EF7511">
        <w:t xml:space="preserve"> de forhold, der kan karakteriseres som v</w:t>
      </w:r>
      <w:r w:rsidR="00EF7511">
        <w:t>æ</w:t>
      </w:r>
      <w:r w:rsidR="00EF7511">
        <w:t>rende i strid med en offentligretlig forskrift, o</w:t>
      </w:r>
      <w:r w:rsidR="00BF188A">
        <w:t xml:space="preserve">g som ikke kan karakteriseres som </w:t>
      </w:r>
      <w:r w:rsidR="00EF7511">
        <w:t>el-, varme-, vent</w:t>
      </w:r>
      <w:r w:rsidR="00EF7511">
        <w:t>i</w:t>
      </w:r>
      <w:r w:rsidR="00EF7511">
        <w:t>lations- eller sanitetsinstallationer. Denne reducering af omfanget af undtagelsesbestemmelsen b</w:t>
      </w:r>
      <w:r w:rsidR="00EF7511">
        <w:t>e</w:t>
      </w:r>
      <w:r w:rsidR="00EF7511">
        <w:t>tyder for praksis, at sælgers risiko for at få rettet et krav mod sig, bliver kraftigt reduc</w:t>
      </w:r>
      <w:r w:rsidR="002C369F">
        <w:t>eret, hvor</w:t>
      </w:r>
      <w:r w:rsidR="00E80A41">
        <w:t>for huseftersynsordningen</w:t>
      </w:r>
      <w:r w:rsidR="002C369F">
        <w:t xml:space="preserve"> kommer til at be</w:t>
      </w:r>
      <w:r w:rsidR="00566D42">
        <w:t>skytte sælger</w:t>
      </w:r>
      <w:r w:rsidR="00E80A41">
        <w:t xml:space="preserve"> bedre</w:t>
      </w:r>
      <w:r w:rsidR="002C369F">
        <w:t xml:space="preserve"> end før L89 blev vedtaget. Det er me</w:t>
      </w:r>
      <w:r w:rsidR="00E80A41">
        <w:t>get få forhold, der med vedtagelsen af L89</w:t>
      </w:r>
      <w:r w:rsidR="00361834">
        <w:t xml:space="preserve"> vil kunne henføres til sælger. S</w:t>
      </w:r>
      <w:r w:rsidR="002C369F">
        <w:t>ælger kan bedre end før L89 indrette sin økonomi efter at handelen er endeligt i</w:t>
      </w:r>
      <w:r w:rsidR="00361834">
        <w:t>ndgået.</w:t>
      </w:r>
    </w:p>
    <w:p w14:paraId="419FAC2A" w14:textId="77777777" w:rsidR="00731D37" w:rsidRDefault="00731D37" w:rsidP="00927381"/>
    <w:p w14:paraId="7D0E5A24" w14:textId="183EF091" w:rsidR="00731D37" w:rsidRDefault="00731D37" w:rsidP="00927381">
      <w:r>
        <w:t>Højesteret har i dommen U.2002.828H fastslået, at anvendelsesområdet i LFFE for ulovlige eli</w:t>
      </w:r>
      <w:r>
        <w:t>n</w:t>
      </w:r>
      <w:r>
        <w:t>stallationer skal findes i ejerskifteforsikringernes dækningsomfang. Såfremt et forhold er dækket af en ejerskifteforsikring, falder forholdet udenfor anvendelsesområdet for undtagelsesbestemmelsen i LFFE § 2, stk. 5, 1. pkt. Med vedtagelsen af L89 bliver, som ovenfor anført, sælgerbeskyttelsen udvidet til også at omfatte ulovlige elinstallationer, som før var en del af undtagelsesbestemmelsen i LFFE § 2, stk. 5, 1. pkt. Idet selve konstruktionen af huseftersynsordningen ikke undergår ændri</w:t>
      </w:r>
      <w:r>
        <w:t>n</w:t>
      </w:r>
      <w:r>
        <w:t xml:space="preserve">gen, men der blot er tale om en udvidelse af sælgers beskyttelse, må Højesterets dom antages stadig at kunne anvendes som målestok for, hvad anvendelsesområdet er for undtagelsesbestemmelsen i L89 § 1, nr. 4 (fremtidige LFFE § 2, stk. 5, 1. pkt.). </w:t>
      </w:r>
    </w:p>
    <w:p w14:paraId="300FCE43" w14:textId="77777777" w:rsidR="002C369F" w:rsidRDefault="002C369F" w:rsidP="00927381"/>
    <w:p w14:paraId="705C9828" w14:textId="06125F4C" w:rsidR="002C369F" w:rsidRPr="00927381" w:rsidRDefault="00BF188A" w:rsidP="00927381">
      <w:r>
        <w:t>Undtagelsesb</w:t>
      </w:r>
      <w:r w:rsidR="00361834">
        <w:t>estemmelsen må antages</w:t>
      </w:r>
      <w:r w:rsidR="002C369F">
        <w:t xml:space="preserve"> at være indsat</w:t>
      </w:r>
      <w:r>
        <w:t xml:space="preserve"> som en opsamlingsbestemmelse for</w:t>
      </w:r>
      <w:r w:rsidR="002C369F">
        <w:t xml:space="preserve"> de fo</w:t>
      </w:r>
      <w:r w:rsidR="002C369F">
        <w:t>r</w:t>
      </w:r>
      <w:r w:rsidR="002C369F">
        <w:t>hold, som ikke kan karakteriseres som hørende under el-, varme-, ventilations- eller sanitetsinstall</w:t>
      </w:r>
      <w:r w:rsidR="002C369F">
        <w:t>a</w:t>
      </w:r>
      <w:r w:rsidR="002C369F">
        <w:t>tioner. Disse begreber danne</w:t>
      </w:r>
      <w:r w:rsidR="00E80A41">
        <w:t>r</w:t>
      </w:r>
      <w:r w:rsidR="002C369F">
        <w:t xml:space="preserve"> ramme om de overordnede emner, der kan henføres til begrebet </w:t>
      </w:r>
      <w:r>
        <w:t>”</w:t>
      </w:r>
      <w:r w:rsidR="002C369F">
        <w:t>o</w:t>
      </w:r>
      <w:r w:rsidR="002C369F">
        <w:t>f</w:t>
      </w:r>
      <w:r w:rsidR="002C369F">
        <w:t>fentligretlige forskrifter</w:t>
      </w:r>
      <w:r>
        <w:t>”</w:t>
      </w:r>
      <w:r w:rsidR="002C369F">
        <w:t>. Idet huseftersynsordningen beskytter både køber og sæ</w:t>
      </w:r>
      <w:r w:rsidR="00E80A41">
        <w:t xml:space="preserve">lger, </w:t>
      </w:r>
      <w:r w:rsidR="002C369F">
        <w:t>må det fo</w:t>
      </w:r>
      <w:r w:rsidR="002C369F">
        <w:t>r</w:t>
      </w:r>
      <w:r w:rsidR="002C369F">
        <w:t>modes at bestemmelsen er indsat for at der ikke skal være nogen mulighed for at omgå loven. Uden denne bestem</w:t>
      </w:r>
      <w:r w:rsidR="00E80A41">
        <w:t>melse ville loven på nogle</w:t>
      </w:r>
      <w:r w:rsidR="002C369F">
        <w:t xml:space="preserve"> områder kunne overlade risikoen</w:t>
      </w:r>
      <w:r>
        <w:t xml:space="preserve"> alene</w:t>
      </w:r>
      <w:r w:rsidR="002C369F">
        <w:t xml:space="preserve"> til køber, uden de</w:t>
      </w:r>
      <w:r w:rsidR="002C369F">
        <w:t>n</w:t>
      </w:r>
      <w:r w:rsidR="002C369F">
        <w:t>ne havde mulighed for at få dækket udbedringsomkostninger</w:t>
      </w:r>
      <w:r w:rsidR="00E80A41">
        <w:t xml:space="preserve"> andre steder</w:t>
      </w:r>
      <w:r w:rsidR="002C369F">
        <w:t>. M</w:t>
      </w:r>
      <w:r w:rsidR="00566D42">
        <w:t>ed bevarelsen</w:t>
      </w:r>
      <w:r w:rsidR="002C369F">
        <w:t xml:space="preserve"> af denne bestemmelse vil kø</w:t>
      </w:r>
      <w:r w:rsidR="00E80A41">
        <w:t>ber</w:t>
      </w:r>
      <w:r w:rsidR="002C369F">
        <w:t xml:space="preserve"> have mulighed for at rette et krav</w:t>
      </w:r>
      <w:r w:rsidR="00E80A41">
        <w:t xml:space="preserve"> vedrørende offentligretlige forskrifter</w:t>
      </w:r>
      <w:r w:rsidR="002C369F">
        <w:t xml:space="preserve"> mod sælger, såfremt der skulle opstå et forhold, som ikke kan karakteriseres som el-, varme-, ventilat</w:t>
      </w:r>
      <w:r w:rsidR="002C369F">
        <w:t>i</w:t>
      </w:r>
      <w:r w:rsidR="002C369F">
        <w:t>ons- eller sanitetsinstallatio</w:t>
      </w:r>
      <w:r w:rsidR="00BC311C">
        <w:t>ner, og såfremt</w:t>
      </w:r>
      <w:r w:rsidR="00E80A41">
        <w:t xml:space="preserve"> kravene hertil</w:t>
      </w:r>
      <w:r w:rsidR="002C369F">
        <w:t xml:space="preserve"> er opfyldt.</w:t>
      </w:r>
      <w:r w:rsidR="002C369F">
        <w:rPr>
          <w:rStyle w:val="Fodnotehenvisning"/>
        </w:rPr>
        <w:footnoteReference w:id="127"/>
      </w:r>
    </w:p>
    <w:p w14:paraId="149A1AA2" w14:textId="7CA1CAFD" w:rsidR="00E44313" w:rsidRDefault="00E44313" w:rsidP="00E44313">
      <w:pPr>
        <w:pStyle w:val="Overskrift3"/>
      </w:pPr>
      <w:bookmarkStart w:id="54" w:name="_Toc179963457"/>
      <w:r>
        <w:t>5.2.3 Ejerskifteforsikringen</w:t>
      </w:r>
      <w:bookmarkEnd w:id="54"/>
    </w:p>
    <w:p w14:paraId="1E13D59E" w14:textId="39742A91" w:rsidR="00BF188A" w:rsidRDefault="00BF188A" w:rsidP="00BF188A">
      <w:r>
        <w:t>I dette afsnit bliver betydningen af ejerskifteforsikringens dækningsomfang gennemgået, i forhold til vedtage</w:t>
      </w:r>
      <w:r w:rsidR="00BC311C">
        <w:t>lsen af L89. Derudover vurderes</w:t>
      </w:r>
      <w:r>
        <w:t xml:space="preserve"> betydningen af nyskabelsen, at ejerskifteforsikringen tidsmæssigt dækker anderledes end før L89. </w:t>
      </w:r>
    </w:p>
    <w:p w14:paraId="56A3DF96" w14:textId="77777777" w:rsidR="00BF188A" w:rsidRPr="00BF188A" w:rsidRDefault="00BF188A" w:rsidP="00BF188A"/>
    <w:p w14:paraId="4E063CF8" w14:textId="0C11ED35" w:rsidR="00C241BA" w:rsidRDefault="00C241BA" w:rsidP="00C241BA">
      <w:r>
        <w:t>Ejerskifteforsikringen er købers modstykke til sælger fritagelse for mangelshæftelse. Huseftersyn</w:t>
      </w:r>
      <w:r>
        <w:t>s</w:t>
      </w:r>
      <w:r>
        <w:t>ordningen er som tidligere nævnt baseret på</w:t>
      </w:r>
      <w:r w:rsidR="00566D42">
        <w:t>,</w:t>
      </w:r>
      <w:r>
        <w:t xml:space="preserve"> at både køber og sælger er forbrugere</w:t>
      </w:r>
      <w:r w:rsidR="00BA53BC">
        <w:t xml:space="preserve">, og derved </w:t>
      </w:r>
      <w:r w:rsidR="00BF188A">
        <w:t xml:space="preserve">skal </w:t>
      </w:r>
      <w:r>
        <w:t>have mulighed for at opnå</w:t>
      </w:r>
      <w:r w:rsidR="00BF188A">
        <w:t xml:space="preserve"> den samme</w:t>
      </w:r>
      <w:r>
        <w:t xml:space="preserve"> beskyttelse</w:t>
      </w:r>
      <w:r w:rsidR="00BF188A">
        <w:t xml:space="preserve">. </w:t>
      </w:r>
      <w:r w:rsidR="00080573">
        <w:t>Sælger opnår, som omtalt ovenfor, beskyttelse ved</w:t>
      </w:r>
      <w:r w:rsidR="00566D42">
        <w:t>,</w:t>
      </w:r>
      <w:r w:rsidR="00080573">
        <w:t xml:space="preserve"> at denne bliver fritaget for at hæfte for eventuelle mangler, der måtte vise sig efter overtage</w:t>
      </w:r>
      <w:r w:rsidR="00080573">
        <w:t>l</w:t>
      </w:r>
      <w:r w:rsidR="00080573">
        <w:t xml:space="preserve">sesdagen ved at opfylde en nærmere række krav, </w:t>
      </w:r>
      <w:r w:rsidR="00080573" w:rsidRPr="00D65EDA">
        <w:t>jf. afsnit 2.3</w:t>
      </w:r>
      <w:r w:rsidR="00080573">
        <w:t>. Køber kan opnå beskyttelse mod disse fejl ved at tegne en ejerskifteforsikring.</w:t>
      </w:r>
      <w:r w:rsidR="004E15CF">
        <w:t xml:space="preserve"> Ejerskifteforsikringen har til formål at sørge for</w:t>
      </w:r>
      <w:r w:rsidR="00BA53BC">
        <w:t>,</w:t>
      </w:r>
      <w:r w:rsidR="004E15CF">
        <w:t xml:space="preserve"> at der er midler til at betale udbedringsomkostningerne</w:t>
      </w:r>
      <w:r w:rsidR="00BF188A">
        <w:t xml:space="preserve"> for de fejl</w:t>
      </w:r>
      <w:r w:rsidR="004E15CF">
        <w:t xml:space="preserve"> køber ikke selv </w:t>
      </w:r>
      <w:r w:rsidR="00BA53BC">
        <w:t xml:space="preserve">som udgangspunkt </w:t>
      </w:r>
      <w:r w:rsidR="004E15CF">
        <w:t>b</w:t>
      </w:r>
      <w:r w:rsidR="004E15CF">
        <w:t>æ</w:t>
      </w:r>
      <w:r w:rsidR="004E15CF">
        <w:t>rer risikoen for. Dette er skjul</w:t>
      </w:r>
      <w:r w:rsidR="00BA53BC">
        <w:t>te fejl, som ikke er omtalt</w:t>
      </w:r>
      <w:r w:rsidR="004E15CF">
        <w:t xml:space="preserve"> i tilstandsrapporten, og som ikke måtte kunne forventes at findes i en tilsvarende intakt ejendom. </w:t>
      </w:r>
    </w:p>
    <w:p w14:paraId="4DB3D8A7" w14:textId="77777777" w:rsidR="00A94077" w:rsidRDefault="00A94077" w:rsidP="00C241BA"/>
    <w:p w14:paraId="1F817065" w14:textId="653A662E" w:rsidR="00B3066A" w:rsidRDefault="00A94077" w:rsidP="00C241BA">
      <w:r>
        <w:t>Med indførslen af elinstallationer i sælgerbeskyttelsen, er det nødvendigt med en udvidelse af eje</w:t>
      </w:r>
      <w:r>
        <w:t>r</w:t>
      </w:r>
      <w:r>
        <w:t>skifteforsikr</w:t>
      </w:r>
      <w:r w:rsidR="00BF188A">
        <w:t>ingens dækningsomfang. Dette</w:t>
      </w:r>
      <w:r w:rsidR="004426CC">
        <w:t xml:space="preserve"> for at fø</w:t>
      </w:r>
      <w:r>
        <w:t>lge op på formålet med huseftersynsordningen, at beskytte køber og sælger lige, idet begge parter som udgang</w:t>
      </w:r>
      <w:r w:rsidR="00566D42">
        <w:t>spunkt er forbrugere. Der</w:t>
      </w:r>
      <w:r w:rsidR="00876101">
        <w:t xml:space="preserve"> bør</w:t>
      </w:r>
      <w:r>
        <w:t xml:space="preserve"> ikke være en skæv fordeling af, hvorledes sælg</w:t>
      </w:r>
      <w:r w:rsidR="00876101">
        <w:t>er og køber</w:t>
      </w:r>
      <w:r>
        <w:t xml:space="preserve"> har mulighed for at opnå beskyttelse</w:t>
      </w:r>
      <w:r w:rsidR="00566D42">
        <w:t>, hvilket ejerskifteforsikringen skal søge at sikre</w:t>
      </w:r>
      <w:r>
        <w:t xml:space="preserve">. For at </w:t>
      </w:r>
      <w:r w:rsidR="00242E62">
        <w:t xml:space="preserve">udligne </w:t>
      </w:r>
      <w:r w:rsidR="001A46A7">
        <w:t>sælgers udvidede beskyttelse, er der indført</w:t>
      </w:r>
      <w:r w:rsidR="00BA53BC">
        <w:t xml:space="preserve"> ulovlige</w:t>
      </w:r>
      <w:r w:rsidR="001A46A7">
        <w:t xml:space="preserve"> elinstallationer i dækningsomfanget for ejerskifteforsikringer. Køber kan således </w:t>
      </w:r>
      <w:r w:rsidR="00BA53BC">
        <w:t xml:space="preserve">stadig </w:t>
      </w:r>
      <w:r w:rsidR="001A46A7">
        <w:t>opnå beskyttelse mod ulovlige elinstallationer, der først viser sig efter overtagelsen af ejendommen. Før skulle køber som udgangspunkt rette et krav vedrørende ulovlige elinstallationer mod sælger</w:t>
      </w:r>
      <w:r w:rsidR="00BC311C">
        <w:t>, men med udvidelsen af minimums</w:t>
      </w:r>
      <w:r w:rsidR="001A46A7">
        <w:t>dækningsomfanget på ejerskifteforsikringer</w:t>
      </w:r>
      <w:r w:rsidR="00BA53BC">
        <w:t>, skal køber rette kr</w:t>
      </w:r>
      <w:r w:rsidR="00BA53BC">
        <w:t>a</w:t>
      </w:r>
      <w:r w:rsidR="00BA53BC">
        <w:t>vet mod ejerskifteforsikringen, hvis en sådan er tegnet</w:t>
      </w:r>
      <w:r w:rsidR="001A46A7">
        <w:t>.</w:t>
      </w:r>
      <w:r w:rsidR="00BA53BC">
        <w:t xml:space="preserve"> Dette stiller køber bedre økonomisk</w:t>
      </w:r>
      <w:r w:rsidR="00BC311C">
        <w:t>, såfremt</w:t>
      </w:r>
      <w:r w:rsidR="00566D42">
        <w:t xml:space="preserve"> ulovlige elinstallationer skulle vise sig efter overtagelsesdagen</w:t>
      </w:r>
      <w:r w:rsidR="00BA53BC">
        <w:t xml:space="preserve">, idet </w:t>
      </w:r>
      <w:r w:rsidR="001A46A7">
        <w:t>ejerskifteforsikrin</w:t>
      </w:r>
      <w:r w:rsidR="00534555">
        <w:t>gen</w:t>
      </w:r>
      <w:r w:rsidR="001A46A7">
        <w:t xml:space="preserve"> er indført for at sikre midler til udbedringsomkostninger på fejl og mangler, som køber ikke</w:t>
      </w:r>
      <w:r w:rsidR="00BA53BC">
        <w:t xml:space="preserve"> som udgang</w:t>
      </w:r>
      <w:r w:rsidR="00BA53BC">
        <w:t>s</w:t>
      </w:r>
      <w:r w:rsidR="00BA53BC">
        <w:t>punkt</w:t>
      </w:r>
      <w:r w:rsidR="001A46A7">
        <w:t xml:space="preserve"> </w:t>
      </w:r>
      <w:r w:rsidR="00566D42">
        <w:t xml:space="preserve">bør </w:t>
      </w:r>
      <w:r w:rsidR="001A46A7">
        <w:t>bæ</w:t>
      </w:r>
      <w:r w:rsidR="00566D42">
        <w:t>re</w:t>
      </w:r>
      <w:r w:rsidR="001A46A7">
        <w:t xml:space="preserve"> risikoen for. Hvor det ifølge LFFE var afhængigt af sælgers økonomi, hvorvidt k</w:t>
      </w:r>
      <w:r w:rsidR="001A46A7">
        <w:t>ø</w:t>
      </w:r>
      <w:r w:rsidR="001A46A7">
        <w:t xml:space="preserve">ber kunne få dækket udbedringsomkostningerne til ulovlige elinstallationer, er det med vedtagelsen af L89 afhængigt af </w:t>
      </w:r>
      <w:r w:rsidR="00566D42">
        <w:t>forsikringsselskabets</w:t>
      </w:r>
      <w:r w:rsidR="001A46A7">
        <w:t xml:space="preserve"> </w:t>
      </w:r>
      <w:r w:rsidR="00566D42">
        <w:t xml:space="preserve">dækningsomfang og </w:t>
      </w:r>
      <w:r w:rsidR="001A46A7">
        <w:t>soliditet, hvorvidt køber kan få dæ</w:t>
      </w:r>
      <w:r w:rsidR="001A46A7">
        <w:t>k</w:t>
      </w:r>
      <w:r w:rsidR="001A46A7">
        <w:t>ket sine udgifter. Det må antages</w:t>
      </w:r>
      <w:r w:rsidR="00566D42">
        <w:t>,</w:t>
      </w:r>
      <w:r w:rsidR="001A46A7">
        <w:t xml:space="preserve"> at en ejerskifteforsikring har væsentlig bedre forudsætning</w:t>
      </w:r>
      <w:r w:rsidR="00BA53BC">
        <w:t>er</w:t>
      </w:r>
      <w:r w:rsidR="001A46A7">
        <w:t xml:space="preserve"> for at dække købers tab</w:t>
      </w:r>
      <w:r w:rsidR="00566D42">
        <w:t xml:space="preserve"> ud fra et soliditetssynspunkt</w:t>
      </w:r>
      <w:r w:rsidR="001A46A7">
        <w:t>, idet en ejerskifte</w:t>
      </w:r>
      <w:r w:rsidR="00534555">
        <w:t>forsikring er en virksomhed, der</w:t>
      </w:r>
      <w:r w:rsidR="001A46A7">
        <w:t xml:space="preserve"> lever af indtægter fra forsikringstagerne. En sælger er som oftest en privatperson, der ikke har et økonomisk bagland, der kan bære</w:t>
      </w:r>
      <w:r w:rsidR="00566D42">
        <w:t>,</w:t>
      </w:r>
      <w:r w:rsidR="001A46A7">
        <w:t xml:space="preserve"> at der kommer en høj udgift </w:t>
      </w:r>
      <w:r w:rsidR="00BA53BC">
        <w:t>i form af udbedringsomkostninger.</w:t>
      </w:r>
      <w:r w:rsidR="001A46A7">
        <w:t xml:space="preserve"> </w:t>
      </w:r>
      <w:r w:rsidR="00B3066A">
        <w:t>Det er således en fordel for køber, at denne har mulighed for at tegne en ejerskifteforsikring, der ligeledes dækker ulov</w:t>
      </w:r>
      <w:r w:rsidR="00D36DA1">
        <w:t>lige elinstallationer. D</w:t>
      </w:r>
      <w:r w:rsidR="00B3066A">
        <w:t>ette</w:t>
      </w:r>
      <w:r w:rsidR="00D36DA1">
        <w:t xml:space="preserve"> fordi</w:t>
      </w:r>
      <w:r w:rsidR="00534555">
        <w:t>,</w:t>
      </w:r>
      <w:r w:rsidR="00D36DA1">
        <w:t xml:space="preserve"> ejerskifteforsikringen</w:t>
      </w:r>
      <w:r w:rsidR="0066579C">
        <w:t xml:space="preserve"> i vidt omfang garant</w:t>
      </w:r>
      <w:r w:rsidR="0066579C">
        <w:t>e</w:t>
      </w:r>
      <w:r w:rsidR="0066579C">
        <w:t>rer</w:t>
      </w:r>
      <w:r w:rsidR="00B3066A">
        <w:t xml:space="preserve"> midler til </w:t>
      </w:r>
      <w:r w:rsidR="0066579C">
        <w:t xml:space="preserve">eventuelle </w:t>
      </w:r>
      <w:r w:rsidR="00B3066A">
        <w:t>udbedrings</w:t>
      </w:r>
      <w:r w:rsidR="00D36DA1">
        <w:t>omkostninger</w:t>
      </w:r>
      <w:r w:rsidR="0066579C">
        <w:t>, såfremt disse måtte opstå.</w:t>
      </w:r>
      <w:r w:rsidR="00D36DA1">
        <w:t xml:space="preserve"> Dette kunne være et problem før L89, idet sæ</w:t>
      </w:r>
      <w:r w:rsidR="00BC311C">
        <w:t>lger i mange tilfælde ikke havde</w:t>
      </w:r>
      <w:r w:rsidR="00D36DA1">
        <w:t xml:space="preserve"> midlerne til at betale udbedringsomkos</w:t>
      </w:r>
      <w:r w:rsidR="00D36DA1">
        <w:t>t</w:t>
      </w:r>
      <w:r w:rsidR="00D36DA1">
        <w:t>ningerne.</w:t>
      </w:r>
      <w:r w:rsidR="00B3066A">
        <w:t xml:space="preserve"> </w:t>
      </w:r>
    </w:p>
    <w:p w14:paraId="7BB0BA91" w14:textId="77777777" w:rsidR="00B3066A" w:rsidRDefault="00B3066A" w:rsidP="00C241BA"/>
    <w:p w14:paraId="79CFD8D4" w14:textId="0C6EE86D" w:rsidR="00B3066A" w:rsidRDefault="000D4C7A" w:rsidP="00C241BA">
      <w:r>
        <w:t>Det væsentligste for køber</w:t>
      </w:r>
      <w:r w:rsidR="00D36DA1">
        <w:t>, når denne skal vurdere, hvem der skal bære risikoen for ulovlige eli</w:t>
      </w:r>
      <w:r w:rsidR="00D36DA1">
        <w:t>n</w:t>
      </w:r>
      <w:r w:rsidR="00D36DA1">
        <w:t>stallationer i ejendommen</w:t>
      </w:r>
      <w:r>
        <w:t xml:space="preserve"> er</w:t>
      </w:r>
      <w:r w:rsidR="00D36DA1">
        <w:t>,</w:t>
      </w:r>
      <w:r>
        <w:t xml:space="preserve"> at vurdere om forholdet er omfattet af ejerskifteforsikringens dæ</w:t>
      </w:r>
      <w:r>
        <w:t>k</w:t>
      </w:r>
      <w:r>
        <w:t xml:space="preserve">ningsomfang. </w:t>
      </w:r>
      <w:r w:rsidR="00731D37">
        <w:t>Hvo</w:t>
      </w:r>
      <w:r w:rsidR="00534555">
        <w:t>r køber, hvis forholdet ikke er</w:t>
      </w:r>
      <w:r w:rsidR="00731D37">
        <w:t xml:space="preserve"> omfattet af ejerskifteforsikringen, efter LFFE</w:t>
      </w:r>
      <w:r w:rsidR="00534555">
        <w:t xml:space="preserve"> skal</w:t>
      </w:r>
      <w:r w:rsidR="00B3066A">
        <w:t xml:space="preserve"> afgøre om</w:t>
      </w:r>
      <w:r w:rsidR="00534555">
        <w:t>, der er</w:t>
      </w:r>
      <w:r w:rsidR="00B3066A">
        <w:t xml:space="preserve"> tale om en skade eller risiko for</w:t>
      </w:r>
      <w:r w:rsidR="00361834">
        <w:t xml:space="preserve"> skade, som følge af en ulovlig</w:t>
      </w:r>
      <w:r w:rsidR="00B3066A">
        <w:t xml:space="preserve"> elinstalla</w:t>
      </w:r>
      <w:r w:rsidR="00534555">
        <w:t>tion, eller om der blot er</w:t>
      </w:r>
      <w:r w:rsidR="00B3066A">
        <w:t xml:space="preserve"> tale om en konstateret ulovlig elinstallation, </w:t>
      </w:r>
      <w:r w:rsidR="00292955">
        <w:t>skal køber efter L89 som udgangspunkt blot</w:t>
      </w:r>
      <w:r w:rsidR="00B3066A">
        <w:t xml:space="preserve"> koncentrere sig om dækningsomfanget af ejerskifteforsikringen.</w:t>
      </w:r>
      <w:r w:rsidR="00E57D0C">
        <w:t xml:space="preserve"> Sælgerbeskyttelsen omhandler efter vedtagelsen af L89 de fire forhold, der er omtalt i </w:t>
      </w:r>
      <w:r w:rsidR="00E57D0C" w:rsidRPr="00D65EDA">
        <w:t>afsnit 3.2</w:t>
      </w:r>
      <w:r w:rsidR="00D36DA1">
        <w:t xml:space="preserve"> om retlige og faktiske</w:t>
      </w:r>
      <w:r w:rsidR="0066579C">
        <w:t xml:space="preserve"> mangler. Således dækkes</w:t>
      </w:r>
      <w:r w:rsidR="00E57D0C">
        <w:t xml:space="preserve"> de </w:t>
      </w:r>
      <w:r w:rsidR="0066579C">
        <w:t>ulovlige elinstallationer</w:t>
      </w:r>
      <w:r w:rsidR="00E57D0C">
        <w:t xml:space="preserve"> af elinstallationsrappor</w:t>
      </w:r>
      <w:r w:rsidR="00731D37">
        <w:t>ten,</w:t>
      </w:r>
      <w:r w:rsidR="00604106">
        <w:t xml:space="preserve"> hvorimod</w:t>
      </w:r>
      <w:r w:rsidR="00731D37">
        <w:t xml:space="preserve"> s</w:t>
      </w:r>
      <w:r w:rsidR="00E57D0C">
        <w:t>kader og risiko for skader, som følge af ulovlige elinstallationer, dækkes</w:t>
      </w:r>
      <w:r w:rsidR="00604106">
        <w:t xml:space="preserve"> af tilstandsrapporten</w:t>
      </w:r>
      <w:r w:rsidR="00E57D0C">
        <w:t xml:space="preserve"> og ejerskifteforsi</w:t>
      </w:r>
      <w:r w:rsidR="00E57D0C">
        <w:t>k</w:t>
      </w:r>
      <w:r w:rsidR="00E57D0C">
        <w:t>ringen.</w:t>
      </w:r>
      <w:r w:rsidR="00604106">
        <w:t xml:space="preserve"> Såfremt</w:t>
      </w:r>
      <w:r w:rsidR="00B3066A">
        <w:t xml:space="preserve"> forholdet er dækket af ejerskifteforsikringen er det denne, der hæfter for udbe</w:t>
      </w:r>
      <w:r w:rsidR="00B3066A">
        <w:t>d</w:t>
      </w:r>
      <w:r w:rsidR="00B3066A">
        <w:t>ringsomkostningerne. Såfremt ejerskifteforsikringen ikke dækker den ulovlige elinstallation, er det som udgangspunkt køber selv, der må bære risikoen herfor.</w:t>
      </w:r>
      <w:r w:rsidR="00475093">
        <w:t xml:space="preserve"> Det er ikke muligt</w:t>
      </w:r>
      <w:r w:rsidR="00292955">
        <w:t xml:space="preserve"> for køber at rette et krav mod sælger, eftersom denne er beskyttet af beskyttelsesordningen, medmindre sælger har u</w:t>
      </w:r>
      <w:r w:rsidR="00292955">
        <w:t>d</w:t>
      </w:r>
      <w:r w:rsidR="00292955">
        <w:t>vist ansvarspådragende adfærd</w:t>
      </w:r>
      <w:r w:rsidR="00BC311C">
        <w:t>, jf. afsnit 2.4</w:t>
      </w:r>
      <w:r w:rsidR="00292955">
        <w:t xml:space="preserve">. </w:t>
      </w:r>
      <w:r w:rsidR="00731D37">
        <w:t>Det er imidlertid</w:t>
      </w:r>
      <w:r w:rsidR="00475093">
        <w:t xml:space="preserve"> muligt</w:t>
      </w:r>
      <w:r w:rsidR="00731D37">
        <w:t>,</w:t>
      </w:r>
      <w:r w:rsidR="00475093">
        <w:t xml:space="preserve"> at kø</w:t>
      </w:r>
      <w:r w:rsidR="00731D37">
        <w:t>ber ikke skal bære ris</w:t>
      </w:r>
      <w:r w:rsidR="00731D37">
        <w:t>i</w:t>
      </w:r>
      <w:r w:rsidR="00731D37">
        <w:t>koen for de ulovlige elinstallationer, såfremt</w:t>
      </w:r>
      <w:r w:rsidR="00475093">
        <w:t xml:space="preserve"> ejerskifteforsikringen</w:t>
      </w:r>
      <w:r w:rsidR="00731D37">
        <w:t xml:space="preserve"> ikke</w:t>
      </w:r>
      <w:r w:rsidR="00475093">
        <w:t xml:space="preserve"> dækker udbedringsomkos</w:t>
      </w:r>
      <w:r w:rsidR="00475093">
        <w:t>t</w:t>
      </w:r>
      <w:r w:rsidR="00475093">
        <w:t>ninger. Dette er</w:t>
      </w:r>
      <w:r w:rsidR="005B7D6B">
        <w:t>,</w:t>
      </w:r>
      <w:r w:rsidR="00475093">
        <w:t xml:space="preserve"> hvor den autoriserede elinstallatør har handlet ansvarspådragende, jf. </w:t>
      </w:r>
      <w:r w:rsidR="00475093" w:rsidRPr="00D65EDA">
        <w:t>afsnit 5.2.4</w:t>
      </w:r>
      <w:r w:rsidR="00475093">
        <w:t xml:space="preserve"> nedenfor. </w:t>
      </w:r>
    </w:p>
    <w:p w14:paraId="59AEB328" w14:textId="77777777" w:rsidR="00DB41AB" w:rsidRDefault="00DB41AB" w:rsidP="00C241BA"/>
    <w:p w14:paraId="1E1BF1E1" w14:textId="351F3A5C" w:rsidR="00DB41AB" w:rsidRDefault="00361834" w:rsidP="00C241BA">
      <w:r>
        <w:t>Indførslen</w:t>
      </w:r>
      <w:r w:rsidR="00DB41AB">
        <w:t xml:space="preserve"> af L89</w:t>
      </w:r>
      <w:r>
        <w:t xml:space="preserve"> har medført endnu en nyskabelse</w:t>
      </w:r>
      <w:r w:rsidR="00DB41AB">
        <w:t>, idet ejerskifteforsikringen er gældende fra ti</w:t>
      </w:r>
      <w:r w:rsidR="00DB41AB">
        <w:t>l</w:t>
      </w:r>
      <w:r w:rsidR="00DB41AB">
        <w:t xml:space="preserve">stands- og elinstallationsrapportens udarbejdelse. </w:t>
      </w:r>
      <w:r w:rsidR="009C0372">
        <w:t>Efter</w:t>
      </w:r>
      <w:r w:rsidR="00534555">
        <w:t xml:space="preserve"> LFFE er</w:t>
      </w:r>
      <w:r w:rsidR="00DB41AB">
        <w:t xml:space="preserve"> tilstandsrapporten gældende fra over</w:t>
      </w:r>
      <w:r w:rsidR="00534555">
        <w:t>tagelsesdagen, og sælger hæfter</w:t>
      </w:r>
      <w:r w:rsidR="00DB41AB">
        <w:t xml:space="preserve"> derved fra tilstandsrapportens udarbejdelse frem til overtage</w:t>
      </w:r>
      <w:r w:rsidR="00DB41AB">
        <w:t>l</w:t>
      </w:r>
      <w:r w:rsidR="00DB41AB">
        <w:t>sesda</w:t>
      </w:r>
      <w:r w:rsidR="00534555">
        <w:t>gen. Ændringen</w:t>
      </w:r>
      <w:r w:rsidR="00767E0D">
        <w:t xml:space="preserve"> får den betydning for</w:t>
      </w:r>
      <w:r w:rsidR="00DB41AB">
        <w:t xml:space="preserve"> praksis, at</w:t>
      </w:r>
      <w:r w:rsidR="00534555">
        <w:t xml:space="preserve"> de hændelige skader, der opstår</w:t>
      </w:r>
      <w:r w:rsidR="00DB41AB">
        <w:t xml:space="preserve"> mellem u</w:t>
      </w:r>
      <w:r w:rsidR="00DB41AB">
        <w:t>d</w:t>
      </w:r>
      <w:r w:rsidR="00DB41AB">
        <w:t>arbejdelsen af tilstandsrapporten og overtagelsesdagen</w:t>
      </w:r>
      <w:r w:rsidR="00285484">
        <w:t>, i stedet for at blive henført til sælger</w:t>
      </w:r>
      <w:r w:rsidR="009C0372">
        <w:t>s risiko</w:t>
      </w:r>
      <w:r w:rsidR="00285484">
        <w:t>, bliver en del af ejerskifteforsikringens dæk</w:t>
      </w:r>
      <w:r>
        <w:t>ningsomfang. Det har</w:t>
      </w:r>
      <w:r w:rsidR="00285484">
        <w:t xml:space="preserve"> den fordel for sælger, at denne få</w:t>
      </w:r>
      <w:r w:rsidR="00767E0D">
        <w:t>r</w:t>
      </w:r>
      <w:r w:rsidR="00534555">
        <w:t xml:space="preserve"> reduceret de forhold, som kan</w:t>
      </w:r>
      <w:r w:rsidR="00767E0D">
        <w:t xml:space="preserve"> </w:t>
      </w:r>
      <w:r w:rsidR="00285484">
        <w:t>henføres til denne efter LFFE. Det må antages, at de ulovlige elinsta</w:t>
      </w:r>
      <w:r w:rsidR="00285484">
        <w:t>l</w:t>
      </w:r>
      <w:r w:rsidR="00285484">
        <w:t>lationer</w:t>
      </w:r>
      <w:r w:rsidR="00767E0D">
        <w:t>,</w:t>
      </w:r>
      <w:r w:rsidR="008966A0">
        <w:t xml:space="preserve"> som ikke er nævnt i elinstallationsrapporten, </w:t>
      </w:r>
      <w:r w:rsidR="00767E0D">
        <w:t>men som</w:t>
      </w:r>
      <w:r w:rsidR="009C0372">
        <w:t xml:space="preserve"> viser sig efter udarbejdelsesdagen og før overtagelsesdagen </w:t>
      </w:r>
      <w:r w:rsidR="00767E0D">
        <w:t>ligeledes</w:t>
      </w:r>
      <w:r w:rsidR="009C0372">
        <w:t xml:space="preserve"> må have </w:t>
      </w:r>
      <w:r w:rsidR="008966A0">
        <w:t>være</w:t>
      </w:r>
      <w:r w:rsidR="009C0372">
        <w:t>t ulovlige i den pågældende periode</w:t>
      </w:r>
      <w:r w:rsidR="008966A0">
        <w:t>, såvel som før overtagelsesdagen</w:t>
      </w:r>
      <w:r w:rsidR="00285484">
        <w:t>. De situationer, hvor en elinstalla</w:t>
      </w:r>
      <w:r w:rsidR="00767E0D">
        <w:t>tion bliver ulovlig i den pågældende</w:t>
      </w:r>
      <w:r>
        <w:t xml:space="preserve"> periode, må</w:t>
      </w:r>
      <w:r w:rsidR="008966A0">
        <w:t xml:space="preserve"> kunne henføres til</w:t>
      </w:r>
      <w:r w:rsidR="00285484">
        <w:t xml:space="preserve"> sælgers ansvar, idet denne</w:t>
      </w:r>
      <w:r w:rsidR="00415AEB">
        <w:t xml:space="preserve"> </w:t>
      </w:r>
      <w:r w:rsidR="00534555">
        <w:t>har haft ansvaret for udførte elinstallationer i den pågældende periode. E</w:t>
      </w:r>
      <w:r w:rsidR="00767E0D">
        <w:t xml:space="preserve">n elinstallation </w:t>
      </w:r>
      <w:r w:rsidR="00534555">
        <w:t>bliver ikke pludselig</w:t>
      </w:r>
      <w:r w:rsidR="00767E0D">
        <w:t xml:space="preserve"> ulovlig</w:t>
      </w:r>
      <w:r w:rsidR="00534555">
        <w:t>, hvorfor der må være sket hæ</w:t>
      </w:r>
      <w:r w:rsidR="00534555">
        <w:t>n</w:t>
      </w:r>
      <w:r w:rsidR="00534555">
        <w:t>delser i den mellemliggende periode, som kan gøre sælger ansvarlig</w:t>
      </w:r>
      <w:r w:rsidR="00285484">
        <w:t>. Såfremt sælge</w:t>
      </w:r>
      <w:r w:rsidR="00767E0D">
        <w:t>r ikke kan dr</w:t>
      </w:r>
      <w:r w:rsidR="00767E0D">
        <w:t>a</w:t>
      </w:r>
      <w:r w:rsidR="00767E0D">
        <w:t>ges til ansvar, kan</w:t>
      </w:r>
      <w:r w:rsidR="00285484">
        <w:t xml:space="preserve"> der være tale om et pro</w:t>
      </w:r>
      <w:r w:rsidR="00415AEB">
        <w:t>fessionsansvar, og det vil således være den autoriserede elinstallatør, der hæfter for udbedrin</w:t>
      </w:r>
      <w:r>
        <w:t>gsomkostningerne. S</w:t>
      </w:r>
      <w:r w:rsidR="00415AEB">
        <w:t>åfremt køber ikke har adgang til eje</w:t>
      </w:r>
      <w:r w:rsidR="00415AEB">
        <w:t>n</w:t>
      </w:r>
      <w:r w:rsidR="00415AEB">
        <w:t>dommen i den pågældende perio</w:t>
      </w:r>
      <w:r w:rsidR="00767E0D">
        <w:t>de, vil</w:t>
      </w:r>
      <w:r w:rsidR="00415AEB">
        <w:t xml:space="preserve"> køber som udgangs</w:t>
      </w:r>
      <w:r w:rsidR="00767E0D">
        <w:t>punkt ikke</w:t>
      </w:r>
      <w:r w:rsidR="00415AEB">
        <w:t xml:space="preserve"> kunne komme til at bære ris</w:t>
      </w:r>
      <w:r w:rsidR="00415AEB">
        <w:t>i</w:t>
      </w:r>
      <w:r w:rsidR="00415AEB">
        <w:t xml:space="preserve">koen for denne periode. </w:t>
      </w:r>
    </w:p>
    <w:p w14:paraId="1644BA56" w14:textId="77777777" w:rsidR="00E30A5C" w:rsidRDefault="00E30A5C" w:rsidP="00C241BA"/>
    <w:p w14:paraId="65AD31A2" w14:textId="01DA8A5B" w:rsidR="00E30A5C" w:rsidRPr="00C241BA" w:rsidRDefault="00E30A5C" w:rsidP="00C241BA">
      <w:r>
        <w:t>Samlet set har udvidelsen af beskyttelsesordningen den betydning</w:t>
      </w:r>
      <w:r w:rsidR="009C0372">
        <w:t>,</w:t>
      </w:r>
      <w:r>
        <w:t xml:space="preserve"> at køber bliver bedre sikret i forhold til</w:t>
      </w:r>
      <w:r w:rsidR="009C0372">
        <w:t>,</w:t>
      </w:r>
      <w:r>
        <w:t xml:space="preserve"> at få dækket udgifter til lovliggørelse af elinstallationer, såfremt disse måtte vise sig e</w:t>
      </w:r>
      <w:r>
        <w:t>f</w:t>
      </w:r>
      <w:r>
        <w:t xml:space="preserve">ter køber har overtaget ejendommen. </w:t>
      </w:r>
      <w:r w:rsidR="00415AEB">
        <w:t xml:space="preserve">Derudover </w:t>
      </w:r>
      <w:r w:rsidR="00767E0D">
        <w:t xml:space="preserve">er </w:t>
      </w:r>
      <w:r w:rsidR="00415AEB">
        <w:t>ejerskifteforsikringens dækningsomfang tid</w:t>
      </w:r>
      <w:r w:rsidR="00415AEB">
        <w:t>s</w:t>
      </w:r>
      <w:r w:rsidR="00415AEB">
        <w:t xml:space="preserve">mæssigt udvidet til at omfatte perioden fra tilstands- og elinstallationsrapportens udarbejde frem til overtagelsesdagen. </w:t>
      </w:r>
    </w:p>
    <w:p w14:paraId="4F4747FE" w14:textId="0D75F1DF" w:rsidR="00E44313" w:rsidRDefault="00E44313" w:rsidP="00E44313">
      <w:pPr>
        <w:pStyle w:val="Overskrift3"/>
      </w:pPr>
      <w:bookmarkStart w:id="55" w:name="_Toc179963458"/>
      <w:r>
        <w:t>5.2.4 Professionsansvar</w:t>
      </w:r>
      <w:bookmarkEnd w:id="55"/>
    </w:p>
    <w:p w14:paraId="37FA6A00" w14:textId="5FE8B15C" w:rsidR="00534555" w:rsidRDefault="00361834" w:rsidP="00534555">
      <w:r>
        <w:t>Dette afsnit viser, at</w:t>
      </w:r>
      <w:r w:rsidR="00534555">
        <w:t xml:space="preserve"> den autoriserede elinstallatør har ansvar for det el-tjek og den elinstallation</w:t>
      </w:r>
      <w:r w:rsidR="00534555">
        <w:t>s</w:t>
      </w:r>
      <w:r w:rsidR="00534555">
        <w:t>rapport, som denne udfører i forbindelse med huse</w:t>
      </w:r>
      <w:r>
        <w:t xml:space="preserve">ftersynsordningen, og at </w:t>
      </w:r>
      <w:r w:rsidR="00534555">
        <w:t>dette har betyd</w:t>
      </w:r>
      <w:r>
        <w:t>ning i</w:t>
      </w:r>
      <w:r w:rsidR="00534555">
        <w:t xml:space="preserve"> praksis.</w:t>
      </w:r>
    </w:p>
    <w:p w14:paraId="1CC14A89" w14:textId="77777777" w:rsidR="00534555" w:rsidRPr="00534555" w:rsidRDefault="00534555" w:rsidP="00534555"/>
    <w:p w14:paraId="10EC8319" w14:textId="03D883CF" w:rsidR="00E30A5C" w:rsidRDefault="004426CC" w:rsidP="00E30A5C">
      <w:r>
        <w:t>Den bygningssagkyndige</w:t>
      </w:r>
      <w:r w:rsidR="000A2073">
        <w:t>, der uda</w:t>
      </w:r>
      <w:r>
        <w:t>rbejder tilstandsrapporten</w:t>
      </w:r>
      <w:r w:rsidR="000A2073">
        <w:t xml:space="preserve"> i forb</w:t>
      </w:r>
      <w:r w:rsidR="009C0372">
        <w:t>indelse med en handel</w:t>
      </w:r>
      <w:r w:rsidR="000A2073">
        <w:t xml:space="preserve"> under huseftersynsordningen, har et ansvar for det arbejde denne udfører. Dette ansvar er et profession</w:t>
      </w:r>
      <w:r w:rsidR="000A2073">
        <w:t>s</w:t>
      </w:r>
      <w:r>
        <w:t xml:space="preserve">ansvar, således at den bygningssagkyndige ikke hæfter personligt. Det er den </w:t>
      </w:r>
      <w:r w:rsidR="000A2073">
        <w:t>virksomhed</w:t>
      </w:r>
      <w:r>
        <w:t>, som den bygningssagkyndige</w:t>
      </w:r>
      <w:r w:rsidR="000A2073">
        <w:t xml:space="preserve"> er udsendt fra, der hæfter </w:t>
      </w:r>
      <w:r>
        <w:t>for eventuelle fejl begået i forbindelse med en by</w:t>
      </w:r>
      <w:r>
        <w:t>g</w:t>
      </w:r>
      <w:r>
        <w:t xml:space="preserve">ningsgennemgang. Med vedtagelsen af L89 er </w:t>
      </w:r>
      <w:r w:rsidR="009C0372">
        <w:t>bestemmelsen om professionsansvaret</w:t>
      </w:r>
      <w:r>
        <w:t xml:space="preserve"> udvidet til ligeledes at omfatte den autoriserede elinstallatør. </w:t>
      </w:r>
    </w:p>
    <w:p w14:paraId="4B36B805" w14:textId="77777777" w:rsidR="004426CC" w:rsidRDefault="004426CC" w:rsidP="00E30A5C"/>
    <w:p w14:paraId="2EC93525" w14:textId="1C1C214F" w:rsidR="004426CC" w:rsidRDefault="009C0372" w:rsidP="00E30A5C">
      <w:r>
        <w:t>At det</w:t>
      </w:r>
      <w:r w:rsidR="004426CC">
        <w:t xml:space="preserve"> er nødvendigt at udvide bestemmelsen vedrørende professionsansvar i LFFE til at opfatte den autoriserede elinstallatør, må begrundes i, at bestemmelsen er en præcisering af købers genere</w:t>
      </w:r>
      <w:r w:rsidR="004426CC">
        <w:t>l</w:t>
      </w:r>
      <w:r>
        <w:t>le retsstilling</w:t>
      </w:r>
      <w:r w:rsidR="004426CC">
        <w:t>. Idet lovgiver ha</w:t>
      </w:r>
      <w:r w:rsidR="00767E0D">
        <w:t>r valgt at indsætte en bestemmelse</w:t>
      </w:r>
      <w:r w:rsidR="004426CC">
        <w:t xml:space="preserve"> i LFFE</w:t>
      </w:r>
      <w:r w:rsidR="00767E0D">
        <w:t xml:space="preserve"> om profe</w:t>
      </w:r>
      <w:r w:rsidR="00C4007D">
        <w:t>ssionsa</w:t>
      </w:r>
      <w:r w:rsidR="00767E0D">
        <w:t>nsvar</w:t>
      </w:r>
      <w:r w:rsidR="004426CC">
        <w:t xml:space="preserve"> ved lovens ikrafttræden, er lovgiver nødsaget til ligeledes at indføje elinstallatøren til bestem</w:t>
      </w:r>
      <w:r>
        <w:t>melsen ved udvidelsen af</w:t>
      </w:r>
      <w:r w:rsidR="00E923E1">
        <w:t xml:space="preserve"> loven</w:t>
      </w:r>
      <w:r>
        <w:t>s anvendelsesområde</w:t>
      </w:r>
      <w:r w:rsidR="00E923E1">
        <w:t>, således at der ikke skabes tvivl om købers retsstilling. Såfremt elinstallatøren ikke var blevet indføjet i bestemmelsen, ville dette kunne skabe tvivl om, hvorvidt køber havde mulighed for at rette et krav mod elinstallatøren. Dette fordi</w:t>
      </w:r>
      <w:r w:rsidR="00767E0D">
        <w:t>,</w:t>
      </w:r>
      <w:r w:rsidR="00E923E1">
        <w:t xml:space="preserve"> den bygning</w:t>
      </w:r>
      <w:r w:rsidR="00E923E1">
        <w:t>s</w:t>
      </w:r>
      <w:r w:rsidR="00E923E1">
        <w:t>sagkyndige og el</w:t>
      </w:r>
      <w:r w:rsidR="00C4007D">
        <w:t>installatøren har samme ansvar</w:t>
      </w:r>
      <w:r w:rsidR="00E923E1">
        <w:t xml:space="preserve"> i forbindelse med huseftersynsordningen, og en undladelse ville derfor skabe et billede af, at det kun var den bygningssagkyndige, der ville kunne pålægges et professionsansvar. </w:t>
      </w:r>
    </w:p>
    <w:p w14:paraId="547FCF49" w14:textId="77777777" w:rsidR="00E923E1" w:rsidRDefault="00E923E1" w:rsidP="00E30A5C"/>
    <w:p w14:paraId="46400633" w14:textId="04304026" w:rsidR="00E923E1" w:rsidRPr="00E30A5C" w:rsidRDefault="00E923E1" w:rsidP="00E30A5C">
      <w:r>
        <w:t xml:space="preserve">Det øvrige </w:t>
      </w:r>
      <w:r w:rsidR="00DB0355">
        <w:t xml:space="preserve">indhold </w:t>
      </w:r>
      <w:r>
        <w:t>i L89 § 1, nr. 7 (fremtidige LFFE § 3)</w:t>
      </w:r>
      <w:r w:rsidR="00DB0355">
        <w:t xml:space="preserve"> er ikke en nyskabelse. Dette er blot en videreførelse af den oprindelse bestemmelse i LFFE. Den eneste betydning udvidelsen har for pra</w:t>
      </w:r>
      <w:r w:rsidR="00DB0355">
        <w:t>k</w:t>
      </w:r>
      <w:r w:rsidR="00DB0355">
        <w:t xml:space="preserve">sis er, at bestemmelsen præciserer købers retsstilling, således at køber ikke er i tvivl om, at denne ligeledes kan rette et krav mod </w:t>
      </w:r>
      <w:r w:rsidR="00B25253">
        <w:t>den autoriserede elinstallatør på samme måde, som køber kan rette et krav mod den bygningssagkyndige, hvis kravene herfor er opfyldt.</w:t>
      </w:r>
    </w:p>
    <w:p w14:paraId="6E76D0E7" w14:textId="6F4A88BB" w:rsidR="00BA3098" w:rsidRDefault="00BA3098" w:rsidP="001A79AD">
      <w:pPr>
        <w:pStyle w:val="Overskrift1"/>
      </w:pPr>
      <w:r>
        <w:br w:type="column"/>
      </w:r>
      <w:bookmarkStart w:id="56" w:name="_Toc179963459"/>
      <w:r w:rsidR="002A7D3D">
        <w:t xml:space="preserve">6.0 </w:t>
      </w:r>
      <w:r>
        <w:t>Konklusion</w:t>
      </w:r>
      <w:bookmarkEnd w:id="56"/>
    </w:p>
    <w:p w14:paraId="6CF48047" w14:textId="1BE7E611" w:rsidR="00543F6D" w:rsidRDefault="00543F6D" w:rsidP="00543F6D">
      <w:r>
        <w:t>Med vedtagelsen af L</w:t>
      </w:r>
      <w:r w:rsidR="00825BF5">
        <w:t>89 udvides beskyttelsesordningen i huseftersynsordningen</w:t>
      </w:r>
      <w:r>
        <w:t xml:space="preserve"> til at omfatte ulo</w:t>
      </w:r>
      <w:r>
        <w:t>v</w:t>
      </w:r>
      <w:r>
        <w:t>li</w:t>
      </w:r>
      <w:r w:rsidR="00361834">
        <w:t>ge elinstallationer. Dette medfører</w:t>
      </w:r>
      <w:r>
        <w:t xml:space="preserve"> en ændring i, hvilke mangle</w:t>
      </w:r>
      <w:r w:rsidR="00361834">
        <w:t>r der skal</w:t>
      </w:r>
      <w:r>
        <w:t xml:space="preserve"> henføres til beskyttelse</w:t>
      </w:r>
      <w:r>
        <w:t>s</w:t>
      </w:r>
      <w:r>
        <w:t>ordningen i LFFE § 2, st</w:t>
      </w:r>
      <w:r w:rsidR="00361834">
        <w:t>k. 1, og hvilke mangler der skal</w:t>
      </w:r>
      <w:r>
        <w:t xml:space="preserve"> henføres til undtagelsesbestemmelsen i LFFE § 2, stk. 5, 1. pkt. Selve behandlingen i praksis følger stadig Højesterets dom, U.2002.828H, som har fastslået</w:t>
      </w:r>
      <w:r w:rsidR="00825BF5">
        <w:t>,</w:t>
      </w:r>
      <w:r>
        <w:t xml:space="preserve"> at det er ejerskifteforsikringens dækningsomfang, der er afgørende for, om et fo</w:t>
      </w:r>
      <w:r>
        <w:t>r</w:t>
      </w:r>
      <w:r>
        <w:t>hold skal henføres til undtagelsesbestemmelsen eller er en del af beskyttelsesordningen. Derved kan udvidelsen i L89 karakteriseres som værende en forbedring</w:t>
      </w:r>
      <w:r w:rsidR="00361834">
        <w:t xml:space="preserve"> for både køber og sælger</w:t>
      </w:r>
      <w:r>
        <w:t xml:space="preserve"> af anvende</w:t>
      </w:r>
      <w:r>
        <w:t>l</w:t>
      </w:r>
      <w:r>
        <w:t>sesområdet af huseftersynsordningen, og ikke som en ændring af, hvorledes huseftersynsordningen fungerer i praksis. Selve fremgangsmåden i huseftersynsordningen er ikke søgt ændret, idet denne opfylder sit formål. Real</w:t>
      </w:r>
      <w:r w:rsidR="00825BF5">
        <w:t>danias rapport fra 2006 viser</w:t>
      </w:r>
      <w:r>
        <w:t xml:space="preserve"> en tilfredshed med og tillid til selve ordningen blandt boligejerne, hvor</w:t>
      </w:r>
      <w:r w:rsidR="00825BF5">
        <w:t>for en ændring vil</w:t>
      </w:r>
      <w:r w:rsidR="00C300DF">
        <w:t xml:space="preserve"> virke formålsløs</w:t>
      </w:r>
      <w:r>
        <w:t>. Der</w:t>
      </w:r>
      <w:r w:rsidR="00825BF5">
        <w:t>imod viser</w:t>
      </w:r>
      <w:r>
        <w:t xml:space="preserve"> rapporten</w:t>
      </w:r>
      <w:r w:rsidR="00825BF5">
        <w:t>, at boligejerne er</w:t>
      </w:r>
      <w:r w:rsidR="00C300DF">
        <w:t xml:space="preserve"> villige til at betale mere</w:t>
      </w:r>
      <w:r>
        <w:t xml:space="preserve"> for at få en bedre dækning ind hidtil, hvilket er hvad L89 har søgt at o</w:t>
      </w:r>
      <w:r>
        <w:t>p</w:t>
      </w:r>
      <w:r w:rsidR="00C300DF">
        <w:t>nå</w:t>
      </w:r>
      <w:r>
        <w:t xml:space="preserve">. </w:t>
      </w:r>
    </w:p>
    <w:p w14:paraId="7AEA1D40" w14:textId="77777777" w:rsidR="00543F6D" w:rsidRDefault="00543F6D" w:rsidP="00543F6D"/>
    <w:p w14:paraId="02710B07" w14:textId="2C581437" w:rsidR="00543F6D" w:rsidRDefault="00C300DF" w:rsidP="00543F6D">
      <w:r>
        <w:t>L89 medfører i</w:t>
      </w:r>
      <w:r w:rsidR="00543F6D">
        <w:t xml:space="preserve"> praksis, at sælger ikke længere hæfter for ulovlige elinstallationer, der viser sig efter udarbejdelsen af elinstallationsrapporten. Denne rapport er en nyskabelse i forbindelse med huse</w:t>
      </w:r>
      <w:r w:rsidR="00543F6D">
        <w:t>f</w:t>
      </w:r>
      <w:r w:rsidR="00543F6D">
        <w:t>tersynsordningen, således at det er obligatorisk for sælger at få udført et el-tjek på ejendom</w:t>
      </w:r>
      <w:r w:rsidR="00C4007D">
        <w:t>men, såfremt</w:t>
      </w:r>
      <w:r w:rsidR="00543F6D">
        <w:t xml:space="preserve"> denne ønsker at blive omfattet af beskyttelsesordningen. Et el-tjek er en visuel gennemgang af ejendommen, foretaget af en autoriseret elinstallatør, samt stikprøvevis undersøgelse af konta</w:t>
      </w:r>
      <w:r w:rsidR="00543F6D">
        <w:t>k</w:t>
      </w:r>
      <w:r w:rsidR="00543F6D">
        <w:t xml:space="preserve">ter, halogenspot, mv. </w:t>
      </w:r>
    </w:p>
    <w:p w14:paraId="45C0B8E0" w14:textId="77777777" w:rsidR="00543F6D" w:rsidRDefault="00543F6D" w:rsidP="00543F6D"/>
    <w:p w14:paraId="0D813F19" w14:textId="26A8DA18" w:rsidR="00543F6D" w:rsidRDefault="00543F6D" w:rsidP="00543F6D">
      <w:r>
        <w:t>Med indførslen af elinstallationer i beskyttelsesordningen, ændrer undtagelsesbestemmelsen i LFFE § 2, stk. 5, 1. pkt. sig fra at væ</w:t>
      </w:r>
      <w:r w:rsidR="000F05ED">
        <w:t>re en bestemmelse, der afdækker</w:t>
      </w:r>
      <w:r>
        <w:t xml:space="preserve"> ulovlige elinstallationer til, at være en opsamlingsbestemmelse, der dækker de forhold, som ikke kan henføres til fysiske skader, samt el-, varme-, ventilations- eller sanitetsinstallati</w:t>
      </w:r>
      <w:r w:rsidR="00C300DF">
        <w:t>oner. Dette medfører</w:t>
      </w:r>
      <w:r>
        <w:t>, at bestemmelsen ikke vil få stor praktisk betydning i fremtiden, idet de fleste forhold vil kunne henføres til beskyttelsesordni</w:t>
      </w:r>
      <w:r>
        <w:t>n</w:t>
      </w:r>
      <w:r>
        <w:t xml:space="preserve">gen i LFFE § 2, stk. 1. </w:t>
      </w:r>
    </w:p>
    <w:p w14:paraId="325E64C5" w14:textId="77777777" w:rsidR="00543F6D" w:rsidRDefault="00543F6D" w:rsidP="00543F6D"/>
    <w:p w14:paraId="6A4CA65E" w14:textId="291F9C43" w:rsidR="00543F6D" w:rsidRDefault="00543F6D" w:rsidP="00543F6D">
      <w:r>
        <w:t>At sælger ikke længere hæfter for ulovlige elinstallationer betyder ligeledes for praksis, at ejerski</w:t>
      </w:r>
      <w:r>
        <w:t>f</w:t>
      </w:r>
      <w:r>
        <w:t>teforsikringens dækningsomfang bliver udvidet til også at dække ulovlige elinstallationer, der ikke er omtalt i elinstallationsrapporten</w:t>
      </w:r>
      <w:r w:rsidR="000F05ED">
        <w:t>,</w:t>
      </w:r>
      <w:r>
        <w:t xml:space="preserve"> og som ikke skyldes forsømmelighed fra elinstallatørens side. </w:t>
      </w:r>
    </w:p>
    <w:p w14:paraId="199744F5" w14:textId="77777777" w:rsidR="00543F6D" w:rsidRDefault="00543F6D" w:rsidP="00543F6D"/>
    <w:p w14:paraId="5B3D388E" w14:textId="60B6644C" w:rsidR="00543F6D" w:rsidRDefault="00543F6D" w:rsidP="00543F6D">
      <w:r>
        <w:t>En elinsta</w:t>
      </w:r>
      <w:r w:rsidR="00C300DF">
        <w:t xml:space="preserve">llatør har et obligatorisk professionsansvar, </w:t>
      </w:r>
      <w:r>
        <w:t>hvilket L89 har præciseret. Denne bestemme</w:t>
      </w:r>
      <w:r>
        <w:t>l</w:t>
      </w:r>
      <w:r w:rsidR="00C300DF">
        <w:t>se er</w:t>
      </w:r>
      <w:r>
        <w:t xml:space="preserve"> ikke en udvidel</w:t>
      </w:r>
      <w:r w:rsidR="00C300DF">
        <w:t>se af elinstallatørens professionsansvar</w:t>
      </w:r>
      <w:r>
        <w:t>, men blot en præcisering af, hvad k</w:t>
      </w:r>
      <w:r>
        <w:t>ø</w:t>
      </w:r>
      <w:r>
        <w:t>bers retsstilling er</w:t>
      </w:r>
      <w:r w:rsidR="000F05ED">
        <w:t>,</w:t>
      </w:r>
      <w:r>
        <w:t xml:space="preserve"> for at undgå at skabe tvivl</w:t>
      </w:r>
      <w:r w:rsidR="000F05ED">
        <w:t xml:space="preserve"> herom</w:t>
      </w:r>
      <w:r>
        <w:t>.</w:t>
      </w:r>
    </w:p>
    <w:p w14:paraId="56AF7959" w14:textId="77777777" w:rsidR="00543F6D" w:rsidRDefault="00543F6D" w:rsidP="00543F6D"/>
    <w:p w14:paraId="24CF3C67" w14:textId="0CEEFE15" w:rsidR="002A7D3D" w:rsidRDefault="00D7025C" w:rsidP="00543F6D">
      <w:r>
        <w:t>Samlet</w:t>
      </w:r>
      <w:r w:rsidR="00543F6D">
        <w:t xml:space="preserve"> ændrer vedtagelsen af L89 ikke på selve fremgangsmåden ved huseftersynsordningen, men udvider blot anvendelsesområdet</w:t>
      </w:r>
      <w:r w:rsidR="00825BF5">
        <w:t xml:space="preserve"> for</w:t>
      </w:r>
      <w:r w:rsidR="0048794D">
        <w:t xml:space="preserve"> beskyttelsesordningen i LFFE § 2, stk. 1</w:t>
      </w:r>
      <w:r w:rsidR="00543F6D">
        <w:t xml:space="preserve"> til også at omfatte el-, varme-, ventilations- eller sanitetsinstallationer, og indskrænker tilsvarende undtagelsesbestemme</w:t>
      </w:r>
      <w:r w:rsidR="00543F6D">
        <w:t>l</w:t>
      </w:r>
      <w:r w:rsidR="00543F6D">
        <w:t>sens anvendelsesområde.</w:t>
      </w:r>
      <w:r w:rsidR="00C300DF">
        <w:t xml:space="preserve"> Udvidelsen af beskyttelsesordningen</w:t>
      </w:r>
      <w:r w:rsidR="000F05ED">
        <w:t xml:space="preserve"> medfører nogle praktiske </w:t>
      </w:r>
      <w:r w:rsidR="00C300DF">
        <w:t>ændringer</w:t>
      </w:r>
      <w:r w:rsidR="0048794D">
        <w:t xml:space="preserve"> i form af et el-tjek o</w:t>
      </w:r>
      <w:r w:rsidR="00C300DF">
        <w:t>g en elinstallationsrapport. I</w:t>
      </w:r>
      <w:r w:rsidR="0048794D">
        <w:t>det sælger før har skullet frembringe en tilstand</w:t>
      </w:r>
      <w:r w:rsidR="0048794D">
        <w:t>s</w:t>
      </w:r>
      <w:r w:rsidR="0048794D">
        <w:t>rap</w:t>
      </w:r>
      <w:r w:rsidR="00C300DF">
        <w:t>port til køber, anses ændringen</w:t>
      </w:r>
      <w:r w:rsidR="0048794D">
        <w:t xml:space="preserve"> </w:t>
      </w:r>
      <w:r w:rsidR="00C300DF">
        <w:t xml:space="preserve">som </w:t>
      </w:r>
      <w:r w:rsidR="00825BF5">
        <w:t>en udvidelse af sælgers krav for at opnå beskyttelse</w:t>
      </w:r>
      <w:r w:rsidR="00C300DF">
        <w:t xml:space="preserve">. </w:t>
      </w:r>
      <w:r w:rsidR="00825BF5">
        <w:t>Høj</w:t>
      </w:r>
      <w:r w:rsidR="00825BF5">
        <w:t>e</w:t>
      </w:r>
      <w:r w:rsidR="00825BF5">
        <w:t>steretsdom, U.2002.828H, vil efter vedtagelsen af L89 ligeledes have præjudikatværdi for fremtid</w:t>
      </w:r>
      <w:r w:rsidR="00825BF5">
        <w:t>i</w:t>
      </w:r>
      <w:r w:rsidR="00825BF5">
        <w:t xml:space="preserve">ge sager, idet huseftersynsordningens opbygning ikke er ændret, men blot udvidet. </w:t>
      </w:r>
      <w:r w:rsidR="00C300DF">
        <w:t>At Højesterets dom stadig er gældende efter vedtagelsen af L89 medfører, at ejerskifteforsikringen vil være re</w:t>
      </w:r>
      <w:r w:rsidR="00C300DF">
        <w:t>t</w:t>
      </w:r>
      <w:r w:rsidR="00C300DF">
        <w:t>ningsgivende, når der opstår</w:t>
      </w:r>
      <w:r w:rsidR="005D5033">
        <w:t xml:space="preserve"> spørgsmål i praksis vedrørende</w:t>
      </w:r>
      <w:r w:rsidR="00C300DF">
        <w:t xml:space="preserve"> den udvidede sælgerbeskyttelse og </w:t>
      </w:r>
      <w:r w:rsidR="005D5033">
        <w:t>den indskrænkede undtagelsesbestemmelse.</w:t>
      </w:r>
    </w:p>
    <w:p w14:paraId="1C788A93" w14:textId="196C5B7B" w:rsidR="00543F6D" w:rsidRDefault="002A7D3D" w:rsidP="002A7D3D">
      <w:pPr>
        <w:pStyle w:val="Overskrift1"/>
      </w:pPr>
      <w:r>
        <w:br w:type="column"/>
      </w:r>
      <w:bookmarkStart w:id="57" w:name="_Toc179963460"/>
      <w:r>
        <w:t>7.0 Engelsk resumé</w:t>
      </w:r>
      <w:bookmarkEnd w:id="57"/>
    </w:p>
    <w:p w14:paraId="26FE50C1" w14:textId="77777777" w:rsidR="00B47086" w:rsidRPr="00B47086" w:rsidRDefault="00B47086" w:rsidP="00B47086">
      <w:pPr>
        <w:rPr>
          <w:vanish/>
        </w:rPr>
      </w:pPr>
      <w:r w:rsidRPr="00B47086">
        <w:rPr>
          <w:vanish/>
        </w:rPr>
        <w:t>Øverst på formularen</w:t>
      </w:r>
    </w:p>
    <w:p w14:paraId="056CD069" w14:textId="77777777" w:rsidR="00B47086" w:rsidRPr="00B47086" w:rsidRDefault="00B47086" w:rsidP="00B47086">
      <w:pPr>
        <w:rPr>
          <w:lang w:val="en"/>
        </w:rPr>
      </w:pPr>
      <w:r w:rsidRPr="00B47086">
        <w:rPr>
          <w:lang w:val="en"/>
        </w:rPr>
        <w:t>This thesis illustrates the change of the house inspection arrangement, which has happened to the passing of Law no. 609 of 2011-06-14 (L89). With the passing of L89 the house inspection arrangement is expanded to include illegal electrical installations. This gives a change in the flaws to be related to the protection scheme of the Law on consumer protection, with the acquisition of real property (LFFE) § 2, paragraph. 1 and shortcomings to be referred to the exemption in LFFE § 2, paragraph. 5, 1 section. The treatment in practice still follows Supreme Court ruling, U.2002.828H which have declared that it’s the property sales insurance’s covering that is crucial for whether a condition is to be related to the exemption clause or is a part of the protection arrangement, to the exemption or is part of the protection scheme. This allows the extension of L89 characterized as an improvement of the scope of the house inspection arrangement, and not as a change in how the house inspection arrangement works in practice. The procedure in the house inspection arrangement is not seeked to be changed, as this serves its  purpose. Realdania’s report from 2006 showed a satisfaction with and confidence in the arrangement itself among homeowners, why a change would seem pointless. However, the report showed that homeowners were willing to pay for more to get better coverage in so far, which is what the L89 has sought to fulfill.</w:t>
      </w:r>
    </w:p>
    <w:p w14:paraId="3A840CE2" w14:textId="77777777" w:rsidR="00B47086" w:rsidRPr="00B47086" w:rsidRDefault="00B47086" w:rsidP="00B47086">
      <w:pPr>
        <w:rPr>
          <w:lang w:val="en"/>
        </w:rPr>
      </w:pPr>
      <w:r w:rsidRPr="00B47086">
        <w:rPr>
          <w:lang w:val="en"/>
        </w:rPr>
        <w:br/>
        <w:t>L89 means in practice, that seller no longer is liable for the illegal electrical installations, which appear after the preparation of the electrical installation report. This report is an innovation in connection with the house inspection arrangement so that it is mandatory for the seller to carry out an electrical check on the property if he wishes to be covered by the protection arrangement. An electrical check is a visual examination of the property, conducted by a licensed electrician, as well as sample-wise examination of  contacts, halogen spotlight, etc.</w:t>
      </w:r>
    </w:p>
    <w:p w14:paraId="76EF118A" w14:textId="77777777" w:rsidR="00B47086" w:rsidRPr="00B47086" w:rsidRDefault="00B47086" w:rsidP="00B47086">
      <w:pPr>
        <w:rPr>
          <w:lang w:val="en"/>
        </w:rPr>
      </w:pPr>
      <w:r w:rsidRPr="00B47086">
        <w:rPr>
          <w:lang w:val="en"/>
        </w:rPr>
        <w:br/>
        <w:t>With the introduction of electrical installations in the protection arrangement, changing the derogation in LFFE § 2, paragraph. 5, 1 section. from being a provision that uncovers illegal electrical installations to be a residual provision that covers the issues that can not be related to physical damage, and electrical, heating, ventilation or sanitary purposes. This must be assumed to mean that the rule will not have great practical significance in the future, because most conditions would qualify for protection arrangement LFFE § 2, paragraph. 1</w:t>
      </w:r>
      <w:r w:rsidRPr="00B47086">
        <w:rPr>
          <w:vertAlign w:val="superscript"/>
          <w:lang w:val="en"/>
        </w:rPr>
        <w:t>st</w:t>
      </w:r>
      <w:r w:rsidRPr="00B47086">
        <w:rPr>
          <w:lang w:val="en"/>
        </w:rPr>
        <w:t>.</w:t>
      </w:r>
    </w:p>
    <w:p w14:paraId="4C80DA5C" w14:textId="77777777" w:rsidR="00B47086" w:rsidRPr="00B47086" w:rsidRDefault="00B47086" w:rsidP="00B47086">
      <w:pPr>
        <w:rPr>
          <w:lang w:val="en"/>
        </w:rPr>
      </w:pPr>
    </w:p>
    <w:p w14:paraId="7FCB272A" w14:textId="77777777" w:rsidR="00B47086" w:rsidRDefault="00B47086" w:rsidP="00B47086">
      <w:pPr>
        <w:rPr>
          <w:lang w:val="en"/>
        </w:rPr>
      </w:pPr>
      <w:r w:rsidRPr="00B47086">
        <w:rPr>
          <w:lang w:val="en"/>
        </w:rPr>
        <w:t>That seller no longer is liable for illegal electrical installations also means in practice that the coverage in the change of owner insurance  will be extended to cover illegal electrical installations that are not mentioned in the electrical installation report and not due to neglig</w:t>
      </w:r>
      <w:r>
        <w:rPr>
          <w:lang w:val="en"/>
        </w:rPr>
        <w:t>ence on the electrical electrician’ page.</w:t>
      </w:r>
    </w:p>
    <w:p w14:paraId="0645E5C0" w14:textId="37F1713D" w:rsidR="00B47086" w:rsidRPr="00B47086" w:rsidRDefault="00B47086" w:rsidP="00B47086">
      <w:pPr>
        <w:rPr>
          <w:lang w:val="en"/>
        </w:rPr>
      </w:pPr>
      <w:r w:rsidRPr="00B47086">
        <w:rPr>
          <w:lang w:val="en"/>
        </w:rPr>
        <w:br/>
        <w:t>An electrician has a professional responsibility on equal terms with their work carried out outside the inspection arrangement which L89 has specified. This provision is not an extension of practice, but merely a specification of what  buyer's legal position is, to avoid creating doubt in this respect.</w:t>
      </w:r>
    </w:p>
    <w:p w14:paraId="428BA08F" w14:textId="77777777" w:rsidR="00B47086" w:rsidRPr="00B47086" w:rsidRDefault="00B47086" w:rsidP="00B47086">
      <w:pPr>
        <w:rPr>
          <w:lang w:val="en"/>
        </w:rPr>
      </w:pPr>
      <w:r w:rsidRPr="00B47086">
        <w:rPr>
          <w:lang w:val="en"/>
        </w:rPr>
        <w:br/>
        <w:t>Overall, the changes adopted by L89 does not alter the procedure itself for the house inspection arrangement, but simply extends the scope of the protection arrangement in LFFE § 2, paragraph. 1 to also include electrical, heating, ventilation or sanitary purposes, and limits the corresponding exemption clause’s scope verdict, This leads to some practical enhancements in the form of a electricity check and a electrical installation report, but as the seller has previously had to produce a status report to the buyer, this is not considered a change that might alter Supreme Court’s. U.2002.828H.</w:t>
      </w:r>
    </w:p>
    <w:p w14:paraId="019B756E" w14:textId="77777777" w:rsidR="00B47086" w:rsidRPr="00B47086" w:rsidRDefault="00B47086" w:rsidP="00B47086">
      <w:pPr>
        <w:rPr>
          <w:vanish/>
        </w:rPr>
      </w:pPr>
      <w:r w:rsidRPr="00B47086">
        <w:rPr>
          <w:vanish/>
        </w:rPr>
        <w:t> </w:t>
      </w:r>
    </w:p>
    <w:p w14:paraId="43F4AA84" w14:textId="77777777" w:rsidR="00B47086" w:rsidRPr="00B47086" w:rsidRDefault="00B47086" w:rsidP="00B47086">
      <w:pPr>
        <w:rPr>
          <w:vanish/>
        </w:rPr>
      </w:pPr>
      <w:r w:rsidRPr="00B47086">
        <w:rPr>
          <w:vanish/>
        </w:rPr>
        <w:t>Ordbog</w:t>
      </w:r>
    </w:p>
    <w:p w14:paraId="1C3E7494" w14:textId="77777777" w:rsidR="00B47086" w:rsidRPr="00B47086" w:rsidRDefault="00B47086" w:rsidP="00B47086">
      <w:pPr>
        <w:rPr>
          <w:vanish/>
        </w:rPr>
      </w:pPr>
      <w:r w:rsidRPr="00B47086">
        <w:rPr>
          <w:vanish/>
        </w:rPr>
        <w:t>Nederst på formularen</w:t>
      </w:r>
    </w:p>
    <w:p w14:paraId="230B22EA" w14:textId="77777777" w:rsidR="00B47086" w:rsidRPr="00B47086" w:rsidRDefault="00B47086" w:rsidP="00B47086"/>
    <w:p w14:paraId="4E29B8EE" w14:textId="77777777" w:rsidR="00B47086" w:rsidRPr="00B47086" w:rsidRDefault="00B47086" w:rsidP="00B47086"/>
    <w:p w14:paraId="7BC5BF13" w14:textId="77777777" w:rsidR="00BA3098" w:rsidRDefault="00BA3098" w:rsidP="001A79AD">
      <w:pPr>
        <w:rPr>
          <w:rFonts w:cs="Times New Roman"/>
        </w:rPr>
      </w:pPr>
    </w:p>
    <w:p w14:paraId="3C7CF9A8" w14:textId="6CFE46BC" w:rsidR="00520D1A" w:rsidRPr="003D7E0F" w:rsidRDefault="00520D1A" w:rsidP="001A79AD">
      <w:pPr>
        <w:pStyle w:val="Overskrift1"/>
        <w:rPr>
          <w:rFonts w:cs="Times New Roman"/>
        </w:rPr>
      </w:pPr>
      <w:r w:rsidRPr="003D7E0F">
        <w:rPr>
          <w:rFonts w:cs="Times New Roman"/>
        </w:rPr>
        <w:br w:type="column"/>
      </w:r>
      <w:bookmarkStart w:id="58" w:name="_Toc172349891"/>
      <w:bookmarkStart w:id="59" w:name="_Toc179963461"/>
      <w:r w:rsidR="002A7D3D">
        <w:rPr>
          <w:rFonts w:cs="Times New Roman"/>
        </w:rPr>
        <w:t xml:space="preserve">8.0 </w:t>
      </w:r>
      <w:r w:rsidRPr="003D7E0F">
        <w:rPr>
          <w:rFonts w:cs="Times New Roman"/>
        </w:rPr>
        <w:t>Litteratur</w:t>
      </w:r>
      <w:bookmarkEnd w:id="58"/>
      <w:bookmarkEnd w:id="59"/>
    </w:p>
    <w:p w14:paraId="218284CA" w14:textId="71EC9E51" w:rsidR="00520D1A" w:rsidRPr="003D7E0F" w:rsidRDefault="002A7D3D" w:rsidP="001A79AD">
      <w:pPr>
        <w:pStyle w:val="Overskrift2"/>
        <w:rPr>
          <w:rFonts w:cs="Times New Roman"/>
        </w:rPr>
      </w:pPr>
      <w:bookmarkStart w:id="60" w:name="_Toc172349892"/>
      <w:bookmarkStart w:id="61" w:name="_Toc179963462"/>
      <w:r>
        <w:rPr>
          <w:rFonts w:cs="Times New Roman"/>
        </w:rPr>
        <w:t xml:space="preserve">8.1 </w:t>
      </w:r>
      <w:r w:rsidR="00520D1A" w:rsidRPr="003D7E0F">
        <w:rPr>
          <w:rFonts w:cs="Times New Roman"/>
        </w:rPr>
        <w:t>Bøger</w:t>
      </w:r>
      <w:bookmarkEnd w:id="60"/>
      <w:bookmarkEnd w:id="61"/>
    </w:p>
    <w:p w14:paraId="6B7D4B8F" w14:textId="23CB4A8F" w:rsidR="001B237A" w:rsidRPr="001A79AD" w:rsidRDefault="001B237A" w:rsidP="003011AF">
      <w:pPr>
        <w:pStyle w:val="Listeafsnit"/>
        <w:numPr>
          <w:ilvl w:val="0"/>
          <w:numId w:val="7"/>
        </w:numPr>
        <w:ind w:left="284"/>
        <w:rPr>
          <w:rFonts w:cs="Times New Roman"/>
        </w:rPr>
      </w:pPr>
      <w:r w:rsidRPr="001A79AD">
        <w:rPr>
          <w:rFonts w:cs="Times New Roman"/>
        </w:rPr>
        <w:t>Blume, Peter; Juridisk metodelære; 4. udg.; Jurist- og Økonomforbundets forlag; 2006</w:t>
      </w:r>
    </w:p>
    <w:p w14:paraId="78CE4971" w14:textId="33D3B592" w:rsidR="00072141" w:rsidRDefault="00072141" w:rsidP="003011AF">
      <w:pPr>
        <w:pStyle w:val="Listeafsnit"/>
        <w:numPr>
          <w:ilvl w:val="0"/>
          <w:numId w:val="7"/>
        </w:numPr>
        <w:ind w:left="284"/>
        <w:rPr>
          <w:rFonts w:cs="Times New Roman"/>
        </w:rPr>
      </w:pPr>
      <w:r w:rsidRPr="001A79AD">
        <w:rPr>
          <w:rFonts w:cs="Times New Roman"/>
        </w:rPr>
        <w:t>Edlund, Hans Henrik; Kommentar til lov om forbrugerbeskyttelse ved erhvervelse af fast eje</w:t>
      </w:r>
      <w:r w:rsidRPr="001A79AD">
        <w:rPr>
          <w:rFonts w:cs="Times New Roman"/>
        </w:rPr>
        <w:t>n</w:t>
      </w:r>
      <w:r w:rsidRPr="001A79AD">
        <w:rPr>
          <w:rFonts w:cs="Times New Roman"/>
        </w:rPr>
        <w:t>dom mv.; Gadjura; 1996</w:t>
      </w:r>
    </w:p>
    <w:p w14:paraId="5B26A44F" w14:textId="67D720BD" w:rsidR="00A162EB" w:rsidRPr="001A79AD" w:rsidRDefault="00A162EB" w:rsidP="003011AF">
      <w:pPr>
        <w:pStyle w:val="Listeafsnit"/>
        <w:numPr>
          <w:ilvl w:val="0"/>
          <w:numId w:val="7"/>
        </w:numPr>
        <w:ind w:left="284"/>
        <w:rPr>
          <w:rFonts w:cs="Times New Roman"/>
        </w:rPr>
      </w:pPr>
      <w:r>
        <w:rPr>
          <w:rFonts w:cs="Times New Roman"/>
        </w:rPr>
        <w:t xml:space="preserve">Gomard, Bernhard; Obligationsret, 1. del; 4. udg.; </w:t>
      </w:r>
      <w:r w:rsidRPr="001A79AD">
        <w:rPr>
          <w:rFonts w:cs="Times New Roman"/>
        </w:rPr>
        <w:t>Jurist- og Økonomforbundets forlag</w:t>
      </w:r>
      <w:r>
        <w:rPr>
          <w:rFonts w:cs="Times New Roman"/>
        </w:rPr>
        <w:t>; 2006</w:t>
      </w:r>
    </w:p>
    <w:p w14:paraId="03D7AAF5" w14:textId="485B7272" w:rsidR="00520D1A" w:rsidRPr="001A79AD" w:rsidRDefault="00520D1A" w:rsidP="003011AF">
      <w:pPr>
        <w:pStyle w:val="Listeafsnit"/>
        <w:numPr>
          <w:ilvl w:val="0"/>
          <w:numId w:val="7"/>
        </w:numPr>
        <w:ind w:left="284"/>
        <w:rPr>
          <w:rFonts w:cs="Times New Roman"/>
        </w:rPr>
      </w:pPr>
      <w:r w:rsidRPr="001A79AD">
        <w:rPr>
          <w:rFonts w:cs="Times New Roman"/>
        </w:rPr>
        <w:t>Munk-Hansen, Carsten; Fast Ejendom; 1. udg.; Jurist- og Økonomforbundets forlag, 2010</w:t>
      </w:r>
    </w:p>
    <w:p w14:paraId="5A404D5E" w14:textId="3C714A2A" w:rsidR="004830EB" w:rsidRPr="001A79AD" w:rsidRDefault="00520D1A" w:rsidP="003011AF">
      <w:pPr>
        <w:pStyle w:val="Listeafsnit"/>
        <w:numPr>
          <w:ilvl w:val="0"/>
          <w:numId w:val="7"/>
        </w:numPr>
        <w:ind w:left="284"/>
        <w:rPr>
          <w:rFonts w:cs="Times New Roman"/>
        </w:rPr>
      </w:pPr>
      <w:r w:rsidRPr="001A79AD">
        <w:rPr>
          <w:rFonts w:cs="Times New Roman"/>
        </w:rPr>
        <w:t xml:space="preserve">Rosenmeier, </w:t>
      </w:r>
      <w:r w:rsidR="006B4A7A" w:rsidRPr="001A79AD">
        <w:rPr>
          <w:rFonts w:cs="Times New Roman"/>
        </w:rPr>
        <w:t>H.P; Mangler ved fast ejendom; 5. udg.; Forlaget Thomson, 2008</w:t>
      </w:r>
    </w:p>
    <w:p w14:paraId="63D645AA" w14:textId="40399BDC" w:rsidR="00520D1A" w:rsidRPr="00C739CF" w:rsidRDefault="004830EB" w:rsidP="001A79AD">
      <w:pPr>
        <w:pStyle w:val="Listeafsnit"/>
        <w:numPr>
          <w:ilvl w:val="0"/>
          <w:numId w:val="7"/>
        </w:numPr>
        <w:ind w:left="284"/>
        <w:rPr>
          <w:rFonts w:cs="Times New Roman"/>
        </w:rPr>
      </w:pPr>
      <w:r w:rsidRPr="001A79AD">
        <w:rPr>
          <w:rFonts w:cs="Times New Roman"/>
        </w:rPr>
        <w:t>Theilgaard, Søren</w:t>
      </w:r>
      <w:r w:rsidR="00072141" w:rsidRPr="001A79AD">
        <w:rPr>
          <w:rFonts w:cs="Times New Roman"/>
        </w:rPr>
        <w:t>;</w:t>
      </w:r>
      <w:r w:rsidRPr="001A79AD">
        <w:rPr>
          <w:rFonts w:cs="Times New Roman"/>
        </w:rPr>
        <w:t xml:space="preserve"> Forbrugerbeskyttelse ved køb og salg af fast ejendom - en håndbog; Nyt Jur</w:t>
      </w:r>
      <w:r w:rsidRPr="001A79AD">
        <w:rPr>
          <w:rFonts w:cs="Times New Roman"/>
        </w:rPr>
        <w:t>i</w:t>
      </w:r>
      <w:r w:rsidRPr="001A79AD">
        <w:rPr>
          <w:rFonts w:cs="Times New Roman"/>
        </w:rPr>
        <w:t>disk Forlag; 1996</w:t>
      </w:r>
    </w:p>
    <w:p w14:paraId="2E3B8052" w14:textId="1D828BBA" w:rsidR="00520D1A" w:rsidRPr="003D7E0F" w:rsidRDefault="002A7D3D" w:rsidP="001A79AD">
      <w:pPr>
        <w:pStyle w:val="Overskrift2"/>
        <w:rPr>
          <w:rFonts w:cs="Times New Roman"/>
        </w:rPr>
      </w:pPr>
      <w:bookmarkStart w:id="62" w:name="_Toc172349894"/>
      <w:bookmarkStart w:id="63" w:name="_Toc179963463"/>
      <w:r>
        <w:rPr>
          <w:rFonts w:cs="Times New Roman"/>
        </w:rPr>
        <w:t xml:space="preserve">8.2 </w:t>
      </w:r>
      <w:r w:rsidR="00520D1A" w:rsidRPr="003D7E0F">
        <w:rPr>
          <w:rFonts w:cs="Times New Roman"/>
        </w:rPr>
        <w:t>Andet materiale</w:t>
      </w:r>
      <w:bookmarkEnd w:id="62"/>
      <w:bookmarkEnd w:id="63"/>
    </w:p>
    <w:p w14:paraId="6BFAC3F5" w14:textId="7E42A3CD" w:rsidR="00E100E2" w:rsidRPr="001A79AD" w:rsidRDefault="00BA4393" w:rsidP="001A79AD">
      <w:pPr>
        <w:pStyle w:val="Listeafsnit"/>
        <w:numPr>
          <w:ilvl w:val="0"/>
          <w:numId w:val="6"/>
        </w:numPr>
        <w:ind w:left="284"/>
        <w:rPr>
          <w:rFonts w:cs="Times New Roman"/>
        </w:rPr>
      </w:pPr>
      <w:r w:rsidRPr="001A79AD">
        <w:rPr>
          <w:rFonts w:cs="Times New Roman"/>
        </w:rPr>
        <w:t>Bekendtgørelse nr. 705 af 18. juli 2000 om dækningsomfanget for ejerskifteforsikringer i he</w:t>
      </w:r>
      <w:r w:rsidRPr="001A79AD">
        <w:rPr>
          <w:rFonts w:cs="Times New Roman"/>
        </w:rPr>
        <w:t>n</w:t>
      </w:r>
      <w:r w:rsidRPr="001A79AD">
        <w:rPr>
          <w:rFonts w:cs="Times New Roman"/>
        </w:rPr>
        <w:t xml:space="preserve">hold til Lov om forbrugerbeskyttelse ved erhvervelse af fast ejendom mv. </w:t>
      </w:r>
    </w:p>
    <w:p w14:paraId="46D7E282" w14:textId="768FB09B" w:rsidR="00BA4393" w:rsidRPr="001A79AD" w:rsidRDefault="00E100E2" w:rsidP="001A79AD">
      <w:pPr>
        <w:pStyle w:val="Listeafsnit"/>
        <w:numPr>
          <w:ilvl w:val="0"/>
          <w:numId w:val="6"/>
        </w:numPr>
        <w:ind w:left="284"/>
        <w:rPr>
          <w:rFonts w:cs="Times New Roman"/>
        </w:rPr>
      </w:pPr>
      <w:r w:rsidRPr="001A79AD">
        <w:rPr>
          <w:rFonts w:cs="Times New Roman"/>
        </w:rPr>
        <w:t>Bekendtgørelse nr. 12502 af 1. juli 2011 om stærkstrømsbekendtgørelsen, afsnit 6, Elektriske installationer</w:t>
      </w:r>
    </w:p>
    <w:p w14:paraId="502F4D6D" w14:textId="3766AE58" w:rsidR="00597317" w:rsidRPr="001A79AD" w:rsidRDefault="00520D1A" w:rsidP="001A79AD">
      <w:pPr>
        <w:pStyle w:val="Listeafsnit"/>
        <w:numPr>
          <w:ilvl w:val="0"/>
          <w:numId w:val="6"/>
        </w:numPr>
        <w:ind w:left="284"/>
        <w:rPr>
          <w:rFonts w:cs="Times New Roman"/>
        </w:rPr>
      </w:pPr>
      <w:r w:rsidRPr="001A79AD">
        <w:rPr>
          <w:rFonts w:cs="Times New Roman"/>
        </w:rPr>
        <w:t>Betænkning nr. 1276/1994 om Forbrugerbeskyttelse ved erhvervelse af fast ejendom</w:t>
      </w:r>
    </w:p>
    <w:p w14:paraId="1B6FE0F8" w14:textId="105ABC26" w:rsidR="00BB299A" w:rsidRPr="001A79AD" w:rsidRDefault="00597317" w:rsidP="001A79AD">
      <w:pPr>
        <w:pStyle w:val="Listeafsnit"/>
        <w:numPr>
          <w:ilvl w:val="0"/>
          <w:numId w:val="6"/>
        </w:numPr>
        <w:ind w:left="284"/>
        <w:rPr>
          <w:rFonts w:cs="Times New Roman"/>
        </w:rPr>
      </w:pPr>
      <w:r w:rsidRPr="001A79AD">
        <w:rPr>
          <w:rFonts w:cs="Times New Roman"/>
        </w:rPr>
        <w:t>Betænkning nr. 1520/2010 om huseftersynsordningen</w:t>
      </w:r>
    </w:p>
    <w:p w14:paraId="6AFBF3E4" w14:textId="131BA90A" w:rsidR="006B4A7A" w:rsidRPr="001A79AD" w:rsidRDefault="00144493" w:rsidP="001A79AD">
      <w:pPr>
        <w:pStyle w:val="Listeafsnit"/>
        <w:numPr>
          <w:ilvl w:val="0"/>
          <w:numId w:val="6"/>
        </w:numPr>
        <w:ind w:left="284"/>
        <w:rPr>
          <w:rFonts w:cs="Times New Roman"/>
        </w:rPr>
      </w:pPr>
      <w:r w:rsidRPr="001A79AD">
        <w:rPr>
          <w:rFonts w:cs="Times New Roman"/>
        </w:rPr>
        <w:t xml:space="preserve">Erhvervs- og Byggestyrelsens publikation: </w:t>
      </w:r>
      <w:r w:rsidR="00BB299A" w:rsidRPr="001A79AD">
        <w:rPr>
          <w:rFonts w:cs="Times New Roman"/>
        </w:rPr>
        <w:t>Håndbog for beskikkede bygningssagkyndige,</w:t>
      </w:r>
      <w:r w:rsidRPr="001A79AD">
        <w:rPr>
          <w:rFonts w:cs="Times New Roman"/>
        </w:rPr>
        <w:t xml:space="preserve"> febr</w:t>
      </w:r>
      <w:r w:rsidRPr="001A79AD">
        <w:rPr>
          <w:rFonts w:cs="Times New Roman"/>
        </w:rPr>
        <w:t>u</w:t>
      </w:r>
      <w:r w:rsidRPr="001A79AD">
        <w:rPr>
          <w:rFonts w:cs="Times New Roman"/>
        </w:rPr>
        <w:t>ar</w:t>
      </w:r>
      <w:r w:rsidR="00BB299A" w:rsidRPr="001A79AD">
        <w:rPr>
          <w:rFonts w:cs="Times New Roman"/>
        </w:rPr>
        <w:t xml:space="preserve"> 2011 - </w:t>
      </w:r>
      <w:hyperlink r:id="rId9" w:history="1">
        <w:r w:rsidR="00BB299A" w:rsidRPr="001A79AD">
          <w:rPr>
            <w:rStyle w:val="Llink"/>
            <w:rFonts w:cs="Times New Roman"/>
          </w:rPr>
          <w:t>http://www.huseftersyninfo.dk/haandbog</w:t>
        </w:r>
      </w:hyperlink>
      <w:r w:rsidR="00BB299A" w:rsidRPr="001A79AD">
        <w:rPr>
          <w:rFonts w:cs="Times New Roman"/>
        </w:rPr>
        <w:t xml:space="preserve"> </w:t>
      </w:r>
    </w:p>
    <w:p w14:paraId="10624524" w14:textId="0D18A7AF" w:rsidR="002A7FA7" w:rsidRDefault="009E1F45" w:rsidP="001A79AD">
      <w:pPr>
        <w:pStyle w:val="Listeafsnit"/>
        <w:numPr>
          <w:ilvl w:val="0"/>
          <w:numId w:val="6"/>
        </w:numPr>
        <w:ind w:left="284"/>
        <w:rPr>
          <w:rFonts w:cs="Times New Roman"/>
        </w:rPr>
      </w:pPr>
      <w:r w:rsidRPr="001A79AD">
        <w:rPr>
          <w:rFonts w:cs="Times New Roman"/>
        </w:rPr>
        <w:t xml:space="preserve">Rapport om kapitel 1 i lov om forbrugerbeskyttelse ved erhvervelse af fast ejendom mv., marts 2000 </w:t>
      </w:r>
      <w:r w:rsidR="006B4A7A" w:rsidRPr="001A79AD">
        <w:rPr>
          <w:rFonts w:cs="Times New Roman"/>
        </w:rPr>
        <w:t xml:space="preserve">- </w:t>
      </w:r>
      <w:hyperlink r:id="rId10" w:history="1">
        <w:r w:rsidR="006B4A7A" w:rsidRPr="001A79AD">
          <w:rPr>
            <w:rStyle w:val="Llink"/>
            <w:rFonts w:cs="Times New Roman"/>
          </w:rPr>
          <w:t>http://www.hha.dk/jur/emp/Edlund/Rapport.htm</w:t>
        </w:r>
      </w:hyperlink>
      <w:r w:rsidR="006B4A7A" w:rsidRPr="001A79AD">
        <w:rPr>
          <w:rFonts w:cs="Times New Roman"/>
        </w:rPr>
        <w:t xml:space="preserve"> </w:t>
      </w:r>
    </w:p>
    <w:p w14:paraId="6E4C6C40" w14:textId="3437339D" w:rsidR="00363F44" w:rsidRDefault="002A7D3D" w:rsidP="00363F44">
      <w:pPr>
        <w:pStyle w:val="Overskrift2"/>
      </w:pPr>
      <w:bookmarkStart w:id="64" w:name="_Toc179963464"/>
      <w:r>
        <w:t xml:space="preserve">8.3 </w:t>
      </w:r>
      <w:r w:rsidR="00363F44">
        <w:t>Webadresser</w:t>
      </w:r>
      <w:bookmarkEnd w:id="64"/>
    </w:p>
    <w:p w14:paraId="1D54076D" w14:textId="40711308" w:rsidR="00363F44" w:rsidRPr="00363F44" w:rsidRDefault="00B47086" w:rsidP="00363F44">
      <w:pPr>
        <w:pStyle w:val="Listeafsnit"/>
        <w:numPr>
          <w:ilvl w:val="0"/>
          <w:numId w:val="8"/>
        </w:numPr>
        <w:ind w:left="284"/>
      </w:pPr>
      <w:hyperlink r:id="rId11" w:history="1">
        <w:r w:rsidR="00363F44" w:rsidRPr="00CF633E">
          <w:rPr>
            <w:rStyle w:val="Llink"/>
          </w:rPr>
          <w:t>http://www.ankeforsikring.dk/Find_kendelser.aspx</w:t>
        </w:r>
      </w:hyperlink>
      <w:r w:rsidR="00363F44">
        <w:t xml:space="preserve"> - anvendt til at finde afgørelser og udtalelser fra ankenævnet, og henvisninger</w:t>
      </w:r>
      <w:r w:rsidR="002118B7">
        <w:t xml:space="preserve"> i dette speciale</w:t>
      </w:r>
      <w:r w:rsidR="00363F44">
        <w:t xml:space="preserve"> til afgørelser</w:t>
      </w:r>
      <w:r w:rsidR="002118B7">
        <w:t xml:space="preserve"> fra ankenævnet</w:t>
      </w:r>
      <w:r w:rsidR="00363F44">
        <w:t xml:space="preserve"> anvender denne hjemmesides sagsnumre.</w:t>
      </w:r>
    </w:p>
    <w:sectPr w:rsidR="00363F44" w:rsidRPr="00363F44" w:rsidSect="002A7FA7">
      <w:headerReference w:type="even" r:id="rId12"/>
      <w:headerReference w:type="default" r:id="rId13"/>
      <w:footerReference w:type="even" r:id="rId14"/>
      <w:foot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AFC5" w14:textId="77777777" w:rsidR="00BC311C" w:rsidRDefault="00BC311C" w:rsidP="00520D1A">
      <w:pPr>
        <w:spacing w:line="240" w:lineRule="auto"/>
      </w:pPr>
      <w:r>
        <w:separator/>
      </w:r>
    </w:p>
  </w:endnote>
  <w:endnote w:type="continuationSeparator" w:id="0">
    <w:p w14:paraId="65345597" w14:textId="77777777" w:rsidR="00BC311C" w:rsidRDefault="00BC311C" w:rsidP="00520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832E" w14:textId="77777777" w:rsidR="00BC311C" w:rsidRDefault="00BC311C" w:rsidP="00520D1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B075A58" w14:textId="77777777" w:rsidR="00BC311C" w:rsidRDefault="00BC311C" w:rsidP="00520D1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4A95" w14:textId="77777777" w:rsidR="00BC311C" w:rsidRDefault="00BC311C" w:rsidP="00520D1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47086">
      <w:rPr>
        <w:rStyle w:val="Sidetal"/>
        <w:noProof/>
      </w:rPr>
      <w:t>1</w:t>
    </w:r>
    <w:r>
      <w:rPr>
        <w:rStyle w:val="Sidetal"/>
      </w:rPr>
      <w:fldChar w:fldCharType="end"/>
    </w:r>
  </w:p>
  <w:p w14:paraId="7A731C67" w14:textId="77777777" w:rsidR="00BC311C" w:rsidRDefault="00BC311C" w:rsidP="00520D1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C436" w14:textId="77777777" w:rsidR="00BC311C" w:rsidRDefault="00BC311C" w:rsidP="00520D1A">
      <w:pPr>
        <w:spacing w:line="240" w:lineRule="auto"/>
      </w:pPr>
      <w:r>
        <w:separator/>
      </w:r>
    </w:p>
  </w:footnote>
  <w:footnote w:type="continuationSeparator" w:id="0">
    <w:p w14:paraId="5807920C" w14:textId="77777777" w:rsidR="00BC311C" w:rsidRDefault="00BC311C" w:rsidP="00520D1A">
      <w:pPr>
        <w:spacing w:line="240" w:lineRule="auto"/>
      </w:pPr>
      <w:r>
        <w:continuationSeparator/>
      </w:r>
    </w:p>
  </w:footnote>
  <w:footnote w:id="1">
    <w:p w14:paraId="43BE593C" w14:textId="387EA02F" w:rsidR="00BC311C" w:rsidRDefault="00BC311C" w:rsidP="00BC6569">
      <w:pPr>
        <w:pStyle w:val="Fodnotetekst"/>
        <w:spacing w:line="240" w:lineRule="auto"/>
      </w:pPr>
      <w:r>
        <w:rPr>
          <w:rStyle w:val="Fodnotehenvisning"/>
        </w:rPr>
        <w:footnoteRef/>
      </w:r>
      <w:r>
        <w:t xml:space="preserve"> Jf. Mangler ved fast ejendom, s. 17</w:t>
      </w:r>
    </w:p>
  </w:footnote>
  <w:footnote w:id="2">
    <w:p w14:paraId="0B103810" w14:textId="6CD40A15" w:rsidR="00BC311C" w:rsidRDefault="00BC311C" w:rsidP="00BC6569">
      <w:pPr>
        <w:pStyle w:val="Fodnotetekst"/>
        <w:spacing w:line="240" w:lineRule="auto"/>
      </w:pPr>
      <w:r>
        <w:rPr>
          <w:rStyle w:val="Fodnotehenvisning"/>
        </w:rPr>
        <w:footnoteRef/>
      </w:r>
      <w:r>
        <w:t xml:space="preserve"> Jf. Mangler ved fast ejendom, s. 18</w:t>
      </w:r>
    </w:p>
  </w:footnote>
  <w:footnote w:id="3">
    <w:p w14:paraId="099BA58A" w14:textId="1D93ADC2" w:rsidR="00BC311C" w:rsidRDefault="00BC311C" w:rsidP="00BC6569">
      <w:pPr>
        <w:pStyle w:val="Fodnotetekst"/>
        <w:spacing w:line="240" w:lineRule="auto"/>
      </w:pPr>
      <w:r>
        <w:rPr>
          <w:rStyle w:val="Fodnotehenvisning"/>
        </w:rPr>
        <w:footnoteRef/>
      </w:r>
      <w:r>
        <w:t xml:space="preserve"> Jf. Mangler ved fast ejendom, s. 19</w:t>
      </w:r>
    </w:p>
  </w:footnote>
  <w:footnote w:id="4">
    <w:p w14:paraId="18F06E1A" w14:textId="636A426A" w:rsidR="00BC311C" w:rsidRDefault="00BC311C" w:rsidP="00BC6569">
      <w:pPr>
        <w:pStyle w:val="Fodnotetekst"/>
        <w:spacing w:line="240" w:lineRule="auto"/>
      </w:pPr>
      <w:r>
        <w:rPr>
          <w:rStyle w:val="Fodnotehenvisning"/>
        </w:rPr>
        <w:footnoteRef/>
      </w:r>
      <w:r>
        <w:t xml:space="preserve"> Jf. FT 1999-2000 A, s. 4155, 1. spalte, litra b, linje 1-4</w:t>
      </w:r>
    </w:p>
  </w:footnote>
  <w:footnote w:id="5">
    <w:p w14:paraId="7CB90B07" w14:textId="6ECC5908" w:rsidR="00BC311C" w:rsidRDefault="00BC311C" w:rsidP="00BC6569">
      <w:pPr>
        <w:pStyle w:val="Fodnotetekst"/>
        <w:spacing w:line="240" w:lineRule="auto"/>
      </w:pPr>
      <w:r>
        <w:rPr>
          <w:rStyle w:val="Fodnotehenvisning"/>
        </w:rPr>
        <w:footnoteRef/>
      </w:r>
      <w:r>
        <w:t xml:space="preserve"> Jf. FT 1999-2000 A, s. 4154, 2. spalte, litra a, linje 1-9</w:t>
      </w:r>
    </w:p>
  </w:footnote>
  <w:footnote w:id="6">
    <w:p w14:paraId="3F50A465" w14:textId="457DB522" w:rsidR="00BC311C" w:rsidRDefault="00BC311C" w:rsidP="00BC6569">
      <w:pPr>
        <w:pStyle w:val="Fodnotetekst"/>
        <w:spacing w:line="240" w:lineRule="auto"/>
      </w:pPr>
      <w:r>
        <w:rPr>
          <w:rStyle w:val="Fodnotehenvisning"/>
        </w:rPr>
        <w:footnoteRef/>
      </w:r>
      <w:r>
        <w:t xml:space="preserve"> Jf. Betænkning nr. 1520/2010, ”tabel 1”</w:t>
      </w:r>
    </w:p>
  </w:footnote>
  <w:footnote w:id="7">
    <w:p w14:paraId="11989E4F" w14:textId="1BD67A04" w:rsidR="00BC311C" w:rsidRDefault="00BC311C" w:rsidP="0063373B">
      <w:pPr>
        <w:pStyle w:val="Fodnotetekst"/>
        <w:spacing w:line="240" w:lineRule="auto"/>
      </w:pPr>
      <w:r>
        <w:rPr>
          <w:rStyle w:val="Fodnotehenvisning"/>
        </w:rPr>
        <w:footnoteRef/>
      </w:r>
      <w:r>
        <w:t xml:space="preserve"> Jf. Fast Ejendom, s. 27</w:t>
      </w:r>
    </w:p>
  </w:footnote>
  <w:footnote w:id="8">
    <w:p w14:paraId="26FE0156" w14:textId="0E13A29B" w:rsidR="00BC311C" w:rsidRDefault="00BC311C" w:rsidP="0063373B">
      <w:pPr>
        <w:pStyle w:val="Fodnotetekst"/>
        <w:spacing w:line="240" w:lineRule="auto"/>
      </w:pPr>
      <w:r>
        <w:rPr>
          <w:rStyle w:val="Fodnotehenvisning"/>
        </w:rPr>
        <w:footnoteRef/>
      </w:r>
      <w:r>
        <w:t xml:space="preserve"> Jf. LFF 1994-1995.1.218, s. 13, 2. spalte, linje 19-20 fra neden</w:t>
      </w:r>
    </w:p>
  </w:footnote>
  <w:footnote w:id="9">
    <w:p w14:paraId="346CA8E3" w14:textId="2251BBCC" w:rsidR="00BC311C" w:rsidRDefault="00BC311C" w:rsidP="00123FF6">
      <w:pPr>
        <w:pStyle w:val="Fodnotetekst"/>
        <w:spacing w:line="240" w:lineRule="auto"/>
      </w:pPr>
      <w:r>
        <w:rPr>
          <w:rStyle w:val="Fodnotehenvisning"/>
        </w:rPr>
        <w:footnoteRef/>
      </w:r>
      <w:r>
        <w:t xml:space="preserve"> Jf. Betænkning nr. 1520/2010, afsnit 4.5.1.2</w:t>
      </w:r>
    </w:p>
  </w:footnote>
  <w:footnote w:id="10">
    <w:p w14:paraId="4797DB94" w14:textId="349E5062" w:rsidR="00BC311C" w:rsidRDefault="00BC311C" w:rsidP="00123FF6">
      <w:pPr>
        <w:pStyle w:val="Fodnotetekst"/>
        <w:spacing w:line="240" w:lineRule="auto"/>
      </w:pPr>
      <w:r>
        <w:rPr>
          <w:rStyle w:val="Fodnotehenvisning"/>
        </w:rPr>
        <w:footnoteRef/>
      </w:r>
      <w:r>
        <w:t xml:space="preserve"> Jf. Betænkning nr. 1520/2010, afsnit 4.5.1.3</w:t>
      </w:r>
    </w:p>
  </w:footnote>
  <w:footnote w:id="11">
    <w:p w14:paraId="624293CE" w14:textId="7258D59C" w:rsidR="00BC311C" w:rsidRDefault="00BC311C" w:rsidP="00123FF6">
      <w:pPr>
        <w:pStyle w:val="Fodnotetekst"/>
        <w:spacing w:line="240" w:lineRule="auto"/>
      </w:pPr>
      <w:r>
        <w:rPr>
          <w:rStyle w:val="Fodnotehenvisning"/>
        </w:rPr>
        <w:footnoteRef/>
      </w:r>
      <w:r>
        <w:t xml:space="preserve"> Jf. Mangler ved fast ejendom, s. 48. Dette vil ikke blive genstand for nærmere gennemgang.</w:t>
      </w:r>
    </w:p>
  </w:footnote>
  <w:footnote w:id="12">
    <w:p w14:paraId="3061BC34" w14:textId="0ECAF99B" w:rsidR="00BC311C" w:rsidRDefault="00BC311C" w:rsidP="00123FF6">
      <w:pPr>
        <w:pStyle w:val="Fodnotetekst"/>
        <w:spacing w:line="240" w:lineRule="auto"/>
      </w:pPr>
      <w:r>
        <w:rPr>
          <w:rStyle w:val="Fodnotehenvisning"/>
        </w:rPr>
        <w:footnoteRef/>
      </w:r>
      <w:r>
        <w:t xml:space="preserve"> Jf. Håndbog for beskikkede bygningssagkyndige, ”3. huseftersynet”, s. 22</w:t>
      </w:r>
    </w:p>
  </w:footnote>
  <w:footnote w:id="13">
    <w:p w14:paraId="43BCEB1D" w14:textId="399A154F" w:rsidR="00BC311C" w:rsidRDefault="00BC311C">
      <w:pPr>
        <w:pStyle w:val="Fodnotetekst"/>
      </w:pPr>
      <w:r>
        <w:rPr>
          <w:rStyle w:val="Fodnotehenvisning"/>
        </w:rPr>
        <w:footnoteRef/>
      </w:r>
      <w:r>
        <w:t xml:space="preserve"> Jf. Fast ejendom, s. 247</w:t>
      </w:r>
    </w:p>
  </w:footnote>
  <w:footnote w:id="14">
    <w:p w14:paraId="0BCA4D1B" w14:textId="53051E6B" w:rsidR="00BC311C" w:rsidRDefault="00BC311C" w:rsidP="00A51C1C">
      <w:pPr>
        <w:pStyle w:val="Fodnotetekst"/>
        <w:spacing w:line="240" w:lineRule="auto"/>
      </w:pPr>
      <w:r>
        <w:rPr>
          <w:rStyle w:val="Fodnotehenvisning"/>
        </w:rPr>
        <w:footnoteRef/>
      </w:r>
      <w:r>
        <w:t xml:space="preserve"> Jf. LFF 1994-1995.1.218, s. 5, linje 11-13 fra neden</w:t>
      </w:r>
    </w:p>
  </w:footnote>
  <w:footnote w:id="15">
    <w:p w14:paraId="6AFCC76B" w14:textId="066CCFAF" w:rsidR="00BC311C" w:rsidRDefault="00BC311C" w:rsidP="00A51C1C">
      <w:pPr>
        <w:pStyle w:val="Fodnotetekst"/>
        <w:spacing w:line="240" w:lineRule="auto"/>
      </w:pPr>
      <w:r>
        <w:rPr>
          <w:rStyle w:val="Fodnotehenvisning"/>
        </w:rPr>
        <w:footnoteRef/>
      </w:r>
      <w:r>
        <w:t xml:space="preserve"> Jf. LFF 1994-1995.1.218, s. 9, linje 21-28 fra neden</w:t>
      </w:r>
    </w:p>
  </w:footnote>
  <w:footnote w:id="16">
    <w:p w14:paraId="6758F1B4" w14:textId="64F98235" w:rsidR="00BC311C" w:rsidRPr="00F102C0" w:rsidRDefault="00BC311C" w:rsidP="009B791F">
      <w:pPr>
        <w:pStyle w:val="Fodnotetekst"/>
        <w:spacing w:line="240" w:lineRule="auto"/>
      </w:pPr>
      <w:r>
        <w:rPr>
          <w:rStyle w:val="Fodnotehenvisning"/>
        </w:rPr>
        <w:footnoteRef/>
      </w:r>
      <w:r>
        <w:t xml:space="preserve"> Jf</w:t>
      </w:r>
      <w:r w:rsidRPr="00F102C0">
        <w:t>.Betænkning nr. 1276/1994, s. 208</w:t>
      </w:r>
    </w:p>
  </w:footnote>
  <w:footnote w:id="17">
    <w:p w14:paraId="53EA1416" w14:textId="5DEF960B" w:rsidR="00BC311C" w:rsidRPr="00F102C0" w:rsidRDefault="00BC311C" w:rsidP="00F102C0">
      <w:pPr>
        <w:pStyle w:val="Fodnotetekst"/>
        <w:spacing w:line="240" w:lineRule="auto"/>
      </w:pPr>
      <w:r w:rsidRPr="00F102C0">
        <w:rPr>
          <w:rStyle w:val="Fodnotehenvisning"/>
        </w:rPr>
        <w:footnoteRef/>
      </w:r>
      <w:r w:rsidRPr="00F102C0">
        <w:t xml:space="preserve"> Jf. afsnit 1.3.1 om begrebet fast Ejendom</w:t>
      </w:r>
    </w:p>
  </w:footnote>
  <w:footnote w:id="18">
    <w:p w14:paraId="5F9D6018" w14:textId="75D98D12" w:rsidR="00BC311C" w:rsidRDefault="00BC311C" w:rsidP="00F102C0">
      <w:pPr>
        <w:pStyle w:val="Fodnotetekst"/>
        <w:spacing w:line="240" w:lineRule="auto"/>
      </w:pPr>
      <w:r w:rsidRPr="00F102C0">
        <w:rPr>
          <w:rStyle w:val="Fodnotehenvisning"/>
        </w:rPr>
        <w:footnoteRef/>
      </w:r>
      <w:r w:rsidRPr="00F102C0">
        <w:t xml:space="preserve"> Jf. afsnit 2.3</w:t>
      </w:r>
      <w:r>
        <w:t xml:space="preserve"> om kravene til sælgers fritagelse</w:t>
      </w:r>
    </w:p>
  </w:footnote>
  <w:footnote w:id="19">
    <w:p w14:paraId="62B4595A" w14:textId="24F77777" w:rsidR="00BC311C" w:rsidRDefault="00BC311C" w:rsidP="00F102C0">
      <w:pPr>
        <w:pStyle w:val="Fodnotetekst"/>
        <w:spacing w:line="240" w:lineRule="auto"/>
      </w:pPr>
      <w:r>
        <w:rPr>
          <w:rStyle w:val="Fodnotehenvisning"/>
        </w:rPr>
        <w:footnoteRef/>
      </w:r>
      <w:r>
        <w:t xml:space="preserve"> Ufravigelighedsprincippet i LFFE vil ikke blive genstand for nærmere gennemgang.</w:t>
      </w:r>
    </w:p>
  </w:footnote>
  <w:footnote w:id="20">
    <w:p w14:paraId="7FE5399E" w14:textId="4B765852" w:rsidR="00BC311C" w:rsidRDefault="00BC311C" w:rsidP="009725AA">
      <w:pPr>
        <w:pStyle w:val="Fodnotetekst"/>
        <w:spacing w:line="240" w:lineRule="auto"/>
      </w:pPr>
      <w:r>
        <w:rPr>
          <w:rStyle w:val="Fodnotehenvisning"/>
        </w:rPr>
        <w:footnoteRef/>
      </w:r>
      <w:r>
        <w:t xml:space="preserve"> Jf. Fast ejendom, s. 408</w:t>
      </w:r>
    </w:p>
  </w:footnote>
  <w:footnote w:id="21">
    <w:p w14:paraId="0095EC77" w14:textId="3F125872" w:rsidR="00BC311C" w:rsidRDefault="00BC311C" w:rsidP="009725AA">
      <w:pPr>
        <w:pStyle w:val="Fodnotetekst"/>
        <w:spacing w:line="240" w:lineRule="auto"/>
      </w:pPr>
      <w:r>
        <w:rPr>
          <w:rStyle w:val="Fodnotehenvisning"/>
        </w:rPr>
        <w:footnoteRef/>
      </w:r>
      <w:r>
        <w:t xml:space="preserve"> Se om bygningsgennemgangen i </w:t>
      </w:r>
      <w:r w:rsidRPr="00F102C0">
        <w:t>afsnit 2.3.1</w:t>
      </w:r>
      <w:r>
        <w:t xml:space="preserve"> om tilstandsrapporter</w:t>
      </w:r>
    </w:p>
  </w:footnote>
  <w:footnote w:id="22">
    <w:p w14:paraId="470F1DD1" w14:textId="16271ABB" w:rsidR="00BC311C" w:rsidRDefault="00BC311C" w:rsidP="008521F0">
      <w:pPr>
        <w:pStyle w:val="Fodnotetekst"/>
        <w:spacing w:line="240" w:lineRule="auto"/>
      </w:pPr>
      <w:r>
        <w:rPr>
          <w:rStyle w:val="Fodnotehenvisning"/>
        </w:rPr>
        <w:footnoteRef/>
      </w:r>
      <w:r>
        <w:t xml:space="preserve"> Jf. FT 1999-2000 A, s. 4155, 1. spalte, linje 21-26</w:t>
      </w:r>
    </w:p>
  </w:footnote>
  <w:footnote w:id="23">
    <w:p w14:paraId="2B39260D" w14:textId="753942B6" w:rsidR="00BC311C" w:rsidRDefault="00BC311C" w:rsidP="008521F0">
      <w:pPr>
        <w:pStyle w:val="Fodnotetekst"/>
        <w:spacing w:line="240" w:lineRule="auto"/>
      </w:pPr>
      <w:r>
        <w:rPr>
          <w:rStyle w:val="Fodnotehenvisning"/>
        </w:rPr>
        <w:footnoteRef/>
      </w:r>
      <w:r>
        <w:t xml:space="preserve"> Jf. Kommenteret LFFE, s. 34</w:t>
      </w:r>
    </w:p>
  </w:footnote>
  <w:footnote w:id="24">
    <w:p w14:paraId="78CBF77A" w14:textId="15187DBD" w:rsidR="00BC311C" w:rsidRDefault="00BC311C" w:rsidP="008521F0">
      <w:pPr>
        <w:pStyle w:val="Fodnotetekst"/>
        <w:spacing w:line="240" w:lineRule="auto"/>
      </w:pPr>
      <w:r>
        <w:rPr>
          <w:rStyle w:val="Fodnotehenvisning"/>
        </w:rPr>
        <w:footnoteRef/>
      </w:r>
      <w:r>
        <w:t xml:space="preserve"> Jf. Afsnit 1.3.1 Fast Ejendom</w:t>
      </w:r>
    </w:p>
  </w:footnote>
  <w:footnote w:id="25">
    <w:p w14:paraId="7864FD23" w14:textId="029AA209" w:rsidR="00BC311C" w:rsidRDefault="00BC311C" w:rsidP="008521F0">
      <w:pPr>
        <w:pStyle w:val="Fodnotetekst"/>
        <w:spacing w:line="240" w:lineRule="auto"/>
      </w:pPr>
      <w:r>
        <w:rPr>
          <w:rStyle w:val="Fodnotehenvisning"/>
        </w:rPr>
        <w:footnoteRef/>
      </w:r>
      <w:r>
        <w:t xml:space="preserve"> Jf. Rapport om LFFE kap. 1, B.3.2</w:t>
      </w:r>
    </w:p>
  </w:footnote>
  <w:footnote w:id="26">
    <w:p w14:paraId="2A8AEB42" w14:textId="0146EE18" w:rsidR="00BC311C" w:rsidRDefault="00BC311C" w:rsidP="008521F0">
      <w:pPr>
        <w:pStyle w:val="Fodnotetekst"/>
        <w:spacing w:line="240" w:lineRule="auto"/>
      </w:pPr>
      <w:r>
        <w:rPr>
          <w:rStyle w:val="Fodnotehenvisning"/>
        </w:rPr>
        <w:footnoteRef/>
      </w:r>
      <w:r>
        <w:t xml:space="preserve"> Jf. Rapport om LFFE kap. 1, B.3.3</w:t>
      </w:r>
    </w:p>
  </w:footnote>
  <w:footnote w:id="27">
    <w:p w14:paraId="0C801519" w14:textId="2C428AD3" w:rsidR="00BC311C" w:rsidRDefault="00BC311C" w:rsidP="00BA4393">
      <w:pPr>
        <w:pStyle w:val="Fodnotetekst"/>
        <w:spacing w:line="240" w:lineRule="auto"/>
      </w:pPr>
      <w:r>
        <w:rPr>
          <w:rStyle w:val="Fodnotehenvisning"/>
        </w:rPr>
        <w:footnoteRef/>
      </w:r>
      <w:r>
        <w:t xml:space="preserve"> ESBK trådte i kraft 1. oktober 2000</w:t>
      </w:r>
    </w:p>
  </w:footnote>
  <w:footnote w:id="28">
    <w:p w14:paraId="71441DC3" w14:textId="16884E52" w:rsidR="00BC311C" w:rsidRDefault="00BC311C" w:rsidP="008049CA">
      <w:pPr>
        <w:pStyle w:val="Fodnotetekst"/>
        <w:spacing w:line="240" w:lineRule="auto"/>
      </w:pPr>
      <w:r>
        <w:rPr>
          <w:rStyle w:val="Fodnotehenvisning"/>
        </w:rPr>
        <w:footnoteRef/>
      </w:r>
      <w:r>
        <w:t xml:space="preserve"> Jf. ESBK, Bilag, nr. 4, 2. led</w:t>
      </w:r>
    </w:p>
  </w:footnote>
  <w:footnote w:id="29">
    <w:p w14:paraId="5C144303" w14:textId="41EB9CBD" w:rsidR="00BC311C" w:rsidRDefault="00BC311C" w:rsidP="008049CA">
      <w:pPr>
        <w:pStyle w:val="Fodnotetekst"/>
        <w:spacing w:line="240" w:lineRule="auto"/>
      </w:pPr>
      <w:r>
        <w:rPr>
          <w:rStyle w:val="Fodnotehenvisning"/>
        </w:rPr>
        <w:footnoteRef/>
      </w:r>
      <w:r>
        <w:t xml:space="preserve"> Jf. FT 1999-2000 A, s. 4160, 2. spalte, linje 10-13 fra neden</w:t>
      </w:r>
    </w:p>
  </w:footnote>
  <w:footnote w:id="30">
    <w:p w14:paraId="2C3F89C3" w14:textId="3E162504" w:rsidR="00BC311C" w:rsidRDefault="00BC311C" w:rsidP="008049CA">
      <w:pPr>
        <w:pStyle w:val="Fodnotetekst"/>
        <w:spacing w:line="240" w:lineRule="auto"/>
      </w:pPr>
      <w:r>
        <w:rPr>
          <w:rStyle w:val="Fodnotehenvisning"/>
        </w:rPr>
        <w:footnoteRef/>
      </w:r>
      <w:r>
        <w:t xml:space="preserve"> Jf. FT 1999-2000 A, s. 4160, 1. spalte, linje14-15 fra neden</w:t>
      </w:r>
    </w:p>
  </w:footnote>
  <w:footnote w:id="31">
    <w:p w14:paraId="154CB825" w14:textId="2D0DE96F" w:rsidR="00BC311C" w:rsidRDefault="00BC311C" w:rsidP="008049CA">
      <w:pPr>
        <w:pStyle w:val="Fodnotetekst"/>
        <w:spacing w:line="240" w:lineRule="auto"/>
      </w:pPr>
      <w:r>
        <w:rPr>
          <w:rStyle w:val="Fodnotehenvisning"/>
        </w:rPr>
        <w:footnoteRef/>
      </w:r>
      <w:r>
        <w:t xml:space="preserve"> Ufravigelighedsprincippet vil ikke blive genstand for nærmere gennemgang.</w:t>
      </w:r>
    </w:p>
  </w:footnote>
  <w:footnote w:id="32">
    <w:p w14:paraId="1FF217BE" w14:textId="5D5DD469" w:rsidR="00BC311C" w:rsidRDefault="00BC311C" w:rsidP="008049CA">
      <w:pPr>
        <w:pStyle w:val="Fodnotetekst"/>
        <w:spacing w:line="240" w:lineRule="auto"/>
      </w:pPr>
      <w:r>
        <w:rPr>
          <w:rStyle w:val="Fodnotehenvisning"/>
        </w:rPr>
        <w:footnoteRef/>
      </w:r>
      <w:r>
        <w:t xml:space="preserve"> Jf. FT 1999-2000 A, s. 4160, 2. spalte, linje 25-28</w:t>
      </w:r>
    </w:p>
  </w:footnote>
  <w:footnote w:id="33">
    <w:p w14:paraId="3FE9E5B8" w14:textId="466F99DD" w:rsidR="00BC311C" w:rsidRDefault="00BC311C" w:rsidP="009950FB">
      <w:pPr>
        <w:pStyle w:val="Fodnotetekst"/>
        <w:spacing w:line="240" w:lineRule="auto"/>
      </w:pPr>
      <w:r>
        <w:rPr>
          <w:rStyle w:val="Fodnotehenvisning"/>
        </w:rPr>
        <w:footnoteRef/>
      </w:r>
      <w:r>
        <w:t xml:space="preserve"> Jf. FT 1999-2000 A, s. 4160, 2. spalte, linje 7-13</w:t>
      </w:r>
    </w:p>
  </w:footnote>
  <w:footnote w:id="34">
    <w:p w14:paraId="1B7C1E7E" w14:textId="7F7A6197" w:rsidR="00BC311C" w:rsidRDefault="00BC311C" w:rsidP="009950FB">
      <w:pPr>
        <w:pStyle w:val="Fodnotetekst"/>
        <w:spacing w:line="240" w:lineRule="auto"/>
      </w:pPr>
      <w:r>
        <w:rPr>
          <w:rStyle w:val="Fodnotehenvisning"/>
        </w:rPr>
        <w:footnoteRef/>
      </w:r>
      <w:r>
        <w:t xml:space="preserve"> Jf. LBK 2007-09-28, nr. 1142, note 18</w:t>
      </w:r>
    </w:p>
  </w:footnote>
  <w:footnote w:id="35">
    <w:p w14:paraId="70F82E09" w14:textId="459E5791" w:rsidR="00BC311C" w:rsidRDefault="00BC311C" w:rsidP="009950FB">
      <w:pPr>
        <w:pStyle w:val="Fodnotetekst"/>
        <w:spacing w:line="240" w:lineRule="auto"/>
      </w:pPr>
      <w:r>
        <w:rPr>
          <w:rStyle w:val="Fodnotehenvisning"/>
        </w:rPr>
        <w:footnoteRef/>
      </w:r>
      <w:r>
        <w:t xml:space="preserve"> Jf. LFF 1994-1995.1.218, s. 14, 2. spalte, linje 25-27</w:t>
      </w:r>
    </w:p>
  </w:footnote>
  <w:footnote w:id="36">
    <w:p w14:paraId="134F3472" w14:textId="18C88778" w:rsidR="00BC311C" w:rsidRDefault="00BC311C" w:rsidP="009950FB">
      <w:pPr>
        <w:pStyle w:val="Fodnotetekst"/>
        <w:spacing w:line="240" w:lineRule="auto"/>
      </w:pPr>
      <w:r>
        <w:rPr>
          <w:rStyle w:val="Fodnotehenvisning"/>
        </w:rPr>
        <w:footnoteRef/>
      </w:r>
      <w:r>
        <w:t xml:space="preserve"> Jf. LFF 1994-1995.1.218, s. 14, 2. spalte, linje 31-32</w:t>
      </w:r>
    </w:p>
  </w:footnote>
  <w:footnote w:id="37">
    <w:p w14:paraId="674A6E52" w14:textId="1CE00768" w:rsidR="00BC311C" w:rsidRDefault="00BC311C" w:rsidP="009950FB">
      <w:pPr>
        <w:pStyle w:val="Fodnotetekst"/>
        <w:spacing w:line="240" w:lineRule="auto"/>
      </w:pPr>
      <w:r>
        <w:rPr>
          <w:rStyle w:val="Fodnotehenvisning"/>
        </w:rPr>
        <w:footnoteRef/>
      </w:r>
      <w:r>
        <w:t xml:space="preserve"> Jf. Søren Thielgaard der gør opmærksom på, at der er mange konsekvenser, som ikke er oplagt at oplyse om, men som burde være indeholdt i loven, således at køber som forbruger bliver mere o</w:t>
      </w:r>
      <w:r>
        <w:t>p</w:t>
      </w:r>
      <w:r>
        <w:t>mærksom på sin retsstilling. Et eksempel herpå er, at oplyse om, at køber ikke bevarer sit krav mod sælger, hvis køber undlader at tegne ejerskifteforsikringen, jf. Forbrugerbeskyttelse - en håndbog, s. 74</w:t>
      </w:r>
    </w:p>
  </w:footnote>
  <w:footnote w:id="38">
    <w:p w14:paraId="13E06CEB" w14:textId="324901BC" w:rsidR="00BC311C" w:rsidRDefault="00BC311C" w:rsidP="00DE5A39">
      <w:pPr>
        <w:pStyle w:val="Fodnotetekst"/>
        <w:spacing w:line="240" w:lineRule="auto"/>
      </w:pPr>
      <w:r>
        <w:rPr>
          <w:rStyle w:val="Fodnotehenvisning"/>
        </w:rPr>
        <w:footnoteRef/>
      </w:r>
      <w:r>
        <w:t xml:space="preserve"> Jf. Kommenteret LFFE, s. 42</w:t>
      </w:r>
    </w:p>
  </w:footnote>
  <w:footnote w:id="39">
    <w:p w14:paraId="022548BE" w14:textId="59949925" w:rsidR="00BC311C" w:rsidRDefault="00BC311C" w:rsidP="001A79AD">
      <w:pPr>
        <w:pStyle w:val="Fodnotetekst"/>
        <w:spacing w:line="240" w:lineRule="auto"/>
      </w:pPr>
      <w:r>
        <w:rPr>
          <w:rStyle w:val="Fodnotehenvisning"/>
        </w:rPr>
        <w:footnoteRef/>
      </w:r>
      <w:r>
        <w:t xml:space="preserve"> Jf. </w:t>
      </w:r>
      <w:r w:rsidRPr="00F102C0">
        <w:t>afsnit 2.2.2</w:t>
      </w:r>
      <w:r>
        <w:t xml:space="preserve"> om skader, som burde være afdækket i tilstandsrapporten</w:t>
      </w:r>
    </w:p>
  </w:footnote>
  <w:footnote w:id="40">
    <w:p w14:paraId="55EAEACA" w14:textId="4C50BFE7" w:rsidR="00BC311C" w:rsidRDefault="00BC311C" w:rsidP="001A79AD">
      <w:pPr>
        <w:pStyle w:val="Fodnotetekst"/>
        <w:spacing w:line="240" w:lineRule="auto"/>
      </w:pPr>
      <w:r>
        <w:rPr>
          <w:rStyle w:val="Fodnotehenvisning"/>
        </w:rPr>
        <w:footnoteRef/>
      </w:r>
      <w:r>
        <w:t xml:space="preserve"> </w:t>
      </w:r>
      <w:r>
        <w:rPr>
          <w:rFonts w:cs="Times New Roman"/>
        </w:rPr>
        <w:t>Ulovlige bygningsindretninger vil ikke blive genstand for behandling i dette afsnit, idet elinstall</w:t>
      </w:r>
      <w:r>
        <w:rPr>
          <w:rFonts w:cs="Times New Roman"/>
        </w:rPr>
        <w:t>a</w:t>
      </w:r>
      <w:r>
        <w:rPr>
          <w:rFonts w:cs="Times New Roman"/>
        </w:rPr>
        <w:t xml:space="preserve">tioner, som er formålet med specialet, vil blive genstand for en dybdegående gennemgang </w:t>
      </w:r>
      <w:r w:rsidRPr="009D0254">
        <w:rPr>
          <w:rFonts w:cs="Times New Roman"/>
        </w:rPr>
        <w:t>i afsnit 3.1</w:t>
      </w:r>
      <w:r>
        <w:rPr>
          <w:rFonts w:cs="Times New Roman"/>
        </w:rPr>
        <w:t xml:space="preserve"> om ulovlige bygningsindretninger.</w:t>
      </w:r>
    </w:p>
  </w:footnote>
  <w:footnote w:id="41">
    <w:p w14:paraId="2A1D9CB2" w14:textId="77777777" w:rsidR="00BC311C" w:rsidRDefault="00BC311C" w:rsidP="001A79AD">
      <w:pPr>
        <w:pStyle w:val="Fodnotetekst"/>
        <w:spacing w:line="240" w:lineRule="auto"/>
      </w:pPr>
      <w:r>
        <w:rPr>
          <w:rStyle w:val="Fodnotehenvisning"/>
        </w:rPr>
        <w:footnoteRef/>
      </w:r>
      <w:r>
        <w:t xml:space="preserve"> Jf. Kommenteret LFFE, s. 46</w:t>
      </w:r>
    </w:p>
  </w:footnote>
  <w:footnote w:id="42">
    <w:p w14:paraId="6D63B1CE" w14:textId="11C65F94" w:rsidR="00BC311C" w:rsidRDefault="00BC311C" w:rsidP="001A79AD">
      <w:pPr>
        <w:pStyle w:val="Fodnotetekst"/>
        <w:spacing w:line="240" w:lineRule="auto"/>
      </w:pPr>
      <w:r>
        <w:rPr>
          <w:rStyle w:val="Fodnotehenvisning"/>
        </w:rPr>
        <w:footnoteRef/>
      </w:r>
      <w:r>
        <w:t xml:space="preserve"> Dette vil ikke blive genstand for nærmere gennemgang</w:t>
      </w:r>
    </w:p>
  </w:footnote>
  <w:footnote w:id="43">
    <w:p w14:paraId="7E6D9A1D" w14:textId="10A40595" w:rsidR="00BC311C" w:rsidRDefault="00BC311C" w:rsidP="00DE5A39">
      <w:pPr>
        <w:pStyle w:val="Fodnotetekst"/>
        <w:spacing w:line="240" w:lineRule="auto"/>
      </w:pPr>
      <w:r>
        <w:rPr>
          <w:rStyle w:val="Fodnotehenvisning"/>
        </w:rPr>
        <w:footnoteRef/>
      </w:r>
      <w:r>
        <w:t xml:space="preserve"> Jf. LBK 2007-09-28, nr. 1142, note 26</w:t>
      </w:r>
    </w:p>
  </w:footnote>
  <w:footnote w:id="44">
    <w:p w14:paraId="4599721D" w14:textId="1A9B46E0" w:rsidR="00BC311C" w:rsidRDefault="00BC311C" w:rsidP="00DE5A39">
      <w:pPr>
        <w:pStyle w:val="Fodnotetekst"/>
        <w:spacing w:line="240" w:lineRule="auto"/>
      </w:pPr>
      <w:r>
        <w:rPr>
          <w:rStyle w:val="Fodnotehenvisning"/>
        </w:rPr>
        <w:footnoteRef/>
      </w:r>
      <w:r>
        <w:t xml:space="preserve"> Jf. Kommenteret LFFE, s. 49</w:t>
      </w:r>
    </w:p>
  </w:footnote>
  <w:footnote w:id="45">
    <w:p w14:paraId="1CC4DB43" w14:textId="219D85B8" w:rsidR="00BC311C" w:rsidRDefault="00BC311C" w:rsidP="00DE5A39">
      <w:pPr>
        <w:pStyle w:val="Fodnotetekst"/>
        <w:spacing w:line="240" w:lineRule="auto"/>
      </w:pPr>
      <w:r>
        <w:rPr>
          <w:rStyle w:val="Fodnotehenvisning"/>
        </w:rPr>
        <w:footnoteRef/>
      </w:r>
      <w:r>
        <w:t xml:space="preserve"> Jf. LBK 2007-09-28, nr. 1142, note 27</w:t>
      </w:r>
    </w:p>
  </w:footnote>
  <w:footnote w:id="46">
    <w:p w14:paraId="225A6ED1" w14:textId="2AC65DB3" w:rsidR="00BC311C" w:rsidRDefault="00BC311C" w:rsidP="00DE5A39">
      <w:pPr>
        <w:pStyle w:val="Fodnotetekst"/>
        <w:spacing w:line="240" w:lineRule="auto"/>
      </w:pPr>
      <w:r>
        <w:rPr>
          <w:rStyle w:val="Fodnotehenvisning"/>
        </w:rPr>
        <w:footnoteRef/>
      </w:r>
      <w:r>
        <w:t xml:space="preserve"> Jf. LBK 2007-09-28, nr. 1142, note 27</w:t>
      </w:r>
    </w:p>
  </w:footnote>
  <w:footnote w:id="47">
    <w:p w14:paraId="1E207859" w14:textId="055C922B" w:rsidR="00BC311C" w:rsidRDefault="00BC311C" w:rsidP="009760E8">
      <w:pPr>
        <w:pStyle w:val="Fodnotetekst"/>
        <w:spacing w:line="240" w:lineRule="auto"/>
      </w:pPr>
      <w:r>
        <w:rPr>
          <w:rStyle w:val="Fodnotehenvisning"/>
        </w:rPr>
        <w:footnoteRef/>
      </w:r>
      <w:r>
        <w:t xml:space="preserve"> Jf. </w:t>
      </w:r>
      <w:r w:rsidRPr="009D0254">
        <w:t>afsnit 2.0</w:t>
      </w:r>
      <w:r>
        <w:t xml:space="preserve"> om huseftersynsordningen.</w:t>
      </w:r>
    </w:p>
  </w:footnote>
  <w:footnote w:id="48">
    <w:p w14:paraId="7DD6C0C2" w14:textId="765AC9FB" w:rsidR="00BC311C" w:rsidRDefault="00BC311C" w:rsidP="00403C6B">
      <w:pPr>
        <w:pStyle w:val="Fodnotetekst"/>
        <w:spacing w:line="240" w:lineRule="auto"/>
      </w:pPr>
      <w:r>
        <w:rPr>
          <w:rStyle w:val="Fodnotehenvisning"/>
        </w:rPr>
        <w:footnoteRef/>
      </w:r>
      <w:r>
        <w:t xml:space="preserve"> Jf. LFF 1994-1995.1.218, s. 14, 2. spalte, linje 5-7 fra neden</w:t>
      </w:r>
    </w:p>
  </w:footnote>
  <w:footnote w:id="49">
    <w:p w14:paraId="04F3E950" w14:textId="14038864" w:rsidR="00BC311C" w:rsidRDefault="00BC311C" w:rsidP="00403C6B">
      <w:pPr>
        <w:pStyle w:val="Fodnotetekst"/>
        <w:spacing w:line="240" w:lineRule="auto"/>
      </w:pPr>
      <w:r>
        <w:rPr>
          <w:rStyle w:val="Fodnotehenvisning"/>
        </w:rPr>
        <w:footnoteRef/>
      </w:r>
      <w:r>
        <w:t xml:space="preserve"> Jf. Juridisk metodelære, s. 56</w:t>
      </w:r>
    </w:p>
  </w:footnote>
  <w:footnote w:id="50">
    <w:p w14:paraId="2018E40A" w14:textId="30C12499" w:rsidR="00BC311C" w:rsidRDefault="00BC311C" w:rsidP="008521F0">
      <w:pPr>
        <w:pStyle w:val="Fodnotetekst"/>
        <w:spacing w:line="240" w:lineRule="auto"/>
      </w:pPr>
      <w:r>
        <w:rPr>
          <w:rStyle w:val="Fodnotehenvisning"/>
        </w:rPr>
        <w:footnoteRef/>
      </w:r>
      <w:r>
        <w:t xml:space="preserve"> Jf. Juridisk metodelære, s. 56</w:t>
      </w:r>
    </w:p>
  </w:footnote>
  <w:footnote w:id="51">
    <w:p w14:paraId="5AA94742" w14:textId="7CA5CB62" w:rsidR="00BC311C" w:rsidRDefault="00BC311C" w:rsidP="008521F0">
      <w:pPr>
        <w:pStyle w:val="Fodnotetekst"/>
        <w:spacing w:line="240" w:lineRule="auto"/>
      </w:pPr>
      <w:r>
        <w:rPr>
          <w:rStyle w:val="Fodnotehenvisning"/>
        </w:rPr>
        <w:footnoteRef/>
      </w:r>
      <w:r>
        <w:t xml:space="preserve"> Jf. Juridisk metodelære, s. 73</w:t>
      </w:r>
    </w:p>
  </w:footnote>
  <w:footnote w:id="52">
    <w:p w14:paraId="5A58E6A5" w14:textId="7F786B94" w:rsidR="00BC311C" w:rsidRDefault="00BC311C" w:rsidP="008521F0">
      <w:pPr>
        <w:pStyle w:val="Fodnotetekst"/>
        <w:spacing w:line="240" w:lineRule="auto"/>
      </w:pPr>
      <w:r>
        <w:rPr>
          <w:rStyle w:val="Fodnotehenvisning"/>
        </w:rPr>
        <w:footnoteRef/>
      </w:r>
      <w:r>
        <w:t xml:space="preserve"> Jf. Juridisk metodelære, s. 98</w:t>
      </w:r>
    </w:p>
  </w:footnote>
  <w:footnote w:id="53">
    <w:p w14:paraId="25EDFD51" w14:textId="49C40C12" w:rsidR="00BC311C" w:rsidRDefault="00BC311C" w:rsidP="008521F0">
      <w:pPr>
        <w:pStyle w:val="Fodnotetekst"/>
        <w:spacing w:line="240" w:lineRule="auto"/>
      </w:pPr>
      <w:r>
        <w:rPr>
          <w:rStyle w:val="Fodnotehenvisning"/>
        </w:rPr>
        <w:footnoteRef/>
      </w:r>
      <w:r>
        <w:t xml:space="preserve"> Jf. Juridisk metodelære, s. 102</w:t>
      </w:r>
    </w:p>
  </w:footnote>
  <w:footnote w:id="54">
    <w:p w14:paraId="0F6F0ADE" w14:textId="010FD966" w:rsidR="00BC311C" w:rsidRDefault="00BC311C" w:rsidP="00477C5D">
      <w:pPr>
        <w:pStyle w:val="Fodnotetekst"/>
        <w:spacing w:line="240" w:lineRule="auto"/>
      </w:pPr>
      <w:r>
        <w:rPr>
          <w:rStyle w:val="Fodnotehenvisning"/>
        </w:rPr>
        <w:footnoteRef/>
      </w:r>
      <w:r>
        <w:t xml:space="preserve"> Jf. Juridisk metodelære, s. 104</w:t>
      </w:r>
    </w:p>
  </w:footnote>
  <w:footnote w:id="55">
    <w:p w14:paraId="73E86B19" w14:textId="77777777" w:rsidR="00BC311C" w:rsidRDefault="00BC311C" w:rsidP="00B225F3">
      <w:pPr>
        <w:spacing w:line="240" w:lineRule="auto"/>
      </w:pPr>
      <w:r>
        <w:rPr>
          <w:rStyle w:val="Fodnotehenvisning"/>
        </w:rPr>
        <w:footnoteRef/>
      </w:r>
      <w:r>
        <w:t xml:space="preserve"> Private forskrifter vil ikke danne ramme om eksemplerne i specialet, idet fokus er på elinstallat</w:t>
      </w:r>
      <w:r>
        <w:t>i</w:t>
      </w:r>
      <w:r>
        <w:t>oner, som er reguleret ved forskrifter udstedt af det offentlige.</w:t>
      </w:r>
    </w:p>
    <w:p w14:paraId="70629AEC" w14:textId="18FB1885" w:rsidR="00BC311C" w:rsidRDefault="00BC311C">
      <w:pPr>
        <w:pStyle w:val="Fodnotetekst"/>
      </w:pPr>
    </w:p>
  </w:footnote>
  <w:footnote w:id="56">
    <w:p w14:paraId="0E5B3AC8" w14:textId="769FFB38" w:rsidR="00BC311C" w:rsidRDefault="00BC311C" w:rsidP="00EE0B9D">
      <w:pPr>
        <w:pStyle w:val="Fodnotetekst"/>
        <w:spacing w:line="240" w:lineRule="auto"/>
      </w:pPr>
      <w:r>
        <w:rPr>
          <w:rStyle w:val="Fodnotehenvisning"/>
        </w:rPr>
        <w:footnoteRef/>
      </w:r>
      <w:r>
        <w:t xml:space="preserve"> Kravene vil ikke blive genstand for nærmere gennemgang.</w:t>
      </w:r>
    </w:p>
  </w:footnote>
  <w:footnote w:id="57">
    <w:p w14:paraId="4DB73D3E" w14:textId="7D11D634" w:rsidR="00BC311C" w:rsidRDefault="00BC311C" w:rsidP="00EE0B9D">
      <w:pPr>
        <w:pStyle w:val="Fodnotetekst"/>
        <w:spacing w:line="240" w:lineRule="auto"/>
      </w:pPr>
      <w:r>
        <w:rPr>
          <w:rStyle w:val="Fodnotehenvisning"/>
        </w:rPr>
        <w:footnoteRef/>
      </w:r>
      <w:r>
        <w:t xml:space="preserve"> Jf. Obligationsret, 1. del, s. 252</w:t>
      </w:r>
    </w:p>
  </w:footnote>
  <w:footnote w:id="58">
    <w:p w14:paraId="4C620D15" w14:textId="2C4EA749" w:rsidR="00BC311C" w:rsidRDefault="00BC311C" w:rsidP="00EE0B9D">
      <w:pPr>
        <w:pStyle w:val="Fodnotetekst"/>
        <w:spacing w:line="240" w:lineRule="auto"/>
      </w:pPr>
      <w:r>
        <w:rPr>
          <w:rStyle w:val="Fodnotehenvisning"/>
        </w:rPr>
        <w:footnoteRef/>
      </w:r>
      <w:r>
        <w:t xml:space="preserve"> Jf. Fast Ejendom, s. 254</w:t>
      </w:r>
    </w:p>
  </w:footnote>
  <w:footnote w:id="59">
    <w:p w14:paraId="6B54A46F" w14:textId="7B9C90EB" w:rsidR="00BC311C" w:rsidRDefault="00BC311C" w:rsidP="003B5BF6">
      <w:pPr>
        <w:pStyle w:val="Fodnotetekst"/>
        <w:spacing w:line="240" w:lineRule="auto"/>
      </w:pPr>
      <w:r>
        <w:rPr>
          <w:rStyle w:val="Fodnotehenvisning"/>
        </w:rPr>
        <w:footnoteRef/>
      </w:r>
      <w:r>
        <w:t xml:space="preserve"> Denne del af dommen vil ikke blive genstand for nærmere gennemgang.</w:t>
      </w:r>
    </w:p>
  </w:footnote>
  <w:footnote w:id="60">
    <w:p w14:paraId="2AF4A9A0" w14:textId="407B643E" w:rsidR="00BC311C" w:rsidRDefault="00BC311C" w:rsidP="003B5BF6">
      <w:pPr>
        <w:pStyle w:val="Fodnotetekst"/>
        <w:spacing w:line="240" w:lineRule="auto"/>
      </w:pPr>
      <w:r>
        <w:rPr>
          <w:rStyle w:val="Fodnotehenvisning"/>
        </w:rPr>
        <w:footnoteRef/>
      </w:r>
      <w:r>
        <w:t xml:space="preserve"> Idet det er forholdsmæssige afslag, som har relevans i forbindelse med ovenstående situation vil problemstillingen omkring erstatningsansvaret i dommen ikke blive genstand for gennemgang.</w:t>
      </w:r>
    </w:p>
  </w:footnote>
  <w:footnote w:id="61">
    <w:p w14:paraId="4C6479AB" w14:textId="5813BCC6" w:rsidR="00BC311C" w:rsidRDefault="00BC311C" w:rsidP="003B5BF6">
      <w:pPr>
        <w:pStyle w:val="Fodnotetekst"/>
        <w:spacing w:line="240" w:lineRule="auto"/>
      </w:pPr>
      <w:r>
        <w:rPr>
          <w:rStyle w:val="Fodnotehenvisning"/>
        </w:rPr>
        <w:footnoteRef/>
      </w:r>
      <w:r>
        <w:t xml:space="preserve"> Jf. U.1998.474H, UfR 1998, s. 476 midtfor</w:t>
      </w:r>
    </w:p>
  </w:footnote>
  <w:footnote w:id="62">
    <w:p w14:paraId="4193DA35" w14:textId="7F7D20BD" w:rsidR="00BC311C" w:rsidRDefault="00BC311C" w:rsidP="003B5BF6">
      <w:pPr>
        <w:pStyle w:val="Fodnotetekst"/>
        <w:spacing w:line="240" w:lineRule="auto"/>
      </w:pPr>
      <w:r>
        <w:rPr>
          <w:rStyle w:val="Fodnotehenvisning"/>
        </w:rPr>
        <w:footnoteRef/>
      </w:r>
      <w:r>
        <w:t xml:space="preserve"> Bagatelgrænsen er fastsat af domstolene. Denne vil dog ikke blive genstand for nærmere ge</w:t>
      </w:r>
      <w:r>
        <w:t>n</w:t>
      </w:r>
      <w:r>
        <w:t>nemgang.</w:t>
      </w:r>
    </w:p>
  </w:footnote>
  <w:footnote w:id="63">
    <w:p w14:paraId="71A4D403" w14:textId="083DE3E8" w:rsidR="00BC311C" w:rsidRDefault="00BC311C">
      <w:pPr>
        <w:pStyle w:val="Fodnotetekst"/>
      </w:pPr>
      <w:r>
        <w:rPr>
          <w:rStyle w:val="Fodnotehenvisning"/>
        </w:rPr>
        <w:footnoteRef/>
      </w:r>
      <w:r>
        <w:t xml:space="preserve"> Jf. U.1998.474H, UfR 1998, s. 478 øverst</w:t>
      </w:r>
    </w:p>
  </w:footnote>
  <w:footnote w:id="64">
    <w:p w14:paraId="0147D398" w14:textId="495CF068" w:rsidR="00BC311C" w:rsidRDefault="00BC311C" w:rsidP="00937C04">
      <w:pPr>
        <w:pStyle w:val="Fodnotetekst"/>
        <w:spacing w:line="240" w:lineRule="auto"/>
      </w:pPr>
      <w:r>
        <w:rPr>
          <w:rStyle w:val="Fodnotehenvisning"/>
        </w:rPr>
        <w:footnoteRef/>
      </w:r>
      <w:r>
        <w:t xml:space="preserve"> Jf. U.2005.1108Ø, UfR 2005, s. 1108</w:t>
      </w:r>
    </w:p>
  </w:footnote>
  <w:footnote w:id="65">
    <w:p w14:paraId="56ACFD01" w14:textId="0D7F974F" w:rsidR="00BC311C" w:rsidRDefault="00BC311C">
      <w:pPr>
        <w:pStyle w:val="Fodnotetekst"/>
      </w:pPr>
      <w:r>
        <w:rPr>
          <w:rStyle w:val="Fodnotehenvisning"/>
        </w:rPr>
        <w:footnoteRef/>
      </w:r>
      <w:r>
        <w:t xml:space="preserve"> Jf. U.2005.1108Ø, UfR 2005, s. 1111</w:t>
      </w:r>
    </w:p>
  </w:footnote>
  <w:footnote w:id="66">
    <w:p w14:paraId="2167C325" w14:textId="6455CB59" w:rsidR="00BC311C" w:rsidRDefault="00BC311C" w:rsidP="00DB09FA">
      <w:pPr>
        <w:pStyle w:val="Fodnotetekst"/>
        <w:spacing w:line="240" w:lineRule="auto"/>
      </w:pPr>
      <w:r>
        <w:rPr>
          <w:rStyle w:val="Fodnotehenvisning"/>
        </w:rPr>
        <w:footnoteRef/>
      </w:r>
      <w:r>
        <w:t xml:space="preserve"> Jf. AK 69.392, s. 1 midtfor</w:t>
      </w:r>
    </w:p>
  </w:footnote>
  <w:footnote w:id="67">
    <w:p w14:paraId="24B6334B" w14:textId="4A66F64A" w:rsidR="00BC311C" w:rsidRDefault="00BC311C" w:rsidP="00DB09FA">
      <w:pPr>
        <w:pStyle w:val="Fodnotetekst"/>
        <w:spacing w:line="240" w:lineRule="auto"/>
      </w:pPr>
      <w:r>
        <w:rPr>
          <w:rStyle w:val="Fodnotehenvisning"/>
        </w:rPr>
        <w:footnoteRef/>
      </w:r>
      <w:r>
        <w:t xml:space="preserve"> Jf. AK 69.392, s. 2, nederst</w:t>
      </w:r>
    </w:p>
  </w:footnote>
  <w:footnote w:id="68">
    <w:p w14:paraId="7CDA7758" w14:textId="6B03505E" w:rsidR="00BC311C" w:rsidRDefault="00BC311C" w:rsidP="00E3784A">
      <w:pPr>
        <w:pStyle w:val="Fodnotetekst"/>
        <w:spacing w:line="240" w:lineRule="auto"/>
      </w:pPr>
      <w:r>
        <w:rPr>
          <w:rStyle w:val="Fodnotehenvisning"/>
        </w:rPr>
        <w:footnoteRef/>
      </w:r>
      <w:r>
        <w:t xml:space="preserve"> Jf. AK 69.392, s. 4 midtfor</w:t>
      </w:r>
    </w:p>
  </w:footnote>
  <w:footnote w:id="69">
    <w:p w14:paraId="64216686" w14:textId="792F1E08" w:rsidR="00BC311C" w:rsidRDefault="00BC311C" w:rsidP="00E3784A">
      <w:pPr>
        <w:pStyle w:val="Fodnotetekst"/>
        <w:spacing w:line="240" w:lineRule="auto"/>
      </w:pPr>
      <w:r>
        <w:rPr>
          <w:rStyle w:val="Fodnotehenvisning"/>
        </w:rPr>
        <w:footnoteRef/>
      </w:r>
      <w:r>
        <w:t xml:space="preserve"> Jf. AK 69.392, s. 4 nederst</w:t>
      </w:r>
    </w:p>
  </w:footnote>
  <w:footnote w:id="70">
    <w:p w14:paraId="706710BF" w14:textId="1FA00ABA" w:rsidR="00BC311C" w:rsidRDefault="00BC311C" w:rsidP="00E3784A">
      <w:pPr>
        <w:pStyle w:val="Fodnotetekst"/>
        <w:spacing w:line="240" w:lineRule="auto"/>
      </w:pPr>
      <w:r>
        <w:rPr>
          <w:rStyle w:val="Fodnotehenvisning"/>
        </w:rPr>
        <w:footnoteRef/>
      </w:r>
      <w:r>
        <w:t xml:space="preserve"> Jf. AK 69.392, s. 5 nederst</w:t>
      </w:r>
    </w:p>
  </w:footnote>
  <w:footnote w:id="71">
    <w:p w14:paraId="2A9B6874" w14:textId="128D07CA" w:rsidR="00BC311C" w:rsidRDefault="00BC311C" w:rsidP="008A6BF6">
      <w:pPr>
        <w:pStyle w:val="Fodnotetekst"/>
        <w:spacing w:line="240" w:lineRule="auto"/>
      </w:pPr>
      <w:r>
        <w:rPr>
          <w:rStyle w:val="Fodnotehenvisning"/>
        </w:rPr>
        <w:footnoteRef/>
      </w:r>
      <w:r>
        <w:t xml:space="preserve"> Jf. Betænkning nr. 1279/1994, s. 243, punkt 9.a</w:t>
      </w:r>
    </w:p>
  </w:footnote>
  <w:footnote w:id="72">
    <w:p w14:paraId="61898D18" w14:textId="59C831BF" w:rsidR="00BC311C" w:rsidRDefault="00BC311C" w:rsidP="008A6BF6">
      <w:pPr>
        <w:pStyle w:val="Fodnotetekst"/>
        <w:spacing w:line="240" w:lineRule="auto"/>
      </w:pPr>
      <w:r>
        <w:rPr>
          <w:rStyle w:val="Fodnotehenvisning"/>
        </w:rPr>
        <w:footnoteRef/>
      </w:r>
      <w:r>
        <w:t xml:space="preserve"> Jf. AK 55.417</w:t>
      </w:r>
    </w:p>
  </w:footnote>
  <w:footnote w:id="73">
    <w:p w14:paraId="7B40B198" w14:textId="384DDBFD" w:rsidR="00BC311C" w:rsidRDefault="00BC311C" w:rsidP="008A6BF6">
      <w:pPr>
        <w:pStyle w:val="Fodnotetekst"/>
        <w:spacing w:line="240" w:lineRule="auto"/>
      </w:pPr>
      <w:r>
        <w:rPr>
          <w:rStyle w:val="Fodnotehenvisning"/>
        </w:rPr>
        <w:footnoteRef/>
      </w:r>
      <w:r>
        <w:t xml:space="preserve"> Jf. AK 55.417, s. 1 nederst og s. 2 øverst.</w:t>
      </w:r>
    </w:p>
  </w:footnote>
  <w:footnote w:id="74">
    <w:p w14:paraId="00B5ECF6" w14:textId="7F09DC1A" w:rsidR="00BC311C" w:rsidRDefault="00BC311C" w:rsidP="008A6BF6">
      <w:pPr>
        <w:pStyle w:val="Fodnotetekst"/>
        <w:spacing w:line="240" w:lineRule="auto"/>
      </w:pPr>
      <w:r>
        <w:rPr>
          <w:rStyle w:val="Fodnotehenvisning"/>
        </w:rPr>
        <w:footnoteRef/>
      </w:r>
      <w:r>
        <w:t xml:space="preserve"> Jf. AK 55.417, s. 2 midtfor</w:t>
      </w:r>
    </w:p>
  </w:footnote>
  <w:footnote w:id="75">
    <w:p w14:paraId="251FBAB4" w14:textId="1DFD4D35" w:rsidR="00BC311C" w:rsidRDefault="00BC311C">
      <w:pPr>
        <w:pStyle w:val="Fodnotetekst"/>
      </w:pPr>
      <w:r>
        <w:rPr>
          <w:rStyle w:val="Fodnotehenvisning"/>
        </w:rPr>
        <w:footnoteRef/>
      </w:r>
      <w:r>
        <w:t xml:space="preserve"> Jf. AK 55.417, s. 2 nederst</w:t>
      </w:r>
    </w:p>
  </w:footnote>
  <w:footnote w:id="76">
    <w:p w14:paraId="0B85B439" w14:textId="77777777" w:rsidR="00BC311C" w:rsidRDefault="00BC311C" w:rsidP="00DB09FA">
      <w:pPr>
        <w:pStyle w:val="Fodnotetekst"/>
        <w:spacing w:line="240" w:lineRule="auto"/>
      </w:pPr>
      <w:r>
        <w:rPr>
          <w:rStyle w:val="Fodnotehenvisning"/>
        </w:rPr>
        <w:footnoteRef/>
      </w:r>
      <w:r>
        <w:t xml:space="preserve"> Jf. Fast Ejendom, s. 254</w:t>
      </w:r>
    </w:p>
  </w:footnote>
  <w:footnote w:id="77">
    <w:p w14:paraId="17A7DFF0" w14:textId="1987AAFF" w:rsidR="00BC311C" w:rsidRDefault="00BC311C" w:rsidP="00DB09FA">
      <w:pPr>
        <w:pStyle w:val="Fodnotetekst"/>
        <w:spacing w:line="240" w:lineRule="auto"/>
      </w:pPr>
      <w:r>
        <w:rPr>
          <w:rStyle w:val="Fodnotehenvisning"/>
        </w:rPr>
        <w:footnoteRef/>
      </w:r>
      <w:r>
        <w:t xml:space="preserve"> Jf. U.2002.828H, UfR 2002, s. 828</w:t>
      </w:r>
    </w:p>
  </w:footnote>
  <w:footnote w:id="78">
    <w:p w14:paraId="6F01CD35" w14:textId="5E37E159" w:rsidR="00BC311C" w:rsidRDefault="00BC311C" w:rsidP="00BC2977">
      <w:pPr>
        <w:pStyle w:val="Fodnotetekst"/>
        <w:spacing w:line="240" w:lineRule="auto"/>
      </w:pPr>
      <w:r>
        <w:rPr>
          <w:rStyle w:val="Fodnotehenvisning"/>
        </w:rPr>
        <w:footnoteRef/>
      </w:r>
      <w:r>
        <w:t xml:space="preserve"> Lovændringen i 2000 vil ikke blive genstand for nærmere gennemgang.</w:t>
      </w:r>
    </w:p>
  </w:footnote>
  <w:footnote w:id="79">
    <w:p w14:paraId="62D487D5" w14:textId="04B7A9B8" w:rsidR="00BC311C" w:rsidRDefault="00BC311C" w:rsidP="00BC2977">
      <w:pPr>
        <w:pStyle w:val="Fodnotetekst"/>
        <w:spacing w:line="240" w:lineRule="auto"/>
      </w:pPr>
      <w:r>
        <w:rPr>
          <w:rStyle w:val="Fodnotehenvisning"/>
        </w:rPr>
        <w:footnoteRef/>
      </w:r>
      <w:r>
        <w:t xml:space="preserve"> Jf. U.2002.828H, UfR 2002, s. 829</w:t>
      </w:r>
    </w:p>
  </w:footnote>
  <w:footnote w:id="80">
    <w:p w14:paraId="2D62D934" w14:textId="1A83883F" w:rsidR="00BC311C" w:rsidRDefault="00BC311C" w:rsidP="00BC2977">
      <w:pPr>
        <w:pStyle w:val="Fodnotetekst"/>
        <w:spacing w:line="240" w:lineRule="auto"/>
      </w:pPr>
      <w:r>
        <w:rPr>
          <w:rStyle w:val="Fodnotehenvisning"/>
        </w:rPr>
        <w:footnoteRef/>
      </w:r>
      <w:r>
        <w:t xml:space="preserve"> Dette vil ikke blive genstand for nærmere gennemgang.</w:t>
      </w:r>
    </w:p>
  </w:footnote>
  <w:footnote w:id="81">
    <w:p w14:paraId="1184A38B" w14:textId="14F6AA59" w:rsidR="00BC311C" w:rsidRDefault="00BC311C" w:rsidP="00BC2977">
      <w:pPr>
        <w:pStyle w:val="Fodnotetekst"/>
        <w:spacing w:line="240" w:lineRule="auto"/>
      </w:pPr>
      <w:r>
        <w:rPr>
          <w:rStyle w:val="Fodnotehenvisning"/>
        </w:rPr>
        <w:footnoteRef/>
      </w:r>
      <w:r>
        <w:t xml:space="preserve"> Jf. U.2002.828H, UfR 2002, s. 828</w:t>
      </w:r>
    </w:p>
  </w:footnote>
  <w:footnote w:id="82">
    <w:p w14:paraId="49CDA2B9" w14:textId="55F1DC24" w:rsidR="00BC311C" w:rsidRDefault="00BC311C" w:rsidP="003D6E43">
      <w:pPr>
        <w:pStyle w:val="Fodnotetekst"/>
        <w:spacing w:line="240" w:lineRule="auto"/>
      </w:pPr>
      <w:r>
        <w:rPr>
          <w:rStyle w:val="Fodnotehenvisning"/>
        </w:rPr>
        <w:footnoteRef/>
      </w:r>
      <w:r>
        <w:t xml:space="preserve"> Jf. U.2002.828H, UfR 2002, s. 832</w:t>
      </w:r>
    </w:p>
  </w:footnote>
  <w:footnote w:id="83">
    <w:p w14:paraId="5A290F95" w14:textId="3A9739AE" w:rsidR="00BC311C" w:rsidRDefault="00BC311C" w:rsidP="003D6E43">
      <w:pPr>
        <w:pStyle w:val="Fodnotetekst"/>
        <w:spacing w:line="240" w:lineRule="auto"/>
      </w:pPr>
      <w:r>
        <w:rPr>
          <w:rStyle w:val="Fodnotehenvisning"/>
        </w:rPr>
        <w:footnoteRef/>
      </w:r>
      <w:r>
        <w:t xml:space="preserve"> Jf. U.2002.828H, UfR 2002, s. 832</w:t>
      </w:r>
    </w:p>
  </w:footnote>
  <w:footnote w:id="84">
    <w:p w14:paraId="79BEEC00" w14:textId="69B93AD8" w:rsidR="00BC311C" w:rsidRDefault="00BC311C" w:rsidP="003D6E43">
      <w:pPr>
        <w:pStyle w:val="Fodnotetekst"/>
        <w:spacing w:line="240" w:lineRule="auto"/>
      </w:pPr>
      <w:r>
        <w:rPr>
          <w:rStyle w:val="Fodnotehenvisning"/>
        </w:rPr>
        <w:footnoteRef/>
      </w:r>
      <w:r>
        <w:t xml:space="preserve"> Jf. U.2002.828H, UfR 2002, s. 832</w:t>
      </w:r>
    </w:p>
  </w:footnote>
  <w:footnote w:id="85">
    <w:p w14:paraId="4EDA34AD" w14:textId="02136224" w:rsidR="00BC311C" w:rsidRDefault="00BC311C" w:rsidP="003D6E43">
      <w:pPr>
        <w:pStyle w:val="Fodnotetekst"/>
        <w:spacing w:line="240" w:lineRule="auto"/>
      </w:pPr>
      <w:r>
        <w:rPr>
          <w:rStyle w:val="Fodnotehenvisning"/>
        </w:rPr>
        <w:footnoteRef/>
      </w:r>
      <w:r>
        <w:t xml:space="preserve"> Jf. U.2002.828H, UfR 2002, s. 832</w:t>
      </w:r>
    </w:p>
  </w:footnote>
  <w:footnote w:id="86">
    <w:p w14:paraId="798B279D" w14:textId="3CA8A13F" w:rsidR="00BC311C" w:rsidRDefault="00BC311C" w:rsidP="005726CC">
      <w:pPr>
        <w:pStyle w:val="Fodnotetekst"/>
        <w:spacing w:line="240" w:lineRule="auto"/>
      </w:pPr>
      <w:r>
        <w:rPr>
          <w:rStyle w:val="Fodnotehenvisning"/>
        </w:rPr>
        <w:footnoteRef/>
      </w:r>
      <w:r>
        <w:t xml:space="preserve"> Jf. U.2002.828H, UfR 2002, s. 832</w:t>
      </w:r>
    </w:p>
  </w:footnote>
  <w:footnote w:id="87">
    <w:p w14:paraId="5BCFB7B7" w14:textId="00252996" w:rsidR="00BC311C" w:rsidRDefault="00BC311C">
      <w:pPr>
        <w:pStyle w:val="Fodnotetekst"/>
      </w:pPr>
      <w:r>
        <w:rPr>
          <w:rStyle w:val="Fodnotehenvisning"/>
        </w:rPr>
        <w:footnoteRef/>
      </w:r>
      <w:r>
        <w:t xml:space="preserve"> Denne bestemmelse vil ikke blive genstand for nærmere gennemgang.</w:t>
      </w:r>
    </w:p>
  </w:footnote>
  <w:footnote w:id="88">
    <w:p w14:paraId="15BA65F6" w14:textId="2C3EC123" w:rsidR="00BC311C" w:rsidRDefault="00BC311C" w:rsidP="008177C4">
      <w:pPr>
        <w:pStyle w:val="Fodnotetekst"/>
        <w:spacing w:line="240" w:lineRule="auto"/>
      </w:pPr>
      <w:r>
        <w:rPr>
          <w:rStyle w:val="Fodnotehenvisning"/>
        </w:rPr>
        <w:footnoteRef/>
      </w:r>
      <w:r>
        <w:t xml:space="preserve"> Jf. U.2002.828H, UfR 2002, s. 833</w:t>
      </w:r>
    </w:p>
  </w:footnote>
  <w:footnote w:id="89">
    <w:p w14:paraId="5BBCF2B1" w14:textId="7E841E9F" w:rsidR="00BC311C" w:rsidRDefault="00BC311C" w:rsidP="008177C4">
      <w:pPr>
        <w:pStyle w:val="Fodnotetekst"/>
        <w:spacing w:line="240" w:lineRule="auto"/>
      </w:pPr>
      <w:r>
        <w:rPr>
          <w:rStyle w:val="Fodnotehenvisning"/>
        </w:rPr>
        <w:footnoteRef/>
      </w:r>
      <w:r>
        <w:t xml:space="preserve"> Jf. U.2002.828H, UfR 2002, s. 833-834</w:t>
      </w:r>
    </w:p>
  </w:footnote>
  <w:footnote w:id="90">
    <w:p w14:paraId="432B47E2" w14:textId="2D97C1D5" w:rsidR="00BC311C" w:rsidRDefault="00BC311C" w:rsidP="008177C4">
      <w:pPr>
        <w:pStyle w:val="Fodnotetekst"/>
        <w:spacing w:line="240" w:lineRule="auto"/>
      </w:pPr>
      <w:r>
        <w:rPr>
          <w:rStyle w:val="Fodnotehenvisning"/>
        </w:rPr>
        <w:footnoteRef/>
      </w:r>
      <w:r>
        <w:t xml:space="preserve"> Jf. U.2002.828H, UfR 2002, s. 834</w:t>
      </w:r>
    </w:p>
  </w:footnote>
  <w:footnote w:id="91">
    <w:p w14:paraId="4C779063" w14:textId="31F3DCD3" w:rsidR="00BC311C" w:rsidRDefault="00BC311C" w:rsidP="00D8471C">
      <w:pPr>
        <w:pStyle w:val="Fodnotetekst"/>
        <w:spacing w:line="240" w:lineRule="auto"/>
      </w:pPr>
      <w:r>
        <w:rPr>
          <w:rStyle w:val="Fodnotehenvisning"/>
        </w:rPr>
        <w:footnoteRef/>
      </w:r>
      <w:r>
        <w:t xml:space="preserve"> Jf. U.2002.828H, UfR 2002, s. 834-835</w:t>
      </w:r>
    </w:p>
  </w:footnote>
  <w:footnote w:id="92">
    <w:p w14:paraId="6510F538" w14:textId="736B5953" w:rsidR="00BC311C" w:rsidRDefault="00BC311C" w:rsidP="009F4BED">
      <w:pPr>
        <w:pStyle w:val="Fodnotetekst"/>
        <w:spacing w:line="240" w:lineRule="auto"/>
      </w:pPr>
      <w:r>
        <w:rPr>
          <w:rStyle w:val="Fodnotehenvisning"/>
        </w:rPr>
        <w:footnoteRef/>
      </w:r>
      <w:r>
        <w:t xml:space="preserve"> Jf. U.2002.828H, UfR 2002, s. 835</w:t>
      </w:r>
    </w:p>
  </w:footnote>
  <w:footnote w:id="93">
    <w:p w14:paraId="0E29AF93" w14:textId="784EBAB6" w:rsidR="00BC311C" w:rsidRDefault="00BC311C" w:rsidP="009F4BED">
      <w:pPr>
        <w:pStyle w:val="Fodnotetekst"/>
        <w:spacing w:line="240" w:lineRule="auto"/>
      </w:pPr>
      <w:r>
        <w:rPr>
          <w:rStyle w:val="Fodnotehenvisning"/>
        </w:rPr>
        <w:footnoteRef/>
      </w:r>
      <w:r>
        <w:t xml:space="preserve"> Jf. U.2002.828H, UfR 2002, s. 835</w:t>
      </w:r>
    </w:p>
  </w:footnote>
  <w:footnote w:id="94">
    <w:p w14:paraId="6DB8D2B1" w14:textId="7F5DD82B" w:rsidR="00BC311C" w:rsidRDefault="00BC311C" w:rsidP="009F4BED">
      <w:pPr>
        <w:pStyle w:val="Fodnotetekst"/>
        <w:spacing w:line="240" w:lineRule="auto"/>
      </w:pPr>
      <w:r>
        <w:rPr>
          <w:rStyle w:val="Fodnotehenvisning"/>
        </w:rPr>
        <w:footnoteRef/>
      </w:r>
      <w:r>
        <w:t xml:space="preserve"> Jf. U.2002.828H, UfR 2002, s. 835</w:t>
      </w:r>
    </w:p>
  </w:footnote>
  <w:footnote w:id="95">
    <w:p w14:paraId="3665FEF4" w14:textId="4E3AD3CB" w:rsidR="00BC311C" w:rsidRDefault="00BC311C" w:rsidP="00C05246">
      <w:pPr>
        <w:pStyle w:val="Fodnotetekst"/>
        <w:spacing w:line="240" w:lineRule="auto"/>
      </w:pPr>
      <w:r>
        <w:rPr>
          <w:rStyle w:val="Fodnotehenvisning"/>
        </w:rPr>
        <w:footnoteRef/>
      </w:r>
      <w:r>
        <w:t xml:space="preserve"> Jf. U.2006.1003V, UfR 2006, s. 1004, midt i</w:t>
      </w:r>
    </w:p>
  </w:footnote>
  <w:footnote w:id="96">
    <w:p w14:paraId="3B4014D5" w14:textId="41DBFB6C" w:rsidR="00BC311C" w:rsidRDefault="00BC311C" w:rsidP="00C05246">
      <w:pPr>
        <w:pStyle w:val="Fodnotetekst"/>
        <w:spacing w:line="240" w:lineRule="auto"/>
      </w:pPr>
      <w:r>
        <w:rPr>
          <w:rStyle w:val="Fodnotehenvisning"/>
        </w:rPr>
        <w:footnoteRef/>
      </w:r>
      <w:r>
        <w:t xml:space="preserve"> Jf. U.2006.1003V, UfR 2006, s. 1004, nederst</w:t>
      </w:r>
    </w:p>
  </w:footnote>
  <w:footnote w:id="97">
    <w:p w14:paraId="34B52EEF" w14:textId="2F492E8F" w:rsidR="00BC311C" w:rsidRDefault="00BC311C" w:rsidP="008778BB">
      <w:pPr>
        <w:pStyle w:val="Fodnotetekst"/>
        <w:spacing w:line="240" w:lineRule="auto"/>
      </w:pPr>
      <w:r>
        <w:rPr>
          <w:rStyle w:val="Fodnotehenvisning"/>
        </w:rPr>
        <w:footnoteRef/>
      </w:r>
      <w:r>
        <w:t xml:space="preserve"> Jf. U.2006.1003V, UfR 2006, s. 1005</w:t>
      </w:r>
    </w:p>
  </w:footnote>
  <w:footnote w:id="98">
    <w:p w14:paraId="2240BDEC" w14:textId="258BF300" w:rsidR="00BC311C" w:rsidRDefault="00BC311C" w:rsidP="008778BB">
      <w:pPr>
        <w:pStyle w:val="Fodnotetekst"/>
        <w:spacing w:line="240" w:lineRule="auto"/>
      </w:pPr>
      <w:r>
        <w:rPr>
          <w:rStyle w:val="Fodnotehenvisning"/>
        </w:rPr>
        <w:footnoteRef/>
      </w:r>
      <w:r>
        <w:t xml:space="preserve"> Jf. U.2006.1003V, UfR 2006, s. 1005</w:t>
      </w:r>
    </w:p>
  </w:footnote>
  <w:footnote w:id="99">
    <w:p w14:paraId="45A8973B" w14:textId="04F612AE" w:rsidR="00BC311C" w:rsidRDefault="00BC311C">
      <w:pPr>
        <w:pStyle w:val="Fodnotetekst"/>
      </w:pPr>
      <w:r>
        <w:rPr>
          <w:rStyle w:val="Fodnotehenvisning"/>
        </w:rPr>
        <w:footnoteRef/>
      </w:r>
      <w:r>
        <w:t xml:space="preserve"> Jf. FT 1995-1996, Forhandlingerne, s. 4521</w:t>
      </w:r>
    </w:p>
  </w:footnote>
  <w:footnote w:id="100">
    <w:p w14:paraId="5C20E051" w14:textId="6F376238" w:rsidR="00BC311C" w:rsidRDefault="00BC311C">
      <w:pPr>
        <w:pStyle w:val="Fodnotetekst"/>
      </w:pPr>
      <w:r>
        <w:rPr>
          <w:rStyle w:val="Fodnotehenvisning"/>
        </w:rPr>
        <w:footnoteRef/>
      </w:r>
      <w:r>
        <w:t xml:space="preserve"> Jf. FT 1995-1996, Forhandlingerne, s. 4521</w:t>
      </w:r>
    </w:p>
  </w:footnote>
  <w:footnote w:id="101">
    <w:p w14:paraId="217F5D94" w14:textId="1DAD7D7A" w:rsidR="00BC311C" w:rsidRDefault="00BC311C" w:rsidP="008A235F">
      <w:pPr>
        <w:pStyle w:val="Fodnotetekst"/>
        <w:spacing w:line="240" w:lineRule="auto"/>
      </w:pPr>
      <w:r>
        <w:rPr>
          <w:rStyle w:val="Fodnotehenvisning"/>
        </w:rPr>
        <w:footnoteRef/>
      </w:r>
      <w:r>
        <w:t xml:space="preserve"> De øvrige undtagelser i LFFE § 2, stk. 5 bliver kort omtalt i afsnit 2.4, men vil ellers ikke blive genstand for nærmere gennemgang.</w:t>
      </w:r>
    </w:p>
  </w:footnote>
  <w:footnote w:id="102">
    <w:p w14:paraId="47EE2CFB" w14:textId="39C5B871" w:rsidR="00BC311C" w:rsidRDefault="00BC311C" w:rsidP="00961CD8">
      <w:pPr>
        <w:pStyle w:val="Fodnotetekst"/>
        <w:spacing w:line="240" w:lineRule="auto"/>
      </w:pPr>
      <w:r>
        <w:rPr>
          <w:rStyle w:val="Fodnotehenvisning"/>
        </w:rPr>
        <w:footnoteRef/>
      </w:r>
      <w:r>
        <w:t xml:space="preserve"> Jf. Betænkning nr. 1520/2010, s. 55</w:t>
      </w:r>
    </w:p>
  </w:footnote>
  <w:footnote w:id="103">
    <w:p w14:paraId="34E6A2F6" w14:textId="71418AB5" w:rsidR="00BC311C" w:rsidRDefault="00BC311C" w:rsidP="00961CD8">
      <w:pPr>
        <w:pStyle w:val="Fodnotetekst"/>
        <w:spacing w:line="240" w:lineRule="auto"/>
      </w:pPr>
      <w:r>
        <w:rPr>
          <w:rStyle w:val="Fodnotehenvisning"/>
        </w:rPr>
        <w:footnoteRef/>
      </w:r>
      <w:r>
        <w:t xml:space="preserve"> Jf. Betænkning nr. 1520/2010, s. 56</w:t>
      </w:r>
    </w:p>
  </w:footnote>
  <w:footnote w:id="104">
    <w:p w14:paraId="0425B4B0" w14:textId="7A7342C7" w:rsidR="00BC311C" w:rsidRDefault="00BC311C" w:rsidP="00690303">
      <w:pPr>
        <w:pStyle w:val="Fodnotetekst"/>
        <w:spacing w:line="240" w:lineRule="auto"/>
      </w:pPr>
      <w:r>
        <w:rPr>
          <w:rStyle w:val="Fodnotehenvisning"/>
        </w:rPr>
        <w:footnoteRef/>
      </w:r>
      <w:r>
        <w:t xml:space="preserve"> Jf. Betænkning nr. 1520/2010, s. 57</w:t>
      </w:r>
    </w:p>
  </w:footnote>
  <w:footnote w:id="105">
    <w:p w14:paraId="25B12415" w14:textId="340F3D3F" w:rsidR="00BC311C" w:rsidRDefault="00BC311C" w:rsidP="009B7C23">
      <w:pPr>
        <w:pStyle w:val="Fodnotetekst"/>
        <w:spacing w:line="240" w:lineRule="auto"/>
      </w:pPr>
      <w:r>
        <w:rPr>
          <w:rStyle w:val="Fodnotehenvisning"/>
        </w:rPr>
        <w:footnoteRef/>
      </w:r>
      <w:r>
        <w:t xml:space="preserve"> De øvrige krav til sælgerbeskyttelsen er stadig gældende, jf. afsnit 2.3.</w:t>
      </w:r>
    </w:p>
  </w:footnote>
  <w:footnote w:id="106">
    <w:p w14:paraId="405BE378" w14:textId="6D8580AF" w:rsidR="00BC311C" w:rsidRDefault="00BC311C" w:rsidP="009B7C23">
      <w:pPr>
        <w:pStyle w:val="Fodnotetekst"/>
        <w:spacing w:line="240" w:lineRule="auto"/>
      </w:pPr>
      <w:r>
        <w:rPr>
          <w:rStyle w:val="Fodnotehenvisning"/>
        </w:rPr>
        <w:footnoteRef/>
      </w:r>
      <w:r>
        <w:t xml:space="preserve"> LFFE § 2, stk. 2-7 er ikke alle nævnt i L89, hvorfor der ikke er en henvisning til denne.</w:t>
      </w:r>
    </w:p>
  </w:footnote>
  <w:footnote w:id="107">
    <w:p w14:paraId="400B1990" w14:textId="7233F826" w:rsidR="00BC311C" w:rsidRDefault="00BC311C" w:rsidP="009B7C23">
      <w:pPr>
        <w:pStyle w:val="Fodnotetekst"/>
        <w:spacing w:line="240" w:lineRule="auto"/>
      </w:pPr>
      <w:r>
        <w:rPr>
          <w:rStyle w:val="Fodnotehenvisning"/>
        </w:rPr>
        <w:footnoteRef/>
      </w:r>
      <w:r>
        <w:t xml:space="preserve"> Kravene til elinstallationsrapportens indhold findes i L89 § 1, nr. 9 (fremtidige LFFE § 4a). Di</w:t>
      </w:r>
      <w:r>
        <w:t>s</w:t>
      </w:r>
      <w:r>
        <w:t>se vil ikke blive genstand for nærmere gennemgang.</w:t>
      </w:r>
    </w:p>
  </w:footnote>
  <w:footnote w:id="108">
    <w:p w14:paraId="36C0D290" w14:textId="1FA5DEDA" w:rsidR="00BC311C" w:rsidRDefault="00BC311C" w:rsidP="009B7C23">
      <w:pPr>
        <w:pStyle w:val="Fodnotetekst"/>
        <w:spacing w:line="240" w:lineRule="auto"/>
      </w:pPr>
      <w:r>
        <w:rPr>
          <w:rStyle w:val="Fodnotehenvisning"/>
        </w:rPr>
        <w:footnoteRef/>
      </w:r>
      <w:r>
        <w:t xml:space="preserve"> Jf. Betænkning nr. 1520/2010, s. 96</w:t>
      </w:r>
    </w:p>
  </w:footnote>
  <w:footnote w:id="109">
    <w:p w14:paraId="359ACADA" w14:textId="396318E7" w:rsidR="00BC311C" w:rsidRDefault="00BC311C" w:rsidP="00C653A3">
      <w:pPr>
        <w:pStyle w:val="Fodnotetekst"/>
        <w:spacing w:line="240" w:lineRule="auto"/>
      </w:pPr>
      <w:r>
        <w:rPr>
          <w:rStyle w:val="Fodnotehenvisning"/>
        </w:rPr>
        <w:footnoteRef/>
      </w:r>
      <w:r>
        <w:t xml:space="preserve"> Jf. Betænkning nr. 1520/2010, s. 96</w:t>
      </w:r>
    </w:p>
  </w:footnote>
  <w:footnote w:id="110">
    <w:p w14:paraId="6948AA65" w14:textId="05E71093" w:rsidR="00BC311C" w:rsidRDefault="00BC311C" w:rsidP="004F575E">
      <w:pPr>
        <w:pStyle w:val="Fodnotetekst"/>
        <w:spacing w:line="240" w:lineRule="auto"/>
      </w:pPr>
      <w:r>
        <w:rPr>
          <w:rStyle w:val="Fodnotehenvisning"/>
        </w:rPr>
        <w:footnoteRef/>
      </w:r>
      <w:r>
        <w:t xml:space="preserve"> Jf. Betænkning nr. 1520/2010, s. 97</w:t>
      </w:r>
    </w:p>
  </w:footnote>
  <w:footnote w:id="111">
    <w:p w14:paraId="791CCE0F" w14:textId="1C67F905" w:rsidR="00BC311C" w:rsidRDefault="00BC311C" w:rsidP="004F575E">
      <w:pPr>
        <w:pStyle w:val="Fodnotetekst"/>
        <w:spacing w:line="240" w:lineRule="auto"/>
      </w:pPr>
      <w:r>
        <w:rPr>
          <w:rStyle w:val="Fodnotehenvisning"/>
        </w:rPr>
        <w:footnoteRef/>
      </w:r>
      <w:r>
        <w:t xml:space="preserve"> Varme-, ventilations- og sanitetsinstallationer er ligeledes blevet en del af sælgerbeskyttelsen, og beskrives som en undtagelse til undtagelsen i L89 § 1, nr. 4, men vil ikke blive genstand for nærm</w:t>
      </w:r>
      <w:r>
        <w:t>e</w:t>
      </w:r>
      <w:r>
        <w:t>re gennemgang.</w:t>
      </w:r>
    </w:p>
  </w:footnote>
  <w:footnote w:id="112">
    <w:p w14:paraId="781742C3" w14:textId="2D7E5B96" w:rsidR="00BC311C" w:rsidRDefault="00BC311C" w:rsidP="00CD3F50">
      <w:pPr>
        <w:pStyle w:val="Fodnotetekst"/>
        <w:spacing w:line="240" w:lineRule="auto"/>
      </w:pPr>
      <w:r>
        <w:rPr>
          <w:rStyle w:val="Fodnotehenvisning"/>
        </w:rPr>
        <w:footnoteRef/>
      </w:r>
      <w:r>
        <w:t xml:space="preserve"> Jf. Betænkning nr. 1520/2010, s. 58</w:t>
      </w:r>
    </w:p>
  </w:footnote>
  <w:footnote w:id="113">
    <w:p w14:paraId="794ED0D1" w14:textId="638C480E" w:rsidR="00BC311C" w:rsidRDefault="00BC311C" w:rsidP="00CD3F50">
      <w:pPr>
        <w:pStyle w:val="Fodnotetekst"/>
        <w:spacing w:line="240" w:lineRule="auto"/>
      </w:pPr>
      <w:r>
        <w:rPr>
          <w:rStyle w:val="Fodnotehenvisning"/>
        </w:rPr>
        <w:footnoteRef/>
      </w:r>
      <w:r>
        <w:t xml:space="preserve"> Jf. Betænkning nr. 1520/2010, s. 376</w:t>
      </w:r>
    </w:p>
  </w:footnote>
  <w:footnote w:id="114">
    <w:p w14:paraId="0DD0CE2A" w14:textId="3BE44416" w:rsidR="00BC311C" w:rsidRDefault="00BC311C" w:rsidP="00BA57D5">
      <w:pPr>
        <w:pStyle w:val="Fodnotetekst"/>
        <w:spacing w:line="240" w:lineRule="auto"/>
      </w:pPr>
      <w:r>
        <w:rPr>
          <w:rStyle w:val="Fodnotehenvisning"/>
        </w:rPr>
        <w:footnoteRef/>
      </w:r>
      <w:r>
        <w:t xml:space="preserve"> Jf. Betænkning nr. 1520/2010, s. 376</w:t>
      </w:r>
    </w:p>
  </w:footnote>
  <w:footnote w:id="115">
    <w:p w14:paraId="22957341" w14:textId="3F14DF9A" w:rsidR="00BC311C" w:rsidRDefault="00BC311C" w:rsidP="00BA57D5">
      <w:pPr>
        <w:pStyle w:val="Fodnotetekst"/>
        <w:spacing w:line="240" w:lineRule="auto"/>
      </w:pPr>
      <w:r>
        <w:rPr>
          <w:rStyle w:val="Fodnotehenvisning"/>
        </w:rPr>
        <w:footnoteRef/>
      </w:r>
      <w:r>
        <w:t xml:space="preserve"> Jf. Betænkning nr. 1520/2010, s. 379</w:t>
      </w:r>
    </w:p>
  </w:footnote>
  <w:footnote w:id="116">
    <w:p w14:paraId="6AF9998D" w14:textId="3ABFE359" w:rsidR="00BC311C" w:rsidRDefault="00BC311C" w:rsidP="00532324">
      <w:pPr>
        <w:pStyle w:val="Fodnotetekst"/>
        <w:spacing w:line="240" w:lineRule="auto"/>
      </w:pPr>
      <w:r>
        <w:rPr>
          <w:rStyle w:val="Fodnotehenvisning"/>
        </w:rPr>
        <w:footnoteRef/>
      </w:r>
      <w:r>
        <w:t xml:space="preserve"> Jf. Betænkning nr. 1520/2010, s. 380</w:t>
      </w:r>
    </w:p>
  </w:footnote>
  <w:footnote w:id="117">
    <w:p w14:paraId="4DD5243F" w14:textId="6E81A179" w:rsidR="00BC311C" w:rsidRDefault="00BC311C" w:rsidP="00532324">
      <w:pPr>
        <w:pStyle w:val="Fodnotetekst"/>
        <w:spacing w:line="240" w:lineRule="auto"/>
      </w:pPr>
      <w:r>
        <w:rPr>
          <w:rStyle w:val="Fodnotehenvisning"/>
        </w:rPr>
        <w:footnoteRef/>
      </w:r>
      <w:r>
        <w:t xml:space="preserve"> Jf. Betænkning nr. 1520/2010, s. 381</w:t>
      </w:r>
    </w:p>
  </w:footnote>
  <w:footnote w:id="118">
    <w:p w14:paraId="1D1E3316" w14:textId="171C996D" w:rsidR="00BC311C" w:rsidRDefault="00BC311C">
      <w:pPr>
        <w:pStyle w:val="Fodnotetekst"/>
      </w:pPr>
      <w:r>
        <w:rPr>
          <w:rStyle w:val="Fodnotehenvisning"/>
        </w:rPr>
        <w:footnoteRef/>
      </w:r>
      <w:r>
        <w:t xml:space="preserve"> Jf. Betænkning nr. 1276/1994, s. 215</w:t>
      </w:r>
    </w:p>
  </w:footnote>
  <w:footnote w:id="119">
    <w:p w14:paraId="32B0F0F8" w14:textId="4C71F17D" w:rsidR="00BC311C" w:rsidRDefault="00BC311C" w:rsidP="00522871">
      <w:pPr>
        <w:pStyle w:val="Fodnotetekst"/>
        <w:spacing w:line="240" w:lineRule="auto"/>
      </w:pPr>
      <w:r>
        <w:rPr>
          <w:rStyle w:val="Fodnotehenvisning"/>
        </w:rPr>
        <w:footnoteRef/>
      </w:r>
      <w:r>
        <w:t xml:space="preserve"> Jf. Betænkning nr. 1520/2010, s. 383</w:t>
      </w:r>
    </w:p>
  </w:footnote>
  <w:footnote w:id="120">
    <w:p w14:paraId="03416D7C" w14:textId="4A4A1536" w:rsidR="00BC311C" w:rsidRDefault="00BC311C" w:rsidP="00522871">
      <w:pPr>
        <w:pStyle w:val="Fodnotetekst"/>
        <w:spacing w:line="240" w:lineRule="auto"/>
      </w:pPr>
      <w:r>
        <w:rPr>
          <w:rStyle w:val="Fodnotehenvisning"/>
        </w:rPr>
        <w:footnoteRef/>
      </w:r>
      <w:r>
        <w:t xml:space="preserve"> Jf. Betænkning nr. 1520/2010, s. 383</w:t>
      </w:r>
    </w:p>
  </w:footnote>
  <w:footnote w:id="121">
    <w:p w14:paraId="2A7DB7CD" w14:textId="44D08F31" w:rsidR="00BC311C" w:rsidRDefault="00BC311C" w:rsidP="00284E28">
      <w:pPr>
        <w:pStyle w:val="Fodnotetekst"/>
        <w:spacing w:line="240" w:lineRule="auto"/>
      </w:pPr>
      <w:r>
        <w:rPr>
          <w:rStyle w:val="Fodnotehenvisning"/>
        </w:rPr>
        <w:footnoteRef/>
      </w:r>
      <w:r>
        <w:t xml:space="preserve"> Ved afslutningen af dette speciale har Justitsministeren ikke udarbejdet en ny bekendtgørelse om ejerskifteforsikringers dækningsomfang.</w:t>
      </w:r>
    </w:p>
  </w:footnote>
  <w:footnote w:id="122">
    <w:p w14:paraId="674F160B" w14:textId="4823FA98" w:rsidR="00BC311C" w:rsidRDefault="00BC311C" w:rsidP="001454E9">
      <w:pPr>
        <w:pStyle w:val="Fodnotetekst"/>
        <w:spacing w:line="240" w:lineRule="auto"/>
      </w:pPr>
      <w:r>
        <w:rPr>
          <w:rStyle w:val="Fodnotehenvisning"/>
        </w:rPr>
        <w:footnoteRef/>
      </w:r>
      <w:r>
        <w:t xml:space="preserve"> Afslagsbeføjelsen vil ikke blive genstand for nærmere gennemgang. At det kun er afslagsbef</w:t>
      </w:r>
      <w:r>
        <w:t>ø</w:t>
      </w:r>
      <w:r>
        <w:t>jelsen, der benævnes, begrundes i at erstatning og hævebeføjelsen kan støttes i andre af undtage</w:t>
      </w:r>
      <w:r>
        <w:t>l</w:t>
      </w:r>
      <w:r>
        <w:t>sesbestemmelserne i LFFE § 2, stk. 5.</w:t>
      </w:r>
    </w:p>
  </w:footnote>
  <w:footnote w:id="123">
    <w:p w14:paraId="6E9D0927" w14:textId="3F0C129A" w:rsidR="00BC311C" w:rsidRDefault="00BC311C" w:rsidP="00F22E71">
      <w:pPr>
        <w:pStyle w:val="Fodnotetekst"/>
        <w:spacing w:line="240" w:lineRule="auto"/>
      </w:pPr>
      <w:r>
        <w:rPr>
          <w:rStyle w:val="Fodnotehenvisning"/>
        </w:rPr>
        <w:footnoteRef/>
      </w:r>
      <w:r>
        <w:t xml:space="preserve"> Såfremt dette er tilfældet, vil forholdet skulle henføres til LFFE § 2, stk. 5, 2. pkt., som ikke er genstand for nærmere gennemgang.</w:t>
      </w:r>
    </w:p>
  </w:footnote>
  <w:footnote w:id="124">
    <w:p w14:paraId="1B78ECF4" w14:textId="77777777" w:rsidR="00BC311C" w:rsidRDefault="00BC311C" w:rsidP="00145EF9">
      <w:pPr>
        <w:pStyle w:val="Fodnotetekst"/>
        <w:spacing w:line="240" w:lineRule="auto"/>
      </w:pPr>
      <w:r>
        <w:rPr>
          <w:rStyle w:val="Fodnotehenvisning"/>
        </w:rPr>
        <w:footnoteRef/>
      </w:r>
      <w:r>
        <w:t xml:space="preserve"> Jf. Betænkning nr. 1520/2010, s. 59</w:t>
      </w:r>
    </w:p>
  </w:footnote>
  <w:footnote w:id="125">
    <w:p w14:paraId="7D71F525" w14:textId="45D9B641" w:rsidR="00BC311C" w:rsidRDefault="00BC311C" w:rsidP="00F22E71">
      <w:pPr>
        <w:pStyle w:val="Fodnotetekst"/>
        <w:spacing w:line="240" w:lineRule="auto"/>
      </w:pPr>
      <w:r>
        <w:rPr>
          <w:rStyle w:val="Fodnotehenvisning"/>
        </w:rPr>
        <w:footnoteRef/>
      </w:r>
      <w:r>
        <w:t xml:space="preserve"> Hvordan en forsikringssag foregår i det administrative system vil ikke blive genstand for nærm</w:t>
      </w:r>
      <w:r>
        <w:t>e</w:t>
      </w:r>
      <w:r>
        <w:t>re gennemgang.</w:t>
      </w:r>
    </w:p>
  </w:footnote>
  <w:footnote w:id="126">
    <w:p w14:paraId="1008F3E5" w14:textId="76D3F070" w:rsidR="00BC311C" w:rsidRDefault="00BC311C">
      <w:pPr>
        <w:pStyle w:val="Fodnotetekst"/>
      </w:pPr>
      <w:r>
        <w:rPr>
          <w:rStyle w:val="Fodnotehenvisning"/>
        </w:rPr>
        <w:footnoteRef/>
      </w:r>
      <w:r>
        <w:t xml:space="preserve"> Betænkning nr. 1520/2010, s. 95</w:t>
      </w:r>
    </w:p>
  </w:footnote>
  <w:footnote w:id="127">
    <w:p w14:paraId="670A7F8D" w14:textId="162CCCD6" w:rsidR="00BC311C" w:rsidRDefault="00BC311C" w:rsidP="00E80A41">
      <w:pPr>
        <w:pStyle w:val="Fodnotetekst"/>
        <w:spacing w:line="240" w:lineRule="auto"/>
      </w:pPr>
      <w:r>
        <w:rPr>
          <w:rStyle w:val="Fodnotehenvisning"/>
        </w:rPr>
        <w:footnoteRef/>
      </w:r>
      <w:r>
        <w:t xml:space="preserve"> Kravene vil ikke blive genstand for nærmere gennemgang, men der er blandt andet tale om at køber skal have lidt et tab, og at køber ikke har handlet svigagtigt.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F0E2" w14:textId="77777777" w:rsidR="00BC311C" w:rsidRDefault="00B47086">
    <w:pPr>
      <w:pStyle w:val="Sidehoved"/>
    </w:pPr>
    <w:sdt>
      <w:sdtPr>
        <w:id w:val="171999623"/>
        <w:temporary/>
        <w:showingPlcHdr/>
      </w:sdtPr>
      <w:sdtEndPr/>
      <w:sdtContent>
        <w:r w:rsidR="00BC311C">
          <w:t>[Skriv tekst]</w:t>
        </w:r>
      </w:sdtContent>
    </w:sdt>
    <w:r w:rsidR="00BC311C">
      <w:ptab w:relativeTo="margin" w:alignment="center" w:leader="none"/>
    </w:r>
    <w:sdt>
      <w:sdtPr>
        <w:id w:val="171999624"/>
        <w:temporary/>
        <w:showingPlcHdr/>
      </w:sdtPr>
      <w:sdtEndPr/>
      <w:sdtContent>
        <w:r w:rsidR="00BC311C">
          <w:t>[Skriv tekst]</w:t>
        </w:r>
      </w:sdtContent>
    </w:sdt>
    <w:r w:rsidR="00BC311C">
      <w:ptab w:relativeTo="margin" w:alignment="right" w:leader="none"/>
    </w:r>
    <w:sdt>
      <w:sdtPr>
        <w:id w:val="171999625"/>
        <w:temporary/>
        <w:showingPlcHdr/>
      </w:sdtPr>
      <w:sdtEndPr/>
      <w:sdtContent>
        <w:r w:rsidR="00BC311C">
          <w:t>[Skriv tekst]</w:t>
        </w:r>
      </w:sdtContent>
    </w:sdt>
  </w:p>
  <w:p w14:paraId="0B03F595" w14:textId="77777777" w:rsidR="00BC311C" w:rsidRDefault="00BC311C">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DE33" w14:textId="77777777" w:rsidR="00BC311C" w:rsidRDefault="00BC311C">
    <w:pPr>
      <w:pStyle w:val="Sidehoved"/>
    </w:pPr>
    <w:r>
      <w:ptab w:relativeTo="margin" w:alignment="center" w:leader="none"/>
    </w:r>
    <w:r>
      <w:ptab w:relativeTo="margin" w:alignment="right" w:leader="none"/>
    </w:r>
    <w:r>
      <w:t>Kandidatspeciale</w:t>
    </w:r>
  </w:p>
  <w:p w14:paraId="6A591035" w14:textId="77777777" w:rsidR="00BC311C" w:rsidRDefault="00BC311C">
    <w:pPr>
      <w:pStyle w:val="Sidehoved"/>
    </w:pPr>
    <w:r>
      <w:tab/>
    </w:r>
    <w:r>
      <w:tab/>
      <w:t>Udarbejdet af Jeanne Schou</w:t>
    </w:r>
  </w:p>
  <w:p w14:paraId="75CFBE9B" w14:textId="77777777" w:rsidR="00BC311C" w:rsidRDefault="00BC311C">
    <w:pPr>
      <w:pStyle w:val="Sidehoved"/>
    </w:pPr>
    <w:r>
      <w:tab/>
    </w:r>
    <w:r>
      <w:tab/>
      <w:t>Cand.jur., 2011, AAU</w:t>
    </w:r>
  </w:p>
  <w:p w14:paraId="3DD03C17" w14:textId="77777777" w:rsidR="00BC311C" w:rsidRDefault="00BC311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0F"/>
    <w:multiLevelType w:val="hybridMultilevel"/>
    <w:tmpl w:val="6080870E"/>
    <w:lvl w:ilvl="0" w:tplc="52CCB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3275C"/>
    <w:multiLevelType w:val="hybridMultilevel"/>
    <w:tmpl w:val="6C24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5E16"/>
    <w:multiLevelType w:val="hybridMultilevel"/>
    <w:tmpl w:val="53CE896A"/>
    <w:lvl w:ilvl="0" w:tplc="52CCB8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D18DA"/>
    <w:multiLevelType w:val="hybridMultilevel"/>
    <w:tmpl w:val="381CF584"/>
    <w:lvl w:ilvl="0" w:tplc="52CCB8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D0C65"/>
    <w:multiLevelType w:val="hybridMultilevel"/>
    <w:tmpl w:val="65640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44F65"/>
    <w:multiLevelType w:val="hybridMultilevel"/>
    <w:tmpl w:val="12CA3F02"/>
    <w:lvl w:ilvl="0" w:tplc="52CCB8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85666"/>
    <w:multiLevelType w:val="hybridMultilevel"/>
    <w:tmpl w:val="BDCCD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B6405"/>
    <w:multiLevelType w:val="hybridMultilevel"/>
    <w:tmpl w:val="B5B8FE46"/>
    <w:lvl w:ilvl="0" w:tplc="52CCB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1A"/>
    <w:rsid w:val="00003689"/>
    <w:rsid w:val="00003A3F"/>
    <w:rsid w:val="0000429C"/>
    <w:rsid w:val="00005F23"/>
    <w:rsid w:val="00007047"/>
    <w:rsid w:val="000100B6"/>
    <w:rsid w:val="00022322"/>
    <w:rsid w:val="00024509"/>
    <w:rsid w:val="0002516C"/>
    <w:rsid w:val="00032A41"/>
    <w:rsid w:val="00032F5F"/>
    <w:rsid w:val="00041204"/>
    <w:rsid w:val="000426A5"/>
    <w:rsid w:val="0004315D"/>
    <w:rsid w:val="000443A8"/>
    <w:rsid w:val="00044E6A"/>
    <w:rsid w:val="00045FC2"/>
    <w:rsid w:val="000473F1"/>
    <w:rsid w:val="00050992"/>
    <w:rsid w:val="00051425"/>
    <w:rsid w:val="00053F7E"/>
    <w:rsid w:val="00063B11"/>
    <w:rsid w:val="00064351"/>
    <w:rsid w:val="00072141"/>
    <w:rsid w:val="00074380"/>
    <w:rsid w:val="00077727"/>
    <w:rsid w:val="00080318"/>
    <w:rsid w:val="00080573"/>
    <w:rsid w:val="00084953"/>
    <w:rsid w:val="00091FB6"/>
    <w:rsid w:val="00096399"/>
    <w:rsid w:val="000A2073"/>
    <w:rsid w:val="000A30D2"/>
    <w:rsid w:val="000A3545"/>
    <w:rsid w:val="000A7DA4"/>
    <w:rsid w:val="000B0447"/>
    <w:rsid w:val="000C41C9"/>
    <w:rsid w:val="000C5AD1"/>
    <w:rsid w:val="000D4C7A"/>
    <w:rsid w:val="000D68A0"/>
    <w:rsid w:val="000E31BE"/>
    <w:rsid w:val="000E3359"/>
    <w:rsid w:val="000F05ED"/>
    <w:rsid w:val="000F44C2"/>
    <w:rsid w:val="000F48FD"/>
    <w:rsid w:val="000F4C52"/>
    <w:rsid w:val="000F55C8"/>
    <w:rsid w:val="0011708C"/>
    <w:rsid w:val="001174CF"/>
    <w:rsid w:val="0012339D"/>
    <w:rsid w:val="001234E6"/>
    <w:rsid w:val="00123FF6"/>
    <w:rsid w:val="001249EF"/>
    <w:rsid w:val="001309E8"/>
    <w:rsid w:val="0013743C"/>
    <w:rsid w:val="00144493"/>
    <w:rsid w:val="001454E9"/>
    <w:rsid w:val="00145EF9"/>
    <w:rsid w:val="00145F57"/>
    <w:rsid w:val="00156231"/>
    <w:rsid w:val="00156D0E"/>
    <w:rsid w:val="00157FFD"/>
    <w:rsid w:val="001629CD"/>
    <w:rsid w:val="00163063"/>
    <w:rsid w:val="00163C5D"/>
    <w:rsid w:val="00165365"/>
    <w:rsid w:val="001655DD"/>
    <w:rsid w:val="00166399"/>
    <w:rsid w:val="00167343"/>
    <w:rsid w:val="0017482D"/>
    <w:rsid w:val="00174C87"/>
    <w:rsid w:val="001801C6"/>
    <w:rsid w:val="00183638"/>
    <w:rsid w:val="00183C72"/>
    <w:rsid w:val="00183CEE"/>
    <w:rsid w:val="001855A2"/>
    <w:rsid w:val="001926D3"/>
    <w:rsid w:val="00192AFE"/>
    <w:rsid w:val="001936CC"/>
    <w:rsid w:val="001976AD"/>
    <w:rsid w:val="001A46A7"/>
    <w:rsid w:val="001A79AD"/>
    <w:rsid w:val="001B0D65"/>
    <w:rsid w:val="001B14FE"/>
    <w:rsid w:val="001B1B39"/>
    <w:rsid w:val="001B237A"/>
    <w:rsid w:val="001B59C1"/>
    <w:rsid w:val="001B779E"/>
    <w:rsid w:val="001C0B71"/>
    <w:rsid w:val="001C1023"/>
    <w:rsid w:val="001C49C7"/>
    <w:rsid w:val="001C7F06"/>
    <w:rsid w:val="001D2C21"/>
    <w:rsid w:val="001D686E"/>
    <w:rsid w:val="001E5A9C"/>
    <w:rsid w:val="001E7532"/>
    <w:rsid w:val="001F0C50"/>
    <w:rsid w:val="001F1D06"/>
    <w:rsid w:val="001F4D25"/>
    <w:rsid w:val="001F5531"/>
    <w:rsid w:val="002004B9"/>
    <w:rsid w:val="00200ED0"/>
    <w:rsid w:val="0020194D"/>
    <w:rsid w:val="0020405E"/>
    <w:rsid w:val="00210328"/>
    <w:rsid w:val="00210B53"/>
    <w:rsid w:val="002118B7"/>
    <w:rsid w:val="00216ACF"/>
    <w:rsid w:val="002262FE"/>
    <w:rsid w:val="00226F79"/>
    <w:rsid w:val="002351A3"/>
    <w:rsid w:val="00242E62"/>
    <w:rsid w:val="002460AB"/>
    <w:rsid w:val="00257801"/>
    <w:rsid w:val="002624C8"/>
    <w:rsid w:val="00266ADC"/>
    <w:rsid w:val="00271894"/>
    <w:rsid w:val="00274C35"/>
    <w:rsid w:val="00276CFA"/>
    <w:rsid w:val="002776F3"/>
    <w:rsid w:val="00277BCA"/>
    <w:rsid w:val="0028198E"/>
    <w:rsid w:val="00284E28"/>
    <w:rsid w:val="00285484"/>
    <w:rsid w:val="00292955"/>
    <w:rsid w:val="0029372D"/>
    <w:rsid w:val="002A004B"/>
    <w:rsid w:val="002A28E8"/>
    <w:rsid w:val="002A7D3D"/>
    <w:rsid w:val="002A7FA7"/>
    <w:rsid w:val="002B70E7"/>
    <w:rsid w:val="002C369F"/>
    <w:rsid w:val="002C5B39"/>
    <w:rsid w:val="002C7E9C"/>
    <w:rsid w:val="002D1DEF"/>
    <w:rsid w:val="002D437B"/>
    <w:rsid w:val="002E0594"/>
    <w:rsid w:val="002E0BB7"/>
    <w:rsid w:val="002E18AA"/>
    <w:rsid w:val="002E5549"/>
    <w:rsid w:val="002E669A"/>
    <w:rsid w:val="002F17C5"/>
    <w:rsid w:val="003011AF"/>
    <w:rsid w:val="003100C8"/>
    <w:rsid w:val="003109F0"/>
    <w:rsid w:val="00312DFA"/>
    <w:rsid w:val="00327597"/>
    <w:rsid w:val="00330617"/>
    <w:rsid w:val="00332079"/>
    <w:rsid w:val="00335547"/>
    <w:rsid w:val="00336B0A"/>
    <w:rsid w:val="00342557"/>
    <w:rsid w:val="003432EB"/>
    <w:rsid w:val="00353D0D"/>
    <w:rsid w:val="00361834"/>
    <w:rsid w:val="003626CC"/>
    <w:rsid w:val="00363F44"/>
    <w:rsid w:val="003678C4"/>
    <w:rsid w:val="003701C4"/>
    <w:rsid w:val="003722FD"/>
    <w:rsid w:val="00376F32"/>
    <w:rsid w:val="0038614F"/>
    <w:rsid w:val="003873C0"/>
    <w:rsid w:val="0039125D"/>
    <w:rsid w:val="00395514"/>
    <w:rsid w:val="003A022A"/>
    <w:rsid w:val="003A1170"/>
    <w:rsid w:val="003A187E"/>
    <w:rsid w:val="003A23D3"/>
    <w:rsid w:val="003A4839"/>
    <w:rsid w:val="003A55E5"/>
    <w:rsid w:val="003A6694"/>
    <w:rsid w:val="003B02DD"/>
    <w:rsid w:val="003B06E5"/>
    <w:rsid w:val="003B572F"/>
    <w:rsid w:val="003B5BF6"/>
    <w:rsid w:val="003D248F"/>
    <w:rsid w:val="003D327B"/>
    <w:rsid w:val="003D6E43"/>
    <w:rsid w:val="003D7E0F"/>
    <w:rsid w:val="003E119B"/>
    <w:rsid w:val="003E2570"/>
    <w:rsid w:val="003E2664"/>
    <w:rsid w:val="003E530A"/>
    <w:rsid w:val="003F0EA7"/>
    <w:rsid w:val="003F213C"/>
    <w:rsid w:val="003F295E"/>
    <w:rsid w:val="003F4F28"/>
    <w:rsid w:val="003F71CC"/>
    <w:rsid w:val="003F76DF"/>
    <w:rsid w:val="0040042E"/>
    <w:rsid w:val="00403C6B"/>
    <w:rsid w:val="0041345D"/>
    <w:rsid w:val="004144C3"/>
    <w:rsid w:val="00414F97"/>
    <w:rsid w:val="00415AEB"/>
    <w:rsid w:val="0041799C"/>
    <w:rsid w:val="0042561D"/>
    <w:rsid w:val="004272A8"/>
    <w:rsid w:val="0043716A"/>
    <w:rsid w:val="004372C6"/>
    <w:rsid w:val="004404D8"/>
    <w:rsid w:val="00441B7C"/>
    <w:rsid w:val="004426CC"/>
    <w:rsid w:val="004436A5"/>
    <w:rsid w:val="00443A3A"/>
    <w:rsid w:val="00451F6C"/>
    <w:rsid w:val="004540FD"/>
    <w:rsid w:val="00454A51"/>
    <w:rsid w:val="004550E6"/>
    <w:rsid w:val="0045760A"/>
    <w:rsid w:val="0046155A"/>
    <w:rsid w:val="004643A5"/>
    <w:rsid w:val="004666AB"/>
    <w:rsid w:val="00475093"/>
    <w:rsid w:val="00477C5D"/>
    <w:rsid w:val="004800A5"/>
    <w:rsid w:val="004818D3"/>
    <w:rsid w:val="004830EB"/>
    <w:rsid w:val="00484985"/>
    <w:rsid w:val="0048794D"/>
    <w:rsid w:val="004920B5"/>
    <w:rsid w:val="0049281B"/>
    <w:rsid w:val="00497A36"/>
    <w:rsid w:val="004A335C"/>
    <w:rsid w:val="004A729B"/>
    <w:rsid w:val="004A7C52"/>
    <w:rsid w:val="004B1D6C"/>
    <w:rsid w:val="004B20A6"/>
    <w:rsid w:val="004B7147"/>
    <w:rsid w:val="004C31BC"/>
    <w:rsid w:val="004C7400"/>
    <w:rsid w:val="004D37C0"/>
    <w:rsid w:val="004D69D5"/>
    <w:rsid w:val="004D6D2A"/>
    <w:rsid w:val="004E15CF"/>
    <w:rsid w:val="004E7413"/>
    <w:rsid w:val="004F2AEA"/>
    <w:rsid w:val="004F30F3"/>
    <w:rsid w:val="004F575E"/>
    <w:rsid w:val="004F7B1D"/>
    <w:rsid w:val="00504781"/>
    <w:rsid w:val="005075C3"/>
    <w:rsid w:val="00520D1A"/>
    <w:rsid w:val="00522871"/>
    <w:rsid w:val="00530F1C"/>
    <w:rsid w:val="00532324"/>
    <w:rsid w:val="00534555"/>
    <w:rsid w:val="005348CC"/>
    <w:rsid w:val="00536955"/>
    <w:rsid w:val="00536C19"/>
    <w:rsid w:val="0054034F"/>
    <w:rsid w:val="005418A1"/>
    <w:rsid w:val="00541CDE"/>
    <w:rsid w:val="00543F6D"/>
    <w:rsid w:val="00544B8D"/>
    <w:rsid w:val="005526D0"/>
    <w:rsid w:val="00556067"/>
    <w:rsid w:val="00557F90"/>
    <w:rsid w:val="00560BDB"/>
    <w:rsid w:val="0056304D"/>
    <w:rsid w:val="00564687"/>
    <w:rsid w:val="00566D42"/>
    <w:rsid w:val="005673B7"/>
    <w:rsid w:val="005700B5"/>
    <w:rsid w:val="0057108E"/>
    <w:rsid w:val="005718B3"/>
    <w:rsid w:val="005726CC"/>
    <w:rsid w:val="00582A6F"/>
    <w:rsid w:val="00583AC9"/>
    <w:rsid w:val="005840CD"/>
    <w:rsid w:val="005948CF"/>
    <w:rsid w:val="00595075"/>
    <w:rsid w:val="00597317"/>
    <w:rsid w:val="005A24CB"/>
    <w:rsid w:val="005A544C"/>
    <w:rsid w:val="005B33FD"/>
    <w:rsid w:val="005B404F"/>
    <w:rsid w:val="005B7D6B"/>
    <w:rsid w:val="005C7345"/>
    <w:rsid w:val="005D5033"/>
    <w:rsid w:val="005D57C9"/>
    <w:rsid w:val="005D69B7"/>
    <w:rsid w:val="005E0CDF"/>
    <w:rsid w:val="005E24F7"/>
    <w:rsid w:val="005F3936"/>
    <w:rsid w:val="005F5A3B"/>
    <w:rsid w:val="00604106"/>
    <w:rsid w:val="00606B23"/>
    <w:rsid w:val="0060700E"/>
    <w:rsid w:val="00617DEC"/>
    <w:rsid w:val="006258A8"/>
    <w:rsid w:val="00632F25"/>
    <w:rsid w:val="0063373B"/>
    <w:rsid w:val="00637BE2"/>
    <w:rsid w:val="0064051E"/>
    <w:rsid w:val="006405D3"/>
    <w:rsid w:val="006517DC"/>
    <w:rsid w:val="00651F28"/>
    <w:rsid w:val="0065299C"/>
    <w:rsid w:val="00652BAC"/>
    <w:rsid w:val="00653156"/>
    <w:rsid w:val="00654E11"/>
    <w:rsid w:val="0066418A"/>
    <w:rsid w:val="006644A8"/>
    <w:rsid w:val="006647C1"/>
    <w:rsid w:val="00664872"/>
    <w:rsid w:val="0066579C"/>
    <w:rsid w:val="006664A9"/>
    <w:rsid w:val="006666D6"/>
    <w:rsid w:val="00666FFD"/>
    <w:rsid w:val="006679D2"/>
    <w:rsid w:val="00667CFC"/>
    <w:rsid w:val="00672663"/>
    <w:rsid w:val="0067698A"/>
    <w:rsid w:val="006779B8"/>
    <w:rsid w:val="00690303"/>
    <w:rsid w:val="0069076A"/>
    <w:rsid w:val="0069076E"/>
    <w:rsid w:val="00690B7B"/>
    <w:rsid w:val="00690BA5"/>
    <w:rsid w:val="006944BA"/>
    <w:rsid w:val="00694C8E"/>
    <w:rsid w:val="006B011D"/>
    <w:rsid w:val="006B0A95"/>
    <w:rsid w:val="006B1527"/>
    <w:rsid w:val="006B4A7A"/>
    <w:rsid w:val="006B5628"/>
    <w:rsid w:val="006C6296"/>
    <w:rsid w:val="006C63C9"/>
    <w:rsid w:val="006D03EA"/>
    <w:rsid w:val="006D0FCC"/>
    <w:rsid w:val="006D716B"/>
    <w:rsid w:val="006E0B23"/>
    <w:rsid w:val="006E2B76"/>
    <w:rsid w:val="006E4CB1"/>
    <w:rsid w:val="006E7C59"/>
    <w:rsid w:val="006F0E97"/>
    <w:rsid w:val="006F2942"/>
    <w:rsid w:val="006F348F"/>
    <w:rsid w:val="006F5F4B"/>
    <w:rsid w:val="007050DB"/>
    <w:rsid w:val="007063D1"/>
    <w:rsid w:val="0071575C"/>
    <w:rsid w:val="007206D1"/>
    <w:rsid w:val="00721876"/>
    <w:rsid w:val="00727B98"/>
    <w:rsid w:val="00730D12"/>
    <w:rsid w:val="007310AC"/>
    <w:rsid w:val="00731D37"/>
    <w:rsid w:val="00733B63"/>
    <w:rsid w:val="0073425C"/>
    <w:rsid w:val="00734413"/>
    <w:rsid w:val="00736998"/>
    <w:rsid w:val="00743238"/>
    <w:rsid w:val="00745501"/>
    <w:rsid w:val="00747D07"/>
    <w:rsid w:val="00756D7D"/>
    <w:rsid w:val="00760AC1"/>
    <w:rsid w:val="00765877"/>
    <w:rsid w:val="00765D4D"/>
    <w:rsid w:val="00767E0D"/>
    <w:rsid w:val="00772E53"/>
    <w:rsid w:val="00781A41"/>
    <w:rsid w:val="00782517"/>
    <w:rsid w:val="00783CFB"/>
    <w:rsid w:val="00790C8B"/>
    <w:rsid w:val="007932E5"/>
    <w:rsid w:val="00795076"/>
    <w:rsid w:val="007977BC"/>
    <w:rsid w:val="007A1786"/>
    <w:rsid w:val="007A3CAA"/>
    <w:rsid w:val="007A7712"/>
    <w:rsid w:val="007A7785"/>
    <w:rsid w:val="007B25D7"/>
    <w:rsid w:val="007B2F57"/>
    <w:rsid w:val="007B4B75"/>
    <w:rsid w:val="007B50AB"/>
    <w:rsid w:val="007B6DED"/>
    <w:rsid w:val="007C0C1D"/>
    <w:rsid w:val="007C2A03"/>
    <w:rsid w:val="007C539A"/>
    <w:rsid w:val="007D337D"/>
    <w:rsid w:val="007D7D40"/>
    <w:rsid w:val="007E2E27"/>
    <w:rsid w:val="007F2A4B"/>
    <w:rsid w:val="007F41B3"/>
    <w:rsid w:val="007F6E1D"/>
    <w:rsid w:val="008030DA"/>
    <w:rsid w:val="008042B7"/>
    <w:rsid w:val="008049CA"/>
    <w:rsid w:val="00807DCC"/>
    <w:rsid w:val="00816F5D"/>
    <w:rsid w:val="008177C4"/>
    <w:rsid w:val="008202BC"/>
    <w:rsid w:val="00822F85"/>
    <w:rsid w:val="00825BF5"/>
    <w:rsid w:val="008260DD"/>
    <w:rsid w:val="0083023D"/>
    <w:rsid w:val="00830803"/>
    <w:rsid w:val="008334F9"/>
    <w:rsid w:val="00837A4E"/>
    <w:rsid w:val="00837FF5"/>
    <w:rsid w:val="008521F0"/>
    <w:rsid w:val="00852369"/>
    <w:rsid w:val="00857324"/>
    <w:rsid w:val="008710B6"/>
    <w:rsid w:val="00871474"/>
    <w:rsid w:val="00871DBF"/>
    <w:rsid w:val="00874421"/>
    <w:rsid w:val="00876101"/>
    <w:rsid w:val="008778BB"/>
    <w:rsid w:val="00881BA5"/>
    <w:rsid w:val="00882A8A"/>
    <w:rsid w:val="008832AD"/>
    <w:rsid w:val="0088591B"/>
    <w:rsid w:val="00891030"/>
    <w:rsid w:val="008927FC"/>
    <w:rsid w:val="008966A0"/>
    <w:rsid w:val="008A235F"/>
    <w:rsid w:val="008A2CB5"/>
    <w:rsid w:val="008A3FC5"/>
    <w:rsid w:val="008A6BF6"/>
    <w:rsid w:val="008A7096"/>
    <w:rsid w:val="008B0877"/>
    <w:rsid w:val="008C4DA7"/>
    <w:rsid w:val="008D09DA"/>
    <w:rsid w:val="008D59A6"/>
    <w:rsid w:val="008E1EA1"/>
    <w:rsid w:val="008F1482"/>
    <w:rsid w:val="00903F6E"/>
    <w:rsid w:val="0090558E"/>
    <w:rsid w:val="00907068"/>
    <w:rsid w:val="0091075D"/>
    <w:rsid w:val="00910BEB"/>
    <w:rsid w:val="00913C7A"/>
    <w:rsid w:val="0092236E"/>
    <w:rsid w:val="00927381"/>
    <w:rsid w:val="00931F84"/>
    <w:rsid w:val="009328CB"/>
    <w:rsid w:val="00933411"/>
    <w:rsid w:val="00937C04"/>
    <w:rsid w:val="009400CB"/>
    <w:rsid w:val="00941877"/>
    <w:rsid w:val="009435AD"/>
    <w:rsid w:val="00943D9D"/>
    <w:rsid w:val="00944769"/>
    <w:rsid w:val="009452AC"/>
    <w:rsid w:val="009454DE"/>
    <w:rsid w:val="00950C3E"/>
    <w:rsid w:val="00951AF0"/>
    <w:rsid w:val="00961CD8"/>
    <w:rsid w:val="009725AA"/>
    <w:rsid w:val="0097571B"/>
    <w:rsid w:val="009760E8"/>
    <w:rsid w:val="00980315"/>
    <w:rsid w:val="009850A2"/>
    <w:rsid w:val="00986844"/>
    <w:rsid w:val="009877FF"/>
    <w:rsid w:val="009950FB"/>
    <w:rsid w:val="009979D5"/>
    <w:rsid w:val="009A49A7"/>
    <w:rsid w:val="009A5F5C"/>
    <w:rsid w:val="009A61F8"/>
    <w:rsid w:val="009B224F"/>
    <w:rsid w:val="009B742C"/>
    <w:rsid w:val="009B791F"/>
    <w:rsid w:val="009B7A7E"/>
    <w:rsid w:val="009B7C23"/>
    <w:rsid w:val="009C0189"/>
    <w:rsid w:val="009C0372"/>
    <w:rsid w:val="009C29DC"/>
    <w:rsid w:val="009D021A"/>
    <w:rsid w:val="009D0254"/>
    <w:rsid w:val="009D1F55"/>
    <w:rsid w:val="009D2DB9"/>
    <w:rsid w:val="009D3C37"/>
    <w:rsid w:val="009E1C1B"/>
    <w:rsid w:val="009E1F45"/>
    <w:rsid w:val="009E3AFC"/>
    <w:rsid w:val="009E5160"/>
    <w:rsid w:val="009F04EE"/>
    <w:rsid w:val="009F4BED"/>
    <w:rsid w:val="009F5E05"/>
    <w:rsid w:val="00A0263F"/>
    <w:rsid w:val="00A071CD"/>
    <w:rsid w:val="00A116E3"/>
    <w:rsid w:val="00A14EF0"/>
    <w:rsid w:val="00A1604F"/>
    <w:rsid w:val="00A162EB"/>
    <w:rsid w:val="00A16BC6"/>
    <w:rsid w:val="00A16EAE"/>
    <w:rsid w:val="00A2225F"/>
    <w:rsid w:val="00A2293D"/>
    <w:rsid w:val="00A22D99"/>
    <w:rsid w:val="00A238F9"/>
    <w:rsid w:val="00A24915"/>
    <w:rsid w:val="00A25B4A"/>
    <w:rsid w:val="00A265C4"/>
    <w:rsid w:val="00A27B76"/>
    <w:rsid w:val="00A30292"/>
    <w:rsid w:val="00A3065F"/>
    <w:rsid w:val="00A36F90"/>
    <w:rsid w:val="00A51029"/>
    <w:rsid w:val="00A51C1C"/>
    <w:rsid w:val="00A54682"/>
    <w:rsid w:val="00A56F45"/>
    <w:rsid w:val="00A57AB5"/>
    <w:rsid w:val="00A6006C"/>
    <w:rsid w:val="00A65D3B"/>
    <w:rsid w:val="00A679F0"/>
    <w:rsid w:val="00A73AC0"/>
    <w:rsid w:val="00A76084"/>
    <w:rsid w:val="00A82A22"/>
    <w:rsid w:val="00A85C3F"/>
    <w:rsid w:val="00A90B40"/>
    <w:rsid w:val="00A90EDC"/>
    <w:rsid w:val="00A93102"/>
    <w:rsid w:val="00A94077"/>
    <w:rsid w:val="00A9419F"/>
    <w:rsid w:val="00A95F4E"/>
    <w:rsid w:val="00A970A9"/>
    <w:rsid w:val="00AA295B"/>
    <w:rsid w:val="00AA76DD"/>
    <w:rsid w:val="00AB1090"/>
    <w:rsid w:val="00AB733F"/>
    <w:rsid w:val="00AC1252"/>
    <w:rsid w:val="00AC255A"/>
    <w:rsid w:val="00AC52BB"/>
    <w:rsid w:val="00AD247B"/>
    <w:rsid w:val="00AD5C2B"/>
    <w:rsid w:val="00AE0521"/>
    <w:rsid w:val="00AE1A2E"/>
    <w:rsid w:val="00AF533C"/>
    <w:rsid w:val="00AF56A4"/>
    <w:rsid w:val="00B02A38"/>
    <w:rsid w:val="00B10EA7"/>
    <w:rsid w:val="00B16844"/>
    <w:rsid w:val="00B21D32"/>
    <w:rsid w:val="00B225F3"/>
    <w:rsid w:val="00B23887"/>
    <w:rsid w:val="00B240B5"/>
    <w:rsid w:val="00B25253"/>
    <w:rsid w:val="00B2565C"/>
    <w:rsid w:val="00B25983"/>
    <w:rsid w:val="00B3066A"/>
    <w:rsid w:val="00B320BB"/>
    <w:rsid w:val="00B43C68"/>
    <w:rsid w:val="00B47086"/>
    <w:rsid w:val="00B51DB0"/>
    <w:rsid w:val="00B523B0"/>
    <w:rsid w:val="00B54975"/>
    <w:rsid w:val="00B56745"/>
    <w:rsid w:val="00B61127"/>
    <w:rsid w:val="00B67EF5"/>
    <w:rsid w:val="00B750E0"/>
    <w:rsid w:val="00B76AAA"/>
    <w:rsid w:val="00B8130A"/>
    <w:rsid w:val="00B84E4B"/>
    <w:rsid w:val="00B85B84"/>
    <w:rsid w:val="00B8713E"/>
    <w:rsid w:val="00B9011C"/>
    <w:rsid w:val="00B972CF"/>
    <w:rsid w:val="00BA20B8"/>
    <w:rsid w:val="00BA307E"/>
    <w:rsid w:val="00BA3098"/>
    <w:rsid w:val="00BA3243"/>
    <w:rsid w:val="00BA4393"/>
    <w:rsid w:val="00BA53BC"/>
    <w:rsid w:val="00BA55BA"/>
    <w:rsid w:val="00BA57D5"/>
    <w:rsid w:val="00BB0B69"/>
    <w:rsid w:val="00BB299A"/>
    <w:rsid w:val="00BB3980"/>
    <w:rsid w:val="00BB52E3"/>
    <w:rsid w:val="00BC2977"/>
    <w:rsid w:val="00BC311C"/>
    <w:rsid w:val="00BC3AC6"/>
    <w:rsid w:val="00BC4717"/>
    <w:rsid w:val="00BC49D2"/>
    <w:rsid w:val="00BC6569"/>
    <w:rsid w:val="00BD1192"/>
    <w:rsid w:val="00BD508E"/>
    <w:rsid w:val="00BD683B"/>
    <w:rsid w:val="00BE2907"/>
    <w:rsid w:val="00BE4E8E"/>
    <w:rsid w:val="00BE75AE"/>
    <w:rsid w:val="00BF188A"/>
    <w:rsid w:val="00BF5A60"/>
    <w:rsid w:val="00BF6C90"/>
    <w:rsid w:val="00C0063D"/>
    <w:rsid w:val="00C023B2"/>
    <w:rsid w:val="00C05246"/>
    <w:rsid w:val="00C054AD"/>
    <w:rsid w:val="00C06310"/>
    <w:rsid w:val="00C07AFF"/>
    <w:rsid w:val="00C13F3C"/>
    <w:rsid w:val="00C241BA"/>
    <w:rsid w:val="00C25F60"/>
    <w:rsid w:val="00C27EF5"/>
    <w:rsid w:val="00C300DF"/>
    <w:rsid w:val="00C30798"/>
    <w:rsid w:val="00C34556"/>
    <w:rsid w:val="00C37822"/>
    <w:rsid w:val="00C4007D"/>
    <w:rsid w:val="00C418ED"/>
    <w:rsid w:val="00C42E35"/>
    <w:rsid w:val="00C45000"/>
    <w:rsid w:val="00C4516B"/>
    <w:rsid w:val="00C464D3"/>
    <w:rsid w:val="00C501DD"/>
    <w:rsid w:val="00C50D6D"/>
    <w:rsid w:val="00C52887"/>
    <w:rsid w:val="00C56BBB"/>
    <w:rsid w:val="00C653A3"/>
    <w:rsid w:val="00C70309"/>
    <w:rsid w:val="00C7299F"/>
    <w:rsid w:val="00C739CF"/>
    <w:rsid w:val="00C75E21"/>
    <w:rsid w:val="00C85E8A"/>
    <w:rsid w:val="00C86005"/>
    <w:rsid w:val="00C87549"/>
    <w:rsid w:val="00C90A23"/>
    <w:rsid w:val="00C90B32"/>
    <w:rsid w:val="00C919FD"/>
    <w:rsid w:val="00C923D2"/>
    <w:rsid w:val="00C94F91"/>
    <w:rsid w:val="00CA2BA8"/>
    <w:rsid w:val="00CA3284"/>
    <w:rsid w:val="00CA664E"/>
    <w:rsid w:val="00CA6D50"/>
    <w:rsid w:val="00CC55DE"/>
    <w:rsid w:val="00CC7242"/>
    <w:rsid w:val="00CC73CC"/>
    <w:rsid w:val="00CD2151"/>
    <w:rsid w:val="00CD3F50"/>
    <w:rsid w:val="00CD5203"/>
    <w:rsid w:val="00CE06AB"/>
    <w:rsid w:val="00CE0DF2"/>
    <w:rsid w:val="00CF4C77"/>
    <w:rsid w:val="00CF687C"/>
    <w:rsid w:val="00CF6D3B"/>
    <w:rsid w:val="00CF70B5"/>
    <w:rsid w:val="00D129E0"/>
    <w:rsid w:val="00D14C2D"/>
    <w:rsid w:val="00D16B0E"/>
    <w:rsid w:val="00D21C1E"/>
    <w:rsid w:val="00D2318A"/>
    <w:rsid w:val="00D263B5"/>
    <w:rsid w:val="00D30382"/>
    <w:rsid w:val="00D31324"/>
    <w:rsid w:val="00D32446"/>
    <w:rsid w:val="00D352FC"/>
    <w:rsid w:val="00D36DA1"/>
    <w:rsid w:val="00D37D61"/>
    <w:rsid w:val="00D401CB"/>
    <w:rsid w:val="00D4292E"/>
    <w:rsid w:val="00D42F82"/>
    <w:rsid w:val="00D45029"/>
    <w:rsid w:val="00D460A2"/>
    <w:rsid w:val="00D53BD0"/>
    <w:rsid w:val="00D566EE"/>
    <w:rsid w:val="00D6075F"/>
    <w:rsid w:val="00D638D8"/>
    <w:rsid w:val="00D65EDA"/>
    <w:rsid w:val="00D7025C"/>
    <w:rsid w:val="00D71468"/>
    <w:rsid w:val="00D80812"/>
    <w:rsid w:val="00D81A8E"/>
    <w:rsid w:val="00D82969"/>
    <w:rsid w:val="00D8471C"/>
    <w:rsid w:val="00D84D75"/>
    <w:rsid w:val="00D85835"/>
    <w:rsid w:val="00D8624B"/>
    <w:rsid w:val="00D90465"/>
    <w:rsid w:val="00D9417C"/>
    <w:rsid w:val="00DA1E67"/>
    <w:rsid w:val="00DA2AA0"/>
    <w:rsid w:val="00DA2BB4"/>
    <w:rsid w:val="00DA7CEF"/>
    <w:rsid w:val="00DB0355"/>
    <w:rsid w:val="00DB09FA"/>
    <w:rsid w:val="00DB41AB"/>
    <w:rsid w:val="00DC0EAE"/>
    <w:rsid w:val="00DC0EF1"/>
    <w:rsid w:val="00DC27EF"/>
    <w:rsid w:val="00DC2C0B"/>
    <w:rsid w:val="00DC5674"/>
    <w:rsid w:val="00DC7017"/>
    <w:rsid w:val="00DD0FB1"/>
    <w:rsid w:val="00DD22A1"/>
    <w:rsid w:val="00DD2B01"/>
    <w:rsid w:val="00DD3AEB"/>
    <w:rsid w:val="00DE0313"/>
    <w:rsid w:val="00DE1BF5"/>
    <w:rsid w:val="00DE3DD2"/>
    <w:rsid w:val="00DE47D6"/>
    <w:rsid w:val="00DE5A39"/>
    <w:rsid w:val="00DE7211"/>
    <w:rsid w:val="00DF61E5"/>
    <w:rsid w:val="00DF6FCE"/>
    <w:rsid w:val="00E01B57"/>
    <w:rsid w:val="00E079AA"/>
    <w:rsid w:val="00E07BAF"/>
    <w:rsid w:val="00E07E45"/>
    <w:rsid w:val="00E100E2"/>
    <w:rsid w:val="00E12C46"/>
    <w:rsid w:val="00E133D3"/>
    <w:rsid w:val="00E213F7"/>
    <w:rsid w:val="00E221CD"/>
    <w:rsid w:val="00E23BE0"/>
    <w:rsid w:val="00E24743"/>
    <w:rsid w:val="00E25023"/>
    <w:rsid w:val="00E25284"/>
    <w:rsid w:val="00E266ED"/>
    <w:rsid w:val="00E30074"/>
    <w:rsid w:val="00E30A5C"/>
    <w:rsid w:val="00E31C6C"/>
    <w:rsid w:val="00E32721"/>
    <w:rsid w:val="00E32920"/>
    <w:rsid w:val="00E32FDE"/>
    <w:rsid w:val="00E34169"/>
    <w:rsid w:val="00E3723B"/>
    <w:rsid w:val="00E3784A"/>
    <w:rsid w:val="00E37FF6"/>
    <w:rsid w:val="00E44313"/>
    <w:rsid w:val="00E45144"/>
    <w:rsid w:val="00E47794"/>
    <w:rsid w:val="00E55CE1"/>
    <w:rsid w:val="00E57D0C"/>
    <w:rsid w:val="00E638E9"/>
    <w:rsid w:val="00E638EC"/>
    <w:rsid w:val="00E66A2E"/>
    <w:rsid w:val="00E70408"/>
    <w:rsid w:val="00E74891"/>
    <w:rsid w:val="00E80A41"/>
    <w:rsid w:val="00E830C3"/>
    <w:rsid w:val="00E85506"/>
    <w:rsid w:val="00E85A02"/>
    <w:rsid w:val="00E86F2A"/>
    <w:rsid w:val="00E923E1"/>
    <w:rsid w:val="00E94222"/>
    <w:rsid w:val="00EA2646"/>
    <w:rsid w:val="00EA4943"/>
    <w:rsid w:val="00EA62EB"/>
    <w:rsid w:val="00EB7CEB"/>
    <w:rsid w:val="00EC73EA"/>
    <w:rsid w:val="00ED538C"/>
    <w:rsid w:val="00ED5BD3"/>
    <w:rsid w:val="00ED74A0"/>
    <w:rsid w:val="00EE0B9D"/>
    <w:rsid w:val="00EE3AAD"/>
    <w:rsid w:val="00EE59F0"/>
    <w:rsid w:val="00EE6E13"/>
    <w:rsid w:val="00EF7511"/>
    <w:rsid w:val="00F01CF9"/>
    <w:rsid w:val="00F02052"/>
    <w:rsid w:val="00F03423"/>
    <w:rsid w:val="00F102C0"/>
    <w:rsid w:val="00F1356E"/>
    <w:rsid w:val="00F15DB7"/>
    <w:rsid w:val="00F168BB"/>
    <w:rsid w:val="00F20562"/>
    <w:rsid w:val="00F22E71"/>
    <w:rsid w:val="00F246D5"/>
    <w:rsid w:val="00F266A2"/>
    <w:rsid w:val="00F2739C"/>
    <w:rsid w:val="00F32884"/>
    <w:rsid w:val="00F34462"/>
    <w:rsid w:val="00F34F3E"/>
    <w:rsid w:val="00F602E2"/>
    <w:rsid w:val="00F61B76"/>
    <w:rsid w:val="00F62AC4"/>
    <w:rsid w:val="00F66A40"/>
    <w:rsid w:val="00F82217"/>
    <w:rsid w:val="00F82905"/>
    <w:rsid w:val="00F84386"/>
    <w:rsid w:val="00F91B59"/>
    <w:rsid w:val="00F964E8"/>
    <w:rsid w:val="00FA3D28"/>
    <w:rsid w:val="00FA6E47"/>
    <w:rsid w:val="00FB1A45"/>
    <w:rsid w:val="00FB289E"/>
    <w:rsid w:val="00FB2C64"/>
    <w:rsid w:val="00FB42E0"/>
    <w:rsid w:val="00FC25FF"/>
    <w:rsid w:val="00FC3D63"/>
    <w:rsid w:val="00FC6A3F"/>
    <w:rsid w:val="00FD78DC"/>
    <w:rsid w:val="00FE3BCB"/>
    <w:rsid w:val="00FE676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91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AA"/>
    <w:pPr>
      <w:spacing w:line="336" w:lineRule="auto"/>
      <w:jc w:val="both"/>
    </w:pPr>
    <w:rPr>
      <w:rFonts w:ascii="Times New Roman" w:hAnsi="Times New Roman"/>
    </w:rPr>
  </w:style>
  <w:style w:type="paragraph" w:styleId="Overskrift1">
    <w:name w:val="heading 1"/>
    <w:basedOn w:val="Normal"/>
    <w:next w:val="Normal"/>
    <w:link w:val="Overskrift1Tegn"/>
    <w:uiPriority w:val="9"/>
    <w:qFormat/>
    <w:rsid w:val="003D7E0F"/>
    <w:pPr>
      <w:keepNext/>
      <w:keepLines/>
      <w:spacing w:before="480"/>
      <w:outlineLvl w:val="0"/>
    </w:pPr>
    <w:rPr>
      <w:rFonts w:eastAsiaTheme="majorEastAsia"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D7E0F"/>
    <w:pPr>
      <w:keepNext/>
      <w:keepLines/>
      <w:spacing w:before="20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D7E0F"/>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084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3D7E0F"/>
    <w:rPr>
      <w:rFonts w:ascii="Times New Roman" w:eastAsiaTheme="majorEastAsia" w:hAnsi="Times New Roman"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3D7E0F"/>
    <w:rPr>
      <w:rFonts w:ascii="Times New Roman" w:eastAsiaTheme="majorEastAsia" w:hAnsi="Times New Roman"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D7E0F"/>
    <w:rPr>
      <w:rFonts w:ascii="Times New Roman" w:eastAsiaTheme="majorEastAsia" w:hAnsi="Times New Roman" w:cstheme="majorBidi"/>
      <w:b/>
      <w:bCs/>
      <w:color w:val="4F81BD" w:themeColor="accent1"/>
    </w:rPr>
  </w:style>
  <w:style w:type="paragraph" w:styleId="Overskrift">
    <w:name w:val="TOC Heading"/>
    <w:basedOn w:val="Overskrift1"/>
    <w:next w:val="Normal"/>
    <w:uiPriority w:val="39"/>
    <w:unhideWhenUsed/>
    <w:qFormat/>
    <w:rsid w:val="00520D1A"/>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9725AA"/>
    <w:pPr>
      <w:tabs>
        <w:tab w:val="right" w:leader="dot" w:pos="9622"/>
      </w:tabs>
      <w:spacing w:before="120"/>
      <w:jc w:val="left"/>
    </w:pPr>
    <w:rPr>
      <w:rFonts w:asciiTheme="minorHAnsi" w:hAnsiTheme="minorHAnsi"/>
      <w:b/>
    </w:rPr>
  </w:style>
  <w:style w:type="paragraph" w:styleId="Indholdsfortegnelse2">
    <w:name w:val="toc 2"/>
    <w:basedOn w:val="Normal"/>
    <w:next w:val="Normal"/>
    <w:autoRedefine/>
    <w:uiPriority w:val="39"/>
    <w:unhideWhenUsed/>
    <w:rsid w:val="00520D1A"/>
    <w:pPr>
      <w:ind w:left="240"/>
      <w:jc w:val="left"/>
    </w:pPr>
    <w:rPr>
      <w:rFonts w:asciiTheme="minorHAnsi" w:hAnsiTheme="minorHAnsi"/>
      <w:b/>
      <w:sz w:val="22"/>
      <w:szCs w:val="22"/>
    </w:rPr>
  </w:style>
  <w:style w:type="paragraph" w:styleId="Indholdsfortegnelse3">
    <w:name w:val="toc 3"/>
    <w:basedOn w:val="Normal"/>
    <w:next w:val="Normal"/>
    <w:autoRedefine/>
    <w:uiPriority w:val="39"/>
    <w:unhideWhenUsed/>
    <w:rsid w:val="00520D1A"/>
    <w:pPr>
      <w:ind w:left="480"/>
      <w:jc w:val="left"/>
    </w:pPr>
    <w:rPr>
      <w:rFonts w:asciiTheme="minorHAnsi" w:hAnsiTheme="minorHAnsi"/>
      <w:sz w:val="22"/>
      <w:szCs w:val="22"/>
    </w:rPr>
  </w:style>
  <w:style w:type="paragraph" w:styleId="Fodnotetekst">
    <w:name w:val="footnote text"/>
    <w:basedOn w:val="Normal"/>
    <w:link w:val="FodnotetekstTegn"/>
    <w:uiPriority w:val="99"/>
    <w:unhideWhenUsed/>
    <w:rsid w:val="00520D1A"/>
  </w:style>
  <w:style w:type="character" w:customStyle="1" w:styleId="FodnotetekstTegn">
    <w:name w:val="Fodnotetekst Tegn"/>
    <w:basedOn w:val="Standardskrifttypeiafsnit"/>
    <w:link w:val="Fodnotetekst"/>
    <w:uiPriority w:val="99"/>
    <w:rsid w:val="00520D1A"/>
    <w:rPr>
      <w:rFonts w:ascii="Times New Roman" w:hAnsi="Times New Roman"/>
    </w:rPr>
  </w:style>
  <w:style w:type="character" w:styleId="Fodnotehenvisning">
    <w:name w:val="footnote reference"/>
    <w:basedOn w:val="Standardskrifttypeiafsnit"/>
    <w:uiPriority w:val="99"/>
    <w:unhideWhenUsed/>
    <w:rsid w:val="00520D1A"/>
    <w:rPr>
      <w:vertAlign w:val="superscript"/>
    </w:rPr>
  </w:style>
  <w:style w:type="character" w:styleId="Kommentarhenvisning">
    <w:name w:val="annotation reference"/>
    <w:basedOn w:val="Standardskrifttypeiafsnit"/>
    <w:uiPriority w:val="99"/>
    <w:semiHidden/>
    <w:unhideWhenUsed/>
    <w:rsid w:val="00520D1A"/>
    <w:rPr>
      <w:sz w:val="18"/>
      <w:szCs w:val="18"/>
    </w:rPr>
  </w:style>
  <w:style w:type="paragraph" w:styleId="Kommentartekst">
    <w:name w:val="annotation text"/>
    <w:basedOn w:val="Normal"/>
    <w:link w:val="KommentartekstTegn"/>
    <w:uiPriority w:val="99"/>
    <w:semiHidden/>
    <w:unhideWhenUsed/>
    <w:rsid w:val="00520D1A"/>
  </w:style>
  <w:style w:type="character" w:customStyle="1" w:styleId="KommentartekstTegn">
    <w:name w:val="Kommentartekst Tegn"/>
    <w:basedOn w:val="Standardskrifttypeiafsnit"/>
    <w:link w:val="Kommentartekst"/>
    <w:uiPriority w:val="99"/>
    <w:semiHidden/>
    <w:rsid w:val="00520D1A"/>
    <w:rPr>
      <w:rFonts w:ascii="Times New Roman" w:hAnsi="Times New Roman"/>
    </w:rPr>
  </w:style>
  <w:style w:type="paragraph" w:styleId="Sidehoved">
    <w:name w:val="header"/>
    <w:basedOn w:val="Normal"/>
    <w:link w:val="SidehovedTegn"/>
    <w:uiPriority w:val="99"/>
    <w:unhideWhenUsed/>
    <w:rsid w:val="00520D1A"/>
    <w:pPr>
      <w:tabs>
        <w:tab w:val="center" w:pos="4819"/>
        <w:tab w:val="right" w:pos="9638"/>
      </w:tabs>
    </w:pPr>
  </w:style>
  <w:style w:type="character" w:customStyle="1" w:styleId="SidehovedTegn">
    <w:name w:val="Sidehoved Tegn"/>
    <w:basedOn w:val="Standardskrifttypeiafsnit"/>
    <w:link w:val="Sidehoved"/>
    <w:uiPriority w:val="99"/>
    <w:rsid w:val="00520D1A"/>
    <w:rPr>
      <w:rFonts w:ascii="Times New Roman" w:hAnsi="Times New Roman"/>
    </w:rPr>
  </w:style>
  <w:style w:type="paragraph" w:styleId="Sidefod">
    <w:name w:val="footer"/>
    <w:basedOn w:val="Normal"/>
    <w:link w:val="SidefodTegn"/>
    <w:uiPriority w:val="99"/>
    <w:unhideWhenUsed/>
    <w:rsid w:val="00520D1A"/>
    <w:pPr>
      <w:tabs>
        <w:tab w:val="center" w:pos="4819"/>
        <w:tab w:val="right" w:pos="9638"/>
      </w:tabs>
    </w:pPr>
  </w:style>
  <w:style w:type="character" w:customStyle="1" w:styleId="SidefodTegn">
    <w:name w:val="Sidefod Tegn"/>
    <w:basedOn w:val="Standardskrifttypeiafsnit"/>
    <w:link w:val="Sidefod"/>
    <w:uiPriority w:val="99"/>
    <w:rsid w:val="00520D1A"/>
    <w:rPr>
      <w:rFonts w:ascii="Times New Roman" w:hAnsi="Times New Roman"/>
    </w:rPr>
  </w:style>
  <w:style w:type="character" w:styleId="Sidetal">
    <w:name w:val="page number"/>
    <w:basedOn w:val="Standardskrifttypeiafsnit"/>
    <w:uiPriority w:val="99"/>
    <w:semiHidden/>
    <w:unhideWhenUsed/>
    <w:rsid w:val="00520D1A"/>
  </w:style>
  <w:style w:type="paragraph" w:styleId="Markeringsbobletekst">
    <w:name w:val="Balloon Text"/>
    <w:basedOn w:val="Normal"/>
    <w:link w:val="MarkeringsbobletekstTegn"/>
    <w:uiPriority w:val="99"/>
    <w:semiHidden/>
    <w:unhideWhenUsed/>
    <w:rsid w:val="00520D1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20D1A"/>
    <w:rPr>
      <w:rFonts w:ascii="Lucida Grande" w:hAnsi="Lucida Grande" w:cs="Lucida Grande"/>
      <w:sz w:val="18"/>
      <w:szCs w:val="18"/>
    </w:rPr>
  </w:style>
  <w:style w:type="paragraph" w:styleId="Listeafsnit">
    <w:name w:val="List Paragraph"/>
    <w:basedOn w:val="Normal"/>
    <w:uiPriority w:val="34"/>
    <w:qFormat/>
    <w:rsid w:val="002D1DEF"/>
    <w:pPr>
      <w:ind w:left="720"/>
      <w:contextualSpacing/>
    </w:pPr>
  </w:style>
  <w:style w:type="paragraph" w:styleId="Indholdsfortegnelse4">
    <w:name w:val="toc 4"/>
    <w:basedOn w:val="Normal"/>
    <w:next w:val="Normal"/>
    <w:autoRedefine/>
    <w:uiPriority w:val="39"/>
    <w:unhideWhenUsed/>
    <w:rsid w:val="002F17C5"/>
    <w:pPr>
      <w:ind w:left="720"/>
      <w:jc w:val="left"/>
    </w:pPr>
    <w:rPr>
      <w:rFonts w:asciiTheme="minorHAnsi" w:hAnsiTheme="minorHAnsi"/>
      <w:sz w:val="20"/>
      <w:szCs w:val="20"/>
    </w:rPr>
  </w:style>
  <w:style w:type="paragraph" w:styleId="Indholdsfortegnelse5">
    <w:name w:val="toc 5"/>
    <w:basedOn w:val="Normal"/>
    <w:next w:val="Normal"/>
    <w:autoRedefine/>
    <w:uiPriority w:val="39"/>
    <w:unhideWhenUsed/>
    <w:rsid w:val="002F17C5"/>
    <w:pPr>
      <w:ind w:left="960"/>
      <w:jc w:val="left"/>
    </w:pPr>
    <w:rPr>
      <w:rFonts w:asciiTheme="minorHAnsi" w:hAnsiTheme="minorHAnsi"/>
      <w:sz w:val="20"/>
      <w:szCs w:val="20"/>
    </w:rPr>
  </w:style>
  <w:style w:type="paragraph" w:styleId="Indholdsfortegnelse6">
    <w:name w:val="toc 6"/>
    <w:basedOn w:val="Normal"/>
    <w:next w:val="Normal"/>
    <w:autoRedefine/>
    <w:uiPriority w:val="39"/>
    <w:unhideWhenUsed/>
    <w:rsid w:val="002F17C5"/>
    <w:pPr>
      <w:ind w:left="1200"/>
      <w:jc w:val="left"/>
    </w:pPr>
    <w:rPr>
      <w:rFonts w:asciiTheme="minorHAnsi" w:hAnsiTheme="minorHAnsi"/>
      <w:sz w:val="20"/>
      <w:szCs w:val="20"/>
    </w:rPr>
  </w:style>
  <w:style w:type="paragraph" w:styleId="Indholdsfortegnelse7">
    <w:name w:val="toc 7"/>
    <w:basedOn w:val="Normal"/>
    <w:next w:val="Normal"/>
    <w:autoRedefine/>
    <w:uiPriority w:val="39"/>
    <w:unhideWhenUsed/>
    <w:rsid w:val="002F17C5"/>
    <w:pPr>
      <w:ind w:left="1440"/>
      <w:jc w:val="left"/>
    </w:pPr>
    <w:rPr>
      <w:rFonts w:asciiTheme="minorHAnsi" w:hAnsiTheme="minorHAnsi"/>
      <w:sz w:val="20"/>
      <w:szCs w:val="20"/>
    </w:rPr>
  </w:style>
  <w:style w:type="paragraph" w:styleId="Indholdsfortegnelse8">
    <w:name w:val="toc 8"/>
    <w:basedOn w:val="Normal"/>
    <w:next w:val="Normal"/>
    <w:autoRedefine/>
    <w:uiPriority w:val="39"/>
    <w:unhideWhenUsed/>
    <w:rsid w:val="002F17C5"/>
    <w:pPr>
      <w:ind w:left="1680"/>
      <w:jc w:val="left"/>
    </w:pPr>
    <w:rPr>
      <w:rFonts w:asciiTheme="minorHAnsi" w:hAnsiTheme="minorHAnsi"/>
      <w:sz w:val="20"/>
      <w:szCs w:val="20"/>
    </w:rPr>
  </w:style>
  <w:style w:type="paragraph" w:styleId="Indholdsfortegnelse9">
    <w:name w:val="toc 9"/>
    <w:basedOn w:val="Normal"/>
    <w:next w:val="Normal"/>
    <w:autoRedefine/>
    <w:uiPriority w:val="39"/>
    <w:unhideWhenUsed/>
    <w:rsid w:val="002F17C5"/>
    <w:pPr>
      <w:ind w:left="1920"/>
      <w:jc w:val="left"/>
    </w:pPr>
    <w:rPr>
      <w:rFonts w:asciiTheme="minorHAnsi" w:hAnsiTheme="minorHAnsi"/>
      <w:sz w:val="20"/>
      <w:szCs w:val="20"/>
    </w:rPr>
  </w:style>
  <w:style w:type="character" w:styleId="Llink">
    <w:name w:val="Hyperlink"/>
    <w:basedOn w:val="Standardskrifttypeiafsnit"/>
    <w:uiPriority w:val="99"/>
    <w:unhideWhenUsed/>
    <w:rsid w:val="006B4A7A"/>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024509"/>
    <w:pPr>
      <w:spacing w:line="240" w:lineRule="auto"/>
    </w:pPr>
    <w:rPr>
      <w:b/>
      <w:bCs/>
      <w:sz w:val="20"/>
      <w:szCs w:val="20"/>
    </w:rPr>
  </w:style>
  <w:style w:type="character" w:customStyle="1" w:styleId="KommentaremneTegn">
    <w:name w:val="Kommentaremne Tegn"/>
    <w:basedOn w:val="KommentartekstTegn"/>
    <w:link w:val="Kommentaremne"/>
    <w:uiPriority w:val="99"/>
    <w:semiHidden/>
    <w:rsid w:val="00024509"/>
    <w:rPr>
      <w:rFonts w:ascii="Times New Roman" w:hAnsi="Times New Roman"/>
      <w:b/>
      <w:bCs/>
      <w:sz w:val="20"/>
      <w:szCs w:val="20"/>
    </w:rPr>
  </w:style>
  <w:style w:type="character" w:customStyle="1" w:styleId="Overskrift4Tegn">
    <w:name w:val="Overskrift 4 Tegn"/>
    <w:basedOn w:val="Standardskrifttypeiafsnit"/>
    <w:link w:val="Overskrift4"/>
    <w:uiPriority w:val="9"/>
    <w:rsid w:val="0008495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AA"/>
    <w:pPr>
      <w:spacing w:line="336" w:lineRule="auto"/>
      <w:jc w:val="both"/>
    </w:pPr>
    <w:rPr>
      <w:rFonts w:ascii="Times New Roman" w:hAnsi="Times New Roman"/>
    </w:rPr>
  </w:style>
  <w:style w:type="paragraph" w:styleId="Overskrift1">
    <w:name w:val="heading 1"/>
    <w:basedOn w:val="Normal"/>
    <w:next w:val="Normal"/>
    <w:link w:val="Overskrift1Tegn"/>
    <w:uiPriority w:val="9"/>
    <w:qFormat/>
    <w:rsid w:val="003D7E0F"/>
    <w:pPr>
      <w:keepNext/>
      <w:keepLines/>
      <w:spacing w:before="480"/>
      <w:outlineLvl w:val="0"/>
    </w:pPr>
    <w:rPr>
      <w:rFonts w:eastAsiaTheme="majorEastAsia"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D7E0F"/>
    <w:pPr>
      <w:keepNext/>
      <w:keepLines/>
      <w:spacing w:before="20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D7E0F"/>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084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3D7E0F"/>
    <w:rPr>
      <w:rFonts w:ascii="Times New Roman" w:eastAsiaTheme="majorEastAsia" w:hAnsi="Times New Roman"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3D7E0F"/>
    <w:rPr>
      <w:rFonts w:ascii="Times New Roman" w:eastAsiaTheme="majorEastAsia" w:hAnsi="Times New Roman"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D7E0F"/>
    <w:rPr>
      <w:rFonts w:ascii="Times New Roman" w:eastAsiaTheme="majorEastAsia" w:hAnsi="Times New Roman" w:cstheme="majorBidi"/>
      <w:b/>
      <w:bCs/>
      <w:color w:val="4F81BD" w:themeColor="accent1"/>
    </w:rPr>
  </w:style>
  <w:style w:type="paragraph" w:styleId="Overskrift">
    <w:name w:val="TOC Heading"/>
    <w:basedOn w:val="Overskrift1"/>
    <w:next w:val="Normal"/>
    <w:uiPriority w:val="39"/>
    <w:unhideWhenUsed/>
    <w:qFormat/>
    <w:rsid w:val="00520D1A"/>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unhideWhenUsed/>
    <w:rsid w:val="009725AA"/>
    <w:pPr>
      <w:tabs>
        <w:tab w:val="right" w:leader="dot" w:pos="9622"/>
      </w:tabs>
      <w:spacing w:before="120"/>
      <w:jc w:val="left"/>
    </w:pPr>
    <w:rPr>
      <w:rFonts w:asciiTheme="minorHAnsi" w:hAnsiTheme="minorHAnsi"/>
      <w:b/>
    </w:rPr>
  </w:style>
  <w:style w:type="paragraph" w:styleId="Indholdsfortegnelse2">
    <w:name w:val="toc 2"/>
    <w:basedOn w:val="Normal"/>
    <w:next w:val="Normal"/>
    <w:autoRedefine/>
    <w:uiPriority w:val="39"/>
    <w:unhideWhenUsed/>
    <w:rsid w:val="00520D1A"/>
    <w:pPr>
      <w:ind w:left="240"/>
      <w:jc w:val="left"/>
    </w:pPr>
    <w:rPr>
      <w:rFonts w:asciiTheme="minorHAnsi" w:hAnsiTheme="minorHAnsi"/>
      <w:b/>
      <w:sz w:val="22"/>
      <w:szCs w:val="22"/>
    </w:rPr>
  </w:style>
  <w:style w:type="paragraph" w:styleId="Indholdsfortegnelse3">
    <w:name w:val="toc 3"/>
    <w:basedOn w:val="Normal"/>
    <w:next w:val="Normal"/>
    <w:autoRedefine/>
    <w:uiPriority w:val="39"/>
    <w:unhideWhenUsed/>
    <w:rsid w:val="00520D1A"/>
    <w:pPr>
      <w:ind w:left="480"/>
      <w:jc w:val="left"/>
    </w:pPr>
    <w:rPr>
      <w:rFonts w:asciiTheme="minorHAnsi" w:hAnsiTheme="minorHAnsi"/>
      <w:sz w:val="22"/>
      <w:szCs w:val="22"/>
    </w:rPr>
  </w:style>
  <w:style w:type="paragraph" w:styleId="Fodnotetekst">
    <w:name w:val="footnote text"/>
    <w:basedOn w:val="Normal"/>
    <w:link w:val="FodnotetekstTegn"/>
    <w:uiPriority w:val="99"/>
    <w:unhideWhenUsed/>
    <w:rsid w:val="00520D1A"/>
  </w:style>
  <w:style w:type="character" w:customStyle="1" w:styleId="FodnotetekstTegn">
    <w:name w:val="Fodnotetekst Tegn"/>
    <w:basedOn w:val="Standardskrifttypeiafsnit"/>
    <w:link w:val="Fodnotetekst"/>
    <w:uiPriority w:val="99"/>
    <w:rsid w:val="00520D1A"/>
    <w:rPr>
      <w:rFonts w:ascii="Times New Roman" w:hAnsi="Times New Roman"/>
    </w:rPr>
  </w:style>
  <w:style w:type="character" w:styleId="Fodnotehenvisning">
    <w:name w:val="footnote reference"/>
    <w:basedOn w:val="Standardskrifttypeiafsnit"/>
    <w:uiPriority w:val="99"/>
    <w:unhideWhenUsed/>
    <w:rsid w:val="00520D1A"/>
    <w:rPr>
      <w:vertAlign w:val="superscript"/>
    </w:rPr>
  </w:style>
  <w:style w:type="character" w:styleId="Kommentarhenvisning">
    <w:name w:val="annotation reference"/>
    <w:basedOn w:val="Standardskrifttypeiafsnit"/>
    <w:uiPriority w:val="99"/>
    <w:semiHidden/>
    <w:unhideWhenUsed/>
    <w:rsid w:val="00520D1A"/>
    <w:rPr>
      <w:sz w:val="18"/>
      <w:szCs w:val="18"/>
    </w:rPr>
  </w:style>
  <w:style w:type="paragraph" w:styleId="Kommentartekst">
    <w:name w:val="annotation text"/>
    <w:basedOn w:val="Normal"/>
    <w:link w:val="KommentartekstTegn"/>
    <w:uiPriority w:val="99"/>
    <w:semiHidden/>
    <w:unhideWhenUsed/>
    <w:rsid w:val="00520D1A"/>
  </w:style>
  <w:style w:type="character" w:customStyle="1" w:styleId="KommentartekstTegn">
    <w:name w:val="Kommentartekst Tegn"/>
    <w:basedOn w:val="Standardskrifttypeiafsnit"/>
    <w:link w:val="Kommentartekst"/>
    <w:uiPriority w:val="99"/>
    <w:semiHidden/>
    <w:rsid w:val="00520D1A"/>
    <w:rPr>
      <w:rFonts w:ascii="Times New Roman" w:hAnsi="Times New Roman"/>
    </w:rPr>
  </w:style>
  <w:style w:type="paragraph" w:styleId="Sidehoved">
    <w:name w:val="header"/>
    <w:basedOn w:val="Normal"/>
    <w:link w:val="SidehovedTegn"/>
    <w:uiPriority w:val="99"/>
    <w:unhideWhenUsed/>
    <w:rsid w:val="00520D1A"/>
    <w:pPr>
      <w:tabs>
        <w:tab w:val="center" w:pos="4819"/>
        <w:tab w:val="right" w:pos="9638"/>
      </w:tabs>
    </w:pPr>
  </w:style>
  <w:style w:type="character" w:customStyle="1" w:styleId="SidehovedTegn">
    <w:name w:val="Sidehoved Tegn"/>
    <w:basedOn w:val="Standardskrifttypeiafsnit"/>
    <w:link w:val="Sidehoved"/>
    <w:uiPriority w:val="99"/>
    <w:rsid w:val="00520D1A"/>
    <w:rPr>
      <w:rFonts w:ascii="Times New Roman" w:hAnsi="Times New Roman"/>
    </w:rPr>
  </w:style>
  <w:style w:type="paragraph" w:styleId="Sidefod">
    <w:name w:val="footer"/>
    <w:basedOn w:val="Normal"/>
    <w:link w:val="SidefodTegn"/>
    <w:uiPriority w:val="99"/>
    <w:unhideWhenUsed/>
    <w:rsid w:val="00520D1A"/>
    <w:pPr>
      <w:tabs>
        <w:tab w:val="center" w:pos="4819"/>
        <w:tab w:val="right" w:pos="9638"/>
      </w:tabs>
    </w:pPr>
  </w:style>
  <w:style w:type="character" w:customStyle="1" w:styleId="SidefodTegn">
    <w:name w:val="Sidefod Tegn"/>
    <w:basedOn w:val="Standardskrifttypeiafsnit"/>
    <w:link w:val="Sidefod"/>
    <w:uiPriority w:val="99"/>
    <w:rsid w:val="00520D1A"/>
    <w:rPr>
      <w:rFonts w:ascii="Times New Roman" w:hAnsi="Times New Roman"/>
    </w:rPr>
  </w:style>
  <w:style w:type="character" w:styleId="Sidetal">
    <w:name w:val="page number"/>
    <w:basedOn w:val="Standardskrifttypeiafsnit"/>
    <w:uiPriority w:val="99"/>
    <w:semiHidden/>
    <w:unhideWhenUsed/>
    <w:rsid w:val="00520D1A"/>
  </w:style>
  <w:style w:type="paragraph" w:styleId="Markeringsbobletekst">
    <w:name w:val="Balloon Text"/>
    <w:basedOn w:val="Normal"/>
    <w:link w:val="MarkeringsbobletekstTegn"/>
    <w:uiPriority w:val="99"/>
    <w:semiHidden/>
    <w:unhideWhenUsed/>
    <w:rsid w:val="00520D1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20D1A"/>
    <w:rPr>
      <w:rFonts w:ascii="Lucida Grande" w:hAnsi="Lucida Grande" w:cs="Lucida Grande"/>
      <w:sz w:val="18"/>
      <w:szCs w:val="18"/>
    </w:rPr>
  </w:style>
  <w:style w:type="paragraph" w:styleId="Listeafsnit">
    <w:name w:val="List Paragraph"/>
    <w:basedOn w:val="Normal"/>
    <w:uiPriority w:val="34"/>
    <w:qFormat/>
    <w:rsid w:val="002D1DEF"/>
    <w:pPr>
      <w:ind w:left="720"/>
      <w:contextualSpacing/>
    </w:pPr>
  </w:style>
  <w:style w:type="paragraph" w:styleId="Indholdsfortegnelse4">
    <w:name w:val="toc 4"/>
    <w:basedOn w:val="Normal"/>
    <w:next w:val="Normal"/>
    <w:autoRedefine/>
    <w:uiPriority w:val="39"/>
    <w:unhideWhenUsed/>
    <w:rsid w:val="002F17C5"/>
    <w:pPr>
      <w:ind w:left="720"/>
      <w:jc w:val="left"/>
    </w:pPr>
    <w:rPr>
      <w:rFonts w:asciiTheme="minorHAnsi" w:hAnsiTheme="minorHAnsi"/>
      <w:sz w:val="20"/>
      <w:szCs w:val="20"/>
    </w:rPr>
  </w:style>
  <w:style w:type="paragraph" w:styleId="Indholdsfortegnelse5">
    <w:name w:val="toc 5"/>
    <w:basedOn w:val="Normal"/>
    <w:next w:val="Normal"/>
    <w:autoRedefine/>
    <w:uiPriority w:val="39"/>
    <w:unhideWhenUsed/>
    <w:rsid w:val="002F17C5"/>
    <w:pPr>
      <w:ind w:left="960"/>
      <w:jc w:val="left"/>
    </w:pPr>
    <w:rPr>
      <w:rFonts w:asciiTheme="minorHAnsi" w:hAnsiTheme="minorHAnsi"/>
      <w:sz w:val="20"/>
      <w:szCs w:val="20"/>
    </w:rPr>
  </w:style>
  <w:style w:type="paragraph" w:styleId="Indholdsfortegnelse6">
    <w:name w:val="toc 6"/>
    <w:basedOn w:val="Normal"/>
    <w:next w:val="Normal"/>
    <w:autoRedefine/>
    <w:uiPriority w:val="39"/>
    <w:unhideWhenUsed/>
    <w:rsid w:val="002F17C5"/>
    <w:pPr>
      <w:ind w:left="1200"/>
      <w:jc w:val="left"/>
    </w:pPr>
    <w:rPr>
      <w:rFonts w:asciiTheme="minorHAnsi" w:hAnsiTheme="minorHAnsi"/>
      <w:sz w:val="20"/>
      <w:szCs w:val="20"/>
    </w:rPr>
  </w:style>
  <w:style w:type="paragraph" w:styleId="Indholdsfortegnelse7">
    <w:name w:val="toc 7"/>
    <w:basedOn w:val="Normal"/>
    <w:next w:val="Normal"/>
    <w:autoRedefine/>
    <w:uiPriority w:val="39"/>
    <w:unhideWhenUsed/>
    <w:rsid w:val="002F17C5"/>
    <w:pPr>
      <w:ind w:left="1440"/>
      <w:jc w:val="left"/>
    </w:pPr>
    <w:rPr>
      <w:rFonts w:asciiTheme="minorHAnsi" w:hAnsiTheme="minorHAnsi"/>
      <w:sz w:val="20"/>
      <w:szCs w:val="20"/>
    </w:rPr>
  </w:style>
  <w:style w:type="paragraph" w:styleId="Indholdsfortegnelse8">
    <w:name w:val="toc 8"/>
    <w:basedOn w:val="Normal"/>
    <w:next w:val="Normal"/>
    <w:autoRedefine/>
    <w:uiPriority w:val="39"/>
    <w:unhideWhenUsed/>
    <w:rsid w:val="002F17C5"/>
    <w:pPr>
      <w:ind w:left="1680"/>
      <w:jc w:val="left"/>
    </w:pPr>
    <w:rPr>
      <w:rFonts w:asciiTheme="minorHAnsi" w:hAnsiTheme="minorHAnsi"/>
      <w:sz w:val="20"/>
      <w:szCs w:val="20"/>
    </w:rPr>
  </w:style>
  <w:style w:type="paragraph" w:styleId="Indholdsfortegnelse9">
    <w:name w:val="toc 9"/>
    <w:basedOn w:val="Normal"/>
    <w:next w:val="Normal"/>
    <w:autoRedefine/>
    <w:uiPriority w:val="39"/>
    <w:unhideWhenUsed/>
    <w:rsid w:val="002F17C5"/>
    <w:pPr>
      <w:ind w:left="1920"/>
      <w:jc w:val="left"/>
    </w:pPr>
    <w:rPr>
      <w:rFonts w:asciiTheme="minorHAnsi" w:hAnsiTheme="minorHAnsi"/>
      <w:sz w:val="20"/>
      <w:szCs w:val="20"/>
    </w:rPr>
  </w:style>
  <w:style w:type="character" w:styleId="Llink">
    <w:name w:val="Hyperlink"/>
    <w:basedOn w:val="Standardskrifttypeiafsnit"/>
    <w:uiPriority w:val="99"/>
    <w:unhideWhenUsed/>
    <w:rsid w:val="006B4A7A"/>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024509"/>
    <w:pPr>
      <w:spacing w:line="240" w:lineRule="auto"/>
    </w:pPr>
    <w:rPr>
      <w:b/>
      <w:bCs/>
      <w:sz w:val="20"/>
      <w:szCs w:val="20"/>
    </w:rPr>
  </w:style>
  <w:style w:type="character" w:customStyle="1" w:styleId="KommentaremneTegn">
    <w:name w:val="Kommentaremne Tegn"/>
    <w:basedOn w:val="KommentartekstTegn"/>
    <w:link w:val="Kommentaremne"/>
    <w:uiPriority w:val="99"/>
    <w:semiHidden/>
    <w:rsid w:val="00024509"/>
    <w:rPr>
      <w:rFonts w:ascii="Times New Roman" w:hAnsi="Times New Roman"/>
      <w:b/>
      <w:bCs/>
      <w:sz w:val="20"/>
      <w:szCs w:val="20"/>
    </w:rPr>
  </w:style>
  <w:style w:type="character" w:customStyle="1" w:styleId="Overskrift4Tegn">
    <w:name w:val="Overskrift 4 Tegn"/>
    <w:basedOn w:val="Standardskrifttypeiafsnit"/>
    <w:link w:val="Overskrift4"/>
    <w:uiPriority w:val="9"/>
    <w:rsid w:val="000849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keforsikring.dk/Find_kendelser.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seftersyninfo.dk/haandbog" TargetMode="External"/><Relationship Id="rId10" Type="http://schemas.openxmlformats.org/officeDocument/2006/relationships/hyperlink" Target="http://www.hha.dk/jur/emp/Edlund/Rapport.ht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3620-CAE4-2A4F-89F7-6B256AF2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38455</TotalTime>
  <Pages>72</Pages>
  <Words>24308</Words>
  <Characters>148284</Characters>
  <Application>Microsoft Macintosh Word</Application>
  <DocSecurity>0</DocSecurity>
  <Lines>1235</Lines>
  <Paragraphs>344</Paragraphs>
  <ScaleCrop>false</ScaleCrop>
  <Company>Aalborg Universitet</Company>
  <LinksUpToDate>false</LinksUpToDate>
  <CharactersWithSpaces>172248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Schou</dc:creator>
  <cp:keywords/>
  <dc:description/>
  <cp:lastModifiedBy>Jeanne  Schou</cp:lastModifiedBy>
  <cp:revision>198</cp:revision>
  <cp:lastPrinted>2011-09-19T08:58:00Z</cp:lastPrinted>
  <dcterms:created xsi:type="dcterms:W3CDTF">2011-07-28T11:42:00Z</dcterms:created>
  <dcterms:modified xsi:type="dcterms:W3CDTF">2011-10-11T12:42:00Z</dcterms:modified>
</cp:coreProperties>
</file>