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738" w:rsidRPr="00A25723" w:rsidRDefault="00973738" w:rsidP="00337119">
      <w:pPr>
        <w:pStyle w:val="Overskrift1"/>
        <w:pBdr>
          <w:bottom w:val="single" w:sz="4" w:space="1" w:color="auto"/>
        </w:pBdr>
        <w:rPr>
          <w:lang w:val="en-US"/>
        </w:rPr>
      </w:pPr>
      <w:bookmarkStart w:id="0" w:name="_Toc420761607"/>
      <w:bookmarkStart w:id="1" w:name="_GoBack"/>
      <w:bookmarkEnd w:id="1"/>
      <w:r w:rsidRPr="00692E87">
        <w:rPr>
          <w:lang w:val="en-US"/>
        </w:rPr>
        <w:t>Abstract</w:t>
      </w:r>
      <w:bookmarkEnd w:id="0"/>
    </w:p>
    <w:p w:rsidR="00973738" w:rsidRDefault="00973738" w:rsidP="00337119">
      <w:pPr>
        <w:spacing w:line="360" w:lineRule="auto"/>
        <w:rPr>
          <w:lang w:val="en-US"/>
        </w:rPr>
      </w:pPr>
      <w:r>
        <w:rPr>
          <w:lang w:val="en-US"/>
        </w:rPr>
        <w:t>The practice of corporate social responsibility (CSR) can be considered an organizational asset in the development and preservation of an organization’s image and reputation –</w:t>
      </w:r>
      <w:r w:rsidR="004E440B">
        <w:rPr>
          <w:lang w:val="en-US"/>
        </w:rPr>
        <w:t xml:space="preserve"> </w:t>
      </w:r>
      <w:r w:rsidR="00CD203E">
        <w:rPr>
          <w:lang w:val="en-US"/>
        </w:rPr>
        <w:t xml:space="preserve">also </w:t>
      </w:r>
      <w:r>
        <w:rPr>
          <w:lang w:val="en-US"/>
        </w:rPr>
        <w:t>signifying its potential relevance in a crisis situation, where the image and reputation may be threatened. If an orga</w:t>
      </w:r>
      <w:r w:rsidR="00337667">
        <w:rPr>
          <w:lang w:val="en-US"/>
        </w:rPr>
        <w:t>nization finds itself in the mid</w:t>
      </w:r>
      <w:r>
        <w:rPr>
          <w:lang w:val="en-US"/>
        </w:rPr>
        <w:t>s</w:t>
      </w:r>
      <w:r w:rsidR="00337667">
        <w:rPr>
          <w:lang w:val="en-US"/>
        </w:rPr>
        <w:t>t</w:t>
      </w:r>
      <w:r>
        <w:rPr>
          <w:lang w:val="en-US"/>
        </w:rPr>
        <w:t xml:space="preserve"> of a crisis, an efficient communicative</w:t>
      </w:r>
      <w:r w:rsidRPr="006F3DE5">
        <w:rPr>
          <w:lang w:val="en-US"/>
        </w:rPr>
        <w:t xml:space="preserve"> </w:t>
      </w:r>
      <w:r>
        <w:rPr>
          <w:lang w:val="en-US"/>
        </w:rPr>
        <w:t>crisis response, accommodating the nature of the crisis and the interests of i</w:t>
      </w:r>
      <w:r w:rsidR="00FC6DDB">
        <w:rPr>
          <w:lang w:val="en-US"/>
        </w:rPr>
        <w:t>ts stakeholder, is essential. If</w:t>
      </w:r>
      <w:r>
        <w:rPr>
          <w:lang w:val="en-US"/>
        </w:rPr>
        <w:t xml:space="preserve"> the crisis </w:t>
      </w:r>
      <w:r w:rsidR="00FC6DDB">
        <w:rPr>
          <w:lang w:val="en-US"/>
        </w:rPr>
        <w:t xml:space="preserve">is </w:t>
      </w:r>
      <w:r>
        <w:rPr>
          <w:lang w:val="en-US"/>
        </w:rPr>
        <w:t>inflicted by social responsibility issues, the discursive advantages of CSR may constitute an eff</w:t>
      </w:r>
      <w:r w:rsidR="00FC6DDB">
        <w:rPr>
          <w:lang w:val="en-US"/>
        </w:rPr>
        <w:t>icient crisis response – if</w:t>
      </w:r>
      <w:r>
        <w:rPr>
          <w:lang w:val="en-US"/>
        </w:rPr>
        <w:t xml:space="preserve"> represented in the right way. </w:t>
      </w:r>
    </w:p>
    <w:p w:rsidR="00FC6DDB" w:rsidRDefault="00973738" w:rsidP="00337119">
      <w:pPr>
        <w:spacing w:line="360" w:lineRule="auto"/>
        <w:rPr>
          <w:lang w:val="en-US"/>
        </w:rPr>
      </w:pPr>
      <w:r>
        <w:rPr>
          <w:lang w:val="en-US"/>
        </w:rPr>
        <w:t>T</w:t>
      </w:r>
      <w:r w:rsidRPr="00E250B0">
        <w:rPr>
          <w:lang w:val="en-US"/>
        </w:rPr>
        <w:t xml:space="preserve">he </w:t>
      </w:r>
      <w:r>
        <w:rPr>
          <w:lang w:val="en-US"/>
        </w:rPr>
        <w:t xml:space="preserve">study deals with the communicative challenges </w:t>
      </w:r>
      <w:r w:rsidR="00FC6DDB">
        <w:rPr>
          <w:lang w:val="en-US"/>
        </w:rPr>
        <w:t>of</w:t>
      </w:r>
      <w:r>
        <w:rPr>
          <w:lang w:val="en-US"/>
        </w:rPr>
        <w:t xml:space="preserve"> an organization du</w:t>
      </w:r>
      <w:r w:rsidR="00FC6DDB">
        <w:rPr>
          <w:lang w:val="en-US"/>
        </w:rPr>
        <w:t xml:space="preserve">ring an organizational crisis, and is </w:t>
      </w:r>
      <w:r>
        <w:rPr>
          <w:lang w:val="en-US"/>
        </w:rPr>
        <w:t xml:space="preserve">directed at </w:t>
      </w:r>
      <w:r w:rsidR="00CD203E">
        <w:rPr>
          <w:lang w:val="en-US"/>
        </w:rPr>
        <w:t>an organization’s</w:t>
      </w:r>
      <w:r>
        <w:rPr>
          <w:lang w:val="en-US"/>
        </w:rPr>
        <w:t xml:space="preserve"> implementation of CSR discourse to constitute an efficient crisis response. To shed light on this area of interest, the study revolves around the organizational crisis of the Mozilla Foundation in 2014, where CSR discourse was extensively applied in its crisis communication. The crisis absolved with a full apology by Mozilla for mishandling the situation, meaning that its crisis response failed. This opened up the study question of, whether the occurrence of CSR-related discursive misalignments in its crisis communication could have caused this outcome, and to what extent. </w:t>
      </w:r>
      <w:r w:rsidR="00FC6DDB">
        <w:rPr>
          <w:lang w:val="en-US"/>
        </w:rPr>
        <w:t>To</w:t>
      </w:r>
      <w:r w:rsidR="00D02430">
        <w:rPr>
          <w:lang w:val="en-US"/>
        </w:rPr>
        <w:t xml:space="preserve"> further</w:t>
      </w:r>
      <w:r w:rsidR="00FC6DDB">
        <w:rPr>
          <w:lang w:val="en-US"/>
        </w:rPr>
        <w:t xml:space="preserve"> elucidate this question</w:t>
      </w:r>
      <w:r>
        <w:rPr>
          <w:lang w:val="en-US"/>
        </w:rPr>
        <w:t xml:space="preserve">, the study examines how these conflicting discourses may arise in Mozilla’s crisis communication. </w:t>
      </w:r>
    </w:p>
    <w:p w:rsidR="00973738" w:rsidRDefault="00FC6DDB" w:rsidP="00337119">
      <w:pPr>
        <w:spacing w:line="360" w:lineRule="auto"/>
        <w:rPr>
          <w:lang w:val="en-US"/>
        </w:rPr>
      </w:pPr>
      <w:r>
        <w:rPr>
          <w:lang w:val="en-US"/>
        </w:rPr>
        <w:t xml:space="preserve">Following the hermeneutic and interpretive scientific approach, the study relies on the principles of the hermeneutic circle and social constructionism – complementing the set analytical frameworks of the study. William Benoit’s image restoration theory, Timothy Coombs’s situational crisis communication theory and Finn Frandsen and </w:t>
      </w:r>
      <w:proofErr w:type="spellStart"/>
      <w:r>
        <w:rPr>
          <w:lang w:val="en-US"/>
        </w:rPr>
        <w:t>Winni</w:t>
      </w:r>
      <w:proofErr w:type="spellEnd"/>
      <w:r>
        <w:rPr>
          <w:lang w:val="en-US"/>
        </w:rPr>
        <w:t xml:space="preserve"> Johansen’s rhetorical arena model constitute the analytical framework of crisis communication – used in the analysis of Mozilla’s overall crisis communication. Norman </w:t>
      </w:r>
      <w:proofErr w:type="spellStart"/>
      <w:r>
        <w:rPr>
          <w:lang w:val="en-US"/>
        </w:rPr>
        <w:t>Fairclough’s</w:t>
      </w:r>
      <w:proofErr w:type="spellEnd"/>
      <w:r>
        <w:rPr>
          <w:lang w:val="en-US"/>
        </w:rPr>
        <w:t xml:space="preserve"> critical discourse analysis theory, supplemented by </w:t>
      </w:r>
      <w:proofErr w:type="spellStart"/>
      <w:r>
        <w:rPr>
          <w:lang w:val="en-US"/>
        </w:rPr>
        <w:t>Laclau</w:t>
      </w:r>
      <w:proofErr w:type="spellEnd"/>
      <w:r>
        <w:rPr>
          <w:lang w:val="en-US"/>
        </w:rPr>
        <w:t xml:space="preserve"> and </w:t>
      </w:r>
      <w:proofErr w:type="spellStart"/>
      <w:r>
        <w:rPr>
          <w:lang w:val="en-US"/>
        </w:rPr>
        <w:t>Mouffe’s</w:t>
      </w:r>
      <w:proofErr w:type="spellEnd"/>
      <w:r>
        <w:rPr>
          <w:lang w:val="en-US"/>
        </w:rPr>
        <w:t xml:space="preserve"> Discourse Theory, constitute the analytical framework used in the analysis of discursive properties within the CSR-infused crisis communication. </w:t>
      </w:r>
    </w:p>
    <w:p w:rsidR="00973738" w:rsidRDefault="00973738" w:rsidP="00337119">
      <w:pPr>
        <w:spacing w:line="360" w:lineRule="auto"/>
        <w:rPr>
          <w:lang w:val="en-US"/>
        </w:rPr>
      </w:pPr>
      <w:r>
        <w:rPr>
          <w:lang w:val="en-US"/>
        </w:rPr>
        <w:t xml:space="preserve">Through the analysis of Mozilla’s crisis communication and the discursive properties thereof, the study reveals that discursive misalignments are apparent in Mozilla’s representation of its social responsibility – creating an ambiguous message in its crisis response. The cause of these misalignments is primarily found within the active role of several communicating actors with </w:t>
      </w:r>
      <w:r>
        <w:rPr>
          <w:lang w:val="en-US"/>
        </w:rPr>
        <w:lastRenderedPageBreak/>
        <w:t xml:space="preserve">authority (CEO, Executive Chairwoman and the organization), whose identities are conflicting, resulting in the presence of different ideological and social purposes. </w:t>
      </w:r>
      <w:r w:rsidR="00FC6DDB">
        <w:rPr>
          <w:lang w:val="en-US"/>
        </w:rPr>
        <w:t>The study finds that the observed misalignments are too indistinctive to be measured in terms of crisis communication theory in its current form.</w:t>
      </w:r>
      <w:r>
        <w:rPr>
          <w:lang w:val="en-US"/>
        </w:rPr>
        <w:t xml:space="preserve"> Accordingly, the study is inconclus</w:t>
      </w:r>
      <w:r w:rsidR="00FC6DDB">
        <w:rPr>
          <w:lang w:val="en-US"/>
        </w:rPr>
        <w:t>ive in determining the extent to</w:t>
      </w:r>
      <w:r>
        <w:rPr>
          <w:lang w:val="en-US"/>
        </w:rPr>
        <w:t xml:space="preserve"> which the revealed discursive misalignments caused the outcome of the crisis. However, it does point to an insufficiency in crisis communication theory – so as to accommodate more complex discursive structures in organizational crisis communication. Moreover, the findings of the study provide valuable insights in the usage of CSR discourse in crisis communication, even though these may be limited due to the scope of the study. Nevertheless, it contributes to a research area that is seemingly unexplored and opens up potentials for further resea</w:t>
      </w:r>
      <w:r w:rsidR="00FC075D">
        <w:rPr>
          <w:lang w:val="en-US"/>
        </w:rPr>
        <w:t>rch, which may be considered the</w:t>
      </w:r>
      <w:r>
        <w:rPr>
          <w:lang w:val="en-US"/>
        </w:rPr>
        <w:t xml:space="preserve"> academic purpose of the study. </w:t>
      </w:r>
    </w:p>
    <w:p w:rsidR="00973738" w:rsidRDefault="00973738" w:rsidP="00337119">
      <w:pPr>
        <w:rPr>
          <w:rFonts w:cs="Times New Roman"/>
          <w:lang w:val="en-US"/>
        </w:rPr>
      </w:pPr>
      <w:r>
        <w:rPr>
          <w:rFonts w:cs="Times New Roman"/>
          <w:lang w:val="en-US"/>
        </w:rPr>
        <w:br w:type="page"/>
      </w:r>
    </w:p>
    <w:sdt>
      <w:sdtPr>
        <w:rPr>
          <w:rFonts w:ascii="Times New Roman" w:eastAsiaTheme="minorHAnsi" w:hAnsi="Times New Roman" w:cstheme="minorBidi"/>
          <w:b w:val="0"/>
          <w:bCs w:val="0"/>
          <w:color w:val="auto"/>
          <w:sz w:val="24"/>
          <w:szCs w:val="22"/>
          <w:lang w:eastAsia="en-US"/>
        </w:rPr>
        <w:id w:val="1108000890"/>
        <w:docPartObj>
          <w:docPartGallery w:val="Table of Contents"/>
          <w:docPartUnique/>
        </w:docPartObj>
      </w:sdtPr>
      <w:sdtContent>
        <w:p w:rsidR="00D30364" w:rsidRPr="00D30364" w:rsidRDefault="00E26127" w:rsidP="00337119">
          <w:pPr>
            <w:pStyle w:val="Overskrift"/>
            <w:pBdr>
              <w:bottom w:val="single" w:sz="4" w:space="1" w:color="auto"/>
            </w:pBdr>
            <w:rPr>
              <w:rFonts w:ascii="Times New Roman" w:hAnsi="Times New Roman"/>
              <w:bCs w:val="0"/>
              <w:color w:val="000000" w:themeColor="text1"/>
              <w:spacing w:val="5"/>
              <w:kern w:val="28"/>
              <w:sz w:val="32"/>
            </w:rPr>
          </w:pPr>
          <w:r w:rsidRPr="00186C16">
            <w:rPr>
              <w:rStyle w:val="Overskrift1Tegn"/>
              <w:b/>
              <w:lang w:val="en-US"/>
            </w:rPr>
            <w:t xml:space="preserve">Table </w:t>
          </w:r>
          <w:r w:rsidRPr="00E26127">
            <w:rPr>
              <w:rStyle w:val="Overskrift1Tegn"/>
              <w:b/>
            </w:rPr>
            <w:t>of Contents</w:t>
          </w:r>
        </w:p>
        <w:p w:rsidR="00D30364" w:rsidRDefault="00D30364" w:rsidP="00337119">
          <w:pPr>
            <w:pStyle w:val="Indholdsfortegnelse1"/>
            <w:tabs>
              <w:tab w:val="right" w:leader="dot" w:pos="9628"/>
            </w:tabs>
          </w:pPr>
        </w:p>
        <w:p w:rsidR="001E1344" w:rsidRDefault="002B0351">
          <w:pPr>
            <w:pStyle w:val="Indholdsfortegnelse1"/>
            <w:tabs>
              <w:tab w:val="right" w:leader="dot" w:pos="9628"/>
            </w:tabs>
            <w:rPr>
              <w:rFonts w:asciiTheme="minorHAnsi" w:eastAsiaTheme="minorEastAsia" w:hAnsiTheme="minorHAnsi"/>
              <w:noProof/>
              <w:sz w:val="22"/>
              <w:lang w:eastAsia="da-DK"/>
            </w:rPr>
          </w:pPr>
          <w:r>
            <w:fldChar w:fldCharType="begin"/>
          </w:r>
          <w:r>
            <w:instrText xml:space="preserve"> TOC \o "1-4" \h \z \u </w:instrText>
          </w:r>
          <w:r>
            <w:fldChar w:fldCharType="separate"/>
          </w:r>
          <w:hyperlink w:anchor="_Toc420761607" w:history="1">
            <w:r w:rsidR="001E1344" w:rsidRPr="00A26011">
              <w:rPr>
                <w:rStyle w:val="Hyperlink"/>
                <w:noProof/>
                <w:lang w:val="en-US"/>
              </w:rPr>
              <w:t>Abstract</w:t>
            </w:r>
            <w:r w:rsidR="001E1344">
              <w:rPr>
                <w:noProof/>
                <w:webHidden/>
              </w:rPr>
              <w:tab/>
            </w:r>
            <w:r w:rsidR="001E1344">
              <w:rPr>
                <w:noProof/>
                <w:webHidden/>
              </w:rPr>
              <w:fldChar w:fldCharType="begin"/>
            </w:r>
            <w:r w:rsidR="001E1344">
              <w:rPr>
                <w:noProof/>
                <w:webHidden/>
              </w:rPr>
              <w:instrText xml:space="preserve"> PAGEREF _Toc420761607 \h </w:instrText>
            </w:r>
            <w:r w:rsidR="001E1344">
              <w:rPr>
                <w:noProof/>
                <w:webHidden/>
              </w:rPr>
            </w:r>
            <w:r w:rsidR="001E1344">
              <w:rPr>
                <w:noProof/>
                <w:webHidden/>
              </w:rPr>
              <w:fldChar w:fldCharType="separate"/>
            </w:r>
            <w:r w:rsidR="00DC67EC">
              <w:rPr>
                <w:noProof/>
                <w:webHidden/>
              </w:rPr>
              <w:t>1</w:t>
            </w:r>
            <w:r w:rsidR="001E1344">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08" w:history="1">
            <w:r w:rsidRPr="00A26011">
              <w:rPr>
                <w:rStyle w:val="Hyperlink"/>
                <w:rFonts w:cs="Times New Roman"/>
                <w:noProof/>
                <w:lang w:val="en-US"/>
              </w:rPr>
              <w:t>1. Introduction</w:t>
            </w:r>
            <w:r>
              <w:rPr>
                <w:noProof/>
                <w:webHidden/>
              </w:rPr>
              <w:tab/>
            </w:r>
            <w:r>
              <w:rPr>
                <w:noProof/>
                <w:webHidden/>
              </w:rPr>
              <w:fldChar w:fldCharType="begin"/>
            </w:r>
            <w:r>
              <w:rPr>
                <w:noProof/>
                <w:webHidden/>
              </w:rPr>
              <w:instrText xml:space="preserve"> PAGEREF _Toc420761608 \h </w:instrText>
            </w:r>
            <w:r>
              <w:rPr>
                <w:noProof/>
                <w:webHidden/>
              </w:rPr>
            </w:r>
            <w:r>
              <w:rPr>
                <w:noProof/>
                <w:webHidden/>
              </w:rPr>
              <w:fldChar w:fldCharType="separate"/>
            </w:r>
            <w:r w:rsidR="00DC67EC">
              <w:rPr>
                <w:noProof/>
                <w:webHidden/>
              </w:rPr>
              <w:t>6</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09" w:history="1">
            <w:r w:rsidRPr="00A26011">
              <w:rPr>
                <w:rStyle w:val="Hyperlink"/>
                <w:noProof/>
                <w:lang w:val="en-US"/>
              </w:rPr>
              <w:t>1.1 Case Representation</w:t>
            </w:r>
            <w:r>
              <w:rPr>
                <w:noProof/>
                <w:webHidden/>
              </w:rPr>
              <w:tab/>
            </w:r>
            <w:r>
              <w:rPr>
                <w:noProof/>
                <w:webHidden/>
              </w:rPr>
              <w:fldChar w:fldCharType="begin"/>
            </w:r>
            <w:r>
              <w:rPr>
                <w:noProof/>
                <w:webHidden/>
              </w:rPr>
              <w:instrText xml:space="preserve"> PAGEREF _Toc420761609 \h </w:instrText>
            </w:r>
            <w:r>
              <w:rPr>
                <w:noProof/>
                <w:webHidden/>
              </w:rPr>
            </w:r>
            <w:r>
              <w:rPr>
                <w:noProof/>
                <w:webHidden/>
              </w:rPr>
              <w:fldChar w:fldCharType="separate"/>
            </w:r>
            <w:r w:rsidR="00DC67EC">
              <w:rPr>
                <w:noProof/>
                <w:webHidden/>
              </w:rPr>
              <w:t>7</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10" w:history="1">
            <w:r w:rsidRPr="00A26011">
              <w:rPr>
                <w:rStyle w:val="Hyperlink"/>
                <w:noProof/>
                <w:lang w:val="en-US"/>
              </w:rPr>
              <w:t>1.2 Literature</w:t>
            </w:r>
            <w:r>
              <w:rPr>
                <w:noProof/>
                <w:webHidden/>
              </w:rPr>
              <w:tab/>
            </w:r>
            <w:r>
              <w:rPr>
                <w:noProof/>
                <w:webHidden/>
              </w:rPr>
              <w:fldChar w:fldCharType="begin"/>
            </w:r>
            <w:r>
              <w:rPr>
                <w:noProof/>
                <w:webHidden/>
              </w:rPr>
              <w:instrText xml:space="preserve"> PAGEREF _Toc420761610 \h </w:instrText>
            </w:r>
            <w:r>
              <w:rPr>
                <w:noProof/>
                <w:webHidden/>
              </w:rPr>
            </w:r>
            <w:r>
              <w:rPr>
                <w:noProof/>
                <w:webHidden/>
              </w:rPr>
              <w:fldChar w:fldCharType="separate"/>
            </w:r>
            <w:r w:rsidR="00DC67EC">
              <w:rPr>
                <w:noProof/>
                <w:webHidden/>
              </w:rPr>
              <w:t>7</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11" w:history="1">
            <w:r w:rsidRPr="00A26011">
              <w:rPr>
                <w:rStyle w:val="Hyperlink"/>
                <w:noProof/>
                <w:lang w:val="en-US"/>
              </w:rPr>
              <w:t>1.2 Problem Statement</w:t>
            </w:r>
            <w:r>
              <w:rPr>
                <w:noProof/>
                <w:webHidden/>
              </w:rPr>
              <w:tab/>
            </w:r>
            <w:r>
              <w:rPr>
                <w:noProof/>
                <w:webHidden/>
              </w:rPr>
              <w:fldChar w:fldCharType="begin"/>
            </w:r>
            <w:r>
              <w:rPr>
                <w:noProof/>
                <w:webHidden/>
              </w:rPr>
              <w:instrText xml:space="preserve"> PAGEREF _Toc420761611 \h </w:instrText>
            </w:r>
            <w:r>
              <w:rPr>
                <w:noProof/>
                <w:webHidden/>
              </w:rPr>
            </w:r>
            <w:r>
              <w:rPr>
                <w:noProof/>
                <w:webHidden/>
              </w:rPr>
              <w:fldChar w:fldCharType="separate"/>
            </w:r>
            <w:r w:rsidR="00DC67EC">
              <w:rPr>
                <w:noProof/>
                <w:webHidden/>
              </w:rPr>
              <w:t>8</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12" w:history="1">
            <w:r w:rsidRPr="00A26011">
              <w:rPr>
                <w:rStyle w:val="Hyperlink"/>
                <w:noProof/>
                <w:lang w:val="en-US"/>
              </w:rPr>
              <w:t>2. Methodology</w:t>
            </w:r>
            <w:r>
              <w:rPr>
                <w:noProof/>
                <w:webHidden/>
              </w:rPr>
              <w:tab/>
            </w:r>
            <w:r>
              <w:rPr>
                <w:noProof/>
                <w:webHidden/>
              </w:rPr>
              <w:fldChar w:fldCharType="begin"/>
            </w:r>
            <w:r>
              <w:rPr>
                <w:noProof/>
                <w:webHidden/>
              </w:rPr>
              <w:instrText xml:space="preserve"> PAGEREF _Toc420761612 \h </w:instrText>
            </w:r>
            <w:r>
              <w:rPr>
                <w:noProof/>
                <w:webHidden/>
              </w:rPr>
            </w:r>
            <w:r>
              <w:rPr>
                <w:noProof/>
                <w:webHidden/>
              </w:rPr>
              <w:fldChar w:fldCharType="separate"/>
            </w:r>
            <w:r w:rsidR="00DC67EC">
              <w:rPr>
                <w:noProof/>
                <w:webHidden/>
              </w:rPr>
              <w:t>9</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13" w:history="1">
            <w:r w:rsidRPr="00A26011">
              <w:rPr>
                <w:rStyle w:val="Hyperlink"/>
                <w:noProof/>
                <w:lang w:val="en-US"/>
              </w:rPr>
              <w:t>2.1 Scientific Approach</w:t>
            </w:r>
            <w:r>
              <w:rPr>
                <w:noProof/>
                <w:webHidden/>
              </w:rPr>
              <w:tab/>
            </w:r>
            <w:r>
              <w:rPr>
                <w:noProof/>
                <w:webHidden/>
              </w:rPr>
              <w:fldChar w:fldCharType="begin"/>
            </w:r>
            <w:r>
              <w:rPr>
                <w:noProof/>
                <w:webHidden/>
              </w:rPr>
              <w:instrText xml:space="preserve"> PAGEREF _Toc420761613 \h </w:instrText>
            </w:r>
            <w:r>
              <w:rPr>
                <w:noProof/>
                <w:webHidden/>
              </w:rPr>
            </w:r>
            <w:r>
              <w:rPr>
                <w:noProof/>
                <w:webHidden/>
              </w:rPr>
              <w:fldChar w:fldCharType="separate"/>
            </w:r>
            <w:r w:rsidR="00DC67EC">
              <w:rPr>
                <w:noProof/>
                <w:webHidden/>
              </w:rPr>
              <w:t>9</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14" w:history="1">
            <w:r w:rsidRPr="00A26011">
              <w:rPr>
                <w:rStyle w:val="Hyperlink"/>
                <w:noProof/>
                <w:lang w:val="en-US"/>
              </w:rPr>
              <w:t>2.2 The Hermeneutic Spiral</w:t>
            </w:r>
            <w:r>
              <w:rPr>
                <w:noProof/>
                <w:webHidden/>
              </w:rPr>
              <w:tab/>
            </w:r>
            <w:r>
              <w:rPr>
                <w:noProof/>
                <w:webHidden/>
              </w:rPr>
              <w:fldChar w:fldCharType="begin"/>
            </w:r>
            <w:r>
              <w:rPr>
                <w:noProof/>
                <w:webHidden/>
              </w:rPr>
              <w:instrText xml:space="preserve"> PAGEREF _Toc420761614 \h </w:instrText>
            </w:r>
            <w:r>
              <w:rPr>
                <w:noProof/>
                <w:webHidden/>
              </w:rPr>
            </w:r>
            <w:r>
              <w:rPr>
                <w:noProof/>
                <w:webHidden/>
              </w:rPr>
              <w:fldChar w:fldCharType="separate"/>
            </w:r>
            <w:r w:rsidR="00DC67EC">
              <w:rPr>
                <w:noProof/>
                <w:webHidden/>
              </w:rPr>
              <w:t>10</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15" w:history="1">
            <w:r w:rsidRPr="00A26011">
              <w:rPr>
                <w:rStyle w:val="Hyperlink"/>
                <w:noProof/>
                <w:lang w:val="en-US"/>
              </w:rPr>
              <w:t>2.3 Social Constructionism</w:t>
            </w:r>
            <w:r>
              <w:rPr>
                <w:noProof/>
                <w:webHidden/>
              </w:rPr>
              <w:tab/>
            </w:r>
            <w:r>
              <w:rPr>
                <w:noProof/>
                <w:webHidden/>
              </w:rPr>
              <w:fldChar w:fldCharType="begin"/>
            </w:r>
            <w:r>
              <w:rPr>
                <w:noProof/>
                <w:webHidden/>
              </w:rPr>
              <w:instrText xml:space="preserve"> PAGEREF _Toc420761615 \h </w:instrText>
            </w:r>
            <w:r>
              <w:rPr>
                <w:noProof/>
                <w:webHidden/>
              </w:rPr>
            </w:r>
            <w:r>
              <w:rPr>
                <w:noProof/>
                <w:webHidden/>
              </w:rPr>
              <w:fldChar w:fldCharType="separate"/>
            </w:r>
            <w:r w:rsidR="00DC67EC">
              <w:rPr>
                <w:noProof/>
                <w:webHidden/>
              </w:rPr>
              <w:t>11</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16" w:history="1">
            <w:r w:rsidRPr="00A26011">
              <w:rPr>
                <w:rStyle w:val="Hyperlink"/>
                <w:noProof/>
                <w:lang w:val="en-US"/>
              </w:rPr>
              <w:t>2.4 Study Design</w:t>
            </w:r>
            <w:r>
              <w:rPr>
                <w:noProof/>
                <w:webHidden/>
              </w:rPr>
              <w:tab/>
            </w:r>
            <w:r>
              <w:rPr>
                <w:noProof/>
                <w:webHidden/>
              </w:rPr>
              <w:fldChar w:fldCharType="begin"/>
            </w:r>
            <w:r>
              <w:rPr>
                <w:noProof/>
                <w:webHidden/>
              </w:rPr>
              <w:instrText xml:space="preserve"> PAGEREF _Toc420761616 \h </w:instrText>
            </w:r>
            <w:r>
              <w:rPr>
                <w:noProof/>
                <w:webHidden/>
              </w:rPr>
            </w:r>
            <w:r>
              <w:rPr>
                <w:noProof/>
                <w:webHidden/>
              </w:rPr>
              <w:fldChar w:fldCharType="separate"/>
            </w:r>
            <w:r w:rsidR="00DC67EC">
              <w:rPr>
                <w:noProof/>
                <w:webHidden/>
              </w:rPr>
              <w:t>11</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17" w:history="1">
            <w:r w:rsidRPr="00A26011">
              <w:rPr>
                <w:rStyle w:val="Hyperlink"/>
                <w:noProof/>
                <w:lang w:val="en-US"/>
              </w:rPr>
              <w:t>2.4.1 Theoretical Approach</w:t>
            </w:r>
            <w:r>
              <w:rPr>
                <w:noProof/>
                <w:webHidden/>
              </w:rPr>
              <w:tab/>
            </w:r>
            <w:r>
              <w:rPr>
                <w:noProof/>
                <w:webHidden/>
              </w:rPr>
              <w:fldChar w:fldCharType="begin"/>
            </w:r>
            <w:r>
              <w:rPr>
                <w:noProof/>
                <w:webHidden/>
              </w:rPr>
              <w:instrText xml:space="preserve"> PAGEREF _Toc420761617 \h </w:instrText>
            </w:r>
            <w:r>
              <w:rPr>
                <w:noProof/>
                <w:webHidden/>
              </w:rPr>
            </w:r>
            <w:r>
              <w:rPr>
                <w:noProof/>
                <w:webHidden/>
              </w:rPr>
              <w:fldChar w:fldCharType="separate"/>
            </w:r>
            <w:r w:rsidR="00DC67EC">
              <w:rPr>
                <w:noProof/>
                <w:webHidden/>
              </w:rPr>
              <w:t>12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18" w:history="1">
            <w:r w:rsidRPr="00A26011">
              <w:rPr>
                <w:rStyle w:val="Hyperlink"/>
                <w:noProof/>
                <w:lang w:val="en-US"/>
              </w:rPr>
              <w:t>2.5 Empirical Data Collection</w:t>
            </w:r>
            <w:r>
              <w:rPr>
                <w:noProof/>
                <w:webHidden/>
              </w:rPr>
              <w:tab/>
            </w:r>
            <w:r>
              <w:rPr>
                <w:noProof/>
                <w:webHidden/>
              </w:rPr>
              <w:fldChar w:fldCharType="begin"/>
            </w:r>
            <w:r>
              <w:rPr>
                <w:noProof/>
                <w:webHidden/>
              </w:rPr>
              <w:instrText xml:space="preserve"> PAGEREF _Toc420761618 \h </w:instrText>
            </w:r>
            <w:r>
              <w:rPr>
                <w:noProof/>
                <w:webHidden/>
              </w:rPr>
            </w:r>
            <w:r>
              <w:rPr>
                <w:noProof/>
                <w:webHidden/>
              </w:rPr>
              <w:fldChar w:fldCharType="separate"/>
            </w:r>
            <w:r w:rsidR="00DC67EC">
              <w:rPr>
                <w:noProof/>
                <w:webHidden/>
              </w:rPr>
              <w:t>13</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19" w:history="1">
            <w:r w:rsidRPr="00A26011">
              <w:rPr>
                <w:rStyle w:val="Hyperlink"/>
                <w:noProof/>
                <w:lang w:val="en-US"/>
              </w:rPr>
              <w:t>2.5.1 Primary Data</w:t>
            </w:r>
            <w:r>
              <w:rPr>
                <w:noProof/>
                <w:webHidden/>
              </w:rPr>
              <w:tab/>
            </w:r>
            <w:r>
              <w:rPr>
                <w:noProof/>
                <w:webHidden/>
              </w:rPr>
              <w:fldChar w:fldCharType="begin"/>
            </w:r>
            <w:r>
              <w:rPr>
                <w:noProof/>
                <w:webHidden/>
              </w:rPr>
              <w:instrText xml:space="preserve"> PAGEREF _Toc420761619 \h </w:instrText>
            </w:r>
            <w:r>
              <w:rPr>
                <w:noProof/>
                <w:webHidden/>
              </w:rPr>
            </w:r>
            <w:r>
              <w:rPr>
                <w:noProof/>
                <w:webHidden/>
              </w:rPr>
              <w:fldChar w:fldCharType="separate"/>
            </w:r>
            <w:r w:rsidR="00DC67EC">
              <w:rPr>
                <w:noProof/>
                <w:webHidden/>
              </w:rPr>
              <w:t>13</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20" w:history="1">
            <w:r w:rsidRPr="00A26011">
              <w:rPr>
                <w:rStyle w:val="Hyperlink"/>
                <w:noProof/>
                <w:lang w:val="en-US"/>
              </w:rPr>
              <w:t>2.5.2 Secondary Data</w:t>
            </w:r>
            <w:r>
              <w:rPr>
                <w:noProof/>
                <w:webHidden/>
              </w:rPr>
              <w:tab/>
            </w:r>
            <w:r>
              <w:rPr>
                <w:noProof/>
                <w:webHidden/>
              </w:rPr>
              <w:fldChar w:fldCharType="begin"/>
            </w:r>
            <w:r>
              <w:rPr>
                <w:noProof/>
                <w:webHidden/>
              </w:rPr>
              <w:instrText xml:space="preserve"> PAGEREF _Toc420761620 \h </w:instrText>
            </w:r>
            <w:r>
              <w:rPr>
                <w:noProof/>
                <w:webHidden/>
              </w:rPr>
            </w:r>
            <w:r>
              <w:rPr>
                <w:noProof/>
                <w:webHidden/>
              </w:rPr>
              <w:fldChar w:fldCharType="separate"/>
            </w:r>
            <w:r w:rsidR="00DC67EC">
              <w:rPr>
                <w:noProof/>
                <w:webHidden/>
              </w:rPr>
              <w:t>14</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21" w:history="1">
            <w:r w:rsidRPr="00A26011">
              <w:rPr>
                <w:rStyle w:val="Hyperlink"/>
                <w:noProof/>
                <w:lang w:val="en-US"/>
              </w:rPr>
              <w:t>2.6 Analytical Approach</w:t>
            </w:r>
            <w:r>
              <w:rPr>
                <w:noProof/>
                <w:webHidden/>
              </w:rPr>
              <w:tab/>
            </w:r>
            <w:r>
              <w:rPr>
                <w:noProof/>
                <w:webHidden/>
              </w:rPr>
              <w:fldChar w:fldCharType="begin"/>
            </w:r>
            <w:r>
              <w:rPr>
                <w:noProof/>
                <w:webHidden/>
              </w:rPr>
              <w:instrText xml:space="preserve"> PAGEREF _Toc420761621 \h </w:instrText>
            </w:r>
            <w:r>
              <w:rPr>
                <w:noProof/>
                <w:webHidden/>
              </w:rPr>
            </w:r>
            <w:r>
              <w:rPr>
                <w:noProof/>
                <w:webHidden/>
              </w:rPr>
              <w:fldChar w:fldCharType="separate"/>
            </w:r>
            <w:r w:rsidR="00DC67EC">
              <w:rPr>
                <w:noProof/>
                <w:webHidden/>
              </w:rPr>
              <w:t>14</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22" w:history="1">
            <w:r w:rsidRPr="00A26011">
              <w:rPr>
                <w:rStyle w:val="Hyperlink"/>
                <w:noProof/>
                <w:lang w:val="en-US"/>
              </w:rPr>
              <w:t>2.7 Delimitations</w:t>
            </w:r>
            <w:r>
              <w:rPr>
                <w:noProof/>
                <w:webHidden/>
              </w:rPr>
              <w:tab/>
            </w:r>
            <w:r>
              <w:rPr>
                <w:noProof/>
                <w:webHidden/>
              </w:rPr>
              <w:fldChar w:fldCharType="begin"/>
            </w:r>
            <w:r>
              <w:rPr>
                <w:noProof/>
                <w:webHidden/>
              </w:rPr>
              <w:instrText xml:space="preserve"> PAGEREF _Toc420761622 \h </w:instrText>
            </w:r>
            <w:r>
              <w:rPr>
                <w:noProof/>
                <w:webHidden/>
              </w:rPr>
            </w:r>
            <w:r>
              <w:rPr>
                <w:noProof/>
                <w:webHidden/>
              </w:rPr>
              <w:fldChar w:fldCharType="separate"/>
            </w:r>
            <w:r w:rsidR="00DC67EC">
              <w:rPr>
                <w:noProof/>
                <w:webHidden/>
              </w:rPr>
              <w:t>14</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23" w:history="1">
            <w:r w:rsidRPr="00A26011">
              <w:rPr>
                <w:rStyle w:val="Hyperlink"/>
                <w:noProof/>
                <w:lang w:val="en-US"/>
              </w:rPr>
              <w:t>3. Literature Review</w:t>
            </w:r>
            <w:r>
              <w:rPr>
                <w:noProof/>
                <w:webHidden/>
              </w:rPr>
              <w:tab/>
            </w:r>
            <w:r>
              <w:rPr>
                <w:noProof/>
                <w:webHidden/>
              </w:rPr>
              <w:fldChar w:fldCharType="begin"/>
            </w:r>
            <w:r>
              <w:rPr>
                <w:noProof/>
                <w:webHidden/>
              </w:rPr>
              <w:instrText xml:space="preserve"> PAGEREF _Toc420761623 \h </w:instrText>
            </w:r>
            <w:r>
              <w:rPr>
                <w:noProof/>
                <w:webHidden/>
              </w:rPr>
            </w:r>
            <w:r>
              <w:rPr>
                <w:noProof/>
                <w:webHidden/>
              </w:rPr>
              <w:fldChar w:fldCharType="separate"/>
            </w:r>
            <w:r w:rsidR="00DC67EC">
              <w:rPr>
                <w:noProof/>
                <w:webHidden/>
              </w:rPr>
              <w:t>15</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24" w:history="1">
            <w:r w:rsidRPr="00A26011">
              <w:rPr>
                <w:rStyle w:val="Hyperlink"/>
                <w:noProof/>
                <w:lang w:val="en-US"/>
              </w:rPr>
              <w:t>3.1 Crisis Communication</w:t>
            </w:r>
            <w:r>
              <w:rPr>
                <w:noProof/>
                <w:webHidden/>
              </w:rPr>
              <w:tab/>
            </w:r>
            <w:r>
              <w:rPr>
                <w:noProof/>
                <w:webHidden/>
              </w:rPr>
              <w:fldChar w:fldCharType="begin"/>
            </w:r>
            <w:r>
              <w:rPr>
                <w:noProof/>
                <w:webHidden/>
              </w:rPr>
              <w:instrText xml:space="preserve"> PAGEREF _Toc420761624 \h </w:instrText>
            </w:r>
            <w:r>
              <w:rPr>
                <w:noProof/>
                <w:webHidden/>
              </w:rPr>
            </w:r>
            <w:r>
              <w:rPr>
                <w:noProof/>
                <w:webHidden/>
              </w:rPr>
              <w:fldChar w:fldCharType="separate"/>
            </w:r>
            <w:r w:rsidR="00DC67EC">
              <w:rPr>
                <w:noProof/>
                <w:webHidden/>
              </w:rPr>
              <w:t>15</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25" w:history="1">
            <w:r w:rsidRPr="00A26011">
              <w:rPr>
                <w:rStyle w:val="Hyperlink"/>
                <w:noProof/>
                <w:lang w:val="en-US"/>
              </w:rPr>
              <w:t>3. 2 Corporate Social Responsibility</w:t>
            </w:r>
            <w:r>
              <w:rPr>
                <w:noProof/>
                <w:webHidden/>
              </w:rPr>
              <w:tab/>
            </w:r>
            <w:r>
              <w:rPr>
                <w:noProof/>
                <w:webHidden/>
              </w:rPr>
              <w:fldChar w:fldCharType="begin"/>
            </w:r>
            <w:r>
              <w:rPr>
                <w:noProof/>
                <w:webHidden/>
              </w:rPr>
              <w:instrText xml:space="preserve"> PAGEREF _Toc420761625 \h </w:instrText>
            </w:r>
            <w:r>
              <w:rPr>
                <w:noProof/>
                <w:webHidden/>
              </w:rPr>
            </w:r>
            <w:r>
              <w:rPr>
                <w:noProof/>
                <w:webHidden/>
              </w:rPr>
              <w:fldChar w:fldCharType="separate"/>
            </w:r>
            <w:r w:rsidR="00DC67EC">
              <w:rPr>
                <w:noProof/>
                <w:webHidden/>
              </w:rPr>
              <w:t>16</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26" w:history="1">
            <w:r w:rsidRPr="00A26011">
              <w:rPr>
                <w:rStyle w:val="Hyperlink"/>
                <w:noProof/>
                <w:lang w:val="en-US"/>
              </w:rPr>
              <w:t>3. 3 Crisis Communication and Corporate Social Responsibility Interconnected</w:t>
            </w:r>
            <w:r>
              <w:rPr>
                <w:noProof/>
                <w:webHidden/>
              </w:rPr>
              <w:tab/>
            </w:r>
            <w:r>
              <w:rPr>
                <w:noProof/>
                <w:webHidden/>
              </w:rPr>
              <w:fldChar w:fldCharType="begin"/>
            </w:r>
            <w:r>
              <w:rPr>
                <w:noProof/>
                <w:webHidden/>
              </w:rPr>
              <w:instrText xml:space="preserve"> PAGEREF _Toc420761626 \h </w:instrText>
            </w:r>
            <w:r>
              <w:rPr>
                <w:noProof/>
                <w:webHidden/>
              </w:rPr>
            </w:r>
            <w:r>
              <w:rPr>
                <w:noProof/>
                <w:webHidden/>
              </w:rPr>
              <w:fldChar w:fldCharType="separate"/>
            </w:r>
            <w:r w:rsidR="00DC67EC">
              <w:rPr>
                <w:noProof/>
                <w:webHidden/>
              </w:rPr>
              <w:t>18</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27" w:history="1">
            <w:r w:rsidRPr="00A26011">
              <w:rPr>
                <w:rStyle w:val="Hyperlink"/>
                <w:noProof/>
                <w:lang w:val="en-US"/>
              </w:rPr>
              <w:t>4. Theoretical Framework of Crisis Communication</w:t>
            </w:r>
            <w:r>
              <w:rPr>
                <w:noProof/>
                <w:webHidden/>
              </w:rPr>
              <w:tab/>
            </w:r>
            <w:r>
              <w:rPr>
                <w:noProof/>
                <w:webHidden/>
              </w:rPr>
              <w:fldChar w:fldCharType="begin"/>
            </w:r>
            <w:r>
              <w:rPr>
                <w:noProof/>
                <w:webHidden/>
              </w:rPr>
              <w:instrText xml:space="preserve"> PAGEREF _Toc420761627 \h </w:instrText>
            </w:r>
            <w:r>
              <w:rPr>
                <w:noProof/>
                <w:webHidden/>
              </w:rPr>
            </w:r>
            <w:r>
              <w:rPr>
                <w:noProof/>
                <w:webHidden/>
              </w:rPr>
              <w:fldChar w:fldCharType="separate"/>
            </w:r>
            <w:r w:rsidR="00DC67EC">
              <w:rPr>
                <w:noProof/>
                <w:webHidden/>
              </w:rPr>
              <w:t>20</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28" w:history="1">
            <w:r w:rsidRPr="00A26011">
              <w:rPr>
                <w:rStyle w:val="Hyperlink"/>
                <w:noProof/>
                <w:lang w:val="en-US"/>
              </w:rPr>
              <w:t>4.1 Defining a Crisis</w:t>
            </w:r>
            <w:r>
              <w:rPr>
                <w:noProof/>
                <w:webHidden/>
              </w:rPr>
              <w:tab/>
            </w:r>
            <w:r>
              <w:rPr>
                <w:noProof/>
                <w:webHidden/>
              </w:rPr>
              <w:fldChar w:fldCharType="begin"/>
            </w:r>
            <w:r>
              <w:rPr>
                <w:noProof/>
                <w:webHidden/>
              </w:rPr>
              <w:instrText xml:space="preserve"> PAGEREF _Toc420761628 \h </w:instrText>
            </w:r>
            <w:r>
              <w:rPr>
                <w:noProof/>
                <w:webHidden/>
              </w:rPr>
            </w:r>
            <w:r>
              <w:rPr>
                <w:noProof/>
                <w:webHidden/>
              </w:rPr>
              <w:fldChar w:fldCharType="separate"/>
            </w:r>
            <w:r w:rsidR="00DC67EC">
              <w:rPr>
                <w:noProof/>
                <w:webHidden/>
              </w:rPr>
              <w:t>20</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29" w:history="1">
            <w:r w:rsidRPr="00A26011">
              <w:rPr>
                <w:rStyle w:val="Hyperlink"/>
                <w:noProof/>
                <w:lang w:val="en-US"/>
              </w:rPr>
              <w:t>4.2 Crisis Communication</w:t>
            </w:r>
            <w:r>
              <w:rPr>
                <w:noProof/>
                <w:webHidden/>
              </w:rPr>
              <w:tab/>
            </w:r>
            <w:r>
              <w:rPr>
                <w:noProof/>
                <w:webHidden/>
              </w:rPr>
              <w:fldChar w:fldCharType="begin"/>
            </w:r>
            <w:r>
              <w:rPr>
                <w:noProof/>
                <w:webHidden/>
              </w:rPr>
              <w:instrText xml:space="preserve"> PAGEREF _Toc420761629 \h </w:instrText>
            </w:r>
            <w:r>
              <w:rPr>
                <w:noProof/>
                <w:webHidden/>
              </w:rPr>
            </w:r>
            <w:r>
              <w:rPr>
                <w:noProof/>
                <w:webHidden/>
              </w:rPr>
              <w:fldChar w:fldCharType="separate"/>
            </w:r>
            <w:r w:rsidR="00DC67EC">
              <w:rPr>
                <w:noProof/>
                <w:webHidden/>
              </w:rPr>
              <w:t>22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30" w:history="1">
            <w:r w:rsidRPr="00A26011">
              <w:rPr>
                <w:rStyle w:val="Hyperlink"/>
                <w:noProof/>
                <w:lang w:val="en-US"/>
              </w:rPr>
              <w:t>4.3 William L. Benoit’s Image Restoration Theory</w:t>
            </w:r>
            <w:r>
              <w:rPr>
                <w:noProof/>
                <w:webHidden/>
              </w:rPr>
              <w:tab/>
            </w:r>
            <w:r>
              <w:rPr>
                <w:noProof/>
                <w:webHidden/>
              </w:rPr>
              <w:fldChar w:fldCharType="begin"/>
            </w:r>
            <w:r>
              <w:rPr>
                <w:noProof/>
                <w:webHidden/>
              </w:rPr>
              <w:instrText xml:space="preserve"> PAGEREF _Toc420761630 \h </w:instrText>
            </w:r>
            <w:r>
              <w:rPr>
                <w:noProof/>
                <w:webHidden/>
              </w:rPr>
            </w:r>
            <w:r>
              <w:rPr>
                <w:noProof/>
                <w:webHidden/>
              </w:rPr>
              <w:fldChar w:fldCharType="separate"/>
            </w:r>
            <w:r w:rsidR="00DC67EC">
              <w:rPr>
                <w:noProof/>
                <w:webHidden/>
              </w:rPr>
              <w:t>23</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31" w:history="1">
            <w:r w:rsidRPr="00A26011">
              <w:rPr>
                <w:rStyle w:val="Hyperlink"/>
                <w:noProof/>
                <w:lang w:val="en-US"/>
              </w:rPr>
              <w:t>4.3.1 Critical Reflections</w:t>
            </w:r>
            <w:r>
              <w:rPr>
                <w:noProof/>
                <w:webHidden/>
              </w:rPr>
              <w:tab/>
            </w:r>
            <w:r>
              <w:rPr>
                <w:noProof/>
                <w:webHidden/>
              </w:rPr>
              <w:fldChar w:fldCharType="begin"/>
            </w:r>
            <w:r>
              <w:rPr>
                <w:noProof/>
                <w:webHidden/>
              </w:rPr>
              <w:instrText xml:space="preserve"> PAGEREF _Toc420761631 \h </w:instrText>
            </w:r>
            <w:r>
              <w:rPr>
                <w:noProof/>
                <w:webHidden/>
              </w:rPr>
            </w:r>
            <w:r>
              <w:rPr>
                <w:noProof/>
                <w:webHidden/>
              </w:rPr>
              <w:fldChar w:fldCharType="separate"/>
            </w:r>
            <w:r w:rsidR="00DC67EC">
              <w:rPr>
                <w:noProof/>
                <w:webHidden/>
              </w:rPr>
              <w:t>26</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32" w:history="1">
            <w:r w:rsidRPr="00A26011">
              <w:rPr>
                <w:rStyle w:val="Hyperlink"/>
                <w:noProof/>
                <w:lang w:val="en-US"/>
              </w:rPr>
              <w:t>4.4 The Situational Crisis Communication Theory by Timothy Coombs</w:t>
            </w:r>
            <w:r>
              <w:rPr>
                <w:noProof/>
                <w:webHidden/>
              </w:rPr>
              <w:tab/>
            </w:r>
            <w:r>
              <w:rPr>
                <w:noProof/>
                <w:webHidden/>
              </w:rPr>
              <w:fldChar w:fldCharType="begin"/>
            </w:r>
            <w:r>
              <w:rPr>
                <w:noProof/>
                <w:webHidden/>
              </w:rPr>
              <w:instrText xml:space="preserve"> PAGEREF _Toc420761632 \h </w:instrText>
            </w:r>
            <w:r>
              <w:rPr>
                <w:noProof/>
                <w:webHidden/>
              </w:rPr>
            </w:r>
            <w:r>
              <w:rPr>
                <w:noProof/>
                <w:webHidden/>
              </w:rPr>
              <w:fldChar w:fldCharType="separate"/>
            </w:r>
            <w:r w:rsidR="00DC67EC">
              <w:rPr>
                <w:noProof/>
                <w:webHidden/>
              </w:rPr>
              <w:t>28</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33" w:history="1">
            <w:r w:rsidRPr="00A26011">
              <w:rPr>
                <w:rStyle w:val="Hyperlink"/>
                <w:noProof/>
                <w:lang w:val="en-US"/>
              </w:rPr>
              <w:t>4.4.1 Critical Reflections</w:t>
            </w:r>
            <w:r>
              <w:rPr>
                <w:noProof/>
                <w:webHidden/>
              </w:rPr>
              <w:tab/>
            </w:r>
            <w:r>
              <w:rPr>
                <w:noProof/>
                <w:webHidden/>
              </w:rPr>
              <w:fldChar w:fldCharType="begin"/>
            </w:r>
            <w:r>
              <w:rPr>
                <w:noProof/>
                <w:webHidden/>
              </w:rPr>
              <w:instrText xml:space="preserve"> PAGEREF _Toc420761633 \h </w:instrText>
            </w:r>
            <w:r>
              <w:rPr>
                <w:noProof/>
                <w:webHidden/>
              </w:rPr>
            </w:r>
            <w:r>
              <w:rPr>
                <w:noProof/>
                <w:webHidden/>
              </w:rPr>
              <w:fldChar w:fldCharType="separate"/>
            </w:r>
            <w:r w:rsidR="00DC67EC">
              <w:rPr>
                <w:noProof/>
                <w:webHidden/>
              </w:rPr>
              <w:t>32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34" w:history="1">
            <w:r w:rsidRPr="00A26011">
              <w:rPr>
                <w:rStyle w:val="Hyperlink"/>
                <w:noProof/>
                <w:lang w:val="en-US"/>
              </w:rPr>
              <w:t>4.5 A Unification of the Rhetorical and Situational</w:t>
            </w:r>
            <w:r>
              <w:rPr>
                <w:noProof/>
                <w:webHidden/>
              </w:rPr>
              <w:tab/>
            </w:r>
            <w:r>
              <w:rPr>
                <w:noProof/>
                <w:webHidden/>
              </w:rPr>
              <w:fldChar w:fldCharType="begin"/>
            </w:r>
            <w:r>
              <w:rPr>
                <w:noProof/>
                <w:webHidden/>
              </w:rPr>
              <w:instrText xml:space="preserve"> PAGEREF _Toc420761634 \h </w:instrText>
            </w:r>
            <w:r>
              <w:rPr>
                <w:noProof/>
                <w:webHidden/>
              </w:rPr>
            </w:r>
            <w:r>
              <w:rPr>
                <w:noProof/>
                <w:webHidden/>
              </w:rPr>
              <w:fldChar w:fldCharType="separate"/>
            </w:r>
            <w:r w:rsidR="00DC67EC">
              <w:rPr>
                <w:noProof/>
                <w:webHidden/>
              </w:rPr>
              <w:t>33</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35" w:history="1">
            <w:r w:rsidRPr="00A26011">
              <w:rPr>
                <w:rStyle w:val="Hyperlink"/>
                <w:noProof/>
                <w:lang w:val="en-US"/>
              </w:rPr>
              <w:t>4.6 The Rhetorical Arena</w:t>
            </w:r>
            <w:r>
              <w:rPr>
                <w:noProof/>
                <w:webHidden/>
              </w:rPr>
              <w:tab/>
            </w:r>
            <w:r>
              <w:rPr>
                <w:noProof/>
                <w:webHidden/>
              </w:rPr>
              <w:fldChar w:fldCharType="begin"/>
            </w:r>
            <w:r>
              <w:rPr>
                <w:noProof/>
                <w:webHidden/>
              </w:rPr>
              <w:instrText xml:space="preserve"> PAGEREF _Toc420761635 \h </w:instrText>
            </w:r>
            <w:r>
              <w:rPr>
                <w:noProof/>
                <w:webHidden/>
              </w:rPr>
            </w:r>
            <w:r>
              <w:rPr>
                <w:noProof/>
                <w:webHidden/>
              </w:rPr>
              <w:fldChar w:fldCharType="separate"/>
            </w:r>
            <w:r w:rsidR="00DC67EC">
              <w:rPr>
                <w:noProof/>
                <w:webHidden/>
              </w:rPr>
              <w:t>35</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36" w:history="1">
            <w:r w:rsidRPr="00A26011">
              <w:rPr>
                <w:rStyle w:val="Hyperlink"/>
                <w:noProof/>
                <w:lang w:val="en-US"/>
              </w:rPr>
              <w:t>4.6.1 Macro Component: The Multi-vocal Arena</w:t>
            </w:r>
            <w:r>
              <w:rPr>
                <w:noProof/>
                <w:webHidden/>
              </w:rPr>
              <w:tab/>
            </w:r>
            <w:r>
              <w:rPr>
                <w:noProof/>
                <w:webHidden/>
              </w:rPr>
              <w:fldChar w:fldCharType="begin"/>
            </w:r>
            <w:r>
              <w:rPr>
                <w:noProof/>
                <w:webHidden/>
              </w:rPr>
              <w:instrText xml:space="preserve"> PAGEREF _Toc420761636 \h </w:instrText>
            </w:r>
            <w:r>
              <w:rPr>
                <w:noProof/>
                <w:webHidden/>
              </w:rPr>
            </w:r>
            <w:r>
              <w:rPr>
                <w:noProof/>
                <w:webHidden/>
              </w:rPr>
              <w:fldChar w:fldCharType="separate"/>
            </w:r>
            <w:r w:rsidR="00DC67EC">
              <w:rPr>
                <w:noProof/>
                <w:webHidden/>
              </w:rPr>
              <w:t>36</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37" w:history="1">
            <w:r w:rsidRPr="00A26011">
              <w:rPr>
                <w:rStyle w:val="Hyperlink"/>
                <w:noProof/>
                <w:lang w:val="en-US"/>
              </w:rPr>
              <w:t>4.6.2 Micro Component: Inside The Rhetorical Arena</w:t>
            </w:r>
            <w:r>
              <w:rPr>
                <w:noProof/>
                <w:webHidden/>
              </w:rPr>
              <w:tab/>
            </w:r>
            <w:r>
              <w:rPr>
                <w:noProof/>
                <w:webHidden/>
              </w:rPr>
              <w:fldChar w:fldCharType="begin"/>
            </w:r>
            <w:r>
              <w:rPr>
                <w:noProof/>
                <w:webHidden/>
              </w:rPr>
              <w:instrText xml:space="preserve"> PAGEREF _Toc420761637 \h </w:instrText>
            </w:r>
            <w:r>
              <w:rPr>
                <w:noProof/>
                <w:webHidden/>
              </w:rPr>
            </w:r>
            <w:r>
              <w:rPr>
                <w:noProof/>
                <w:webHidden/>
              </w:rPr>
              <w:fldChar w:fldCharType="separate"/>
            </w:r>
            <w:r w:rsidR="00DC67EC">
              <w:rPr>
                <w:noProof/>
                <w:webHidden/>
              </w:rPr>
              <w:t>37</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38" w:history="1">
            <w:r w:rsidRPr="00A26011">
              <w:rPr>
                <w:rStyle w:val="Hyperlink"/>
                <w:noProof/>
                <w:lang w:val="en-US"/>
              </w:rPr>
              <w:t>4.7 Reflective Deduction</w:t>
            </w:r>
            <w:r>
              <w:rPr>
                <w:noProof/>
                <w:webHidden/>
              </w:rPr>
              <w:tab/>
            </w:r>
            <w:r>
              <w:rPr>
                <w:noProof/>
                <w:webHidden/>
              </w:rPr>
              <w:fldChar w:fldCharType="begin"/>
            </w:r>
            <w:r>
              <w:rPr>
                <w:noProof/>
                <w:webHidden/>
              </w:rPr>
              <w:instrText xml:space="preserve"> PAGEREF _Toc420761638 \h </w:instrText>
            </w:r>
            <w:r>
              <w:rPr>
                <w:noProof/>
                <w:webHidden/>
              </w:rPr>
            </w:r>
            <w:r>
              <w:rPr>
                <w:noProof/>
                <w:webHidden/>
              </w:rPr>
              <w:fldChar w:fldCharType="separate"/>
            </w:r>
            <w:r w:rsidR="00DC67EC">
              <w:rPr>
                <w:noProof/>
                <w:webHidden/>
              </w:rPr>
              <w:t>40</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39" w:history="1">
            <w:r w:rsidRPr="00A26011">
              <w:rPr>
                <w:rStyle w:val="Hyperlink"/>
                <w:noProof/>
                <w:lang w:val="en-US"/>
              </w:rPr>
              <w:t>5. Analytical Discourse Framework from a Critical Perspective</w:t>
            </w:r>
            <w:r>
              <w:rPr>
                <w:noProof/>
                <w:webHidden/>
              </w:rPr>
              <w:tab/>
            </w:r>
            <w:r>
              <w:rPr>
                <w:noProof/>
                <w:webHidden/>
              </w:rPr>
              <w:fldChar w:fldCharType="begin"/>
            </w:r>
            <w:r>
              <w:rPr>
                <w:noProof/>
                <w:webHidden/>
              </w:rPr>
              <w:instrText xml:space="preserve"> PAGEREF _Toc420761639 \h </w:instrText>
            </w:r>
            <w:r>
              <w:rPr>
                <w:noProof/>
                <w:webHidden/>
              </w:rPr>
            </w:r>
            <w:r>
              <w:rPr>
                <w:noProof/>
                <w:webHidden/>
              </w:rPr>
              <w:fldChar w:fldCharType="separate"/>
            </w:r>
            <w:r w:rsidR="00DC67EC">
              <w:rPr>
                <w:noProof/>
                <w:webHidden/>
              </w:rPr>
              <w:t>42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40" w:history="1">
            <w:r w:rsidRPr="00A26011">
              <w:rPr>
                <w:rStyle w:val="Hyperlink"/>
                <w:noProof/>
                <w:lang w:val="en-US"/>
              </w:rPr>
              <w:t>5.1 Understanding Critical Discourse: Theory and Method</w:t>
            </w:r>
            <w:r>
              <w:rPr>
                <w:noProof/>
                <w:webHidden/>
              </w:rPr>
              <w:tab/>
            </w:r>
            <w:r>
              <w:rPr>
                <w:noProof/>
                <w:webHidden/>
              </w:rPr>
              <w:fldChar w:fldCharType="begin"/>
            </w:r>
            <w:r>
              <w:rPr>
                <w:noProof/>
                <w:webHidden/>
              </w:rPr>
              <w:instrText xml:space="preserve"> PAGEREF _Toc420761640 \h </w:instrText>
            </w:r>
            <w:r>
              <w:rPr>
                <w:noProof/>
                <w:webHidden/>
              </w:rPr>
            </w:r>
            <w:r>
              <w:rPr>
                <w:noProof/>
                <w:webHidden/>
              </w:rPr>
              <w:fldChar w:fldCharType="separate"/>
            </w:r>
            <w:r w:rsidR="00DC67EC">
              <w:rPr>
                <w:noProof/>
                <w:webHidden/>
              </w:rPr>
              <w:t>42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41" w:history="1">
            <w:r w:rsidRPr="00A26011">
              <w:rPr>
                <w:rStyle w:val="Hyperlink"/>
                <w:noProof/>
                <w:lang w:val="en-US"/>
              </w:rPr>
              <w:t>5.2 Ernesto Laclau and Chantal Mouffe’s Discourse Theory</w:t>
            </w:r>
            <w:r>
              <w:rPr>
                <w:noProof/>
                <w:webHidden/>
              </w:rPr>
              <w:tab/>
            </w:r>
            <w:r>
              <w:rPr>
                <w:noProof/>
                <w:webHidden/>
              </w:rPr>
              <w:fldChar w:fldCharType="begin"/>
            </w:r>
            <w:r>
              <w:rPr>
                <w:noProof/>
                <w:webHidden/>
              </w:rPr>
              <w:instrText xml:space="preserve"> PAGEREF _Toc420761641 \h </w:instrText>
            </w:r>
            <w:r>
              <w:rPr>
                <w:noProof/>
                <w:webHidden/>
              </w:rPr>
            </w:r>
            <w:r>
              <w:rPr>
                <w:noProof/>
                <w:webHidden/>
              </w:rPr>
              <w:fldChar w:fldCharType="separate"/>
            </w:r>
            <w:r w:rsidR="00DC67EC">
              <w:rPr>
                <w:noProof/>
                <w:webHidden/>
              </w:rPr>
              <w:t>43</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42" w:history="1">
            <w:r w:rsidRPr="00A26011">
              <w:rPr>
                <w:rStyle w:val="Hyperlink"/>
                <w:noProof/>
                <w:lang w:val="en-US"/>
              </w:rPr>
              <w:t>5.2.1 Reflections</w:t>
            </w:r>
            <w:r>
              <w:rPr>
                <w:noProof/>
                <w:webHidden/>
              </w:rPr>
              <w:tab/>
            </w:r>
            <w:r>
              <w:rPr>
                <w:noProof/>
                <w:webHidden/>
              </w:rPr>
              <w:fldChar w:fldCharType="begin"/>
            </w:r>
            <w:r>
              <w:rPr>
                <w:noProof/>
                <w:webHidden/>
              </w:rPr>
              <w:instrText xml:space="preserve"> PAGEREF _Toc420761642 \h </w:instrText>
            </w:r>
            <w:r>
              <w:rPr>
                <w:noProof/>
                <w:webHidden/>
              </w:rPr>
            </w:r>
            <w:r>
              <w:rPr>
                <w:noProof/>
                <w:webHidden/>
              </w:rPr>
              <w:fldChar w:fldCharType="separate"/>
            </w:r>
            <w:r w:rsidR="00DC67EC">
              <w:rPr>
                <w:noProof/>
                <w:webHidden/>
              </w:rPr>
              <w:t>45</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43" w:history="1">
            <w:r w:rsidRPr="00A26011">
              <w:rPr>
                <w:rStyle w:val="Hyperlink"/>
                <w:noProof/>
                <w:lang w:val="en-US"/>
              </w:rPr>
              <w:t>5.3 The Theory and Method of Critical Discourse Analysis</w:t>
            </w:r>
            <w:r>
              <w:rPr>
                <w:noProof/>
                <w:webHidden/>
              </w:rPr>
              <w:tab/>
            </w:r>
            <w:r>
              <w:rPr>
                <w:noProof/>
                <w:webHidden/>
              </w:rPr>
              <w:fldChar w:fldCharType="begin"/>
            </w:r>
            <w:r>
              <w:rPr>
                <w:noProof/>
                <w:webHidden/>
              </w:rPr>
              <w:instrText xml:space="preserve"> PAGEREF _Toc420761643 \h </w:instrText>
            </w:r>
            <w:r>
              <w:rPr>
                <w:noProof/>
                <w:webHidden/>
              </w:rPr>
            </w:r>
            <w:r>
              <w:rPr>
                <w:noProof/>
                <w:webHidden/>
              </w:rPr>
              <w:fldChar w:fldCharType="separate"/>
            </w:r>
            <w:r w:rsidR="00DC67EC">
              <w:rPr>
                <w:noProof/>
                <w:webHidden/>
              </w:rPr>
              <w:t>46</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44" w:history="1">
            <w:r w:rsidRPr="00A26011">
              <w:rPr>
                <w:rStyle w:val="Hyperlink"/>
                <w:noProof/>
                <w:lang w:val="en-US"/>
              </w:rPr>
              <w:t>5.3.1 The Three-dimensional Framework of Critical Discourse Analysis</w:t>
            </w:r>
            <w:r>
              <w:rPr>
                <w:noProof/>
                <w:webHidden/>
              </w:rPr>
              <w:tab/>
            </w:r>
            <w:r>
              <w:rPr>
                <w:noProof/>
                <w:webHidden/>
              </w:rPr>
              <w:fldChar w:fldCharType="begin"/>
            </w:r>
            <w:r>
              <w:rPr>
                <w:noProof/>
                <w:webHidden/>
              </w:rPr>
              <w:instrText xml:space="preserve"> PAGEREF _Toc420761644 \h </w:instrText>
            </w:r>
            <w:r>
              <w:rPr>
                <w:noProof/>
                <w:webHidden/>
              </w:rPr>
            </w:r>
            <w:r>
              <w:rPr>
                <w:noProof/>
                <w:webHidden/>
              </w:rPr>
              <w:fldChar w:fldCharType="separate"/>
            </w:r>
            <w:r w:rsidR="00DC67EC">
              <w:rPr>
                <w:noProof/>
                <w:webHidden/>
              </w:rPr>
              <w:t>48</w:t>
            </w:r>
            <w:r>
              <w:rPr>
                <w:noProof/>
                <w:webHidden/>
              </w:rPr>
              <w:fldChar w:fldCharType="end"/>
            </w:r>
          </w:hyperlink>
        </w:p>
        <w:p w:rsidR="001E1344" w:rsidRDefault="001E1344">
          <w:pPr>
            <w:pStyle w:val="Indholdsfortegnelse4"/>
            <w:tabs>
              <w:tab w:val="right" w:leader="dot" w:pos="9628"/>
            </w:tabs>
            <w:rPr>
              <w:rFonts w:asciiTheme="minorHAnsi" w:eastAsiaTheme="minorEastAsia" w:hAnsiTheme="minorHAnsi"/>
              <w:noProof/>
              <w:sz w:val="22"/>
              <w:lang w:eastAsia="da-DK"/>
            </w:rPr>
          </w:pPr>
          <w:hyperlink w:anchor="_Toc420761645" w:history="1">
            <w:r w:rsidRPr="00A26011">
              <w:rPr>
                <w:rStyle w:val="Hyperlink"/>
                <w:noProof/>
                <w:lang w:val="en-US"/>
              </w:rPr>
              <w:t>5.3.1.1 Text Analysis</w:t>
            </w:r>
            <w:r>
              <w:rPr>
                <w:noProof/>
                <w:webHidden/>
              </w:rPr>
              <w:tab/>
            </w:r>
            <w:r>
              <w:rPr>
                <w:noProof/>
                <w:webHidden/>
              </w:rPr>
              <w:fldChar w:fldCharType="begin"/>
            </w:r>
            <w:r>
              <w:rPr>
                <w:noProof/>
                <w:webHidden/>
              </w:rPr>
              <w:instrText xml:space="preserve"> PAGEREF _Toc420761645 \h </w:instrText>
            </w:r>
            <w:r>
              <w:rPr>
                <w:noProof/>
                <w:webHidden/>
              </w:rPr>
            </w:r>
            <w:r>
              <w:rPr>
                <w:noProof/>
                <w:webHidden/>
              </w:rPr>
              <w:fldChar w:fldCharType="separate"/>
            </w:r>
            <w:r w:rsidR="00DC67EC">
              <w:rPr>
                <w:noProof/>
                <w:webHidden/>
              </w:rPr>
              <w:t>51</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46" w:history="1">
            <w:r w:rsidRPr="00A26011">
              <w:rPr>
                <w:rStyle w:val="Hyperlink"/>
                <w:noProof/>
                <w:lang w:val="en-US"/>
              </w:rPr>
              <w:t>5.4 Corporate Social Responsibility: Concept and Discourse</w:t>
            </w:r>
            <w:r>
              <w:rPr>
                <w:noProof/>
                <w:webHidden/>
              </w:rPr>
              <w:tab/>
            </w:r>
            <w:r>
              <w:rPr>
                <w:noProof/>
                <w:webHidden/>
              </w:rPr>
              <w:fldChar w:fldCharType="begin"/>
            </w:r>
            <w:r>
              <w:rPr>
                <w:noProof/>
                <w:webHidden/>
              </w:rPr>
              <w:instrText xml:space="preserve"> PAGEREF _Toc420761646 \h </w:instrText>
            </w:r>
            <w:r>
              <w:rPr>
                <w:noProof/>
                <w:webHidden/>
              </w:rPr>
            </w:r>
            <w:r>
              <w:rPr>
                <w:noProof/>
                <w:webHidden/>
              </w:rPr>
              <w:fldChar w:fldCharType="separate"/>
            </w:r>
            <w:r w:rsidR="00DC67EC">
              <w:rPr>
                <w:noProof/>
                <w:webHidden/>
              </w:rPr>
              <w:t>52</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47" w:history="1">
            <w:r w:rsidRPr="00A26011">
              <w:rPr>
                <w:rStyle w:val="Hyperlink"/>
                <w:noProof/>
                <w:lang w:val="en-US"/>
              </w:rPr>
              <w:t>5.4.1 Corporate Social Responsibility</w:t>
            </w:r>
            <w:r>
              <w:rPr>
                <w:noProof/>
                <w:webHidden/>
              </w:rPr>
              <w:tab/>
            </w:r>
            <w:r>
              <w:rPr>
                <w:noProof/>
                <w:webHidden/>
              </w:rPr>
              <w:fldChar w:fldCharType="begin"/>
            </w:r>
            <w:r>
              <w:rPr>
                <w:noProof/>
                <w:webHidden/>
              </w:rPr>
              <w:instrText xml:space="preserve"> PAGEREF _Toc420761647 \h </w:instrText>
            </w:r>
            <w:r>
              <w:rPr>
                <w:noProof/>
                <w:webHidden/>
              </w:rPr>
            </w:r>
            <w:r>
              <w:rPr>
                <w:noProof/>
                <w:webHidden/>
              </w:rPr>
              <w:fldChar w:fldCharType="separate"/>
            </w:r>
            <w:r w:rsidR="00DC67EC">
              <w:rPr>
                <w:noProof/>
                <w:webHidden/>
              </w:rPr>
              <w:t>52</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48" w:history="1">
            <w:r w:rsidRPr="00A26011">
              <w:rPr>
                <w:rStyle w:val="Hyperlink"/>
                <w:noProof/>
                <w:lang w:val="en-US"/>
              </w:rPr>
              <w:t>5.4.2 CSR Discourse</w:t>
            </w:r>
            <w:r>
              <w:rPr>
                <w:noProof/>
                <w:webHidden/>
              </w:rPr>
              <w:tab/>
            </w:r>
            <w:r>
              <w:rPr>
                <w:noProof/>
                <w:webHidden/>
              </w:rPr>
              <w:fldChar w:fldCharType="begin"/>
            </w:r>
            <w:r>
              <w:rPr>
                <w:noProof/>
                <w:webHidden/>
              </w:rPr>
              <w:instrText xml:space="preserve"> PAGEREF _Toc420761648 \h </w:instrText>
            </w:r>
            <w:r>
              <w:rPr>
                <w:noProof/>
                <w:webHidden/>
              </w:rPr>
            </w:r>
            <w:r>
              <w:rPr>
                <w:noProof/>
                <w:webHidden/>
              </w:rPr>
              <w:fldChar w:fldCharType="separate"/>
            </w:r>
            <w:r w:rsidR="00DC67EC">
              <w:rPr>
                <w:noProof/>
                <w:webHidden/>
              </w:rPr>
              <w:t>53</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49" w:history="1">
            <w:r w:rsidRPr="00A26011">
              <w:rPr>
                <w:rStyle w:val="Hyperlink"/>
                <w:noProof/>
                <w:lang w:val="en-US"/>
              </w:rPr>
              <w:t>5.5 Setting up an Analytical Framework for Discourse Analysis</w:t>
            </w:r>
            <w:r>
              <w:rPr>
                <w:noProof/>
                <w:webHidden/>
              </w:rPr>
              <w:tab/>
            </w:r>
            <w:r>
              <w:rPr>
                <w:noProof/>
                <w:webHidden/>
              </w:rPr>
              <w:fldChar w:fldCharType="begin"/>
            </w:r>
            <w:r>
              <w:rPr>
                <w:noProof/>
                <w:webHidden/>
              </w:rPr>
              <w:instrText xml:space="preserve"> PAGEREF _Toc420761649 \h </w:instrText>
            </w:r>
            <w:r>
              <w:rPr>
                <w:noProof/>
                <w:webHidden/>
              </w:rPr>
            </w:r>
            <w:r>
              <w:rPr>
                <w:noProof/>
                <w:webHidden/>
              </w:rPr>
              <w:fldChar w:fldCharType="separate"/>
            </w:r>
            <w:r w:rsidR="00DC67EC">
              <w:rPr>
                <w:noProof/>
                <w:webHidden/>
              </w:rPr>
              <w:t>55</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50" w:history="1">
            <w:r w:rsidRPr="00A26011">
              <w:rPr>
                <w:rStyle w:val="Hyperlink"/>
                <w:noProof/>
                <w:lang w:val="en-US"/>
              </w:rPr>
              <w:t>6. Empirical Data</w:t>
            </w:r>
            <w:r>
              <w:rPr>
                <w:noProof/>
                <w:webHidden/>
              </w:rPr>
              <w:tab/>
            </w:r>
            <w:r>
              <w:rPr>
                <w:noProof/>
                <w:webHidden/>
              </w:rPr>
              <w:fldChar w:fldCharType="begin"/>
            </w:r>
            <w:r>
              <w:rPr>
                <w:noProof/>
                <w:webHidden/>
              </w:rPr>
              <w:instrText xml:space="preserve"> PAGEREF _Toc420761650 \h </w:instrText>
            </w:r>
            <w:r>
              <w:rPr>
                <w:noProof/>
                <w:webHidden/>
              </w:rPr>
            </w:r>
            <w:r>
              <w:rPr>
                <w:noProof/>
                <w:webHidden/>
              </w:rPr>
              <w:fldChar w:fldCharType="separate"/>
            </w:r>
            <w:r w:rsidR="00DC67EC">
              <w:rPr>
                <w:noProof/>
                <w:webHidden/>
              </w:rPr>
              <w:t>58</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51" w:history="1">
            <w:r w:rsidRPr="00A26011">
              <w:rPr>
                <w:rStyle w:val="Hyperlink"/>
                <w:noProof/>
                <w:lang w:val="en-US"/>
              </w:rPr>
              <w:t>6.1 Case</w:t>
            </w:r>
            <w:r>
              <w:rPr>
                <w:noProof/>
                <w:webHidden/>
              </w:rPr>
              <w:tab/>
            </w:r>
            <w:r>
              <w:rPr>
                <w:noProof/>
                <w:webHidden/>
              </w:rPr>
              <w:fldChar w:fldCharType="begin"/>
            </w:r>
            <w:r>
              <w:rPr>
                <w:noProof/>
                <w:webHidden/>
              </w:rPr>
              <w:instrText xml:space="preserve"> PAGEREF _Toc420761651 \h </w:instrText>
            </w:r>
            <w:r>
              <w:rPr>
                <w:noProof/>
                <w:webHidden/>
              </w:rPr>
            </w:r>
            <w:r>
              <w:rPr>
                <w:noProof/>
                <w:webHidden/>
              </w:rPr>
              <w:fldChar w:fldCharType="separate"/>
            </w:r>
            <w:r w:rsidR="00DC67EC">
              <w:rPr>
                <w:noProof/>
                <w:webHidden/>
              </w:rPr>
              <w:t>58</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52" w:history="1">
            <w:r w:rsidRPr="00A26011">
              <w:rPr>
                <w:rStyle w:val="Hyperlink"/>
                <w:noProof/>
                <w:lang w:val="en-US"/>
              </w:rPr>
              <w:t>7. Analyzing the Crisis Communication of the Mozilla Foundation</w:t>
            </w:r>
            <w:r>
              <w:rPr>
                <w:noProof/>
                <w:webHidden/>
              </w:rPr>
              <w:tab/>
            </w:r>
            <w:r>
              <w:rPr>
                <w:noProof/>
                <w:webHidden/>
              </w:rPr>
              <w:fldChar w:fldCharType="begin"/>
            </w:r>
            <w:r>
              <w:rPr>
                <w:noProof/>
                <w:webHidden/>
              </w:rPr>
              <w:instrText xml:space="preserve"> PAGEREF _Toc420761652 \h </w:instrText>
            </w:r>
            <w:r>
              <w:rPr>
                <w:noProof/>
                <w:webHidden/>
              </w:rPr>
            </w:r>
            <w:r>
              <w:rPr>
                <w:noProof/>
                <w:webHidden/>
              </w:rPr>
              <w:fldChar w:fldCharType="separate"/>
            </w:r>
            <w:r w:rsidR="00DC67EC">
              <w:rPr>
                <w:noProof/>
                <w:webHidden/>
              </w:rPr>
              <w:t>60</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53" w:history="1">
            <w:r w:rsidRPr="00A26011">
              <w:rPr>
                <w:rStyle w:val="Hyperlink"/>
                <w:noProof/>
                <w:lang w:val="en-US"/>
              </w:rPr>
              <w:t>7.1 Actors within The Rhetorical Arena</w:t>
            </w:r>
            <w:r>
              <w:rPr>
                <w:noProof/>
                <w:webHidden/>
              </w:rPr>
              <w:tab/>
            </w:r>
            <w:r>
              <w:rPr>
                <w:noProof/>
                <w:webHidden/>
              </w:rPr>
              <w:fldChar w:fldCharType="begin"/>
            </w:r>
            <w:r>
              <w:rPr>
                <w:noProof/>
                <w:webHidden/>
              </w:rPr>
              <w:instrText xml:space="preserve"> PAGEREF _Toc420761653 \h </w:instrText>
            </w:r>
            <w:r>
              <w:rPr>
                <w:noProof/>
                <w:webHidden/>
              </w:rPr>
            </w:r>
            <w:r>
              <w:rPr>
                <w:noProof/>
                <w:webHidden/>
              </w:rPr>
              <w:fldChar w:fldCharType="separate"/>
            </w:r>
            <w:r w:rsidR="00DC67EC">
              <w:rPr>
                <w:noProof/>
                <w:webHidden/>
              </w:rPr>
              <w:t>60</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54" w:history="1">
            <w:r w:rsidRPr="00A26011">
              <w:rPr>
                <w:rStyle w:val="Hyperlink"/>
                <w:noProof/>
                <w:lang w:val="en-US"/>
              </w:rPr>
              <w:t>7.2 Context</w:t>
            </w:r>
            <w:r>
              <w:rPr>
                <w:noProof/>
                <w:webHidden/>
              </w:rPr>
              <w:tab/>
            </w:r>
            <w:r>
              <w:rPr>
                <w:noProof/>
                <w:webHidden/>
              </w:rPr>
              <w:fldChar w:fldCharType="begin"/>
            </w:r>
            <w:r>
              <w:rPr>
                <w:noProof/>
                <w:webHidden/>
              </w:rPr>
              <w:instrText xml:space="preserve"> PAGEREF _Toc420761654 \h </w:instrText>
            </w:r>
            <w:r>
              <w:rPr>
                <w:noProof/>
                <w:webHidden/>
              </w:rPr>
            </w:r>
            <w:r>
              <w:rPr>
                <w:noProof/>
                <w:webHidden/>
              </w:rPr>
              <w:fldChar w:fldCharType="separate"/>
            </w:r>
            <w:r w:rsidR="00DC67EC">
              <w:rPr>
                <w:noProof/>
                <w:webHidden/>
              </w:rPr>
              <w:t>60</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55" w:history="1">
            <w:r w:rsidRPr="00A26011">
              <w:rPr>
                <w:rStyle w:val="Hyperlink"/>
                <w:noProof/>
                <w:lang w:val="en-US"/>
              </w:rPr>
              <w:t>7.2.1 Societal and Cultural Context</w:t>
            </w:r>
            <w:r>
              <w:rPr>
                <w:noProof/>
                <w:webHidden/>
              </w:rPr>
              <w:tab/>
            </w:r>
            <w:r>
              <w:rPr>
                <w:noProof/>
                <w:webHidden/>
              </w:rPr>
              <w:fldChar w:fldCharType="begin"/>
            </w:r>
            <w:r>
              <w:rPr>
                <w:noProof/>
                <w:webHidden/>
              </w:rPr>
              <w:instrText xml:space="preserve"> PAGEREF _Toc420761655 \h </w:instrText>
            </w:r>
            <w:r>
              <w:rPr>
                <w:noProof/>
                <w:webHidden/>
              </w:rPr>
            </w:r>
            <w:r>
              <w:rPr>
                <w:noProof/>
                <w:webHidden/>
              </w:rPr>
              <w:fldChar w:fldCharType="separate"/>
            </w:r>
            <w:r w:rsidR="00DC67EC">
              <w:rPr>
                <w:noProof/>
                <w:webHidden/>
              </w:rPr>
              <w:t>60</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56" w:history="1">
            <w:r w:rsidRPr="00A26011">
              <w:rPr>
                <w:rStyle w:val="Hyperlink"/>
                <w:noProof/>
                <w:lang w:val="en-US"/>
              </w:rPr>
              <w:t>7.2.2 Organizational and Institutional Context</w:t>
            </w:r>
            <w:r>
              <w:rPr>
                <w:noProof/>
                <w:webHidden/>
              </w:rPr>
              <w:tab/>
            </w:r>
            <w:r>
              <w:rPr>
                <w:noProof/>
                <w:webHidden/>
              </w:rPr>
              <w:fldChar w:fldCharType="begin"/>
            </w:r>
            <w:r>
              <w:rPr>
                <w:noProof/>
                <w:webHidden/>
              </w:rPr>
              <w:instrText xml:space="preserve"> PAGEREF _Toc420761656 \h </w:instrText>
            </w:r>
            <w:r>
              <w:rPr>
                <w:noProof/>
                <w:webHidden/>
              </w:rPr>
            </w:r>
            <w:r>
              <w:rPr>
                <w:noProof/>
                <w:webHidden/>
              </w:rPr>
              <w:fldChar w:fldCharType="separate"/>
            </w:r>
            <w:r w:rsidR="00DC67EC">
              <w:rPr>
                <w:noProof/>
                <w:webHidden/>
              </w:rPr>
              <w:t>61</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57" w:history="1">
            <w:r w:rsidRPr="00A26011">
              <w:rPr>
                <w:rStyle w:val="Hyperlink"/>
                <w:noProof/>
                <w:lang w:val="en-US"/>
              </w:rPr>
              <w:t>7.2.3 Situational Context</w:t>
            </w:r>
            <w:r>
              <w:rPr>
                <w:noProof/>
                <w:webHidden/>
              </w:rPr>
              <w:tab/>
            </w:r>
            <w:r>
              <w:rPr>
                <w:noProof/>
                <w:webHidden/>
              </w:rPr>
              <w:fldChar w:fldCharType="begin"/>
            </w:r>
            <w:r>
              <w:rPr>
                <w:noProof/>
                <w:webHidden/>
              </w:rPr>
              <w:instrText xml:space="preserve"> PAGEREF _Toc420761657 \h </w:instrText>
            </w:r>
            <w:r>
              <w:rPr>
                <w:noProof/>
                <w:webHidden/>
              </w:rPr>
            </w:r>
            <w:r>
              <w:rPr>
                <w:noProof/>
                <w:webHidden/>
              </w:rPr>
              <w:fldChar w:fldCharType="separate"/>
            </w:r>
            <w:r w:rsidR="00DC67EC">
              <w:rPr>
                <w:noProof/>
                <w:webHidden/>
              </w:rPr>
              <w:t>62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58" w:history="1">
            <w:r w:rsidRPr="00A26011">
              <w:rPr>
                <w:rStyle w:val="Hyperlink"/>
                <w:noProof/>
                <w:lang w:val="en-US"/>
              </w:rPr>
              <w:t>7.3 Medium and Genre</w:t>
            </w:r>
            <w:r>
              <w:rPr>
                <w:noProof/>
                <w:webHidden/>
              </w:rPr>
              <w:tab/>
            </w:r>
            <w:r>
              <w:rPr>
                <w:noProof/>
                <w:webHidden/>
              </w:rPr>
              <w:fldChar w:fldCharType="begin"/>
            </w:r>
            <w:r>
              <w:rPr>
                <w:noProof/>
                <w:webHidden/>
              </w:rPr>
              <w:instrText xml:space="preserve"> PAGEREF _Toc420761658 \h </w:instrText>
            </w:r>
            <w:r>
              <w:rPr>
                <w:noProof/>
                <w:webHidden/>
              </w:rPr>
            </w:r>
            <w:r>
              <w:rPr>
                <w:noProof/>
                <w:webHidden/>
              </w:rPr>
              <w:fldChar w:fldCharType="separate"/>
            </w:r>
            <w:r w:rsidR="00DC67EC">
              <w:rPr>
                <w:noProof/>
                <w:webHidden/>
              </w:rPr>
              <w:t>63</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59" w:history="1">
            <w:r w:rsidRPr="00A26011">
              <w:rPr>
                <w:rStyle w:val="Hyperlink"/>
                <w:noProof/>
                <w:lang w:val="en-US"/>
              </w:rPr>
              <w:t>7.4 Text</w:t>
            </w:r>
            <w:r>
              <w:rPr>
                <w:noProof/>
                <w:webHidden/>
              </w:rPr>
              <w:tab/>
            </w:r>
            <w:r>
              <w:rPr>
                <w:noProof/>
                <w:webHidden/>
              </w:rPr>
              <w:fldChar w:fldCharType="begin"/>
            </w:r>
            <w:r>
              <w:rPr>
                <w:noProof/>
                <w:webHidden/>
              </w:rPr>
              <w:instrText xml:space="preserve"> PAGEREF _Toc420761659 \h </w:instrText>
            </w:r>
            <w:r>
              <w:rPr>
                <w:noProof/>
                <w:webHidden/>
              </w:rPr>
            </w:r>
            <w:r>
              <w:rPr>
                <w:noProof/>
                <w:webHidden/>
              </w:rPr>
              <w:fldChar w:fldCharType="separate"/>
            </w:r>
            <w:r w:rsidR="00DC67EC">
              <w:rPr>
                <w:noProof/>
                <w:webHidden/>
              </w:rPr>
              <w:t>64</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60" w:history="1">
            <w:r w:rsidRPr="00A26011">
              <w:rPr>
                <w:rStyle w:val="Hyperlink"/>
                <w:noProof/>
                <w:lang w:val="en-US"/>
              </w:rPr>
              <w:t>7.5 Crisis Response Strategies</w:t>
            </w:r>
            <w:r>
              <w:rPr>
                <w:noProof/>
                <w:webHidden/>
              </w:rPr>
              <w:tab/>
            </w:r>
            <w:r>
              <w:rPr>
                <w:noProof/>
                <w:webHidden/>
              </w:rPr>
              <w:fldChar w:fldCharType="begin"/>
            </w:r>
            <w:r>
              <w:rPr>
                <w:noProof/>
                <w:webHidden/>
              </w:rPr>
              <w:instrText xml:space="preserve"> PAGEREF _Toc420761660 \h </w:instrText>
            </w:r>
            <w:r>
              <w:rPr>
                <w:noProof/>
                <w:webHidden/>
              </w:rPr>
            </w:r>
            <w:r>
              <w:rPr>
                <w:noProof/>
                <w:webHidden/>
              </w:rPr>
              <w:fldChar w:fldCharType="separate"/>
            </w:r>
            <w:r w:rsidR="00DC67EC">
              <w:rPr>
                <w:noProof/>
                <w:webHidden/>
              </w:rPr>
              <w:t>64</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61" w:history="1">
            <w:r w:rsidRPr="00A26011">
              <w:rPr>
                <w:rStyle w:val="Hyperlink"/>
                <w:noProof/>
                <w:lang w:val="en-US"/>
              </w:rPr>
              <w:t>7.5.1 Statement 1</w:t>
            </w:r>
            <w:r>
              <w:rPr>
                <w:noProof/>
                <w:webHidden/>
              </w:rPr>
              <w:tab/>
            </w:r>
            <w:r>
              <w:rPr>
                <w:noProof/>
                <w:webHidden/>
              </w:rPr>
              <w:fldChar w:fldCharType="begin"/>
            </w:r>
            <w:r>
              <w:rPr>
                <w:noProof/>
                <w:webHidden/>
              </w:rPr>
              <w:instrText xml:space="preserve"> PAGEREF _Toc420761661 \h </w:instrText>
            </w:r>
            <w:r>
              <w:rPr>
                <w:noProof/>
                <w:webHidden/>
              </w:rPr>
            </w:r>
            <w:r>
              <w:rPr>
                <w:noProof/>
                <w:webHidden/>
              </w:rPr>
              <w:fldChar w:fldCharType="separate"/>
            </w:r>
            <w:r w:rsidR="00DC67EC">
              <w:rPr>
                <w:noProof/>
                <w:webHidden/>
              </w:rPr>
              <w:t>64</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62" w:history="1">
            <w:r w:rsidRPr="00A26011">
              <w:rPr>
                <w:rStyle w:val="Hyperlink"/>
                <w:noProof/>
                <w:lang w:val="en-US"/>
              </w:rPr>
              <w:t>7.5.2 Statement 2</w:t>
            </w:r>
            <w:r>
              <w:rPr>
                <w:noProof/>
                <w:webHidden/>
              </w:rPr>
              <w:tab/>
            </w:r>
            <w:r>
              <w:rPr>
                <w:noProof/>
                <w:webHidden/>
              </w:rPr>
              <w:fldChar w:fldCharType="begin"/>
            </w:r>
            <w:r>
              <w:rPr>
                <w:noProof/>
                <w:webHidden/>
              </w:rPr>
              <w:instrText xml:space="preserve"> PAGEREF _Toc420761662 \h </w:instrText>
            </w:r>
            <w:r>
              <w:rPr>
                <w:noProof/>
                <w:webHidden/>
              </w:rPr>
            </w:r>
            <w:r>
              <w:rPr>
                <w:noProof/>
                <w:webHidden/>
              </w:rPr>
              <w:fldChar w:fldCharType="separate"/>
            </w:r>
            <w:r w:rsidR="00DC67EC">
              <w:rPr>
                <w:noProof/>
                <w:webHidden/>
              </w:rPr>
              <w:t>66</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63" w:history="1">
            <w:r w:rsidRPr="00A26011">
              <w:rPr>
                <w:rStyle w:val="Hyperlink"/>
                <w:noProof/>
                <w:lang w:val="en-US"/>
              </w:rPr>
              <w:t>7.5.3 Statement 3</w:t>
            </w:r>
            <w:r>
              <w:rPr>
                <w:noProof/>
                <w:webHidden/>
              </w:rPr>
              <w:tab/>
            </w:r>
            <w:r>
              <w:rPr>
                <w:noProof/>
                <w:webHidden/>
              </w:rPr>
              <w:fldChar w:fldCharType="begin"/>
            </w:r>
            <w:r>
              <w:rPr>
                <w:noProof/>
                <w:webHidden/>
              </w:rPr>
              <w:instrText xml:space="preserve"> PAGEREF _Toc420761663 \h </w:instrText>
            </w:r>
            <w:r>
              <w:rPr>
                <w:noProof/>
                <w:webHidden/>
              </w:rPr>
            </w:r>
            <w:r>
              <w:rPr>
                <w:noProof/>
                <w:webHidden/>
              </w:rPr>
              <w:fldChar w:fldCharType="separate"/>
            </w:r>
            <w:r w:rsidR="00DC67EC">
              <w:rPr>
                <w:noProof/>
                <w:webHidden/>
              </w:rPr>
              <w:t>67</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64" w:history="1">
            <w:r w:rsidRPr="00A26011">
              <w:rPr>
                <w:rStyle w:val="Hyperlink"/>
                <w:noProof/>
                <w:lang w:val="en-US"/>
              </w:rPr>
              <w:t>7.5.4 Statement 4</w:t>
            </w:r>
            <w:r>
              <w:rPr>
                <w:noProof/>
                <w:webHidden/>
              </w:rPr>
              <w:tab/>
            </w:r>
            <w:r>
              <w:rPr>
                <w:noProof/>
                <w:webHidden/>
              </w:rPr>
              <w:fldChar w:fldCharType="begin"/>
            </w:r>
            <w:r>
              <w:rPr>
                <w:noProof/>
                <w:webHidden/>
              </w:rPr>
              <w:instrText xml:space="preserve"> PAGEREF _Toc420761664 \h </w:instrText>
            </w:r>
            <w:r>
              <w:rPr>
                <w:noProof/>
                <w:webHidden/>
              </w:rPr>
            </w:r>
            <w:r>
              <w:rPr>
                <w:noProof/>
                <w:webHidden/>
              </w:rPr>
              <w:fldChar w:fldCharType="separate"/>
            </w:r>
            <w:r w:rsidR="00DC67EC">
              <w:rPr>
                <w:noProof/>
                <w:webHidden/>
              </w:rPr>
              <w:t>69</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65" w:history="1">
            <w:r w:rsidRPr="00A26011">
              <w:rPr>
                <w:rStyle w:val="Hyperlink"/>
                <w:noProof/>
                <w:lang w:val="en-US"/>
              </w:rPr>
              <w:t>7.5.5 Statement 5</w:t>
            </w:r>
            <w:r>
              <w:rPr>
                <w:noProof/>
                <w:webHidden/>
              </w:rPr>
              <w:tab/>
            </w:r>
            <w:r>
              <w:rPr>
                <w:noProof/>
                <w:webHidden/>
              </w:rPr>
              <w:fldChar w:fldCharType="begin"/>
            </w:r>
            <w:r>
              <w:rPr>
                <w:noProof/>
                <w:webHidden/>
              </w:rPr>
              <w:instrText xml:space="preserve"> PAGEREF _Toc420761665 \h </w:instrText>
            </w:r>
            <w:r>
              <w:rPr>
                <w:noProof/>
                <w:webHidden/>
              </w:rPr>
            </w:r>
            <w:r>
              <w:rPr>
                <w:noProof/>
                <w:webHidden/>
              </w:rPr>
              <w:fldChar w:fldCharType="separate"/>
            </w:r>
            <w:r w:rsidR="00DC67EC">
              <w:rPr>
                <w:noProof/>
                <w:webHidden/>
              </w:rPr>
              <w:t>70</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66" w:history="1">
            <w:r w:rsidRPr="00A26011">
              <w:rPr>
                <w:rStyle w:val="Hyperlink"/>
                <w:noProof/>
                <w:lang w:val="en-US"/>
              </w:rPr>
              <w:t>7.5.6 Statement 6</w:t>
            </w:r>
            <w:r>
              <w:rPr>
                <w:noProof/>
                <w:webHidden/>
              </w:rPr>
              <w:tab/>
            </w:r>
            <w:r>
              <w:rPr>
                <w:noProof/>
                <w:webHidden/>
              </w:rPr>
              <w:fldChar w:fldCharType="begin"/>
            </w:r>
            <w:r>
              <w:rPr>
                <w:noProof/>
                <w:webHidden/>
              </w:rPr>
              <w:instrText xml:space="preserve"> PAGEREF _Toc420761666 \h </w:instrText>
            </w:r>
            <w:r>
              <w:rPr>
                <w:noProof/>
                <w:webHidden/>
              </w:rPr>
            </w:r>
            <w:r>
              <w:rPr>
                <w:noProof/>
                <w:webHidden/>
              </w:rPr>
              <w:fldChar w:fldCharType="separate"/>
            </w:r>
            <w:r w:rsidR="00DC67EC">
              <w:rPr>
                <w:noProof/>
                <w:webHidden/>
              </w:rPr>
              <w:t>71</w:t>
            </w:r>
            <w:r>
              <w:rPr>
                <w:noProof/>
                <w:webHidden/>
              </w:rPr>
              <w:fldChar w:fldCharType="end"/>
            </w:r>
          </w:hyperlink>
        </w:p>
        <w:p w:rsidR="001E1344" w:rsidRDefault="001E1344">
          <w:pPr>
            <w:pStyle w:val="Indholdsfortegnelse3"/>
            <w:tabs>
              <w:tab w:val="right" w:leader="dot" w:pos="9628"/>
            </w:tabs>
            <w:rPr>
              <w:rFonts w:asciiTheme="minorHAnsi" w:eastAsiaTheme="minorEastAsia" w:hAnsiTheme="minorHAnsi"/>
              <w:noProof/>
              <w:sz w:val="22"/>
              <w:lang w:eastAsia="da-DK"/>
            </w:rPr>
          </w:pPr>
          <w:hyperlink w:anchor="_Toc420761667" w:history="1">
            <w:r w:rsidRPr="00A26011">
              <w:rPr>
                <w:rStyle w:val="Hyperlink"/>
                <w:noProof/>
                <w:lang w:val="en-US"/>
              </w:rPr>
              <w:t>6.5.7 Statement 7</w:t>
            </w:r>
            <w:r>
              <w:rPr>
                <w:noProof/>
                <w:webHidden/>
              </w:rPr>
              <w:tab/>
            </w:r>
            <w:r>
              <w:rPr>
                <w:noProof/>
                <w:webHidden/>
              </w:rPr>
              <w:fldChar w:fldCharType="begin"/>
            </w:r>
            <w:r>
              <w:rPr>
                <w:noProof/>
                <w:webHidden/>
              </w:rPr>
              <w:instrText xml:space="preserve"> PAGEREF _Toc420761667 \h </w:instrText>
            </w:r>
            <w:r>
              <w:rPr>
                <w:noProof/>
                <w:webHidden/>
              </w:rPr>
            </w:r>
            <w:r>
              <w:rPr>
                <w:noProof/>
                <w:webHidden/>
              </w:rPr>
              <w:fldChar w:fldCharType="separate"/>
            </w:r>
            <w:r w:rsidR="00DC67EC">
              <w:rPr>
                <w:noProof/>
                <w:webHidden/>
              </w:rPr>
              <w:t>72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68" w:history="1">
            <w:r w:rsidRPr="00A26011">
              <w:rPr>
                <w:rStyle w:val="Hyperlink"/>
                <w:noProof/>
                <w:lang w:val="en-US"/>
              </w:rPr>
              <w:t>7.6 Reflective Summary</w:t>
            </w:r>
            <w:r>
              <w:rPr>
                <w:noProof/>
                <w:webHidden/>
              </w:rPr>
              <w:tab/>
            </w:r>
            <w:r>
              <w:rPr>
                <w:noProof/>
                <w:webHidden/>
              </w:rPr>
              <w:fldChar w:fldCharType="begin"/>
            </w:r>
            <w:r>
              <w:rPr>
                <w:noProof/>
                <w:webHidden/>
              </w:rPr>
              <w:instrText xml:space="preserve"> PAGEREF _Toc420761668 \h </w:instrText>
            </w:r>
            <w:r>
              <w:rPr>
                <w:noProof/>
                <w:webHidden/>
              </w:rPr>
            </w:r>
            <w:r>
              <w:rPr>
                <w:noProof/>
                <w:webHidden/>
              </w:rPr>
              <w:fldChar w:fldCharType="separate"/>
            </w:r>
            <w:r w:rsidR="00DC67EC">
              <w:rPr>
                <w:noProof/>
                <w:webHidden/>
              </w:rPr>
              <w:t>73</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69" w:history="1">
            <w:r w:rsidRPr="00A26011">
              <w:rPr>
                <w:rStyle w:val="Hyperlink"/>
                <w:noProof/>
                <w:lang w:val="en-US"/>
              </w:rPr>
              <w:t>8. Critical Discourse Analysis of Mozilla’s Crisis Communication</w:t>
            </w:r>
            <w:r>
              <w:rPr>
                <w:noProof/>
                <w:webHidden/>
              </w:rPr>
              <w:tab/>
            </w:r>
            <w:r>
              <w:rPr>
                <w:noProof/>
                <w:webHidden/>
              </w:rPr>
              <w:fldChar w:fldCharType="begin"/>
            </w:r>
            <w:r>
              <w:rPr>
                <w:noProof/>
                <w:webHidden/>
              </w:rPr>
              <w:instrText xml:space="preserve"> PAGEREF _Toc420761669 \h </w:instrText>
            </w:r>
            <w:r>
              <w:rPr>
                <w:noProof/>
                <w:webHidden/>
              </w:rPr>
            </w:r>
            <w:r>
              <w:rPr>
                <w:noProof/>
                <w:webHidden/>
              </w:rPr>
              <w:fldChar w:fldCharType="separate"/>
            </w:r>
            <w:r w:rsidR="00DC67EC">
              <w:rPr>
                <w:noProof/>
                <w:webHidden/>
              </w:rPr>
              <w:t>74</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70" w:history="1">
            <w:r w:rsidRPr="00A26011">
              <w:rPr>
                <w:rStyle w:val="Hyperlink"/>
                <w:noProof/>
                <w:lang w:val="en-US"/>
              </w:rPr>
              <w:t>9. Conclusion</w:t>
            </w:r>
            <w:r>
              <w:rPr>
                <w:noProof/>
                <w:webHidden/>
              </w:rPr>
              <w:tab/>
            </w:r>
            <w:r>
              <w:rPr>
                <w:noProof/>
                <w:webHidden/>
              </w:rPr>
              <w:fldChar w:fldCharType="begin"/>
            </w:r>
            <w:r>
              <w:rPr>
                <w:noProof/>
                <w:webHidden/>
              </w:rPr>
              <w:instrText xml:space="preserve"> PAGEREF _Toc420761670 \h </w:instrText>
            </w:r>
            <w:r>
              <w:rPr>
                <w:noProof/>
                <w:webHidden/>
              </w:rPr>
            </w:r>
            <w:r>
              <w:rPr>
                <w:noProof/>
                <w:webHidden/>
              </w:rPr>
              <w:fldChar w:fldCharType="separate"/>
            </w:r>
            <w:r w:rsidR="00DC67EC">
              <w:rPr>
                <w:noProof/>
                <w:webHidden/>
              </w:rPr>
              <w:t>85</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71" w:history="1">
            <w:r w:rsidRPr="00A26011">
              <w:rPr>
                <w:rStyle w:val="Hyperlink"/>
                <w:noProof/>
                <w:lang w:val="en-US"/>
              </w:rPr>
              <w:t>Bibliography</w:t>
            </w:r>
            <w:r>
              <w:rPr>
                <w:noProof/>
                <w:webHidden/>
              </w:rPr>
              <w:tab/>
            </w:r>
            <w:r>
              <w:rPr>
                <w:noProof/>
                <w:webHidden/>
              </w:rPr>
              <w:fldChar w:fldCharType="begin"/>
            </w:r>
            <w:r>
              <w:rPr>
                <w:noProof/>
                <w:webHidden/>
              </w:rPr>
              <w:instrText xml:space="preserve"> PAGEREF _Toc420761671 \h </w:instrText>
            </w:r>
            <w:r>
              <w:rPr>
                <w:noProof/>
                <w:webHidden/>
              </w:rPr>
            </w:r>
            <w:r>
              <w:rPr>
                <w:noProof/>
                <w:webHidden/>
              </w:rPr>
              <w:fldChar w:fldCharType="separate"/>
            </w:r>
            <w:r w:rsidR="00DC67EC">
              <w:rPr>
                <w:noProof/>
                <w:webHidden/>
              </w:rPr>
              <w:t>90</w:t>
            </w:r>
            <w:r>
              <w:rPr>
                <w:noProof/>
                <w:webHidden/>
              </w:rPr>
              <w:fldChar w:fldCharType="end"/>
            </w:r>
          </w:hyperlink>
        </w:p>
        <w:p w:rsidR="001E1344" w:rsidRDefault="001E1344">
          <w:pPr>
            <w:pStyle w:val="Indholdsfortegnelse1"/>
            <w:tabs>
              <w:tab w:val="right" w:leader="dot" w:pos="9628"/>
            </w:tabs>
            <w:rPr>
              <w:rFonts w:asciiTheme="minorHAnsi" w:eastAsiaTheme="minorEastAsia" w:hAnsiTheme="minorHAnsi"/>
              <w:noProof/>
              <w:sz w:val="22"/>
              <w:lang w:eastAsia="da-DK"/>
            </w:rPr>
          </w:pPr>
          <w:hyperlink w:anchor="_Toc420761672" w:history="1">
            <w:r w:rsidRPr="00A26011">
              <w:rPr>
                <w:rStyle w:val="Hyperlink"/>
                <w:noProof/>
                <w:lang w:val="en-US"/>
              </w:rPr>
              <w:t>Appendix</w:t>
            </w:r>
            <w:r>
              <w:rPr>
                <w:noProof/>
                <w:webHidden/>
              </w:rPr>
              <w:tab/>
            </w:r>
            <w:r>
              <w:rPr>
                <w:noProof/>
                <w:webHidden/>
              </w:rPr>
              <w:fldChar w:fldCharType="begin"/>
            </w:r>
            <w:r>
              <w:rPr>
                <w:noProof/>
                <w:webHidden/>
              </w:rPr>
              <w:instrText xml:space="preserve"> PAGEREF _Toc420761672 \h </w:instrText>
            </w:r>
            <w:r>
              <w:rPr>
                <w:noProof/>
                <w:webHidden/>
              </w:rPr>
            </w:r>
            <w:r>
              <w:rPr>
                <w:noProof/>
                <w:webHidden/>
              </w:rPr>
              <w:fldChar w:fldCharType="separate"/>
            </w:r>
            <w:r w:rsidR="00DC67EC">
              <w:rPr>
                <w:noProof/>
                <w:webHidden/>
              </w:rPr>
              <w:t>98</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73" w:history="1">
            <w:r w:rsidRPr="00A26011">
              <w:rPr>
                <w:rStyle w:val="Hyperlink"/>
                <w:noProof/>
                <w:lang w:val="en-US"/>
              </w:rPr>
              <w:t>Appendix 1: Definitions of CDA Terms</w:t>
            </w:r>
            <w:r>
              <w:rPr>
                <w:noProof/>
                <w:webHidden/>
              </w:rPr>
              <w:tab/>
            </w:r>
            <w:r>
              <w:rPr>
                <w:noProof/>
                <w:webHidden/>
              </w:rPr>
              <w:fldChar w:fldCharType="begin"/>
            </w:r>
            <w:r>
              <w:rPr>
                <w:noProof/>
                <w:webHidden/>
              </w:rPr>
              <w:instrText xml:space="preserve"> PAGEREF _Toc420761673 \h </w:instrText>
            </w:r>
            <w:r>
              <w:rPr>
                <w:noProof/>
                <w:webHidden/>
              </w:rPr>
            </w:r>
            <w:r>
              <w:rPr>
                <w:noProof/>
                <w:webHidden/>
              </w:rPr>
              <w:fldChar w:fldCharType="separate"/>
            </w:r>
            <w:r w:rsidR="00DC67EC">
              <w:rPr>
                <w:noProof/>
                <w:webHidden/>
              </w:rPr>
              <w:t>98</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74" w:history="1">
            <w:r w:rsidRPr="00A26011">
              <w:rPr>
                <w:rStyle w:val="Hyperlink"/>
                <w:noProof/>
                <w:lang w:val="en-US"/>
              </w:rPr>
              <w:t>Appendix 2: Brendan Eich responding to 2012 controversy</w:t>
            </w:r>
            <w:r>
              <w:rPr>
                <w:noProof/>
                <w:webHidden/>
              </w:rPr>
              <w:tab/>
            </w:r>
            <w:r>
              <w:rPr>
                <w:noProof/>
                <w:webHidden/>
              </w:rPr>
              <w:fldChar w:fldCharType="begin"/>
            </w:r>
            <w:r>
              <w:rPr>
                <w:noProof/>
                <w:webHidden/>
              </w:rPr>
              <w:instrText xml:space="preserve"> PAGEREF _Toc420761674 \h </w:instrText>
            </w:r>
            <w:r>
              <w:rPr>
                <w:noProof/>
                <w:webHidden/>
              </w:rPr>
            </w:r>
            <w:r>
              <w:rPr>
                <w:noProof/>
                <w:webHidden/>
              </w:rPr>
              <w:fldChar w:fldCharType="separate"/>
            </w:r>
            <w:r w:rsidR="00DC67EC">
              <w:rPr>
                <w:noProof/>
                <w:webHidden/>
              </w:rPr>
              <w:t>100</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9" w:anchor="_Toc420761675" w:history="1">
            <w:r w:rsidRPr="00A26011">
              <w:rPr>
                <w:rStyle w:val="Hyperlink"/>
                <w:noProof/>
                <w:lang w:val="en-US"/>
              </w:rPr>
              <w:t>Appendix 3: Mozilla Firefox advertisement</w:t>
            </w:r>
            <w:r>
              <w:rPr>
                <w:noProof/>
                <w:webHidden/>
              </w:rPr>
              <w:tab/>
            </w:r>
            <w:r>
              <w:rPr>
                <w:noProof/>
                <w:webHidden/>
              </w:rPr>
              <w:fldChar w:fldCharType="begin"/>
            </w:r>
            <w:r>
              <w:rPr>
                <w:noProof/>
                <w:webHidden/>
              </w:rPr>
              <w:instrText xml:space="preserve"> PAGEREF _Toc420761675 \h </w:instrText>
            </w:r>
            <w:r>
              <w:rPr>
                <w:noProof/>
                <w:webHidden/>
              </w:rPr>
            </w:r>
            <w:r>
              <w:rPr>
                <w:noProof/>
                <w:webHidden/>
              </w:rPr>
              <w:fldChar w:fldCharType="separate"/>
            </w:r>
            <w:r w:rsidR="00DC67EC">
              <w:rPr>
                <w:noProof/>
                <w:webHidden/>
              </w:rPr>
              <w:t>101</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0" w:anchor="_Toc420761676" w:history="1">
            <w:r w:rsidRPr="00A26011">
              <w:rPr>
                <w:rStyle w:val="Hyperlink"/>
                <w:noProof/>
                <w:lang w:val="en-US"/>
              </w:rPr>
              <w:t>Appendix 4: Stakeholder comments on advertisement</w:t>
            </w:r>
            <w:r>
              <w:rPr>
                <w:noProof/>
                <w:webHidden/>
              </w:rPr>
              <w:tab/>
            </w:r>
            <w:r>
              <w:rPr>
                <w:noProof/>
                <w:webHidden/>
              </w:rPr>
              <w:fldChar w:fldCharType="begin"/>
            </w:r>
            <w:r>
              <w:rPr>
                <w:noProof/>
                <w:webHidden/>
              </w:rPr>
              <w:instrText xml:space="preserve"> PAGEREF _Toc420761676 \h </w:instrText>
            </w:r>
            <w:r>
              <w:rPr>
                <w:noProof/>
                <w:webHidden/>
              </w:rPr>
            </w:r>
            <w:r>
              <w:rPr>
                <w:noProof/>
                <w:webHidden/>
              </w:rPr>
              <w:fldChar w:fldCharType="separate"/>
            </w:r>
            <w:r w:rsidR="00DC67EC">
              <w:rPr>
                <w:noProof/>
                <w:webHidden/>
              </w:rPr>
              <w:t>101</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1" w:anchor="_Toc420761677" w:history="1">
            <w:r w:rsidRPr="00A26011">
              <w:rPr>
                <w:rStyle w:val="Hyperlink"/>
                <w:noProof/>
                <w:lang w:val="en-US"/>
              </w:rPr>
              <w:t>Appendix 5: Statement 1</w:t>
            </w:r>
            <w:r>
              <w:rPr>
                <w:noProof/>
                <w:webHidden/>
              </w:rPr>
              <w:tab/>
            </w:r>
            <w:r>
              <w:rPr>
                <w:noProof/>
                <w:webHidden/>
              </w:rPr>
              <w:fldChar w:fldCharType="begin"/>
            </w:r>
            <w:r>
              <w:rPr>
                <w:noProof/>
                <w:webHidden/>
              </w:rPr>
              <w:instrText xml:space="preserve"> PAGEREF _Toc420761677 \h </w:instrText>
            </w:r>
            <w:r>
              <w:rPr>
                <w:noProof/>
                <w:webHidden/>
              </w:rPr>
            </w:r>
            <w:r>
              <w:rPr>
                <w:noProof/>
                <w:webHidden/>
              </w:rPr>
              <w:fldChar w:fldCharType="separate"/>
            </w:r>
            <w:r w:rsidR="00DC67EC">
              <w:rPr>
                <w:noProof/>
                <w:webHidden/>
              </w:rPr>
              <w:t>102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2" w:anchor="_Toc420761678" w:history="1">
            <w:r w:rsidRPr="00A26011">
              <w:rPr>
                <w:rStyle w:val="Hyperlink"/>
                <w:noProof/>
                <w:lang w:val="en-US"/>
              </w:rPr>
              <w:t>Appendix 6: Official Mozilla and Firefox Tweets on March 26</w:t>
            </w:r>
            <w:r>
              <w:rPr>
                <w:noProof/>
                <w:webHidden/>
              </w:rPr>
              <w:tab/>
            </w:r>
            <w:r>
              <w:rPr>
                <w:noProof/>
                <w:webHidden/>
              </w:rPr>
              <w:fldChar w:fldCharType="begin"/>
            </w:r>
            <w:r>
              <w:rPr>
                <w:noProof/>
                <w:webHidden/>
              </w:rPr>
              <w:instrText xml:space="preserve"> PAGEREF _Toc420761678 \h </w:instrText>
            </w:r>
            <w:r>
              <w:rPr>
                <w:noProof/>
                <w:webHidden/>
              </w:rPr>
            </w:r>
            <w:r>
              <w:rPr>
                <w:noProof/>
                <w:webHidden/>
              </w:rPr>
              <w:fldChar w:fldCharType="separate"/>
            </w:r>
            <w:r w:rsidR="00DC67EC">
              <w:rPr>
                <w:noProof/>
                <w:webHidden/>
              </w:rPr>
              <w:t>103</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3" w:anchor="_Toc420761679" w:history="1">
            <w:r w:rsidRPr="00A26011">
              <w:rPr>
                <w:rStyle w:val="Hyperlink"/>
                <w:noProof/>
                <w:lang w:val="en-US"/>
              </w:rPr>
              <w:t>Appendix 7: Statement 2</w:t>
            </w:r>
            <w:r>
              <w:rPr>
                <w:noProof/>
                <w:webHidden/>
              </w:rPr>
              <w:tab/>
            </w:r>
            <w:r>
              <w:rPr>
                <w:noProof/>
                <w:webHidden/>
              </w:rPr>
              <w:fldChar w:fldCharType="begin"/>
            </w:r>
            <w:r>
              <w:rPr>
                <w:noProof/>
                <w:webHidden/>
              </w:rPr>
              <w:instrText xml:space="preserve"> PAGEREF _Toc420761679 \h </w:instrText>
            </w:r>
            <w:r>
              <w:rPr>
                <w:noProof/>
                <w:webHidden/>
              </w:rPr>
            </w:r>
            <w:r>
              <w:rPr>
                <w:noProof/>
                <w:webHidden/>
              </w:rPr>
              <w:fldChar w:fldCharType="separate"/>
            </w:r>
            <w:r w:rsidR="00DC67EC">
              <w:rPr>
                <w:noProof/>
                <w:webHidden/>
              </w:rPr>
              <w:t>104</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4" w:anchor="_Toc420761680" w:history="1">
            <w:r w:rsidRPr="00A26011">
              <w:rPr>
                <w:rStyle w:val="Hyperlink"/>
                <w:noProof/>
                <w:lang w:val="en-US"/>
              </w:rPr>
              <w:t>Appendix 8: Statement 3</w:t>
            </w:r>
            <w:r>
              <w:rPr>
                <w:noProof/>
                <w:webHidden/>
              </w:rPr>
              <w:tab/>
            </w:r>
            <w:r>
              <w:rPr>
                <w:noProof/>
                <w:webHidden/>
              </w:rPr>
              <w:fldChar w:fldCharType="begin"/>
            </w:r>
            <w:r>
              <w:rPr>
                <w:noProof/>
                <w:webHidden/>
              </w:rPr>
              <w:instrText xml:space="preserve"> PAGEREF _Toc420761680 \h </w:instrText>
            </w:r>
            <w:r>
              <w:rPr>
                <w:noProof/>
                <w:webHidden/>
              </w:rPr>
            </w:r>
            <w:r>
              <w:rPr>
                <w:noProof/>
                <w:webHidden/>
              </w:rPr>
              <w:fldChar w:fldCharType="separate"/>
            </w:r>
            <w:r w:rsidR="00DC67EC">
              <w:rPr>
                <w:noProof/>
                <w:webHidden/>
              </w:rPr>
              <w:t>105</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5" w:anchor="_Toc420761681" w:history="1">
            <w:r w:rsidRPr="00A26011">
              <w:rPr>
                <w:rStyle w:val="Hyperlink"/>
                <w:noProof/>
                <w:lang w:val="en-US"/>
              </w:rPr>
              <w:t>Appendix 9: Employee Tweets on March 27</w:t>
            </w:r>
            <w:r>
              <w:rPr>
                <w:noProof/>
                <w:webHidden/>
              </w:rPr>
              <w:tab/>
            </w:r>
            <w:r>
              <w:rPr>
                <w:noProof/>
                <w:webHidden/>
              </w:rPr>
              <w:fldChar w:fldCharType="begin"/>
            </w:r>
            <w:r>
              <w:rPr>
                <w:noProof/>
                <w:webHidden/>
              </w:rPr>
              <w:instrText xml:space="preserve"> PAGEREF _Toc420761681 \h </w:instrText>
            </w:r>
            <w:r>
              <w:rPr>
                <w:noProof/>
                <w:webHidden/>
              </w:rPr>
            </w:r>
            <w:r>
              <w:rPr>
                <w:noProof/>
                <w:webHidden/>
              </w:rPr>
              <w:fldChar w:fldCharType="separate"/>
            </w:r>
            <w:r w:rsidR="00DC67EC">
              <w:rPr>
                <w:noProof/>
                <w:webHidden/>
              </w:rPr>
              <w:t>106</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6" w:anchor="_Toc420761682" w:history="1">
            <w:r w:rsidRPr="00A26011">
              <w:rPr>
                <w:rStyle w:val="Hyperlink"/>
                <w:noProof/>
                <w:lang w:val="en-US"/>
              </w:rPr>
              <w:t>Appendix 10: Statement 4</w:t>
            </w:r>
            <w:r>
              <w:rPr>
                <w:noProof/>
                <w:webHidden/>
              </w:rPr>
              <w:tab/>
            </w:r>
            <w:r>
              <w:rPr>
                <w:noProof/>
                <w:webHidden/>
              </w:rPr>
              <w:fldChar w:fldCharType="begin"/>
            </w:r>
            <w:r>
              <w:rPr>
                <w:noProof/>
                <w:webHidden/>
              </w:rPr>
              <w:instrText xml:space="preserve"> PAGEREF _Toc420761682 \h </w:instrText>
            </w:r>
            <w:r>
              <w:rPr>
                <w:noProof/>
                <w:webHidden/>
              </w:rPr>
            </w:r>
            <w:r>
              <w:rPr>
                <w:noProof/>
                <w:webHidden/>
              </w:rPr>
              <w:fldChar w:fldCharType="separate"/>
            </w:r>
            <w:r w:rsidR="00DC67EC">
              <w:rPr>
                <w:noProof/>
                <w:webHidden/>
              </w:rPr>
              <w:t>107</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7" w:anchor="_Toc420761683" w:history="1">
            <w:r w:rsidRPr="00A26011">
              <w:rPr>
                <w:rStyle w:val="Hyperlink"/>
                <w:noProof/>
                <w:lang w:val="en-US"/>
              </w:rPr>
              <w:t>Appendix 11: Statement 5</w:t>
            </w:r>
            <w:r>
              <w:rPr>
                <w:noProof/>
                <w:webHidden/>
              </w:rPr>
              <w:tab/>
            </w:r>
            <w:r>
              <w:rPr>
                <w:noProof/>
                <w:webHidden/>
              </w:rPr>
              <w:fldChar w:fldCharType="begin"/>
            </w:r>
            <w:r>
              <w:rPr>
                <w:noProof/>
                <w:webHidden/>
              </w:rPr>
              <w:instrText xml:space="preserve"> PAGEREF _Toc420761683 \h </w:instrText>
            </w:r>
            <w:r>
              <w:rPr>
                <w:noProof/>
                <w:webHidden/>
              </w:rPr>
            </w:r>
            <w:r>
              <w:rPr>
                <w:noProof/>
                <w:webHidden/>
              </w:rPr>
              <w:fldChar w:fldCharType="separate"/>
            </w:r>
            <w:r w:rsidR="00DC67EC">
              <w:rPr>
                <w:noProof/>
                <w:webHidden/>
              </w:rPr>
              <w:t>108</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8" w:anchor="_Toc420761684" w:history="1">
            <w:r w:rsidRPr="00A26011">
              <w:rPr>
                <w:rStyle w:val="Hyperlink"/>
                <w:noProof/>
                <w:lang w:val="en-US"/>
              </w:rPr>
              <w:t>Appendix 12: Statement from CREDO, Concerning Petition Campaign</w:t>
            </w:r>
            <w:r>
              <w:rPr>
                <w:noProof/>
                <w:webHidden/>
              </w:rPr>
              <w:tab/>
            </w:r>
            <w:r>
              <w:rPr>
                <w:noProof/>
                <w:webHidden/>
              </w:rPr>
              <w:fldChar w:fldCharType="begin"/>
            </w:r>
            <w:r>
              <w:rPr>
                <w:noProof/>
                <w:webHidden/>
              </w:rPr>
              <w:instrText xml:space="preserve"> PAGEREF _Toc420761684 \h </w:instrText>
            </w:r>
            <w:r>
              <w:rPr>
                <w:noProof/>
                <w:webHidden/>
              </w:rPr>
            </w:r>
            <w:r>
              <w:rPr>
                <w:noProof/>
                <w:webHidden/>
              </w:rPr>
              <w:fldChar w:fldCharType="separate"/>
            </w:r>
            <w:r w:rsidR="00DC67EC">
              <w:rPr>
                <w:noProof/>
                <w:webHidden/>
              </w:rPr>
              <w:t>109</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19" w:anchor="_Toc420761685" w:history="1">
            <w:r w:rsidRPr="00A26011">
              <w:rPr>
                <w:rStyle w:val="Hyperlink"/>
                <w:noProof/>
              </w:rPr>
              <w:t>Appendix 13: Okcupid Boycott Notification</w:t>
            </w:r>
            <w:r>
              <w:rPr>
                <w:noProof/>
                <w:webHidden/>
              </w:rPr>
              <w:tab/>
            </w:r>
            <w:r>
              <w:rPr>
                <w:noProof/>
                <w:webHidden/>
              </w:rPr>
              <w:fldChar w:fldCharType="begin"/>
            </w:r>
            <w:r>
              <w:rPr>
                <w:noProof/>
                <w:webHidden/>
              </w:rPr>
              <w:instrText xml:space="preserve"> PAGEREF _Toc420761685 \h </w:instrText>
            </w:r>
            <w:r>
              <w:rPr>
                <w:noProof/>
                <w:webHidden/>
              </w:rPr>
            </w:r>
            <w:r>
              <w:rPr>
                <w:noProof/>
                <w:webHidden/>
              </w:rPr>
              <w:fldChar w:fldCharType="separate"/>
            </w:r>
            <w:r w:rsidR="00DC67EC">
              <w:rPr>
                <w:noProof/>
                <w:webHidden/>
              </w:rPr>
              <w:t>110</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w:anchor="_Toc420761686" w:history="1">
            <w:r w:rsidRPr="00A26011">
              <w:rPr>
                <w:rStyle w:val="Hyperlink"/>
                <w:noProof/>
                <w:lang w:val="en-US"/>
              </w:rPr>
              <w:t>Appendix 14: Brendan Eich’s Comments in an Interview with the Guardian</w:t>
            </w:r>
            <w:r>
              <w:rPr>
                <w:noProof/>
                <w:webHidden/>
              </w:rPr>
              <w:tab/>
            </w:r>
            <w:r>
              <w:rPr>
                <w:noProof/>
                <w:webHidden/>
              </w:rPr>
              <w:fldChar w:fldCharType="begin"/>
            </w:r>
            <w:r>
              <w:rPr>
                <w:noProof/>
                <w:webHidden/>
              </w:rPr>
              <w:instrText xml:space="preserve"> PAGEREF _Toc420761686 \h </w:instrText>
            </w:r>
            <w:r>
              <w:rPr>
                <w:noProof/>
                <w:webHidden/>
              </w:rPr>
            </w:r>
            <w:r>
              <w:rPr>
                <w:noProof/>
                <w:webHidden/>
              </w:rPr>
              <w:fldChar w:fldCharType="separate"/>
            </w:r>
            <w:r w:rsidR="00DC67EC">
              <w:rPr>
                <w:noProof/>
                <w:webHidden/>
              </w:rPr>
              <w:t>111</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20" w:anchor="_Toc420761687" w:history="1">
            <w:r w:rsidRPr="00A26011">
              <w:rPr>
                <w:rStyle w:val="Hyperlink"/>
                <w:noProof/>
                <w:lang w:val="en-US"/>
              </w:rPr>
              <w:t>Appendix 15: Statement 6</w:t>
            </w:r>
            <w:r>
              <w:rPr>
                <w:noProof/>
                <w:webHidden/>
              </w:rPr>
              <w:tab/>
            </w:r>
            <w:r>
              <w:rPr>
                <w:noProof/>
                <w:webHidden/>
              </w:rPr>
              <w:fldChar w:fldCharType="begin"/>
            </w:r>
            <w:r>
              <w:rPr>
                <w:noProof/>
                <w:webHidden/>
              </w:rPr>
              <w:instrText xml:space="preserve"> PAGEREF _Toc420761687 \h </w:instrText>
            </w:r>
            <w:r>
              <w:rPr>
                <w:noProof/>
                <w:webHidden/>
              </w:rPr>
            </w:r>
            <w:r>
              <w:rPr>
                <w:noProof/>
                <w:webHidden/>
              </w:rPr>
              <w:fldChar w:fldCharType="separate"/>
            </w:r>
            <w:r w:rsidR="00DC67EC">
              <w:rPr>
                <w:noProof/>
                <w:webHidden/>
              </w:rPr>
              <w:t>112</w:t>
            </w:r>
            <w:r>
              <w:rPr>
                <w:noProof/>
                <w:webHidden/>
              </w:rPr>
              <w:fldChar w:fldCharType="end"/>
            </w:r>
          </w:hyperlink>
        </w:p>
        <w:p w:rsidR="001E1344" w:rsidRDefault="001E1344">
          <w:pPr>
            <w:pStyle w:val="Indholdsfortegnelse2"/>
            <w:tabs>
              <w:tab w:val="right" w:leader="dot" w:pos="9628"/>
            </w:tabs>
            <w:rPr>
              <w:rFonts w:asciiTheme="minorHAnsi" w:eastAsiaTheme="minorEastAsia" w:hAnsiTheme="minorHAnsi"/>
              <w:noProof/>
              <w:sz w:val="22"/>
              <w:lang w:eastAsia="da-DK"/>
            </w:rPr>
          </w:pPr>
          <w:hyperlink r:id="rId21" w:anchor="_Toc420761688" w:history="1">
            <w:r w:rsidRPr="00A26011">
              <w:rPr>
                <w:rStyle w:val="Hyperlink"/>
                <w:noProof/>
                <w:lang w:val="en-US"/>
              </w:rPr>
              <w:t>Appendix 16: Statement 7</w:t>
            </w:r>
            <w:r>
              <w:rPr>
                <w:noProof/>
                <w:webHidden/>
              </w:rPr>
              <w:tab/>
            </w:r>
            <w:r>
              <w:rPr>
                <w:noProof/>
                <w:webHidden/>
              </w:rPr>
              <w:fldChar w:fldCharType="begin"/>
            </w:r>
            <w:r>
              <w:rPr>
                <w:noProof/>
                <w:webHidden/>
              </w:rPr>
              <w:instrText xml:space="preserve"> PAGEREF _Toc420761688 \h </w:instrText>
            </w:r>
            <w:r>
              <w:rPr>
                <w:noProof/>
                <w:webHidden/>
              </w:rPr>
            </w:r>
            <w:r>
              <w:rPr>
                <w:noProof/>
                <w:webHidden/>
              </w:rPr>
              <w:fldChar w:fldCharType="separate"/>
            </w:r>
            <w:r w:rsidR="00DC67EC">
              <w:rPr>
                <w:noProof/>
                <w:webHidden/>
              </w:rPr>
              <w:t>113</w:t>
            </w:r>
            <w:r>
              <w:rPr>
                <w:noProof/>
                <w:webHidden/>
              </w:rPr>
              <w:fldChar w:fldCharType="end"/>
            </w:r>
          </w:hyperlink>
        </w:p>
        <w:p w:rsidR="00973738" w:rsidRDefault="002B0351" w:rsidP="00337119">
          <w:r>
            <w:fldChar w:fldCharType="end"/>
          </w:r>
        </w:p>
      </w:sdtContent>
    </w:sdt>
    <w:p w:rsidR="00F44FEF" w:rsidRDefault="00F44FEF" w:rsidP="00337119">
      <w:pPr>
        <w:rPr>
          <w:rFonts w:eastAsiaTheme="majorEastAsia" w:cs="Times New Roman"/>
          <w:b/>
          <w:bCs/>
          <w:color w:val="000000" w:themeColor="text1"/>
          <w:spacing w:val="5"/>
          <w:kern w:val="28"/>
          <w:sz w:val="32"/>
          <w:szCs w:val="28"/>
          <w:lang w:val="en-US"/>
        </w:rPr>
      </w:pPr>
      <w:r>
        <w:rPr>
          <w:rFonts w:cs="Times New Roman"/>
          <w:lang w:val="en-US"/>
        </w:rPr>
        <w:br w:type="page"/>
      </w:r>
    </w:p>
    <w:p w:rsidR="00583D6A" w:rsidRPr="00CC470E" w:rsidRDefault="00583D6A" w:rsidP="00337119">
      <w:pPr>
        <w:pStyle w:val="Overskrift1"/>
        <w:pBdr>
          <w:bottom w:val="single" w:sz="4" w:space="1" w:color="auto"/>
        </w:pBdr>
        <w:spacing w:line="360" w:lineRule="auto"/>
        <w:rPr>
          <w:rFonts w:cs="Times New Roman"/>
          <w:lang w:val="en-US"/>
        </w:rPr>
      </w:pPr>
      <w:bookmarkStart w:id="2" w:name="_Toc420075796"/>
      <w:bookmarkStart w:id="3" w:name="_Toc420761608"/>
      <w:r w:rsidRPr="00CC470E">
        <w:rPr>
          <w:rFonts w:cs="Times New Roman"/>
          <w:lang w:val="en-US"/>
        </w:rPr>
        <w:lastRenderedPageBreak/>
        <w:t>1</w:t>
      </w:r>
      <w:r w:rsidR="0054509B">
        <w:rPr>
          <w:rFonts w:cs="Times New Roman"/>
          <w:lang w:val="en-US"/>
        </w:rPr>
        <w:t>.</w:t>
      </w:r>
      <w:r w:rsidRPr="00CC470E">
        <w:rPr>
          <w:rFonts w:cs="Times New Roman"/>
          <w:lang w:val="en-US"/>
        </w:rPr>
        <w:t xml:space="preserve"> Introduction</w:t>
      </w:r>
      <w:bookmarkEnd w:id="2"/>
      <w:bookmarkEnd w:id="3"/>
    </w:p>
    <w:p w:rsidR="00F0255F" w:rsidRDefault="00583D6A" w:rsidP="00337119">
      <w:pPr>
        <w:spacing w:line="360" w:lineRule="auto"/>
        <w:rPr>
          <w:rFonts w:cs="Times New Roman"/>
          <w:szCs w:val="24"/>
          <w:lang w:val="en-US"/>
        </w:rPr>
      </w:pPr>
      <w:r>
        <w:rPr>
          <w:rFonts w:cs="Times New Roman"/>
          <w:szCs w:val="24"/>
          <w:lang w:val="en-US"/>
        </w:rPr>
        <w:t>This introduction to the study will provide a preliminary presen</w:t>
      </w:r>
      <w:r w:rsidR="00976DCB">
        <w:rPr>
          <w:rFonts w:cs="Times New Roman"/>
          <w:szCs w:val="24"/>
          <w:lang w:val="en-US"/>
        </w:rPr>
        <w:t>tation of the topic of interest</w:t>
      </w:r>
      <w:r w:rsidR="00D85EFA">
        <w:rPr>
          <w:rFonts w:cs="Times New Roman"/>
          <w:szCs w:val="24"/>
          <w:lang w:val="en-US"/>
        </w:rPr>
        <w:t>,</w:t>
      </w:r>
      <w:r w:rsidR="006839F2">
        <w:rPr>
          <w:rFonts w:cs="Times New Roman"/>
          <w:szCs w:val="24"/>
          <w:lang w:val="en-US"/>
        </w:rPr>
        <w:t xml:space="preserve"> followed by a brief representation of the case selected</w:t>
      </w:r>
      <w:r>
        <w:rPr>
          <w:rFonts w:cs="Times New Roman"/>
          <w:szCs w:val="24"/>
          <w:lang w:val="en-US"/>
        </w:rPr>
        <w:t xml:space="preserve"> </w:t>
      </w:r>
      <w:r w:rsidR="00F84186">
        <w:rPr>
          <w:rFonts w:cs="Times New Roman"/>
          <w:szCs w:val="24"/>
          <w:lang w:val="en-US"/>
        </w:rPr>
        <w:t>for</w:t>
      </w:r>
      <w:r>
        <w:rPr>
          <w:rFonts w:cs="Times New Roman"/>
          <w:szCs w:val="24"/>
          <w:lang w:val="en-US"/>
        </w:rPr>
        <w:t xml:space="preserve"> a qualitative analysis in the study – </w:t>
      </w:r>
      <w:r w:rsidR="00F0255F" w:rsidRPr="00F0255F">
        <w:rPr>
          <w:rFonts w:cs="Times New Roman"/>
          <w:szCs w:val="24"/>
          <w:lang w:val="en-US"/>
        </w:rPr>
        <w:t>as a basis for identifying the specific problem on which the problem statement is based.</w:t>
      </w:r>
    </w:p>
    <w:p w:rsidR="00583D6A" w:rsidRDefault="00583D6A" w:rsidP="00337119">
      <w:pPr>
        <w:spacing w:line="360" w:lineRule="auto"/>
        <w:rPr>
          <w:rFonts w:cs="Times New Roman"/>
          <w:szCs w:val="24"/>
          <w:lang w:val="en-US"/>
        </w:rPr>
      </w:pPr>
      <w:r>
        <w:rPr>
          <w:rFonts w:cs="Times New Roman"/>
          <w:szCs w:val="24"/>
          <w:lang w:val="en-US"/>
        </w:rPr>
        <w:t>A strong and positive organizational image and reputation is essential to the functio</w:t>
      </w:r>
      <w:r w:rsidR="00D85EFA">
        <w:rPr>
          <w:rFonts w:cs="Times New Roman"/>
          <w:szCs w:val="24"/>
          <w:lang w:val="en-US"/>
        </w:rPr>
        <w:t>nality of an organization, as it signifies</w:t>
      </w:r>
      <w:r>
        <w:rPr>
          <w:rFonts w:cs="Times New Roman"/>
          <w:szCs w:val="24"/>
          <w:lang w:val="en-US"/>
        </w:rPr>
        <w:t xml:space="preserve"> the </w:t>
      </w:r>
      <w:r w:rsidR="00D85EFA">
        <w:rPr>
          <w:rFonts w:cs="Times New Roman"/>
          <w:szCs w:val="24"/>
          <w:lang w:val="en-US"/>
        </w:rPr>
        <w:t>extent to</w:t>
      </w:r>
      <w:r>
        <w:rPr>
          <w:rFonts w:cs="Times New Roman"/>
          <w:szCs w:val="24"/>
          <w:lang w:val="en-US"/>
        </w:rPr>
        <w:t xml:space="preserve"> which stakeholders perceive </w:t>
      </w:r>
      <w:r w:rsidR="00EA1DEE">
        <w:rPr>
          <w:rFonts w:cs="Times New Roman"/>
          <w:szCs w:val="24"/>
          <w:lang w:val="en-US"/>
        </w:rPr>
        <w:t xml:space="preserve">and conceive </w:t>
      </w:r>
      <w:r w:rsidR="00D85EFA">
        <w:rPr>
          <w:rFonts w:cs="Times New Roman"/>
          <w:szCs w:val="24"/>
          <w:lang w:val="en-US"/>
        </w:rPr>
        <w:t xml:space="preserve">an </w:t>
      </w:r>
      <w:r>
        <w:rPr>
          <w:rFonts w:cs="Times New Roman"/>
          <w:szCs w:val="24"/>
          <w:lang w:val="en-US"/>
        </w:rPr>
        <w:t>organization</w:t>
      </w:r>
      <w:r w:rsidR="00EA1DEE">
        <w:rPr>
          <w:rFonts w:cs="Times New Roman"/>
          <w:szCs w:val="24"/>
          <w:lang w:val="en-US"/>
        </w:rPr>
        <w:t xml:space="preserve"> in a favorable manner</w:t>
      </w:r>
      <w:r>
        <w:rPr>
          <w:rFonts w:cs="Times New Roman"/>
          <w:szCs w:val="24"/>
          <w:lang w:val="en-US"/>
        </w:rPr>
        <w:t xml:space="preserve"> – especially in terms of trustworthiness</w:t>
      </w:r>
      <w:r w:rsidRPr="00D532E9">
        <w:rPr>
          <w:rFonts w:cs="Times New Roman"/>
          <w:szCs w:val="24"/>
          <w:lang w:val="en-US"/>
        </w:rPr>
        <w:t xml:space="preserve"> </w:t>
      </w:r>
      <w:sdt>
        <w:sdtPr>
          <w:rPr>
            <w:rFonts w:cs="Times New Roman"/>
            <w:szCs w:val="24"/>
            <w:lang w:val="en-US"/>
          </w:rPr>
          <w:id w:val="787167084"/>
          <w:citation/>
        </w:sdtPr>
        <w:sdtContent>
          <w:r w:rsidRPr="00387D93">
            <w:rPr>
              <w:rFonts w:cs="Times New Roman"/>
              <w:szCs w:val="24"/>
              <w:lang w:val="en-US"/>
            </w:rPr>
            <w:fldChar w:fldCharType="begin"/>
          </w:r>
          <w:r>
            <w:rPr>
              <w:rFonts w:cs="Times New Roman"/>
              <w:szCs w:val="24"/>
              <w:lang w:val="en-US"/>
            </w:rPr>
            <w:instrText xml:space="preserve">CITATION Joe111 \p 10 \t  \l 1030 </w:instrText>
          </w:r>
          <w:r w:rsidRPr="00387D93">
            <w:rPr>
              <w:rFonts w:cs="Times New Roman"/>
              <w:szCs w:val="24"/>
              <w:lang w:val="en-US"/>
            </w:rPr>
            <w:fldChar w:fldCharType="separate"/>
          </w:r>
          <w:r w:rsidR="00F623D4" w:rsidRPr="00F623D4">
            <w:rPr>
              <w:rFonts w:cs="Times New Roman"/>
              <w:noProof/>
              <w:szCs w:val="24"/>
              <w:lang w:val="en-US"/>
            </w:rPr>
            <w:t>(Cornelissen 2011, 10)</w:t>
          </w:r>
          <w:r w:rsidRPr="00387D93">
            <w:rPr>
              <w:rFonts w:cs="Times New Roman"/>
              <w:szCs w:val="24"/>
              <w:lang w:val="en-US"/>
            </w:rPr>
            <w:fldChar w:fldCharType="end"/>
          </w:r>
        </w:sdtContent>
      </w:sdt>
      <w:r>
        <w:rPr>
          <w:rFonts w:cs="Times New Roman"/>
          <w:szCs w:val="24"/>
          <w:lang w:val="en-US"/>
        </w:rPr>
        <w:t>. In times where an organizat</w:t>
      </w:r>
      <w:r w:rsidR="00337667">
        <w:rPr>
          <w:rFonts w:cs="Times New Roman"/>
          <w:szCs w:val="24"/>
          <w:lang w:val="en-US"/>
        </w:rPr>
        <w:t>ion faces the challenges of</w:t>
      </w:r>
      <w:r>
        <w:rPr>
          <w:rFonts w:cs="Times New Roman"/>
          <w:szCs w:val="24"/>
          <w:lang w:val="en-US"/>
        </w:rPr>
        <w:t xml:space="preserve"> a crisis, its image and reputation can potentially be tarnished. It is therefore in the interest of an organization to efficiently address its stakeholders to repair the damage done, meaning that the way in which the organization communicates is crucial. The practice of communicating in a crisis has been researched and conceptualized as </w:t>
      </w:r>
      <w:r>
        <w:rPr>
          <w:rFonts w:cs="Times New Roman"/>
          <w:i/>
          <w:szCs w:val="24"/>
          <w:lang w:val="en-US"/>
        </w:rPr>
        <w:t>crisis communication</w:t>
      </w:r>
      <w:r w:rsidR="00B07165">
        <w:rPr>
          <w:rFonts w:cs="Times New Roman"/>
          <w:szCs w:val="24"/>
          <w:lang w:val="en-US"/>
        </w:rPr>
        <w:t xml:space="preserve"> – primarily concerning</w:t>
      </w:r>
      <w:r>
        <w:rPr>
          <w:rFonts w:cs="Times New Roman"/>
          <w:szCs w:val="24"/>
          <w:lang w:val="en-US"/>
        </w:rPr>
        <w:t xml:space="preserve"> the development of rhetorical strategies to set up an efficient crisis response (discourse)</w:t>
      </w:r>
      <w:sdt>
        <w:sdtPr>
          <w:rPr>
            <w:rFonts w:cs="Times New Roman"/>
            <w:szCs w:val="24"/>
            <w:lang w:val="en-US"/>
          </w:rPr>
          <w:id w:val="-1786263736"/>
          <w:citation/>
        </w:sdtPr>
        <w:sdtContent>
          <w:r w:rsidRPr="00387D93">
            <w:rPr>
              <w:rFonts w:cs="Times New Roman"/>
              <w:szCs w:val="24"/>
              <w:lang w:val="en-US"/>
            </w:rPr>
            <w:fldChar w:fldCharType="begin"/>
          </w:r>
          <w:r w:rsidR="00A753E6">
            <w:rPr>
              <w:rFonts w:cs="Times New Roman"/>
              <w:szCs w:val="24"/>
              <w:lang w:val="en-US"/>
            </w:rPr>
            <w:instrText xml:space="preserve">CITATION Wil97 \t  \m Pro07 \t  \l 1030 </w:instrText>
          </w:r>
          <w:r w:rsidRPr="00387D93">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(Benoit and Drew 1997, W. T. Coombs 2007)</w:t>
          </w:r>
          <w:r w:rsidRPr="00387D93">
            <w:rPr>
              <w:rFonts w:cs="Times New Roman"/>
              <w:szCs w:val="24"/>
              <w:lang w:val="en-US"/>
            </w:rPr>
            <w:fldChar w:fldCharType="end"/>
          </w:r>
        </w:sdtContent>
      </w:sdt>
      <w:r>
        <w:rPr>
          <w:rFonts w:cs="Times New Roman"/>
          <w:szCs w:val="24"/>
          <w:lang w:val="en-US"/>
        </w:rPr>
        <w:t xml:space="preserve">. </w:t>
      </w:r>
    </w:p>
    <w:p w:rsidR="00583D6A" w:rsidRDefault="00583D6A" w:rsidP="00337119">
      <w:pPr>
        <w:spacing w:line="360" w:lineRule="auto"/>
        <w:rPr>
          <w:rFonts w:cs="Times New Roman"/>
          <w:szCs w:val="24"/>
          <w:lang w:val="en-US"/>
        </w:rPr>
      </w:pPr>
      <w:r>
        <w:rPr>
          <w:rFonts w:cs="Times New Roman"/>
          <w:szCs w:val="24"/>
          <w:lang w:val="en-US"/>
        </w:rPr>
        <w:t>In connection with an organ</w:t>
      </w:r>
      <w:r w:rsidR="002D58DA">
        <w:rPr>
          <w:rFonts w:cs="Times New Roman"/>
          <w:szCs w:val="24"/>
          <w:lang w:val="en-US"/>
        </w:rPr>
        <w:t xml:space="preserve">ization’s image and reputation, </w:t>
      </w:r>
      <w:r w:rsidRPr="00E14A00">
        <w:rPr>
          <w:rFonts w:cs="Times New Roman"/>
          <w:i/>
          <w:szCs w:val="24"/>
          <w:lang w:val="en-US"/>
        </w:rPr>
        <w:t>corporate social responsibility</w:t>
      </w:r>
      <w:r>
        <w:rPr>
          <w:rFonts w:cs="Times New Roman"/>
          <w:i/>
          <w:szCs w:val="24"/>
          <w:lang w:val="en-US"/>
        </w:rPr>
        <w:t xml:space="preserve"> </w:t>
      </w:r>
      <w:r w:rsidRPr="00E14A00">
        <w:rPr>
          <w:rFonts w:cs="Times New Roman"/>
          <w:i/>
          <w:szCs w:val="24"/>
          <w:lang w:val="en-US"/>
        </w:rPr>
        <w:t>(CSR)</w:t>
      </w:r>
      <w:r>
        <w:rPr>
          <w:rFonts w:cs="Times New Roman"/>
          <w:szCs w:val="24"/>
          <w:lang w:val="en-US"/>
        </w:rPr>
        <w:t xml:space="preserve"> has received great attention in recent years</w:t>
      </w:r>
      <w:r w:rsidR="002D58DA">
        <w:rPr>
          <w:rFonts w:cs="Times New Roman"/>
          <w:szCs w:val="24"/>
          <w:lang w:val="en-US"/>
        </w:rPr>
        <w:t xml:space="preserve"> within public relations</w:t>
      </w:r>
      <w:r>
        <w:rPr>
          <w:rFonts w:cs="Times New Roman"/>
          <w:szCs w:val="24"/>
          <w:lang w:val="en-US"/>
        </w:rPr>
        <w:t>, as it represents an organization’</w:t>
      </w:r>
      <w:r w:rsidR="002378F9">
        <w:rPr>
          <w:rFonts w:cs="Times New Roman"/>
          <w:szCs w:val="24"/>
          <w:lang w:val="en-US"/>
        </w:rPr>
        <w:t>s commitment to its stakeholder</w:t>
      </w:r>
      <w:r>
        <w:rPr>
          <w:rFonts w:cs="Times New Roman"/>
          <w:szCs w:val="24"/>
          <w:lang w:val="en-US"/>
        </w:rPr>
        <w:t>s</w:t>
      </w:r>
      <w:r w:rsidR="002378F9">
        <w:rPr>
          <w:rFonts w:cs="Times New Roman"/>
          <w:szCs w:val="24"/>
          <w:lang w:val="en-US"/>
        </w:rPr>
        <w:t>’</w:t>
      </w:r>
      <w:r>
        <w:rPr>
          <w:rFonts w:cs="Times New Roman"/>
          <w:szCs w:val="24"/>
          <w:lang w:val="en-US"/>
        </w:rPr>
        <w:t xml:space="preserve"> interests on a non-corporate level – concerned with socially benefitting activities </w:t>
      </w:r>
      <w:sdt>
        <w:sdtPr>
          <w:rPr>
            <w:rFonts w:cs="Times New Roman"/>
            <w:szCs w:val="24"/>
            <w:lang w:val="en-US"/>
          </w:rPr>
          <w:id w:val="1383211711"/>
          <w:citation/>
        </w:sdtPr>
        <w:sdtContent>
          <w:r w:rsidRPr="00387D93">
            <w:rPr>
              <w:rFonts w:cs="Times New Roman"/>
              <w:szCs w:val="24"/>
              <w:lang w:val="en-US"/>
            </w:rPr>
            <w:fldChar w:fldCharType="begin"/>
          </w:r>
          <w:r w:rsidRPr="00387D93">
            <w:rPr>
              <w:rFonts w:cs="Times New Roman"/>
              <w:szCs w:val="24"/>
              <w:lang w:val="en-US"/>
            </w:rPr>
            <w:instrText xml:space="preserve">CITATION WTi121 \p 8 \t  \l 1030 </w:instrText>
          </w:r>
          <w:r w:rsidRPr="00387D93">
            <w:rPr>
              <w:rFonts w:cs="Times New Roman"/>
              <w:szCs w:val="24"/>
              <w:lang w:val="en-US"/>
            </w:rPr>
            <w:fldChar w:fldCharType="separate"/>
          </w:r>
          <w:r w:rsidR="00F623D4" w:rsidRPr="00F623D4">
            <w:rPr>
              <w:rFonts w:cs="Times New Roman"/>
              <w:noProof/>
              <w:szCs w:val="24"/>
              <w:lang w:val="en-US"/>
            </w:rPr>
            <w:t>(Coombs and Holladay 2012, 8)</w:t>
          </w:r>
          <w:r w:rsidRPr="00387D93">
            <w:rPr>
              <w:rFonts w:cs="Times New Roman"/>
              <w:szCs w:val="24"/>
              <w:lang w:val="en-US"/>
            </w:rPr>
            <w:fldChar w:fldCharType="end"/>
          </w:r>
        </w:sdtContent>
      </w:sdt>
      <w:r>
        <w:rPr>
          <w:rFonts w:cs="Times New Roman"/>
          <w:szCs w:val="24"/>
          <w:lang w:val="en-US"/>
        </w:rPr>
        <w:t xml:space="preserve">. Accordingly, it has been considered a practice with a positive effect on an organization’s image and reputation and therefore labeled as an important organizational asset. Moreover, CSR </w:t>
      </w:r>
      <w:r w:rsidR="002D58DA">
        <w:rPr>
          <w:rFonts w:cs="Times New Roman"/>
          <w:szCs w:val="24"/>
          <w:lang w:val="en-US"/>
        </w:rPr>
        <w:t>is also</w:t>
      </w:r>
      <w:r>
        <w:rPr>
          <w:rFonts w:cs="Times New Roman"/>
          <w:szCs w:val="24"/>
          <w:lang w:val="en-US"/>
        </w:rPr>
        <w:t xml:space="preserve"> considered a </w:t>
      </w:r>
      <w:r w:rsidR="002D58DA">
        <w:rPr>
          <w:rFonts w:cs="Times New Roman"/>
          <w:szCs w:val="24"/>
          <w:lang w:val="en-US"/>
        </w:rPr>
        <w:t xml:space="preserve">potential </w:t>
      </w:r>
      <w:r>
        <w:rPr>
          <w:rFonts w:cs="Times New Roman"/>
          <w:szCs w:val="24"/>
          <w:lang w:val="en-US"/>
        </w:rPr>
        <w:t>asset in a crisis, as it presents positive information about the organization, which can be disseminated with a potentially supplementing effect on the efficiency of the crisis communication in place</w:t>
      </w:r>
      <w:sdt>
        <w:sdtPr>
          <w:rPr>
            <w:rFonts w:cs="Times New Roman"/>
            <w:szCs w:val="24"/>
            <w:lang w:val="en-US"/>
          </w:rPr>
          <w:id w:val="1269196065"/>
          <w:citation/>
        </w:sdtPr>
        <w:sdtContent>
          <w:r>
            <w:rPr>
              <w:rFonts w:cs="Times New Roman"/>
              <w:szCs w:val="24"/>
              <w:lang w:val="en-US"/>
            </w:rPr>
            <w:fldChar w:fldCharType="begin"/>
          </w:r>
          <w:r>
            <w:rPr>
              <w:rFonts w:cs="Times New Roman"/>
              <w:szCs w:val="24"/>
              <w:lang w:val="en-US"/>
            </w:rPr>
            <w:instrText xml:space="preserve">CITATION Gen14 \p 113 \t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(Grabowski and Kruse 2013, 113)</w:t>
          </w:r>
          <w:r>
            <w:rPr>
              <w:rFonts w:cs="Times New Roman"/>
              <w:szCs w:val="24"/>
              <w:lang w:val="en-US"/>
            </w:rPr>
            <w:fldChar w:fldCharType="end"/>
          </w:r>
        </w:sdtContent>
      </w:sdt>
      <w:r>
        <w:rPr>
          <w:rFonts w:cs="Times New Roman"/>
          <w:szCs w:val="24"/>
          <w:lang w:val="en-US"/>
        </w:rPr>
        <w:t>.</w:t>
      </w:r>
    </w:p>
    <w:p w:rsidR="00583D6A" w:rsidRDefault="00583D6A" w:rsidP="00337119">
      <w:pPr>
        <w:spacing w:line="360" w:lineRule="auto"/>
        <w:rPr>
          <w:rFonts w:cs="Times New Roman"/>
          <w:szCs w:val="24"/>
          <w:lang w:val="en-US"/>
        </w:rPr>
      </w:pPr>
      <w:r>
        <w:rPr>
          <w:rFonts w:cs="Times New Roman"/>
          <w:szCs w:val="24"/>
          <w:lang w:val="en-US"/>
        </w:rPr>
        <w:t>Ho</w:t>
      </w:r>
      <w:r w:rsidR="00F50F63">
        <w:rPr>
          <w:rFonts w:cs="Times New Roman"/>
          <w:szCs w:val="24"/>
          <w:lang w:val="en-US"/>
        </w:rPr>
        <w:t xml:space="preserve">wever, in the wake of a crisis, </w:t>
      </w:r>
      <w:r>
        <w:rPr>
          <w:rFonts w:cs="Times New Roman"/>
          <w:szCs w:val="24"/>
          <w:lang w:val="en-US"/>
        </w:rPr>
        <w:t xml:space="preserve">inflicted by issues of an organization’s perceived social responsibility, the positive nature of an organization’s CSR may be challenged. Thus, CSR can become the center of negative attention in an organizational crisis, meaning that CSR-related information will, expectedly, become a part of the organization’s crisis communication, discursively represented to accommodate the specific CSR-related circumstances – so as to have a desired positive effect. According to crisis communication theory, this is achieved through the application of specific crisis response strategies, constituting discourses to convey a desired message. </w:t>
      </w:r>
      <w:r w:rsidR="00B061AC">
        <w:rPr>
          <w:rFonts w:cs="Times New Roman"/>
          <w:szCs w:val="24"/>
          <w:lang w:val="en-US"/>
        </w:rPr>
        <w:lastRenderedPageBreak/>
        <w:t>Conversely</w:t>
      </w:r>
      <w:r>
        <w:rPr>
          <w:rFonts w:cs="Times New Roman"/>
          <w:szCs w:val="24"/>
          <w:lang w:val="en-US"/>
        </w:rPr>
        <w:t>, a wrong approach may bring further harm to the organization’s reputation</w:t>
      </w:r>
      <w:r w:rsidRPr="0035717E">
        <w:rPr>
          <w:rFonts w:cs="Times New Roman"/>
          <w:szCs w:val="24"/>
          <w:lang w:val="en-US"/>
        </w:rPr>
        <w:t xml:space="preserve"> </w:t>
      </w:r>
      <w:sdt>
        <w:sdtPr>
          <w:rPr>
            <w:rFonts w:cs="Times New Roman"/>
            <w:szCs w:val="24"/>
            <w:lang w:val="en-US"/>
          </w:rPr>
          <w:id w:val="23374676"/>
          <w:citation/>
        </w:sdtPr>
        <w:sdtContent>
          <w:r w:rsidRPr="00387D93">
            <w:rPr>
              <w:rFonts w:cs="Times New Roman"/>
              <w:szCs w:val="24"/>
              <w:lang w:val="en-US"/>
            </w:rPr>
            <w:fldChar w:fldCharType="begin"/>
          </w:r>
          <w:r>
            <w:rPr>
              <w:rFonts w:cs="Times New Roman"/>
              <w:szCs w:val="24"/>
              <w:lang w:val="en-US"/>
            </w:rPr>
            <w:instrText xml:space="preserve">CITATION Wil97 \t  \m Pro07 \t  \l 1030 </w:instrText>
          </w:r>
          <w:r w:rsidRPr="00387D93">
            <w:rPr>
              <w:rFonts w:cs="Times New Roman"/>
              <w:szCs w:val="24"/>
              <w:lang w:val="en-US"/>
            </w:rPr>
            <w:fldChar w:fldCharType="separate"/>
          </w:r>
          <w:r w:rsidR="00F623D4" w:rsidRPr="00F623D4">
            <w:rPr>
              <w:rFonts w:cs="Times New Roman"/>
              <w:noProof/>
              <w:szCs w:val="24"/>
              <w:lang w:val="en-US"/>
            </w:rPr>
            <w:t>(Benoit and Drew 1997, W. T. Coombs 2007)</w:t>
          </w:r>
          <w:r w:rsidRPr="00387D93">
            <w:rPr>
              <w:rFonts w:cs="Times New Roman"/>
              <w:szCs w:val="24"/>
              <w:lang w:val="en-US"/>
            </w:rPr>
            <w:fldChar w:fldCharType="end"/>
          </w:r>
        </w:sdtContent>
      </w:sdt>
      <w:r>
        <w:rPr>
          <w:rFonts w:cs="Times New Roman"/>
          <w:szCs w:val="24"/>
          <w:lang w:val="en-US"/>
        </w:rPr>
        <w:t>.</w:t>
      </w:r>
    </w:p>
    <w:p w:rsidR="00583D6A" w:rsidRPr="00A802F3" w:rsidRDefault="00583D6A" w:rsidP="00337119">
      <w:pPr>
        <w:spacing w:line="360" w:lineRule="auto"/>
        <w:rPr>
          <w:rFonts w:cs="Times New Roman"/>
          <w:szCs w:val="24"/>
          <w:lang w:val="en-US"/>
        </w:rPr>
      </w:pPr>
      <w:r>
        <w:rPr>
          <w:rFonts w:cs="Times New Roman"/>
          <w:szCs w:val="24"/>
          <w:lang w:val="en-US"/>
        </w:rPr>
        <w:t xml:space="preserve">Consequently, CSR presents an organizational asset regarding a positive image and reputation. However, in an organizational crisis, when </w:t>
      </w:r>
      <w:r w:rsidR="00F42775">
        <w:rPr>
          <w:rFonts w:cs="Times New Roman"/>
          <w:szCs w:val="24"/>
          <w:lang w:val="en-US"/>
        </w:rPr>
        <w:t>CSR</w:t>
      </w:r>
      <w:r>
        <w:rPr>
          <w:rFonts w:cs="Times New Roman"/>
          <w:szCs w:val="24"/>
          <w:lang w:val="en-US"/>
        </w:rPr>
        <w:t xml:space="preserve"> can become the target of negative criticism, challenges may arise as well, as its representation through discourses within an organization’s crisis communication may become the determining factor to the communicative success of the crisis response. </w:t>
      </w:r>
    </w:p>
    <w:p w:rsidR="00583D6A" w:rsidRPr="00CF717B" w:rsidRDefault="0054509B" w:rsidP="00337119">
      <w:pPr>
        <w:pStyle w:val="Overskrift2"/>
        <w:spacing w:line="360" w:lineRule="auto"/>
        <w:rPr>
          <w:lang w:val="en-US"/>
        </w:rPr>
      </w:pPr>
      <w:bookmarkStart w:id="4" w:name="_Toc420075801"/>
      <w:bookmarkStart w:id="5" w:name="_Toc420761609"/>
      <w:r>
        <w:rPr>
          <w:lang w:val="en-US"/>
        </w:rPr>
        <w:t>1.1</w:t>
      </w:r>
      <w:r w:rsidR="00583D6A">
        <w:rPr>
          <w:lang w:val="en-US"/>
        </w:rPr>
        <w:t xml:space="preserve"> Case Representation</w:t>
      </w:r>
      <w:bookmarkEnd w:id="4"/>
      <w:bookmarkEnd w:id="5"/>
    </w:p>
    <w:p w:rsidR="00583D6A" w:rsidRDefault="00583D6A" w:rsidP="00337119">
      <w:pPr>
        <w:spacing w:line="360" w:lineRule="auto"/>
        <w:rPr>
          <w:rFonts w:cs="Times New Roman"/>
          <w:szCs w:val="24"/>
          <w:lang w:val="en-US"/>
        </w:rPr>
      </w:pPr>
      <w:r w:rsidRPr="00A802F3">
        <w:rPr>
          <w:rFonts w:cs="Times New Roman"/>
          <w:szCs w:val="24"/>
          <w:lang w:val="en-US"/>
        </w:rPr>
        <w:t xml:space="preserve">In March 2014, </w:t>
      </w:r>
      <w:r w:rsidR="001167A3">
        <w:rPr>
          <w:rFonts w:cs="Times New Roman"/>
          <w:szCs w:val="24"/>
          <w:lang w:val="en-US"/>
        </w:rPr>
        <w:t xml:space="preserve">the Mozilla Foundation </w:t>
      </w:r>
      <w:r w:rsidRPr="00A802F3">
        <w:rPr>
          <w:rFonts w:cs="Times New Roman"/>
          <w:szCs w:val="24"/>
          <w:lang w:val="en-US"/>
        </w:rPr>
        <w:t xml:space="preserve">got plunged into a reputational crisis, when the board appointed the Chief Technology Officer Brendan </w:t>
      </w:r>
      <w:proofErr w:type="spellStart"/>
      <w:r w:rsidRPr="00A802F3">
        <w:rPr>
          <w:rFonts w:cs="Times New Roman"/>
          <w:szCs w:val="24"/>
          <w:lang w:val="en-US"/>
        </w:rPr>
        <w:t>Eich</w:t>
      </w:r>
      <w:proofErr w:type="spellEnd"/>
      <w:r w:rsidRPr="00A802F3">
        <w:rPr>
          <w:rFonts w:cs="Times New Roman"/>
          <w:szCs w:val="24"/>
          <w:lang w:val="en-US"/>
        </w:rPr>
        <w:t xml:space="preserve"> as the new CEO. This provoked boycotts and protests from the LGBT community, because </w:t>
      </w:r>
      <w:proofErr w:type="spellStart"/>
      <w:r w:rsidRPr="00A802F3">
        <w:rPr>
          <w:rFonts w:cs="Times New Roman"/>
          <w:szCs w:val="24"/>
          <w:lang w:val="en-US"/>
        </w:rPr>
        <w:t>Eich</w:t>
      </w:r>
      <w:proofErr w:type="spellEnd"/>
      <w:r w:rsidRPr="00A802F3">
        <w:rPr>
          <w:rFonts w:cs="Times New Roman"/>
          <w:szCs w:val="24"/>
          <w:lang w:val="en-US"/>
        </w:rPr>
        <w:t>, back in 2008, had made a donation for an anti-same-sex marriage legislation</w:t>
      </w:r>
      <w:r w:rsidR="00096CFA">
        <w:rPr>
          <w:rFonts w:cs="Times New Roman"/>
          <w:szCs w:val="24"/>
          <w:lang w:val="en-US"/>
        </w:rPr>
        <w:t>, called Proposition 8</w:t>
      </w:r>
      <w:r w:rsidRPr="00A802F3">
        <w:rPr>
          <w:rFonts w:cs="Times New Roman"/>
          <w:szCs w:val="24"/>
          <w:lang w:val="en-US"/>
        </w:rPr>
        <w:t xml:space="preserve">. Moreover, several employees of Mozilla expressed their contempt through the social media channel </w:t>
      </w:r>
      <w:r w:rsidRPr="00A802F3">
        <w:rPr>
          <w:rFonts w:cs="Times New Roman"/>
          <w:i/>
          <w:szCs w:val="24"/>
          <w:lang w:val="en-US"/>
        </w:rPr>
        <w:t>Twitter</w:t>
      </w:r>
      <w:r w:rsidRPr="00A802F3">
        <w:rPr>
          <w:rFonts w:cs="Times New Roman"/>
          <w:szCs w:val="24"/>
          <w:lang w:val="en-US"/>
        </w:rPr>
        <w:t xml:space="preserve"> </w:t>
      </w:r>
      <w:sdt>
        <w:sdtPr>
          <w:rPr>
            <w:rFonts w:cs="Times New Roman"/>
            <w:szCs w:val="24"/>
            <w:lang w:val="en-US"/>
          </w:rPr>
          <w:id w:val="1358155752"/>
          <w:citation/>
        </w:sdtPr>
        <w:sdtContent>
          <w:r w:rsidRPr="00A802F3">
            <w:rPr>
              <w:rFonts w:cs="Times New Roman"/>
              <w:szCs w:val="24"/>
              <w:lang w:val="en-US"/>
            </w:rPr>
            <w:fldChar w:fldCharType="begin"/>
          </w:r>
          <w:r w:rsidR="00655848">
            <w:rPr>
              <w:rFonts w:cs="Times New Roman"/>
              <w:szCs w:val="24"/>
              <w:lang w:val="en-US"/>
            </w:rPr>
            <w:instrText xml:space="preserve">CITATION Ste14 \t  \l 1030 </w:instrText>
          </w:r>
          <w:r w:rsidRPr="00A802F3">
            <w:rPr>
              <w:rFonts w:cs="Times New Roman"/>
              <w:szCs w:val="24"/>
              <w:lang w:val="en-US"/>
            </w:rPr>
            <w:fldChar w:fldCharType="separate"/>
          </w:r>
          <w:r w:rsidR="00F623D4" w:rsidRPr="00F623D4">
            <w:rPr>
              <w:rFonts w:cs="Times New Roman"/>
              <w:noProof/>
              <w:szCs w:val="24"/>
              <w:lang w:val="en-US"/>
            </w:rPr>
            <w:t>(Shankland 2014)</w:t>
          </w:r>
          <w:r w:rsidRPr="00A802F3">
            <w:rPr>
              <w:rFonts w:cs="Times New Roman"/>
              <w:szCs w:val="24"/>
              <w:lang w:val="en-US"/>
            </w:rPr>
            <w:fldChar w:fldCharType="end"/>
          </w:r>
        </w:sdtContent>
      </w:sdt>
      <w:r w:rsidRPr="00A802F3">
        <w:rPr>
          <w:rFonts w:cs="Times New Roman"/>
          <w:szCs w:val="24"/>
          <w:lang w:val="en-US"/>
        </w:rPr>
        <w:t>. Subsequently, Mo</w:t>
      </w:r>
      <w:r>
        <w:rPr>
          <w:rFonts w:cs="Times New Roman"/>
          <w:szCs w:val="24"/>
          <w:lang w:val="en-US"/>
        </w:rPr>
        <w:t>zilla, with the supplementing voices of Chairwoman</w:t>
      </w:r>
      <w:r w:rsidRPr="00A802F3">
        <w:rPr>
          <w:rFonts w:cs="Times New Roman"/>
          <w:szCs w:val="24"/>
          <w:lang w:val="en-US"/>
        </w:rPr>
        <w:t xml:space="preserve"> Mitchell Baker and</w:t>
      </w:r>
      <w:r>
        <w:rPr>
          <w:rFonts w:cs="Times New Roman"/>
          <w:szCs w:val="24"/>
          <w:lang w:val="en-US"/>
        </w:rPr>
        <w:t xml:space="preserve"> Brendan</w:t>
      </w:r>
      <w:r w:rsidRPr="00A802F3">
        <w:rPr>
          <w:rFonts w:cs="Times New Roman"/>
          <w:szCs w:val="24"/>
          <w:lang w:val="en-US"/>
        </w:rPr>
        <w:t xml:space="preserve"> </w:t>
      </w:r>
      <w:proofErr w:type="spellStart"/>
      <w:r w:rsidRPr="00A802F3">
        <w:rPr>
          <w:rFonts w:cs="Times New Roman"/>
          <w:szCs w:val="24"/>
          <w:lang w:val="en-US"/>
        </w:rPr>
        <w:t>Eich</w:t>
      </w:r>
      <w:proofErr w:type="spellEnd"/>
      <w:r w:rsidRPr="00A802F3">
        <w:rPr>
          <w:rFonts w:cs="Times New Roman"/>
          <w:szCs w:val="24"/>
          <w:lang w:val="en-US"/>
        </w:rPr>
        <w:t xml:space="preserve">, responded to the criticism from all of the involved stakeholders. </w:t>
      </w:r>
    </w:p>
    <w:p w:rsidR="00AF6CA4" w:rsidRDefault="00583D6A" w:rsidP="00337119">
      <w:pPr>
        <w:spacing w:line="360" w:lineRule="auto"/>
        <w:rPr>
          <w:rFonts w:cs="Times New Roman"/>
          <w:szCs w:val="24"/>
          <w:lang w:val="en-US"/>
        </w:rPr>
      </w:pPr>
      <w:r w:rsidRPr="00A802F3">
        <w:rPr>
          <w:rFonts w:cs="Times New Roman"/>
          <w:szCs w:val="24"/>
          <w:lang w:val="en-US"/>
        </w:rPr>
        <w:t xml:space="preserve">Seemingly, the main communication strategy of Mozilla was to communicate </w:t>
      </w:r>
      <w:r>
        <w:rPr>
          <w:rFonts w:cs="Times New Roman"/>
          <w:szCs w:val="24"/>
          <w:lang w:val="en-US"/>
        </w:rPr>
        <w:t xml:space="preserve">its values of </w:t>
      </w:r>
      <w:r w:rsidRPr="00A802F3">
        <w:rPr>
          <w:rFonts w:cs="Times New Roman"/>
          <w:szCs w:val="24"/>
          <w:lang w:val="en-US"/>
        </w:rPr>
        <w:t>inclusiveness</w:t>
      </w:r>
      <w:r>
        <w:rPr>
          <w:rFonts w:cs="Times New Roman"/>
          <w:szCs w:val="24"/>
          <w:lang w:val="en-US"/>
        </w:rPr>
        <w:t xml:space="preserve"> and diversity – with the purpose of</w:t>
      </w:r>
      <w:r w:rsidRPr="00A802F3">
        <w:rPr>
          <w:rFonts w:cs="Times New Roman"/>
          <w:szCs w:val="24"/>
          <w:lang w:val="en-US"/>
        </w:rPr>
        <w:t xml:space="preserve"> reinsuri</w:t>
      </w:r>
      <w:r>
        <w:rPr>
          <w:rFonts w:cs="Times New Roman"/>
          <w:szCs w:val="24"/>
          <w:lang w:val="en-US"/>
        </w:rPr>
        <w:t>ng</w:t>
      </w:r>
      <w:r w:rsidRPr="00A802F3">
        <w:rPr>
          <w:rFonts w:cs="Times New Roman"/>
          <w:szCs w:val="24"/>
          <w:lang w:val="en-US"/>
        </w:rPr>
        <w:t xml:space="preserve"> stakeholders about the foundation’s social commitment to the LGBT community. Con</w:t>
      </w:r>
      <w:r w:rsidR="00617C8D">
        <w:rPr>
          <w:rFonts w:cs="Times New Roman"/>
          <w:szCs w:val="24"/>
          <w:lang w:val="en-US"/>
        </w:rPr>
        <w:t>sequently, the discourse in use</w:t>
      </w:r>
      <w:r w:rsidRPr="00A802F3">
        <w:rPr>
          <w:rFonts w:cs="Times New Roman"/>
          <w:szCs w:val="24"/>
          <w:lang w:val="en-US"/>
        </w:rPr>
        <w:t xml:space="preserve"> was, primarily, based on the social responsibility of Mozilla</w:t>
      </w:r>
      <w:r>
        <w:rPr>
          <w:rFonts w:cs="Times New Roman"/>
          <w:szCs w:val="24"/>
          <w:lang w:val="en-US"/>
        </w:rPr>
        <w:t xml:space="preserve"> (CSR)</w:t>
      </w:r>
      <w:sdt>
        <w:sdtPr>
          <w:rPr>
            <w:rFonts w:cs="Times New Roman"/>
            <w:szCs w:val="24"/>
            <w:lang w:val="en-US"/>
          </w:rPr>
          <w:id w:val="-1146348785"/>
          <w:citation/>
        </w:sdtPr>
        <w:sdtContent>
          <w:r w:rsidRPr="00A802F3">
            <w:rPr>
              <w:rFonts w:cs="Times New Roman"/>
              <w:szCs w:val="24"/>
              <w:lang w:val="en-US"/>
            </w:rPr>
            <w:fldChar w:fldCharType="begin"/>
          </w:r>
          <w:r w:rsidR="00F44044">
            <w:rPr>
              <w:rFonts w:cs="Times New Roman"/>
              <w:szCs w:val="24"/>
              <w:lang w:val="en-US"/>
            </w:rPr>
            <w:instrText xml:space="preserve">CITATION Bre14 \t  \l 1030 </w:instrText>
          </w:r>
          <w:r w:rsidRPr="00A802F3">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(Eich 2014)</w:t>
          </w:r>
          <w:r w:rsidRPr="00A802F3">
            <w:rPr>
              <w:rFonts w:cs="Times New Roman"/>
              <w:szCs w:val="24"/>
              <w:lang w:val="en-US"/>
            </w:rPr>
            <w:fldChar w:fldCharType="end"/>
          </w:r>
        </w:sdtContent>
      </w:sdt>
      <w:r w:rsidRPr="00A802F3">
        <w:rPr>
          <w:rFonts w:cs="Times New Roman"/>
          <w:szCs w:val="24"/>
          <w:lang w:val="en-US"/>
        </w:rPr>
        <w:t xml:space="preserve">. </w:t>
      </w:r>
      <w:r w:rsidR="0071292C">
        <w:rPr>
          <w:rFonts w:cs="Times New Roman"/>
          <w:szCs w:val="24"/>
          <w:lang w:val="en-US"/>
        </w:rPr>
        <w:t>This means that t</w:t>
      </w:r>
      <w:r>
        <w:rPr>
          <w:rFonts w:cs="Times New Roman"/>
          <w:szCs w:val="24"/>
          <w:lang w:val="en-US"/>
        </w:rPr>
        <w:t>he organization utilized its</w:t>
      </w:r>
      <w:r w:rsidRPr="00A802F3">
        <w:rPr>
          <w:rFonts w:cs="Times New Roman"/>
          <w:szCs w:val="24"/>
          <w:lang w:val="en-US"/>
        </w:rPr>
        <w:t xml:space="preserve"> CSR identity to express concern and redemption t</w:t>
      </w:r>
      <w:r>
        <w:rPr>
          <w:rFonts w:cs="Times New Roman"/>
          <w:szCs w:val="24"/>
          <w:lang w:val="en-US"/>
        </w:rPr>
        <w:t>h</w:t>
      </w:r>
      <w:r w:rsidRPr="00A802F3">
        <w:rPr>
          <w:rFonts w:cs="Times New Roman"/>
          <w:szCs w:val="24"/>
          <w:lang w:val="en-US"/>
        </w:rPr>
        <w:t xml:space="preserve">rough promises of </w:t>
      </w:r>
      <w:r w:rsidR="00096CFA">
        <w:rPr>
          <w:rFonts w:cs="Times New Roman"/>
          <w:szCs w:val="24"/>
          <w:lang w:val="en-US"/>
        </w:rPr>
        <w:t>social commitment</w:t>
      </w:r>
      <w:r w:rsidR="007B3C24">
        <w:rPr>
          <w:rFonts w:cs="Times New Roman"/>
          <w:szCs w:val="24"/>
          <w:lang w:val="en-US"/>
        </w:rPr>
        <w:t>, which may seem as a valid tactic</w:t>
      </w:r>
      <w:sdt>
        <w:sdtPr>
          <w:rPr>
            <w:rFonts w:cs="Times New Roman"/>
            <w:szCs w:val="24"/>
            <w:lang w:val="en-US"/>
          </w:rPr>
          <w:id w:val="73408628"/>
          <w:citation/>
        </w:sdtPr>
        <w:sdtContent>
          <w:r w:rsidR="007B3C24" w:rsidRPr="00A802F3">
            <w:rPr>
              <w:rFonts w:cs="Times New Roman"/>
              <w:szCs w:val="24"/>
              <w:lang w:val="en-US"/>
            </w:rPr>
            <w:fldChar w:fldCharType="begin"/>
          </w:r>
          <w:r w:rsidR="007B3C24" w:rsidRPr="00A802F3">
            <w:rPr>
              <w:rFonts w:cs="Times New Roman"/>
              <w:szCs w:val="24"/>
              <w:lang w:val="en-US"/>
            </w:rPr>
            <w:instrText xml:space="preserve"> CITATION Moz05 \l 1030 </w:instrText>
          </w:r>
          <w:r w:rsidR="007B3C24" w:rsidRPr="00A802F3">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(Mozilla Foundation 2005)</w:t>
          </w:r>
          <w:r w:rsidR="007B3C24" w:rsidRPr="00A802F3">
            <w:rPr>
              <w:rFonts w:cs="Times New Roman"/>
              <w:szCs w:val="24"/>
              <w:lang w:val="en-US"/>
            </w:rPr>
            <w:fldChar w:fldCharType="end"/>
          </w:r>
        </w:sdtContent>
      </w:sdt>
      <w:r w:rsidRPr="00A802F3">
        <w:rPr>
          <w:rFonts w:cs="Times New Roman"/>
          <w:szCs w:val="24"/>
          <w:lang w:val="en-US"/>
        </w:rPr>
        <w:t xml:space="preserve">. However, in less than </w:t>
      </w:r>
      <w:r>
        <w:rPr>
          <w:rFonts w:cs="Times New Roman"/>
          <w:szCs w:val="24"/>
          <w:lang w:val="en-US"/>
        </w:rPr>
        <w:t>ten days</w:t>
      </w:r>
      <w:r w:rsidRPr="00A802F3">
        <w:rPr>
          <w:rFonts w:cs="Times New Roman"/>
          <w:szCs w:val="24"/>
          <w:lang w:val="en-US"/>
        </w:rPr>
        <w:t xml:space="preserve"> after the crisis broke out, Brendan </w:t>
      </w:r>
      <w:proofErr w:type="spellStart"/>
      <w:r w:rsidRPr="00A802F3">
        <w:rPr>
          <w:rFonts w:cs="Times New Roman"/>
          <w:szCs w:val="24"/>
          <w:lang w:val="en-US"/>
        </w:rPr>
        <w:t>Eich</w:t>
      </w:r>
      <w:proofErr w:type="spellEnd"/>
      <w:r w:rsidRPr="00A802F3">
        <w:rPr>
          <w:rFonts w:cs="Times New Roman"/>
          <w:szCs w:val="24"/>
          <w:lang w:val="en-US"/>
        </w:rPr>
        <w:t xml:space="preserve"> stepped down as CEO an</w:t>
      </w:r>
      <w:r w:rsidR="005D01C5">
        <w:rPr>
          <w:rFonts w:cs="Times New Roman"/>
          <w:szCs w:val="24"/>
          <w:lang w:val="en-US"/>
        </w:rPr>
        <w:t>d Mozilla issued a full apology</w:t>
      </w:r>
      <w:sdt>
        <w:sdtPr>
          <w:rPr>
            <w:rFonts w:cs="Times New Roman"/>
            <w:szCs w:val="24"/>
            <w:lang w:val="en-US"/>
          </w:rPr>
          <w:id w:val="1138074287"/>
          <w:citation/>
        </w:sdtPr>
        <w:sdtContent>
          <w:r w:rsidRPr="00A802F3">
            <w:rPr>
              <w:rFonts w:cs="Times New Roman"/>
              <w:szCs w:val="24"/>
              <w:lang w:val="en-US"/>
            </w:rPr>
            <w:fldChar w:fldCharType="begin"/>
          </w:r>
          <w:r w:rsidR="00655848">
            <w:rPr>
              <w:rFonts w:cs="Times New Roman"/>
              <w:szCs w:val="24"/>
              <w:lang w:val="en-US"/>
            </w:rPr>
            <w:instrText xml:space="preserve">CITATION Mit14 \t  \l 1030 </w:instrText>
          </w:r>
          <w:r w:rsidRPr="00A802F3">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(M. Baker 2014)</w:t>
          </w:r>
          <w:r w:rsidRPr="00A802F3">
            <w:rPr>
              <w:rFonts w:cs="Times New Roman"/>
              <w:szCs w:val="24"/>
              <w:lang w:val="en-US"/>
            </w:rPr>
            <w:fldChar w:fldCharType="end"/>
          </w:r>
        </w:sdtContent>
      </w:sdt>
      <w:r w:rsidRPr="00A802F3">
        <w:rPr>
          <w:rFonts w:cs="Times New Roman"/>
          <w:szCs w:val="24"/>
          <w:lang w:val="en-US"/>
        </w:rPr>
        <w:t xml:space="preserve">. Conclusively, Mozilla’s crisis communication, with extensive use of CSR discourse, failed. </w:t>
      </w:r>
    </w:p>
    <w:p w:rsidR="00DD33A6" w:rsidRDefault="00AF6CA4" w:rsidP="00AA0F69">
      <w:pPr>
        <w:pStyle w:val="Overskrift2"/>
        <w:spacing w:line="360" w:lineRule="auto"/>
        <w:rPr>
          <w:lang w:val="en-US"/>
        </w:rPr>
      </w:pPr>
      <w:bookmarkStart w:id="6" w:name="_Toc420761610"/>
      <w:r>
        <w:rPr>
          <w:lang w:val="en-US"/>
        </w:rPr>
        <w:t>1.2 Literature</w:t>
      </w:r>
      <w:bookmarkEnd w:id="6"/>
      <w:r w:rsidR="00583D6A" w:rsidRPr="00A802F3">
        <w:rPr>
          <w:lang w:val="en-US"/>
        </w:rPr>
        <w:t xml:space="preserve"> </w:t>
      </w:r>
    </w:p>
    <w:p w:rsidR="00583D6A" w:rsidRPr="00DD33A6" w:rsidRDefault="00DD33A6" w:rsidP="00AA0F69">
      <w:pPr>
        <w:spacing w:line="360" w:lineRule="auto"/>
        <w:rPr>
          <w:lang w:val="en-US"/>
        </w:rPr>
      </w:pPr>
      <w:r>
        <w:rPr>
          <w:lang w:val="en-US"/>
        </w:rPr>
        <w:t xml:space="preserve">A review of relevant literature, connected to the topic of interest, indicates that there may be an academic vacuum in studies of crisis communication, concerning the significance and implication of CSR discourse within an organization’s crisis communication. This theoretical observation will be elucidated </w:t>
      </w:r>
      <w:r w:rsidR="00096CFA">
        <w:rPr>
          <w:lang w:val="en-US"/>
        </w:rPr>
        <w:t xml:space="preserve">later in a literature review </w:t>
      </w:r>
      <w:r>
        <w:rPr>
          <w:lang w:val="en-US"/>
        </w:rPr>
        <w:t>(Chapter 3)</w:t>
      </w:r>
      <w:r w:rsidR="008E586A">
        <w:rPr>
          <w:lang w:val="en-US"/>
        </w:rPr>
        <w:t>.</w:t>
      </w:r>
      <w:r>
        <w:rPr>
          <w:lang w:val="en-US"/>
        </w:rPr>
        <w:t xml:space="preserve"> Considering </w:t>
      </w:r>
      <w:r w:rsidR="00096CFA">
        <w:rPr>
          <w:lang w:val="en-US"/>
        </w:rPr>
        <w:t>a reputational</w:t>
      </w:r>
      <w:r>
        <w:rPr>
          <w:lang w:val="en-US"/>
        </w:rPr>
        <w:t xml:space="preserve"> relationship between CSR and crisis communication</w:t>
      </w:r>
      <w:r w:rsidR="007B3C24">
        <w:rPr>
          <w:lang w:val="en-US"/>
        </w:rPr>
        <w:t>, together with the circumstances of the Mozilla case, it may</w:t>
      </w:r>
      <w:r>
        <w:rPr>
          <w:lang w:val="en-US"/>
        </w:rPr>
        <w:t xml:space="preserve"> </w:t>
      </w:r>
      <w:r>
        <w:rPr>
          <w:lang w:val="en-US"/>
        </w:rPr>
        <w:lastRenderedPageBreak/>
        <w:t xml:space="preserve">therefore </w:t>
      </w:r>
      <w:r w:rsidR="007B3C24">
        <w:rPr>
          <w:lang w:val="en-US"/>
        </w:rPr>
        <w:t xml:space="preserve">be </w:t>
      </w:r>
      <w:r>
        <w:rPr>
          <w:lang w:val="en-US"/>
        </w:rPr>
        <w:t xml:space="preserve">of great interest to examine this relationship on a discursive level, </w:t>
      </w:r>
      <w:r w:rsidR="007E495F">
        <w:rPr>
          <w:lang w:val="en-US"/>
        </w:rPr>
        <w:t xml:space="preserve">possibly enabled through </w:t>
      </w:r>
      <w:r w:rsidR="007B3C24">
        <w:rPr>
          <w:lang w:val="en-US"/>
        </w:rPr>
        <w:t>theories of crisis communication and discourse (</w:t>
      </w:r>
      <w:r w:rsidR="007B0210">
        <w:rPr>
          <w:lang w:val="en-US"/>
        </w:rPr>
        <w:t>2.4.1</w:t>
      </w:r>
      <w:r w:rsidR="007B3C24">
        <w:rPr>
          <w:lang w:val="en-US"/>
        </w:rPr>
        <w:t>).</w:t>
      </w:r>
    </w:p>
    <w:p w:rsidR="00583D6A" w:rsidRPr="00A802F3" w:rsidRDefault="00583D6A" w:rsidP="00337119">
      <w:pPr>
        <w:pStyle w:val="Overskrift2"/>
        <w:spacing w:line="360" w:lineRule="auto"/>
        <w:rPr>
          <w:lang w:val="en-US"/>
        </w:rPr>
      </w:pPr>
      <w:bookmarkStart w:id="7" w:name="_Toc420075802"/>
      <w:bookmarkStart w:id="8" w:name="_Toc420761611"/>
      <w:r>
        <w:rPr>
          <w:lang w:val="en-US"/>
        </w:rPr>
        <w:t>1.</w:t>
      </w:r>
      <w:r w:rsidR="0054509B">
        <w:rPr>
          <w:lang w:val="en-US"/>
        </w:rPr>
        <w:t>2</w:t>
      </w:r>
      <w:r>
        <w:rPr>
          <w:lang w:val="en-US"/>
        </w:rPr>
        <w:t xml:space="preserve"> Problem Statement</w:t>
      </w:r>
      <w:bookmarkEnd w:id="7"/>
      <w:bookmarkEnd w:id="8"/>
    </w:p>
    <w:p w:rsidR="00583D6A" w:rsidRPr="00A802F3" w:rsidRDefault="00583D6A" w:rsidP="00337119">
      <w:pPr>
        <w:spacing w:line="360" w:lineRule="auto"/>
        <w:rPr>
          <w:rFonts w:cs="Times New Roman"/>
          <w:szCs w:val="24"/>
          <w:lang w:val="en-US"/>
        </w:rPr>
      </w:pPr>
      <w:r w:rsidRPr="00A802F3">
        <w:rPr>
          <w:rFonts w:cs="Times New Roman"/>
          <w:szCs w:val="24"/>
          <w:lang w:val="en-US"/>
        </w:rPr>
        <w:t>The outcome of the Mozilla crisis opens up questions about the influential nature of CSR discourse, when it becomes a significant part of a</w:t>
      </w:r>
      <w:r>
        <w:rPr>
          <w:rFonts w:cs="Times New Roman"/>
          <w:szCs w:val="24"/>
          <w:lang w:val="en-US"/>
        </w:rPr>
        <w:t>n</w:t>
      </w:r>
      <w:r w:rsidRPr="00A802F3">
        <w:rPr>
          <w:rFonts w:cs="Times New Roman"/>
          <w:szCs w:val="24"/>
          <w:lang w:val="en-US"/>
        </w:rPr>
        <w:t xml:space="preserve"> </w:t>
      </w:r>
      <w:r>
        <w:rPr>
          <w:rFonts w:cs="Times New Roman"/>
          <w:szCs w:val="24"/>
          <w:lang w:val="en-US"/>
        </w:rPr>
        <w:t>organization</w:t>
      </w:r>
      <w:r w:rsidRPr="00A802F3">
        <w:rPr>
          <w:rFonts w:cs="Times New Roman"/>
          <w:szCs w:val="24"/>
          <w:lang w:val="en-US"/>
        </w:rPr>
        <w:t>’s crisis communication. From the theoretical perspective of an interrelationship between CSR and crisis communication</w:t>
      </w:r>
      <w:r>
        <w:rPr>
          <w:rFonts w:cs="Times New Roman"/>
          <w:szCs w:val="24"/>
          <w:lang w:val="en-US"/>
        </w:rPr>
        <w:t>, with no research directed at the discursive level</w:t>
      </w:r>
      <w:r w:rsidR="003571B8">
        <w:rPr>
          <w:rFonts w:cs="Times New Roman"/>
          <w:szCs w:val="24"/>
          <w:lang w:val="en-US"/>
        </w:rPr>
        <w:t xml:space="preserve"> (3.3)</w:t>
      </w:r>
      <w:r w:rsidRPr="00A802F3">
        <w:rPr>
          <w:rFonts w:cs="Times New Roman"/>
          <w:szCs w:val="24"/>
          <w:lang w:val="en-US"/>
        </w:rPr>
        <w:t xml:space="preserve">, it could </w:t>
      </w:r>
      <w:r>
        <w:rPr>
          <w:rFonts w:cs="Times New Roman"/>
          <w:szCs w:val="24"/>
          <w:lang w:val="en-US"/>
        </w:rPr>
        <w:t xml:space="preserve">therefore </w:t>
      </w:r>
      <w:r w:rsidRPr="00A802F3">
        <w:rPr>
          <w:rFonts w:cs="Times New Roman"/>
          <w:szCs w:val="24"/>
          <w:lang w:val="en-US"/>
        </w:rPr>
        <w:t xml:space="preserve">be of interest to critically examine the </w:t>
      </w:r>
      <w:r>
        <w:rPr>
          <w:rFonts w:cs="Times New Roman"/>
          <w:szCs w:val="24"/>
          <w:lang w:val="en-US"/>
        </w:rPr>
        <w:t xml:space="preserve">CSR </w:t>
      </w:r>
      <w:r w:rsidRPr="00A802F3">
        <w:rPr>
          <w:rFonts w:cs="Times New Roman"/>
          <w:szCs w:val="24"/>
          <w:lang w:val="en-US"/>
        </w:rPr>
        <w:t xml:space="preserve">discourse used </w:t>
      </w:r>
      <w:r>
        <w:rPr>
          <w:rFonts w:cs="Times New Roman"/>
          <w:szCs w:val="24"/>
          <w:lang w:val="en-US"/>
        </w:rPr>
        <w:t>in the case of Mozilla – so</w:t>
      </w:r>
      <w:r w:rsidRPr="00A802F3">
        <w:rPr>
          <w:rFonts w:cs="Times New Roman"/>
          <w:szCs w:val="24"/>
          <w:lang w:val="en-US"/>
        </w:rPr>
        <w:t xml:space="preserve"> as to seek an explanation of the outcome of </w:t>
      </w:r>
      <w:r>
        <w:rPr>
          <w:rFonts w:cs="Times New Roman"/>
          <w:szCs w:val="24"/>
          <w:lang w:val="en-US"/>
        </w:rPr>
        <w:t>its</w:t>
      </w:r>
      <w:r w:rsidRPr="00A802F3">
        <w:rPr>
          <w:rFonts w:cs="Times New Roman"/>
          <w:szCs w:val="24"/>
          <w:lang w:val="en-US"/>
        </w:rPr>
        <w:t xml:space="preserve"> crisis communication practiced. The main interests </w:t>
      </w:r>
      <w:r>
        <w:rPr>
          <w:rFonts w:cs="Times New Roman"/>
          <w:szCs w:val="24"/>
          <w:lang w:val="en-US"/>
        </w:rPr>
        <w:t>are</w:t>
      </w:r>
      <w:r w:rsidRPr="00A802F3">
        <w:rPr>
          <w:rFonts w:cs="Times New Roman"/>
          <w:szCs w:val="24"/>
          <w:lang w:val="en-US"/>
        </w:rPr>
        <w:t xml:space="preserve"> to analyze the crisis situation in view of the crisis communication strategies used by Mozilla</w:t>
      </w:r>
      <w:r>
        <w:rPr>
          <w:rFonts w:cs="Times New Roman"/>
          <w:szCs w:val="24"/>
          <w:lang w:val="en-US"/>
        </w:rPr>
        <w:t>,</w:t>
      </w:r>
      <w:r w:rsidRPr="00A802F3">
        <w:rPr>
          <w:rFonts w:cs="Times New Roman"/>
          <w:szCs w:val="24"/>
          <w:lang w:val="en-US"/>
        </w:rPr>
        <w:t xml:space="preserve"> and to discuss them in contrast with the CSR discourse within the communication. Therefore, the purpose is to study </w:t>
      </w:r>
      <w:r>
        <w:rPr>
          <w:rFonts w:cs="Times New Roman"/>
          <w:szCs w:val="24"/>
          <w:lang w:val="en-US"/>
        </w:rPr>
        <w:t xml:space="preserve">relevant </w:t>
      </w:r>
      <w:r w:rsidRPr="00A802F3">
        <w:rPr>
          <w:rFonts w:cs="Times New Roman"/>
          <w:szCs w:val="24"/>
          <w:lang w:val="en-US"/>
        </w:rPr>
        <w:t>discursive</w:t>
      </w:r>
      <w:r>
        <w:rPr>
          <w:rFonts w:cs="Times New Roman"/>
          <w:szCs w:val="24"/>
          <w:lang w:val="en-US"/>
        </w:rPr>
        <w:t xml:space="preserve"> elements arising</w:t>
      </w:r>
      <w:r w:rsidRPr="00A802F3">
        <w:rPr>
          <w:rFonts w:cs="Times New Roman"/>
          <w:szCs w:val="24"/>
          <w:lang w:val="en-US"/>
        </w:rPr>
        <w:t xml:space="preserve"> between CSR discourse and crisis communication, where point of entry will be to examine the potential occurrence of discursive misalignments between those two parameters.</w:t>
      </w:r>
    </w:p>
    <w:p w:rsidR="00583D6A" w:rsidRPr="00A802F3" w:rsidRDefault="00CF205E" w:rsidP="00337119">
      <w:pPr>
        <w:spacing w:line="360" w:lineRule="auto"/>
        <w:rPr>
          <w:rFonts w:cs="Times New Roman"/>
          <w:szCs w:val="24"/>
          <w:lang w:val="en-US"/>
        </w:rPr>
      </w:pPr>
      <w:r>
        <w:rPr>
          <w:rFonts w:cs="Times New Roman"/>
          <w:szCs w:val="24"/>
          <w:lang w:val="en-US"/>
        </w:rPr>
        <w:t>Accordingly, the</w:t>
      </w:r>
      <w:r w:rsidR="00583D6A" w:rsidRPr="00A802F3">
        <w:rPr>
          <w:rFonts w:cs="Times New Roman"/>
          <w:szCs w:val="24"/>
          <w:lang w:val="en-US"/>
        </w:rPr>
        <w:t xml:space="preserve"> study seeks to examine: </w:t>
      </w:r>
    </w:p>
    <w:p w:rsidR="00583D6A" w:rsidRPr="00A802F3" w:rsidRDefault="00583D6A" w:rsidP="00337119">
      <w:pPr>
        <w:spacing w:line="360" w:lineRule="auto"/>
        <w:rPr>
          <w:rFonts w:cs="Times New Roman"/>
          <w:b/>
          <w:szCs w:val="24"/>
          <w:lang w:val="en-US"/>
        </w:rPr>
      </w:pPr>
      <w:r w:rsidRPr="00A802F3">
        <w:rPr>
          <w:rFonts w:cs="Times New Roman"/>
          <w:b/>
          <w:szCs w:val="24"/>
          <w:lang w:val="en-US"/>
        </w:rPr>
        <w:t xml:space="preserve">To what extent discursive misalignments between </w:t>
      </w:r>
      <w:r>
        <w:rPr>
          <w:rFonts w:cs="Times New Roman"/>
          <w:b/>
          <w:szCs w:val="24"/>
          <w:lang w:val="en-US"/>
        </w:rPr>
        <w:t xml:space="preserve">Mozilla’s use of </w:t>
      </w:r>
      <w:r w:rsidRPr="00A802F3">
        <w:rPr>
          <w:rFonts w:cs="Times New Roman"/>
          <w:b/>
          <w:szCs w:val="24"/>
          <w:lang w:val="en-US"/>
        </w:rPr>
        <w:t xml:space="preserve">CSR discourse and </w:t>
      </w:r>
      <w:r>
        <w:rPr>
          <w:rFonts w:cs="Times New Roman"/>
          <w:b/>
          <w:szCs w:val="24"/>
          <w:lang w:val="en-US"/>
        </w:rPr>
        <w:t xml:space="preserve">its overall </w:t>
      </w:r>
      <w:r w:rsidRPr="00A802F3">
        <w:rPr>
          <w:rFonts w:cs="Times New Roman"/>
          <w:b/>
          <w:szCs w:val="24"/>
          <w:lang w:val="en-US"/>
        </w:rPr>
        <w:t xml:space="preserve">crisis communication can explain the outcome of </w:t>
      </w:r>
      <w:r>
        <w:rPr>
          <w:rFonts w:cs="Times New Roman"/>
          <w:b/>
          <w:szCs w:val="24"/>
          <w:lang w:val="en-US"/>
        </w:rPr>
        <w:t>the</w:t>
      </w:r>
      <w:r w:rsidRPr="00A802F3">
        <w:rPr>
          <w:rFonts w:cs="Times New Roman"/>
          <w:b/>
          <w:szCs w:val="24"/>
          <w:lang w:val="en-US"/>
        </w:rPr>
        <w:t xml:space="preserve"> crisis?</w:t>
      </w:r>
    </w:p>
    <w:p w:rsidR="00583D6A" w:rsidRPr="00A802F3" w:rsidRDefault="00583D6A" w:rsidP="00337119">
      <w:pPr>
        <w:pStyle w:val="Listeafsnit"/>
        <w:numPr>
          <w:ilvl w:val="0"/>
          <w:numId w:val="1"/>
        </w:numPr>
        <w:spacing w:line="360" w:lineRule="auto"/>
        <w:rPr>
          <w:rFonts w:cs="Times New Roman"/>
          <w:b/>
          <w:szCs w:val="24"/>
          <w:lang w:val="en-US"/>
        </w:rPr>
      </w:pPr>
      <w:r>
        <w:rPr>
          <w:rFonts w:cs="Times New Roman"/>
          <w:b/>
          <w:szCs w:val="24"/>
          <w:lang w:val="en-US"/>
        </w:rPr>
        <w:t>How do</w:t>
      </w:r>
      <w:r w:rsidR="00344E8D">
        <w:rPr>
          <w:rFonts w:cs="Times New Roman"/>
          <w:b/>
          <w:szCs w:val="24"/>
          <w:lang w:val="en-US"/>
        </w:rPr>
        <w:t xml:space="preserve"> </w:t>
      </w:r>
      <w:r w:rsidRPr="00A802F3">
        <w:rPr>
          <w:rFonts w:cs="Times New Roman"/>
          <w:b/>
          <w:szCs w:val="24"/>
          <w:lang w:val="en-US"/>
        </w:rPr>
        <w:t>CSR-related discursive misalignments arise in Mozilla’s crisis communication?</w:t>
      </w:r>
    </w:p>
    <w:p w:rsidR="00583D6A" w:rsidRPr="00A61613" w:rsidRDefault="00583D6A" w:rsidP="00337119">
      <w:pPr>
        <w:pStyle w:val="Listeafsnit"/>
        <w:numPr>
          <w:ilvl w:val="0"/>
          <w:numId w:val="1"/>
        </w:numPr>
        <w:spacing w:line="360" w:lineRule="auto"/>
        <w:rPr>
          <w:rFonts w:cs="Times New Roman"/>
          <w:b/>
          <w:szCs w:val="24"/>
          <w:lang w:val="en-US"/>
        </w:rPr>
      </w:pPr>
      <w:r>
        <w:rPr>
          <w:rFonts w:cs="Times New Roman"/>
          <w:b/>
          <w:szCs w:val="24"/>
          <w:lang w:val="en-US"/>
        </w:rPr>
        <w:t>How may</w:t>
      </w:r>
      <w:r w:rsidRPr="00A802F3">
        <w:rPr>
          <w:rFonts w:cs="Times New Roman"/>
          <w:b/>
          <w:szCs w:val="24"/>
          <w:lang w:val="en-US"/>
        </w:rPr>
        <w:t xml:space="preserve"> discursive misalignments between CSR and crisis communication</w:t>
      </w:r>
      <w:r>
        <w:rPr>
          <w:rFonts w:cs="Times New Roman"/>
          <w:b/>
          <w:szCs w:val="24"/>
          <w:lang w:val="en-US"/>
        </w:rPr>
        <w:t xml:space="preserve"> in the Mozilla case contribute to</w:t>
      </w:r>
      <w:r w:rsidRPr="00A802F3">
        <w:rPr>
          <w:rFonts w:cs="Times New Roman"/>
          <w:b/>
          <w:szCs w:val="24"/>
          <w:lang w:val="en-US"/>
        </w:rPr>
        <w:t xml:space="preserve"> crisis communication theory? </w:t>
      </w:r>
    </w:p>
    <w:p w:rsidR="00583D6A" w:rsidRPr="00CF717B" w:rsidRDefault="00583D6A" w:rsidP="00337119">
      <w:pPr>
        <w:spacing w:line="360" w:lineRule="auto"/>
        <w:rPr>
          <w:lang w:val="en-US"/>
        </w:rPr>
      </w:pPr>
    </w:p>
    <w:p w:rsidR="00583D6A" w:rsidRDefault="00583D6A" w:rsidP="00337119">
      <w:pPr>
        <w:rPr>
          <w:rFonts w:eastAsiaTheme="majorEastAsia" w:cstheme="majorBidi"/>
          <w:b/>
          <w:bCs/>
          <w:color w:val="000000" w:themeColor="text1"/>
          <w:spacing w:val="5"/>
          <w:kern w:val="28"/>
          <w:sz w:val="32"/>
          <w:szCs w:val="28"/>
          <w:lang w:val="en-US"/>
        </w:rPr>
      </w:pPr>
      <w:r>
        <w:rPr>
          <w:lang w:val="en-US"/>
        </w:rPr>
        <w:br w:type="page"/>
      </w:r>
    </w:p>
    <w:p w:rsidR="00CB00D0" w:rsidRDefault="00AB7E06" w:rsidP="00337119">
      <w:pPr>
        <w:pStyle w:val="Overskrift1"/>
        <w:pBdr>
          <w:bottom w:val="single" w:sz="4" w:space="1" w:color="auto"/>
        </w:pBdr>
        <w:spacing w:line="360" w:lineRule="auto"/>
        <w:rPr>
          <w:lang w:val="en-US"/>
        </w:rPr>
      </w:pPr>
      <w:bookmarkStart w:id="9" w:name="_Toc420075803"/>
      <w:bookmarkStart w:id="10" w:name="_Toc420761612"/>
      <w:r>
        <w:rPr>
          <w:lang w:val="en-US"/>
        </w:rPr>
        <w:lastRenderedPageBreak/>
        <w:t>2</w:t>
      </w:r>
      <w:r w:rsidR="00060F0E">
        <w:rPr>
          <w:lang w:val="en-US"/>
        </w:rPr>
        <w:t>.</w:t>
      </w:r>
      <w:r>
        <w:rPr>
          <w:lang w:val="en-US"/>
        </w:rPr>
        <w:t xml:space="preserve"> </w:t>
      </w:r>
      <w:r w:rsidR="00B534E5" w:rsidRPr="00B534E5">
        <w:rPr>
          <w:lang w:val="en-US"/>
        </w:rPr>
        <w:t>Methodology</w:t>
      </w:r>
      <w:bookmarkEnd w:id="9"/>
      <w:bookmarkEnd w:id="10"/>
      <w:r w:rsidR="00B534E5" w:rsidRPr="00B534E5">
        <w:rPr>
          <w:lang w:val="en-US"/>
        </w:rPr>
        <w:t xml:space="preserve"> </w:t>
      </w:r>
    </w:p>
    <w:p w:rsidR="00B534E5" w:rsidRDefault="00B534E5" w:rsidP="00337119">
      <w:pPr>
        <w:spacing w:line="360" w:lineRule="auto"/>
        <w:rPr>
          <w:lang w:val="en-US"/>
        </w:rPr>
      </w:pPr>
      <w:r>
        <w:rPr>
          <w:lang w:val="en-US"/>
        </w:rPr>
        <w:t>The methodology chapter will outline the scientific approaches u</w:t>
      </w:r>
      <w:r w:rsidR="003C5D89">
        <w:rPr>
          <w:lang w:val="en-US"/>
        </w:rPr>
        <w:t xml:space="preserve">sed </w:t>
      </w:r>
      <w:r>
        <w:rPr>
          <w:lang w:val="en-US"/>
        </w:rPr>
        <w:t>in order to accommodate the research area of this study. Building on Theory of Science, significant methodical aspects with a hermeneutic focus point will be introduced, explained and placed in relevance to the scope of the study.</w:t>
      </w:r>
      <w:r w:rsidR="008D54C4">
        <w:rPr>
          <w:lang w:val="en-US"/>
        </w:rPr>
        <w:t xml:space="preserve"> Moreover, the study design and the specifications of the empirical data collection will</w:t>
      </w:r>
      <w:r>
        <w:rPr>
          <w:lang w:val="en-US"/>
        </w:rPr>
        <w:t xml:space="preserve"> </w:t>
      </w:r>
      <w:r w:rsidR="00E523FA">
        <w:rPr>
          <w:lang w:val="en-US"/>
        </w:rPr>
        <w:t xml:space="preserve">be </w:t>
      </w:r>
      <w:r w:rsidR="008D54C4">
        <w:rPr>
          <w:lang w:val="en-US"/>
        </w:rPr>
        <w:t>addressed as well.</w:t>
      </w:r>
      <w:r>
        <w:rPr>
          <w:lang w:val="en-US"/>
        </w:rPr>
        <w:t xml:space="preserve">  </w:t>
      </w:r>
    </w:p>
    <w:p w:rsidR="008D54C4" w:rsidRPr="00B534E5" w:rsidRDefault="00AB7E06" w:rsidP="00337119">
      <w:pPr>
        <w:pStyle w:val="Overskrift2"/>
        <w:spacing w:line="360" w:lineRule="auto"/>
        <w:rPr>
          <w:lang w:val="en-US"/>
        </w:rPr>
      </w:pPr>
      <w:bookmarkStart w:id="11" w:name="_Toc420075804"/>
      <w:bookmarkStart w:id="12" w:name="_Toc420761613"/>
      <w:r>
        <w:rPr>
          <w:lang w:val="en-US"/>
        </w:rPr>
        <w:t xml:space="preserve">2.1 </w:t>
      </w:r>
      <w:r w:rsidR="003C5D89">
        <w:rPr>
          <w:lang w:val="en-US"/>
        </w:rPr>
        <w:t>Scientific Approach</w:t>
      </w:r>
      <w:bookmarkEnd w:id="11"/>
      <w:bookmarkEnd w:id="12"/>
    </w:p>
    <w:p w:rsidR="00B534E5" w:rsidRDefault="007C7219" w:rsidP="00337119">
      <w:pPr>
        <w:spacing w:line="360" w:lineRule="auto"/>
        <w:rPr>
          <w:lang w:val="en-US"/>
        </w:rPr>
      </w:pPr>
      <w:r>
        <w:rPr>
          <w:lang w:val="en-US"/>
        </w:rPr>
        <w:t xml:space="preserve">The exploitation and elucidation of methodological procedures can be said to have the overall goal of providing tools to generate optimal knowledge surrounding a specific research area – so as to </w:t>
      </w:r>
      <w:r w:rsidR="00DE646B">
        <w:rPr>
          <w:lang w:val="en-US"/>
        </w:rPr>
        <w:t xml:space="preserve">validate a hypothesis set in that area. </w:t>
      </w:r>
      <w:r w:rsidR="009B5911">
        <w:rPr>
          <w:lang w:val="en-US"/>
        </w:rPr>
        <w:t xml:space="preserve">Accordingly, to gain knowledge is the ultimate purpose behind setting up scientific procedures, which </w:t>
      </w:r>
      <w:r w:rsidR="00784BF4">
        <w:rPr>
          <w:lang w:val="en-US"/>
        </w:rPr>
        <w:t>may be</w:t>
      </w:r>
      <w:r w:rsidR="009B5911">
        <w:rPr>
          <w:lang w:val="en-US"/>
        </w:rPr>
        <w:t xml:space="preserve"> facilitated </w:t>
      </w:r>
      <w:r w:rsidR="00897CDA">
        <w:rPr>
          <w:lang w:val="en-US"/>
        </w:rPr>
        <w:t xml:space="preserve">on the basis of </w:t>
      </w:r>
      <w:r w:rsidR="009B5911">
        <w:rPr>
          <w:lang w:val="en-US"/>
        </w:rPr>
        <w:t>two primary philosophical</w:t>
      </w:r>
      <w:r w:rsidR="00897CDA">
        <w:rPr>
          <w:lang w:val="en-US"/>
        </w:rPr>
        <w:t xml:space="preserve"> stances: the </w:t>
      </w:r>
      <w:r w:rsidR="00897CDA">
        <w:rPr>
          <w:i/>
          <w:lang w:val="en-US"/>
        </w:rPr>
        <w:t xml:space="preserve">positivist </w:t>
      </w:r>
      <w:r w:rsidR="00897CDA">
        <w:rPr>
          <w:lang w:val="en-US"/>
        </w:rPr>
        <w:t xml:space="preserve">and </w:t>
      </w:r>
      <w:r w:rsidR="00390660">
        <w:rPr>
          <w:i/>
          <w:lang w:val="en-US"/>
        </w:rPr>
        <w:t>interpretive</w:t>
      </w:r>
      <w:r w:rsidR="00897CDA">
        <w:rPr>
          <w:i/>
          <w:lang w:val="en-US"/>
        </w:rPr>
        <w:t xml:space="preserve"> </w:t>
      </w:r>
      <w:r w:rsidR="00897CDA">
        <w:rPr>
          <w:lang w:val="en-US"/>
        </w:rPr>
        <w:t>approach</w:t>
      </w:r>
      <w:sdt>
        <w:sdtPr>
          <w:rPr>
            <w:lang w:val="en-US"/>
          </w:rPr>
          <w:id w:val="-2024075891"/>
          <w:citation/>
        </w:sdtPr>
        <w:sdtContent>
          <w:r w:rsidR="00897CDA">
            <w:rPr>
              <w:lang w:val="en-US"/>
            </w:rPr>
            <w:fldChar w:fldCharType="begin"/>
          </w:r>
          <w:r w:rsidR="00F44044">
            <w:rPr>
              <w:lang w:val="en-US"/>
            </w:rPr>
            <w:instrText xml:space="preserve">CITATION Ala08 \p 13 \t  \l 1030 </w:instrText>
          </w:r>
          <w:r w:rsidR="00897CDA">
            <w:rPr>
              <w:lang w:val="en-US"/>
            </w:rPr>
            <w:fldChar w:fldCharType="separate"/>
          </w:r>
          <w:r w:rsidR="00F623D4">
            <w:rPr>
              <w:noProof/>
              <w:lang w:val="en-US"/>
            </w:rPr>
            <w:t xml:space="preserve"> (Bryman 2008, 13)</w:t>
          </w:r>
          <w:r w:rsidR="00897CDA">
            <w:rPr>
              <w:lang w:val="en-US"/>
            </w:rPr>
            <w:fldChar w:fldCharType="end"/>
          </w:r>
        </w:sdtContent>
      </w:sdt>
      <w:r w:rsidR="00897CDA">
        <w:rPr>
          <w:lang w:val="en-US"/>
        </w:rPr>
        <w:t xml:space="preserve">. </w:t>
      </w:r>
      <w:r w:rsidR="0025344B">
        <w:rPr>
          <w:lang w:val="en-US"/>
        </w:rPr>
        <w:t xml:space="preserve">These two approaches </w:t>
      </w:r>
      <w:r w:rsidR="00940147">
        <w:rPr>
          <w:lang w:val="en-US"/>
        </w:rPr>
        <w:t xml:space="preserve">each signifies a paradigm </w:t>
      </w:r>
      <w:r w:rsidR="00774D8B">
        <w:rPr>
          <w:lang w:val="en-US"/>
        </w:rPr>
        <w:t>(Ibid: 13)</w:t>
      </w:r>
      <w:r w:rsidR="00506D40">
        <w:rPr>
          <w:lang w:val="en-US"/>
        </w:rPr>
        <w:t xml:space="preserve">, which </w:t>
      </w:r>
      <w:r w:rsidR="0025344B">
        <w:rPr>
          <w:lang w:val="en-US"/>
        </w:rPr>
        <w:t>are separated in terms of various m</w:t>
      </w:r>
      <w:r w:rsidR="0025344B" w:rsidRPr="0025344B">
        <w:rPr>
          <w:lang w:val="en-US"/>
        </w:rPr>
        <w:t>eta</w:t>
      </w:r>
      <w:r w:rsidR="0025344B">
        <w:rPr>
          <w:lang w:val="en-US"/>
        </w:rPr>
        <w:t>-</w:t>
      </w:r>
      <w:r w:rsidR="0025344B" w:rsidRPr="0025344B">
        <w:rPr>
          <w:lang w:val="en-US"/>
        </w:rPr>
        <w:t>theoretical</w:t>
      </w:r>
      <w:r w:rsidR="0025344B">
        <w:rPr>
          <w:lang w:val="en-US"/>
        </w:rPr>
        <w:t xml:space="preserve"> assumptions, mainly concerning ontology (nature of reality) and epistemology (nature of knowledge). At a</w:t>
      </w:r>
      <w:r w:rsidR="00506D40">
        <w:rPr>
          <w:lang w:val="en-US"/>
        </w:rPr>
        <w:t>n</w:t>
      </w:r>
      <w:r w:rsidR="0025344B">
        <w:rPr>
          <w:lang w:val="en-US"/>
        </w:rPr>
        <w:t xml:space="preserve"> ontological</w:t>
      </w:r>
      <w:r w:rsidR="00C96B24">
        <w:rPr>
          <w:lang w:val="en-US"/>
        </w:rPr>
        <w:t xml:space="preserve"> level, the positivist approach entails a</w:t>
      </w:r>
      <w:r w:rsidR="0025344B">
        <w:rPr>
          <w:lang w:val="en-US"/>
        </w:rPr>
        <w:t xml:space="preserve"> </w:t>
      </w:r>
      <w:r w:rsidR="00C96B24">
        <w:rPr>
          <w:lang w:val="en-US"/>
        </w:rPr>
        <w:t>perception of</w:t>
      </w:r>
      <w:r w:rsidR="0073689E">
        <w:rPr>
          <w:lang w:val="en-US"/>
        </w:rPr>
        <w:t xml:space="preserve"> reality in terms of an objective world, separated from subjective experiences</w:t>
      </w:r>
      <w:r w:rsidR="00940147">
        <w:rPr>
          <w:lang w:val="en-US"/>
        </w:rPr>
        <w:t xml:space="preserve">. </w:t>
      </w:r>
      <w:r w:rsidR="00C96B24">
        <w:rPr>
          <w:lang w:val="en-US"/>
        </w:rPr>
        <w:t xml:space="preserve">Conversely, </w:t>
      </w:r>
      <w:proofErr w:type="spellStart"/>
      <w:r w:rsidR="004E6746">
        <w:rPr>
          <w:lang w:val="en-US"/>
        </w:rPr>
        <w:t>interpretivism</w:t>
      </w:r>
      <w:proofErr w:type="spellEnd"/>
      <w:r w:rsidR="004E6746">
        <w:rPr>
          <w:lang w:val="en-US"/>
        </w:rPr>
        <w:t xml:space="preserve"> entails the perception of a world</w:t>
      </w:r>
      <w:r w:rsidR="00774D8B">
        <w:rPr>
          <w:lang w:val="en-US"/>
        </w:rPr>
        <w:t xml:space="preserve"> dependent upon how it is subjectively experienced and perceived through human interpretations</w:t>
      </w:r>
      <w:sdt>
        <w:sdtPr>
          <w:rPr>
            <w:lang w:val="en-US"/>
          </w:rPr>
          <w:id w:val="1516579945"/>
          <w:citation/>
        </w:sdtPr>
        <w:sdtContent>
          <w:r w:rsidR="00774D8B">
            <w:rPr>
              <w:lang w:val="en-US"/>
            </w:rPr>
            <w:fldChar w:fldCharType="begin"/>
          </w:r>
          <w:r w:rsidR="00774D8B">
            <w:rPr>
              <w:lang w:val="en-US"/>
            </w:rPr>
            <w:instrText xml:space="preserve">CITATION Ste04 \p 5 \l 1030 </w:instrText>
          </w:r>
          <w:r w:rsidR="00774D8B">
            <w:rPr>
              <w:lang w:val="en-US"/>
            </w:rPr>
            <w:fldChar w:fldCharType="separate"/>
          </w:r>
          <w:r w:rsidR="00F623D4">
            <w:rPr>
              <w:noProof/>
              <w:lang w:val="en-US"/>
            </w:rPr>
            <w:t xml:space="preserve"> (Weber 2004, 5)</w:t>
          </w:r>
          <w:r w:rsidR="00774D8B">
            <w:rPr>
              <w:lang w:val="en-US"/>
            </w:rPr>
            <w:fldChar w:fldCharType="end"/>
          </w:r>
        </w:sdtContent>
      </w:sdt>
      <w:r w:rsidR="00774D8B">
        <w:rPr>
          <w:lang w:val="en-US"/>
        </w:rPr>
        <w:t xml:space="preserve">. </w:t>
      </w:r>
      <w:r w:rsidR="00281FE2">
        <w:rPr>
          <w:lang w:val="en-US"/>
        </w:rPr>
        <w:t xml:space="preserve">When it comes to epistemology, </w:t>
      </w:r>
      <w:r w:rsidR="00156C21">
        <w:rPr>
          <w:lang w:val="en-US"/>
        </w:rPr>
        <w:t>the establishment of human</w:t>
      </w:r>
      <w:r w:rsidR="00281FE2">
        <w:rPr>
          <w:lang w:val="en-US"/>
        </w:rPr>
        <w:t xml:space="preserve"> knowledge</w:t>
      </w:r>
      <w:r w:rsidR="00C96B24">
        <w:rPr>
          <w:lang w:val="en-US"/>
        </w:rPr>
        <w:t>, from a positivist perspective, is seen</w:t>
      </w:r>
      <w:r w:rsidR="00281FE2">
        <w:rPr>
          <w:lang w:val="en-US"/>
        </w:rPr>
        <w:t xml:space="preserve"> as a reflection of a reality</w:t>
      </w:r>
      <w:r w:rsidR="00156C21">
        <w:rPr>
          <w:lang w:val="en-US"/>
        </w:rPr>
        <w:t>, constituted by an objective and independent world</w:t>
      </w:r>
      <w:r w:rsidR="00281FE2">
        <w:rPr>
          <w:lang w:val="en-US"/>
        </w:rPr>
        <w:t xml:space="preserve">. Within </w:t>
      </w:r>
      <w:proofErr w:type="spellStart"/>
      <w:r w:rsidR="00281FE2">
        <w:rPr>
          <w:lang w:val="en-US"/>
        </w:rPr>
        <w:t>interpretivism</w:t>
      </w:r>
      <w:proofErr w:type="spellEnd"/>
      <w:r w:rsidR="00281FE2">
        <w:rPr>
          <w:lang w:val="en-US"/>
        </w:rPr>
        <w:t xml:space="preserve">, </w:t>
      </w:r>
      <w:r w:rsidR="00156C21">
        <w:rPr>
          <w:lang w:val="en-US"/>
        </w:rPr>
        <w:t xml:space="preserve">the establishment of </w:t>
      </w:r>
      <w:r w:rsidR="00281FE2">
        <w:rPr>
          <w:lang w:val="en-US"/>
        </w:rPr>
        <w:t xml:space="preserve">knowledge is seen as a social construction: it is </w:t>
      </w:r>
      <w:r w:rsidR="00156C21">
        <w:rPr>
          <w:lang w:val="en-US"/>
        </w:rPr>
        <w:t>reflected through individual culture, goals, history and experiences</w:t>
      </w:r>
      <w:r w:rsidR="005D4BFB">
        <w:rPr>
          <w:lang w:val="en-US"/>
        </w:rPr>
        <w:t xml:space="preserve"> – in the sense</w:t>
      </w:r>
      <w:r w:rsidR="00156C21">
        <w:rPr>
          <w:lang w:val="en-US"/>
        </w:rPr>
        <w:t xml:space="preserve"> that knowledge is constituted through sense-making </w:t>
      </w:r>
      <w:r w:rsidR="0089200D">
        <w:rPr>
          <w:lang w:val="en-US"/>
        </w:rPr>
        <w:t xml:space="preserve">activities </w:t>
      </w:r>
      <w:r w:rsidR="00156C21">
        <w:rPr>
          <w:lang w:val="en-US"/>
        </w:rPr>
        <w:t>within the parameter of an individual’s ‘views of the world’</w:t>
      </w:r>
      <w:r w:rsidR="00BB1270">
        <w:rPr>
          <w:lang w:val="en-US"/>
        </w:rPr>
        <w:t xml:space="preserve"> (Ibid: 6)</w:t>
      </w:r>
      <w:r w:rsidR="00156C21">
        <w:rPr>
          <w:lang w:val="en-US"/>
        </w:rPr>
        <w:t>.</w:t>
      </w:r>
      <w:r w:rsidR="000E6E0B">
        <w:rPr>
          <w:lang w:val="en-US"/>
        </w:rPr>
        <w:t xml:space="preserve"> Moreover, the positivist approach may also be referred to a quantitative research approach (focus on tangible data), where the interpretive approach is more in line with a qualitative research approach</w:t>
      </w:r>
      <w:sdt>
        <w:sdtPr>
          <w:rPr>
            <w:lang w:val="en-US"/>
          </w:rPr>
          <w:id w:val="118804442"/>
          <w:citation/>
        </w:sdtPr>
        <w:sdtContent>
          <w:r w:rsidR="00967AB0">
            <w:rPr>
              <w:lang w:val="en-US"/>
            </w:rPr>
            <w:fldChar w:fldCharType="begin"/>
          </w:r>
          <w:r w:rsidR="00FD0DD4">
            <w:rPr>
              <w:lang w:val="en-US"/>
            </w:rPr>
            <w:instrText xml:space="preserve">CITATION Ala88 \p 3 \t  \m Ann98 \p 162 \l 1030 </w:instrText>
          </w:r>
          <w:r w:rsidR="00967AB0">
            <w:rPr>
              <w:lang w:val="en-US"/>
            </w:rPr>
            <w:fldChar w:fldCharType="separate"/>
          </w:r>
          <w:r w:rsidR="00F623D4">
            <w:rPr>
              <w:noProof/>
              <w:lang w:val="en-US"/>
            </w:rPr>
            <w:t xml:space="preserve"> (Bryman 1988, 3, Lin 1998, 162)</w:t>
          </w:r>
          <w:r w:rsidR="00967AB0">
            <w:rPr>
              <w:lang w:val="en-US"/>
            </w:rPr>
            <w:fldChar w:fldCharType="end"/>
          </w:r>
        </w:sdtContent>
      </w:sdt>
      <w:r w:rsidR="000E6E0B">
        <w:rPr>
          <w:lang w:val="en-US"/>
        </w:rPr>
        <w:t xml:space="preserve">. </w:t>
      </w:r>
      <w:r w:rsidR="00281FE2">
        <w:rPr>
          <w:lang w:val="en-US"/>
        </w:rPr>
        <w:t xml:space="preserve">   </w:t>
      </w:r>
      <w:r w:rsidR="00506D40">
        <w:rPr>
          <w:lang w:val="en-US"/>
        </w:rPr>
        <w:t xml:space="preserve">   </w:t>
      </w:r>
      <w:r w:rsidR="0073689E">
        <w:rPr>
          <w:lang w:val="en-US"/>
        </w:rPr>
        <w:t xml:space="preserve">    </w:t>
      </w:r>
      <w:r w:rsidR="0025344B">
        <w:rPr>
          <w:lang w:val="en-US"/>
        </w:rPr>
        <w:t xml:space="preserve">   </w:t>
      </w:r>
      <w:r>
        <w:rPr>
          <w:lang w:val="en-US"/>
        </w:rPr>
        <w:t xml:space="preserve">   </w:t>
      </w:r>
    </w:p>
    <w:p w:rsidR="00E523FA" w:rsidRDefault="00A75D0B" w:rsidP="00337119">
      <w:pPr>
        <w:spacing w:line="360" w:lineRule="auto"/>
        <w:rPr>
          <w:lang w:val="en-US"/>
        </w:rPr>
      </w:pPr>
      <w:r>
        <w:rPr>
          <w:lang w:val="en-US"/>
        </w:rPr>
        <w:t>In light of the ontological and epistemological view</w:t>
      </w:r>
      <w:r w:rsidR="0032354A">
        <w:rPr>
          <w:lang w:val="en-US"/>
        </w:rPr>
        <w:t>s</w:t>
      </w:r>
      <w:r>
        <w:rPr>
          <w:lang w:val="en-US"/>
        </w:rPr>
        <w:t xml:space="preserve"> of the </w:t>
      </w:r>
      <w:r w:rsidR="0089200D">
        <w:rPr>
          <w:lang w:val="en-US"/>
        </w:rPr>
        <w:t xml:space="preserve">two scientific approaches, the qualitative interpretive research approach is in line with the purpose and position of this study. </w:t>
      </w:r>
      <w:r w:rsidR="00C25C18">
        <w:rPr>
          <w:lang w:val="en-US"/>
        </w:rPr>
        <w:t xml:space="preserve">With </w:t>
      </w:r>
      <w:r w:rsidR="00903005">
        <w:rPr>
          <w:lang w:val="en-US"/>
        </w:rPr>
        <w:t>a methodological focus on p</w:t>
      </w:r>
      <w:r w:rsidR="00903005" w:rsidRPr="00AA37D5">
        <w:rPr>
          <w:lang w:val="en-US"/>
        </w:rPr>
        <w:t xml:space="preserve">henomenology </w:t>
      </w:r>
      <w:r w:rsidR="00903005">
        <w:rPr>
          <w:lang w:val="en-US"/>
        </w:rPr>
        <w:t>and the hermeneutics</w:t>
      </w:r>
      <w:sdt>
        <w:sdtPr>
          <w:rPr>
            <w:lang w:val="en-US"/>
          </w:rPr>
          <w:id w:val="-1800912276"/>
          <w:citation/>
        </w:sdtPr>
        <w:sdtContent>
          <w:r w:rsidR="00903005">
            <w:rPr>
              <w:lang w:val="en-US"/>
            </w:rPr>
            <w:fldChar w:fldCharType="begin"/>
          </w:r>
          <w:r w:rsidR="00903005">
            <w:rPr>
              <w:lang w:val="en-US"/>
            </w:rPr>
            <w:instrText xml:space="preserve">CITATION Nor04 \p 509 \l 1030 </w:instrText>
          </w:r>
          <w:r w:rsidR="00903005">
            <w:rPr>
              <w:lang w:val="en-US"/>
            </w:rPr>
            <w:fldChar w:fldCharType="separate"/>
          </w:r>
          <w:r w:rsidR="00F623D4">
            <w:rPr>
              <w:noProof/>
              <w:lang w:val="en-US"/>
            </w:rPr>
            <w:t xml:space="preserve"> (Blaikie 2004, 509)</w:t>
          </w:r>
          <w:r w:rsidR="00903005">
            <w:rPr>
              <w:lang w:val="en-US"/>
            </w:rPr>
            <w:fldChar w:fldCharType="end"/>
          </w:r>
        </w:sdtContent>
      </w:sdt>
      <w:r w:rsidR="00903005">
        <w:rPr>
          <w:lang w:val="en-US"/>
        </w:rPr>
        <w:t xml:space="preserve">, </w:t>
      </w:r>
      <w:proofErr w:type="spellStart"/>
      <w:r w:rsidR="00C25C18">
        <w:rPr>
          <w:lang w:val="en-US"/>
        </w:rPr>
        <w:t>interpretivism</w:t>
      </w:r>
      <w:proofErr w:type="spellEnd"/>
      <w:r w:rsidR="00C25C18">
        <w:rPr>
          <w:lang w:val="en-US"/>
        </w:rPr>
        <w:t xml:space="preserve"> generally </w:t>
      </w:r>
      <w:r w:rsidR="003C3908">
        <w:rPr>
          <w:lang w:val="en-US"/>
        </w:rPr>
        <w:t xml:space="preserve">entails the </w:t>
      </w:r>
      <w:r w:rsidR="004E6746">
        <w:rPr>
          <w:lang w:val="en-US"/>
        </w:rPr>
        <w:t>interpretive</w:t>
      </w:r>
      <w:r w:rsidR="00C96B24">
        <w:rPr>
          <w:lang w:val="en-US"/>
        </w:rPr>
        <w:t xml:space="preserve"> examiner to aim for an understanding of relations between social properties and </w:t>
      </w:r>
      <w:r w:rsidR="00C25C18">
        <w:rPr>
          <w:lang w:val="en-US"/>
        </w:rPr>
        <w:t xml:space="preserve">individual </w:t>
      </w:r>
      <w:r w:rsidR="00C96B24">
        <w:rPr>
          <w:lang w:val="en-US"/>
        </w:rPr>
        <w:t>actions</w:t>
      </w:r>
      <w:sdt>
        <w:sdtPr>
          <w:rPr>
            <w:lang w:val="en-US"/>
          </w:rPr>
          <w:id w:val="911430695"/>
          <w:citation/>
        </w:sdtPr>
        <w:sdtContent>
          <w:r w:rsidR="00D65AE4">
            <w:rPr>
              <w:lang w:val="en-US"/>
            </w:rPr>
            <w:fldChar w:fldCharType="begin"/>
          </w:r>
          <w:r w:rsidR="00D65AE4">
            <w:rPr>
              <w:lang w:val="en-US"/>
            </w:rPr>
            <w:instrText xml:space="preserve">CITATION Ann98 \p 163 \l 1030 </w:instrText>
          </w:r>
          <w:r w:rsidR="00D65AE4">
            <w:rPr>
              <w:lang w:val="en-US"/>
            </w:rPr>
            <w:fldChar w:fldCharType="separate"/>
          </w:r>
          <w:r w:rsidR="00F623D4">
            <w:rPr>
              <w:noProof/>
              <w:lang w:val="en-US"/>
            </w:rPr>
            <w:t xml:space="preserve"> (Lin 1998, 163)</w:t>
          </w:r>
          <w:r w:rsidR="00D65AE4">
            <w:rPr>
              <w:lang w:val="en-US"/>
            </w:rPr>
            <w:fldChar w:fldCharType="end"/>
          </w:r>
        </w:sdtContent>
      </w:sdt>
      <w:r w:rsidR="00C96B24">
        <w:rPr>
          <w:lang w:val="en-US"/>
        </w:rPr>
        <w:t>.</w:t>
      </w:r>
      <w:r w:rsidR="00221823">
        <w:rPr>
          <w:lang w:val="en-US"/>
        </w:rPr>
        <w:t xml:space="preserve"> This aim corresponds with the </w:t>
      </w:r>
      <w:r w:rsidR="00221823">
        <w:rPr>
          <w:lang w:val="en-US"/>
        </w:rPr>
        <w:lastRenderedPageBreak/>
        <w:t>intention embedded within this study</w:t>
      </w:r>
      <w:r w:rsidR="000240E1">
        <w:rPr>
          <w:lang w:val="en-US"/>
        </w:rPr>
        <w:t>,</w:t>
      </w:r>
      <w:r w:rsidR="00221823">
        <w:rPr>
          <w:lang w:val="en-US"/>
        </w:rPr>
        <w:t xml:space="preserve"> in the sense</w:t>
      </w:r>
      <w:r w:rsidR="000240E1">
        <w:rPr>
          <w:lang w:val="en-US"/>
        </w:rPr>
        <w:t xml:space="preserve"> of understanding crisis communication in relation to CSR, with focus on the construction of discourses – seeing the constructed discourses as patterns of actions with social relations. More specifically, </w:t>
      </w:r>
      <w:r w:rsidR="00C77D2B">
        <w:rPr>
          <w:lang w:val="en-US"/>
        </w:rPr>
        <w:t xml:space="preserve">through inductive reasoning, </w:t>
      </w:r>
      <w:r w:rsidR="000240E1">
        <w:rPr>
          <w:lang w:val="en-US"/>
        </w:rPr>
        <w:t>this study seeks to understand and interpret the Mozilla Foundation’s discursive actions</w:t>
      </w:r>
      <w:r w:rsidR="00C97443">
        <w:rPr>
          <w:lang w:val="en-US"/>
        </w:rPr>
        <w:t>, and the consequences thereof</w:t>
      </w:r>
      <w:r w:rsidR="00E523FA">
        <w:rPr>
          <w:lang w:val="en-US"/>
        </w:rPr>
        <w:t xml:space="preserve"> (conflicting discourses)</w:t>
      </w:r>
      <w:r w:rsidR="00C97443">
        <w:rPr>
          <w:lang w:val="en-US"/>
        </w:rPr>
        <w:t>,</w:t>
      </w:r>
      <w:r w:rsidR="000240E1">
        <w:rPr>
          <w:lang w:val="en-US"/>
        </w:rPr>
        <w:t xml:space="preserve"> within the </w:t>
      </w:r>
      <w:r w:rsidR="00C97443">
        <w:rPr>
          <w:lang w:val="en-US"/>
        </w:rPr>
        <w:t>frameworks</w:t>
      </w:r>
      <w:r w:rsidR="000240E1">
        <w:rPr>
          <w:lang w:val="en-US"/>
        </w:rPr>
        <w:t xml:space="preserve"> of crisis communication</w:t>
      </w:r>
      <w:r w:rsidR="00560F56">
        <w:rPr>
          <w:lang w:val="en-US"/>
        </w:rPr>
        <w:t xml:space="preserve"> strategies</w:t>
      </w:r>
      <w:r w:rsidR="000240E1">
        <w:rPr>
          <w:lang w:val="en-US"/>
        </w:rPr>
        <w:t xml:space="preserve"> and CSR</w:t>
      </w:r>
      <w:r w:rsidR="00560F56">
        <w:rPr>
          <w:lang w:val="en-US"/>
        </w:rPr>
        <w:t xml:space="preserve"> discourse</w:t>
      </w:r>
      <w:r w:rsidR="00C97443">
        <w:rPr>
          <w:lang w:val="en-US"/>
        </w:rPr>
        <w:t>.</w:t>
      </w:r>
      <w:r w:rsidR="000240E1">
        <w:rPr>
          <w:lang w:val="en-US"/>
        </w:rPr>
        <w:t xml:space="preserve"> </w:t>
      </w:r>
      <w:r w:rsidR="00560F56">
        <w:rPr>
          <w:lang w:val="en-US"/>
        </w:rPr>
        <w:t xml:space="preserve">Consequently, the intention of the study is to understand and explore the field of crisis communication in view of </w:t>
      </w:r>
      <w:r w:rsidR="00C77D2B">
        <w:rPr>
          <w:lang w:val="en-US"/>
        </w:rPr>
        <w:t xml:space="preserve">the </w:t>
      </w:r>
      <w:r w:rsidR="00560F56">
        <w:rPr>
          <w:lang w:val="en-US"/>
        </w:rPr>
        <w:t>implementation of CSR discourse as the primary crisis response facilitator.</w:t>
      </w:r>
      <w:r w:rsidR="00C77D2B">
        <w:rPr>
          <w:lang w:val="en-US"/>
        </w:rPr>
        <w:t xml:space="preserve"> </w:t>
      </w:r>
    </w:p>
    <w:p w:rsidR="00846FE5" w:rsidRDefault="00AB7E06" w:rsidP="00337119">
      <w:pPr>
        <w:pStyle w:val="Overskrift2"/>
        <w:spacing w:line="360" w:lineRule="auto"/>
        <w:rPr>
          <w:lang w:val="en-US"/>
        </w:rPr>
      </w:pPr>
      <w:bookmarkStart w:id="13" w:name="_Toc420075805"/>
      <w:bookmarkStart w:id="14" w:name="_Toc420761614"/>
      <w:r>
        <w:rPr>
          <w:lang w:val="en-US"/>
        </w:rPr>
        <w:t xml:space="preserve">2.2 </w:t>
      </w:r>
      <w:r w:rsidR="00F22C74">
        <w:rPr>
          <w:lang w:val="en-US"/>
        </w:rPr>
        <w:t>The Hermeneutic Spiral</w:t>
      </w:r>
      <w:bookmarkEnd w:id="13"/>
      <w:bookmarkEnd w:id="14"/>
    </w:p>
    <w:p w:rsidR="00A75D0B" w:rsidRDefault="00846FE5" w:rsidP="00337119">
      <w:pPr>
        <w:spacing w:line="360" w:lineRule="auto"/>
        <w:rPr>
          <w:lang w:val="en-US"/>
        </w:rPr>
      </w:pPr>
      <w:r>
        <w:rPr>
          <w:lang w:val="en-US"/>
        </w:rPr>
        <w:t xml:space="preserve">The notion, constituting the hermeneutic spiral as a significant knowledge-generating method within </w:t>
      </w:r>
      <w:proofErr w:type="spellStart"/>
      <w:r>
        <w:rPr>
          <w:lang w:val="en-US"/>
        </w:rPr>
        <w:t>interpretivism</w:t>
      </w:r>
      <w:proofErr w:type="spellEnd"/>
      <w:r>
        <w:rPr>
          <w:lang w:val="en-US"/>
        </w:rPr>
        <w:t xml:space="preserve">, is built around the principle of a spiral circle. </w:t>
      </w:r>
      <w:r w:rsidR="00784BF4">
        <w:rPr>
          <w:lang w:val="en-US"/>
        </w:rPr>
        <w:t>Surrounding</w:t>
      </w:r>
      <w:r>
        <w:rPr>
          <w:lang w:val="en-US"/>
        </w:rPr>
        <w:t xml:space="preserve"> this principle is the </w:t>
      </w:r>
      <w:r w:rsidR="00BA2DD4">
        <w:rPr>
          <w:lang w:val="en-US"/>
        </w:rPr>
        <w:t>idea</w:t>
      </w:r>
      <w:r>
        <w:rPr>
          <w:lang w:val="en-US"/>
        </w:rPr>
        <w:t xml:space="preserve"> that </w:t>
      </w:r>
      <w:r w:rsidR="00BA2DD4">
        <w:rPr>
          <w:lang w:val="en-US"/>
        </w:rPr>
        <w:t xml:space="preserve">the comprehension of </w:t>
      </w:r>
      <w:r>
        <w:rPr>
          <w:lang w:val="en-US"/>
        </w:rPr>
        <w:t xml:space="preserve">various elements within a context or entity </w:t>
      </w:r>
      <w:r w:rsidR="00BA2DD4">
        <w:rPr>
          <w:lang w:val="en-US"/>
        </w:rPr>
        <w:t xml:space="preserve">constitutes a comprehension of that context/entity – an understanding of the bigger picture. An example could be an element (passage, sentence) within a text, where an understanding of this element could derive an understanding of the text as a whole. However, the text itself could also just be seen as an element, constituting an understanding of the author behind the text </w:t>
      </w:r>
      <w:r w:rsidR="00BA788B">
        <w:rPr>
          <w:lang w:val="en-US"/>
        </w:rPr>
        <w:t xml:space="preserve">or </w:t>
      </w:r>
      <w:r w:rsidR="00452A0F">
        <w:rPr>
          <w:lang w:val="en-US"/>
        </w:rPr>
        <w:t>its societal setting</w:t>
      </w:r>
      <w:r w:rsidR="00F03921">
        <w:rPr>
          <w:lang w:val="en-US"/>
        </w:rPr>
        <w:t xml:space="preserve"> </w:t>
      </w:r>
      <w:sdt>
        <w:sdtPr>
          <w:rPr>
            <w:lang w:val="en-US"/>
          </w:rPr>
          <w:id w:val="-2036261580"/>
          <w:citation/>
        </w:sdtPr>
        <w:sdtContent>
          <w:r w:rsidR="006C327E">
            <w:rPr>
              <w:lang w:val="en-US"/>
            </w:rPr>
            <w:fldChar w:fldCharType="begin"/>
          </w:r>
          <w:r w:rsidR="006C327E">
            <w:rPr>
              <w:lang w:val="en-US"/>
            </w:rPr>
            <w:instrText xml:space="preserve">CITATION Mog03 \p 147 \l 1030 </w:instrText>
          </w:r>
          <w:r w:rsidR="006C327E">
            <w:rPr>
              <w:lang w:val="en-US"/>
            </w:rPr>
            <w:fldChar w:fldCharType="separate"/>
          </w:r>
          <w:r w:rsidR="00F623D4">
            <w:rPr>
              <w:noProof/>
              <w:lang w:val="en-US"/>
            </w:rPr>
            <w:t>(Pahuus 2003, 147)</w:t>
          </w:r>
          <w:r w:rsidR="006C327E">
            <w:rPr>
              <w:lang w:val="en-US"/>
            </w:rPr>
            <w:fldChar w:fldCharType="end"/>
          </w:r>
        </w:sdtContent>
      </w:sdt>
      <w:r w:rsidR="00BA2DD4">
        <w:rPr>
          <w:lang w:val="en-US"/>
        </w:rPr>
        <w:t>. The principle of the spiral circle comes into play in the sense that one must go back and forth between</w:t>
      </w:r>
      <w:r w:rsidR="00452A0F">
        <w:rPr>
          <w:lang w:val="en-US"/>
        </w:rPr>
        <w:t xml:space="preserve"> one’s understanding of elements and understanding of the whole – in accordance with the ‘</w:t>
      </w:r>
      <w:proofErr w:type="spellStart"/>
      <w:r w:rsidR="00452A0F">
        <w:rPr>
          <w:lang w:val="en-US"/>
        </w:rPr>
        <w:t>revealment</w:t>
      </w:r>
      <w:proofErr w:type="spellEnd"/>
      <w:r w:rsidR="00452A0F">
        <w:rPr>
          <w:lang w:val="en-US"/>
        </w:rPr>
        <w:t xml:space="preserve">’ of additional and </w:t>
      </w:r>
      <w:r w:rsidR="00E77468">
        <w:rPr>
          <w:lang w:val="en-US"/>
        </w:rPr>
        <w:t>possibly</w:t>
      </w:r>
      <w:r w:rsidR="00452A0F">
        <w:rPr>
          <w:lang w:val="en-US"/>
        </w:rPr>
        <w:t xml:space="preserve"> redefining elements</w:t>
      </w:r>
      <w:r w:rsidR="00F03921">
        <w:rPr>
          <w:lang w:val="en-US"/>
        </w:rPr>
        <w:t xml:space="preserve"> (</w:t>
      </w:r>
      <w:r w:rsidR="006C327E">
        <w:rPr>
          <w:lang w:val="en-US"/>
        </w:rPr>
        <w:t xml:space="preserve">Ibid: </w:t>
      </w:r>
      <w:r w:rsidR="00F03921">
        <w:rPr>
          <w:lang w:val="en-US"/>
        </w:rPr>
        <w:t>145)</w:t>
      </w:r>
      <w:r w:rsidR="00452A0F">
        <w:rPr>
          <w:lang w:val="en-US"/>
        </w:rPr>
        <w:t>.</w:t>
      </w:r>
      <w:r w:rsidR="00E508CC">
        <w:rPr>
          <w:lang w:val="en-US"/>
        </w:rPr>
        <w:t xml:space="preserve"> The process of understan</w:t>
      </w:r>
      <w:r w:rsidR="00F10DC2">
        <w:rPr>
          <w:lang w:val="en-US"/>
        </w:rPr>
        <w:t>ding, through the principle of the spiral circle</w:t>
      </w:r>
      <w:sdt>
        <w:sdtPr>
          <w:rPr>
            <w:lang w:val="en-US"/>
          </w:rPr>
          <w:id w:val="590973342"/>
          <w:citation/>
        </w:sdtPr>
        <w:sdtContent>
          <w:r w:rsidR="00F10DC2">
            <w:rPr>
              <w:lang w:val="en-US"/>
            </w:rPr>
            <w:fldChar w:fldCharType="begin"/>
          </w:r>
          <w:r w:rsidR="00F10DC2">
            <w:rPr>
              <w:lang w:val="en-US"/>
            </w:rPr>
            <w:instrText xml:space="preserve">CITATION Mog03 \p 153-154 \l 1030 </w:instrText>
          </w:r>
          <w:r w:rsidR="00F10DC2">
            <w:rPr>
              <w:lang w:val="en-US"/>
            </w:rPr>
            <w:fldChar w:fldCharType="separate"/>
          </w:r>
          <w:r w:rsidR="00F623D4">
            <w:rPr>
              <w:noProof/>
              <w:lang w:val="en-US"/>
            </w:rPr>
            <w:t xml:space="preserve"> (Pahuus 2003, 153-154)</w:t>
          </w:r>
          <w:r w:rsidR="00F10DC2">
            <w:rPr>
              <w:lang w:val="en-US"/>
            </w:rPr>
            <w:fldChar w:fldCharType="end"/>
          </w:r>
        </w:sdtContent>
      </w:sdt>
      <w:r w:rsidR="00F10DC2">
        <w:rPr>
          <w:lang w:val="en-US"/>
        </w:rPr>
        <w:t>, is further defined by</w:t>
      </w:r>
      <w:r w:rsidR="00CF02AA">
        <w:rPr>
          <w:lang w:val="en-US"/>
        </w:rPr>
        <w:t xml:space="preserve"> </w:t>
      </w:r>
      <w:r w:rsidR="00CF02AA" w:rsidRPr="00CF02AA">
        <w:rPr>
          <w:lang w:val="en-US"/>
        </w:rPr>
        <w:t>Hans-Georg</w:t>
      </w:r>
      <w:r w:rsidR="00CF02AA">
        <w:rPr>
          <w:lang w:val="en-US"/>
        </w:rPr>
        <w:t xml:space="preserve"> </w:t>
      </w:r>
      <w:proofErr w:type="spellStart"/>
      <w:r w:rsidR="00CF02AA">
        <w:rPr>
          <w:lang w:val="en-US"/>
        </w:rPr>
        <w:t>Gadamer’s</w:t>
      </w:r>
      <w:proofErr w:type="spellEnd"/>
      <w:r w:rsidR="00CF02AA">
        <w:rPr>
          <w:lang w:val="en-US"/>
        </w:rPr>
        <w:t xml:space="preserve"> notion of </w:t>
      </w:r>
      <w:r w:rsidR="00CF02AA">
        <w:rPr>
          <w:i/>
          <w:lang w:val="en-US"/>
        </w:rPr>
        <w:t>fusions of horizons</w:t>
      </w:r>
      <w:r w:rsidR="00CF02AA">
        <w:rPr>
          <w:lang w:val="en-US"/>
        </w:rPr>
        <w:t xml:space="preserve">. </w:t>
      </w:r>
      <w:r w:rsidR="00980776">
        <w:rPr>
          <w:lang w:val="en-US"/>
        </w:rPr>
        <w:t>It is asserted within this notion that</w:t>
      </w:r>
      <w:r w:rsidR="00F10DC2">
        <w:rPr>
          <w:lang w:val="en-US"/>
        </w:rPr>
        <w:t xml:space="preserve"> by each time an individual encounter a textual content (elements), his/her</w:t>
      </w:r>
      <w:r w:rsidR="00FA0C96">
        <w:rPr>
          <w:lang w:val="en-US"/>
        </w:rPr>
        <w:t xml:space="preserve"> predetermined horizon of understanding</w:t>
      </w:r>
      <w:r w:rsidR="00F10DC2">
        <w:rPr>
          <w:lang w:val="en-US"/>
        </w:rPr>
        <w:t xml:space="preserve"> of the text</w:t>
      </w:r>
      <w:r w:rsidR="00FA0C96">
        <w:rPr>
          <w:lang w:val="en-US"/>
        </w:rPr>
        <w:t xml:space="preserve"> gradually aligns with the meaning of the text</w:t>
      </w:r>
      <w:sdt>
        <w:sdtPr>
          <w:rPr>
            <w:lang w:val="en-US"/>
          </w:rPr>
          <w:id w:val="1028370376"/>
          <w:citation/>
        </w:sdtPr>
        <w:sdtContent>
          <w:r w:rsidR="00FA0C96">
            <w:rPr>
              <w:lang w:val="en-US"/>
            </w:rPr>
            <w:fldChar w:fldCharType="begin"/>
          </w:r>
          <w:r w:rsidR="00FA0C96">
            <w:rPr>
              <w:lang w:val="en-US"/>
            </w:rPr>
            <w:instrText xml:space="preserve">CITATION Han04 \p 302 \l 1030 </w:instrText>
          </w:r>
          <w:r w:rsidR="00FA0C96">
            <w:rPr>
              <w:lang w:val="en-US"/>
            </w:rPr>
            <w:fldChar w:fldCharType="separate"/>
          </w:r>
          <w:r w:rsidR="00F623D4">
            <w:rPr>
              <w:noProof/>
              <w:lang w:val="en-US"/>
            </w:rPr>
            <w:t xml:space="preserve"> (Gadamer 2004, 302)</w:t>
          </w:r>
          <w:r w:rsidR="00FA0C96">
            <w:rPr>
              <w:lang w:val="en-US"/>
            </w:rPr>
            <w:fldChar w:fldCharType="end"/>
          </w:r>
        </w:sdtContent>
      </w:sdt>
      <w:r w:rsidR="00F10DC2">
        <w:rPr>
          <w:lang w:val="en-US"/>
        </w:rPr>
        <w:t>.</w:t>
      </w:r>
      <w:r w:rsidR="00FA0C96">
        <w:rPr>
          <w:lang w:val="en-US"/>
        </w:rPr>
        <w:t xml:space="preserve"> </w:t>
      </w:r>
      <w:r w:rsidR="00053BE7">
        <w:rPr>
          <w:lang w:val="en-US"/>
        </w:rPr>
        <w:t>As symbolized with the ‘spiral’ representation, the purpose of the method described is to seek some sort of ‘truth’ about the broader perspective, based on various defining elements</w:t>
      </w:r>
      <w:r w:rsidR="006D1E61">
        <w:rPr>
          <w:lang w:val="en-US"/>
        </w:rPr>
        <w:t xml:space="preserve"> – even though such a truth may not exist due to differing interpretations</w:t>
      </w:r>
      <w:sdt>
        <w:sdtPr>
          <w:rPr>
            <w:lang w:val="en-US"/>
          </w:rPr>
          <w:id w:val="988522271"/>
          <w:citation/>
        </w:sdtPr>
        <w:sdtContent>
          <w:r w:rsidR="009D6125">
            <w:rPr>
              <w:lang w:val="en-US"/>
            </w:rPr>
            <w:fldChar w:fldCharType="begin"/>
          </w:r>
          <w:r w:rsidR="006C327E">
            <w:rPr>
              <w:lang w:val="en-US"/>
            </w:rPr>
            <w:instrText xml:space="preserve">CITATION Han04 \p xx \m Mog03 \p 147 \l 1030 </w:instrText>
          </w:r>
          <w:r w:rsidR="009D6125">
            <w:rPr>
              <w:lang w:val="en-US"/>
            </w:rPr>
            <w:fldChar w:fldCharType="separate"/>
          </w:r>
          <w:r w:rsidR="00F623D4">
            <w:rPr>
              <w:noProof/>
              <w:lang w:val="en-US"/>
            </w:rPr>
            <w:t xml:space="preserve"> (Gadamer 2004, xx, Pahuus 2003, 147)</w:t>
          </w:r>
          <w:r w:rsidR="009D6125">
            <w:rPr>
              <w:lang w:val="en-US"/>
            </w:rPr>
            <w:fldChar w:fldCharType="end"/>
          </w:r>
        </w:sdtContent>
      </w:sdt>
      <w:r w:rsidR="006D1E61">
        <w:rPr>
          <w:lang w:val="en-US"/>
        </w:rPr>
        <w:t>.</w:t>
      </w:r>
      <w:r w:rsidR="003C3908">
        <w:rPr>
          <w:lang w:val="en-US"/>
        </w:rPr>
        <w:t xml:space="preserve"> </w:t>
      </w:r>
    </w:p>
    <w:p w:rsidR="00E40E33" w:rsidRDefault="00E40E33" w:rsidP="00337119">
      <w:pPr>
        <w:spacing w:line="360" w:lineRule="auto"/>
        <w:rPr>
          <w:lang w:val="en-US"/>
        </w:rPr>
      </w:pPr>
      <w:r>
        <w:rPr>
          <w:lang w:val="en-US"/>
        </w:rPr>
        <w:t xml:space="preserve">The statements </w:t>
      </w:r>
      <w:r w:rsidR="0032354A">
        <w:rPr>
          <w:lang w:val="en-US"/>
        </w:rPr>
        <w:t xml:space="preserve">available </w:t>
      </w:r>
      <w:r w:rsidR="000E7FF0">
        <w:rPr>
          <w:lang w:val="en-US"/>
        </w:rPr>
        <w:t>from Mozilla during its organizational</w:t>
      </w:r>
      <w:r>
        <w:rPr>
          <w:lang w:val="en-US"/>
        </w:rPr>
        <w:t xml:space="preserve"> crisis and the discourses within can be considered the elements that need to be understood – so as to gain a holistic understanding of crisis communication when </w:t>
      </w:r>
      <w:r w:rsidR="00127A51">
        <w:rPr>
          <w:lang w:val="en-US"/>
        </w:rPr>
        <w:t>perceived</w:t>
      </w:r>
      <w:r>
        <w:rPr>
          <w:lang w:val="en-US"/>
        </w:rPr>
        <w:t xml:space="preserve"> in a context of CSR discourse.</w:t>
      </w:r>
      <w:r w:rsidR="00AF7F3E">
        <w:rPr>
          <w:lang w:val="en-US"/>
        </w:rPr>
        <w:t xml:space="preserve"> By applying the method of the hermeneutic spiral, a plethora of understandings (knowledge) throughout the analysis will emerge, </w:t>
      </w:r>
      <w:r w:rsidR="00AF7F3E">
        <w:rPr>
          <w:lang w:val="en-US"/>
        </w:rPr>
        <w:lastRenderedPageBreak/>
        <w:t>constituting a holistic ‘truth’</w:t>
      </w:r>
      <w:r w:rsidR="00C90539">
        <w:rPr>
          <w:lang w:val="en-US"/>
        </w:rPr>
        <w:t xml:space="preserve"> – though not an unconditioned truth, as </w:t>
      </w:r>
      <w:r w:rsidR="00AF7F3E">
        <w:rPr>
          <w:lang w:val="en-US"/>
        </w:rPr>
        <w:t xml:space="preserve">new perspectives and elements with different </w:t>
      </w:r>
      <w:r w:rsidR="00C90539">
        <w:rPr>
          <w:lang w:val="en-US"/>
        </w:rPr>
        <w:t>meanings may</w:t>
      </w:r>
      <w:r w:rsidR="00F84FFF">
        <w:rPr>
          <w:lang w:val="en-US"/>
        </w:rPr>
        <w:t xml:space="preserve"> continuously emerge.</w:t>
      </w:r>
      <w:r>
        <w:rPr>
          <w:lang w:val="en-US"/>
        </w:rPr>
        <w:t xml:space="preserve"> </w:t>
      </w:r>
    </w:p>
    <w:p w:rsidR="006A1B15" w:rsidRDefault="00AB7E06" w:rsidP="00337119">
      <w:pPr>
        <w:pStyle w:val="Overskrift2"/>
        <w:spacing w:line="360" w:lineRule="auto"/>
        <w:rPr>
          <w:lang w:val="en-US"/>
        </w:rPr>
      </w:pPr>
      <w:bookmarkStart w:id="15" w:name="_Toc420075806"/>
      <w:bookmarkStart w:id="16" w:name="_Toc420761615"/>
      <w:r>
        <w:rPr>
          <w:lang w:val="en-US"/>
        </w:rPr>
        <w:t xml:space="preserve">2.3 </w:t>
      </w:r>
      <w:r w:rsidR="006A1B15">
        <w:rPr>
          <w:lang w:val="en-US"/>
        </w:rPr>
        <w:t>Social Constructi</w:t>
      </w:r>
      <w:r w:rsidR="0032354A">
        <w:rPr>
          <w:lang w:val="en-US"/>
        </w:rPr>
        <w:t>on</w:t>
      </w:r>
      <w:r w:rsidR="006A1B15">
        <w:rPr>
          <w:lang w:val="en-US"/>
        </w:rPr>
        <w:t>ism</w:t>
      </w:r>
      <w:bookmarkEnd w:id="15"/>
      <w:bookmarkEnd w:id="16"/>
    </w:p>
    <w:p w:rsidR="004630B9" w:rsidRDefault="001A0917" w:rsidP="00337119">
      <w:pPr>
        <w:spacing w:line="360" w:lineRule="auto"/>
        <w:rPr>
          <w:lang w:val="en-US"/>
        </w:rPr>
      </w:pPr>
      <w:r>
        <w:rPr>
          <w:lang w:val="en-US"/>
        </w:rPr>
        <w:t>The conc</w:t>
      </w:r>
      <w:r w:rsidR="0032354A">
        <w:rPr>
          <w:lang w:val="en-US"/>
        </w:rPr>
        <w:t>ept of social construction</w:t>
      </w:r>
      <w:r w:rsidR="005B4546">
        <w:rPr>
          <w:lang w:val="en-US"/>
        </w:rPr>
        <w:t>ism,</w:t>
      </w:r>
      <w:r>
        <w:rPr>
          <w:lang w:val="en-US"/>
        </w:rPr>
        <w:t xml:space="preserve"> from a hermeneutic perspective</w:t>
      </w:r>
      <w:r w:rsidR="005B4546">
        <w:rPr>
          <w:lang w:val="en-US"/>
        </w:rPr>
        <w:t xml:space="preserve">, </w:t>
      </w:r>
      <w:r w:rsidR="00CF109F">
        <w:rPr>
          <w:lang w:val="en-US"/>
        </w:rPr>
        <w:t>builds o</w:t>
      </w:r>
      <w:r w:rsidR="001C16CC">
        <w:rPr>
          <w:lang w:val="en-US"/>
        </w:rPr>
        <w:t xml:space="preserve">n the philosophical stance of </w:t>
      </w:r>
      <w:proofErr w:type="spellStart"/>
      <w:r w:rsidR="001C16CC">
        <w:rPr>
          <w:lang w:val="en-US"/>
        </w:rPr>
        <w:t>inter</w:t>
      </w:r>
      <w:r w:rsidR="00CF109F">
        <w:rPr>
          <w:lang w:val="en-US"/>
        </w:rPr>
        <w:t>pretivism</w:t>
      </w:r>
      <w:proofErr w:type="spellEnd"/>
      <w:r w:rsidR="00BE19E2">
        <w:rPr>
          <w:lang w:val="en-US"/>
        </w:rPr>
        <w:t xml:space="preserve"> (</w:t>
      </w:r>
      <w:r w:rsidR="00841A86">
        <w:rPr>
          <w:lang w:val="en-US"/>
        </w:rPr>
        <w:t>both ontological and epistemological aspects</w:t>
      </w:r>
      <w:r w:rsidR="00BE19E2">
        <w:rPr>
          <w:lang w:val="en-US"/>
        </w:rPr>
        <w:t>)</w:t>
      </w:r>
      <w:r w:rsidR="00E74415">
        <w:rPr>
          <w:lang w:val="en-US"/>
        </w:rPr>
        <w:t>, where p</w:t>
      </w:r>
      <w:r w:rsidR="0032354A">
        <w:rPr>
          <w:lang w:val="en-US"/>
        </w:rPr>
        <w:t>atterns of actions or phenomena</w:t>
      </w:r>
      <w:r w:rsidR="00E74415">
        <w:rPr>
          <w:lang w:val="en-US"/>
        </w:rPr>
        <w:t xml:space="preserve"> are related to social properties</w:t>
      </w:r>
      <w:r w:rsidR="00BE19E2">
        <w:rPr>
          <w:lang w:val="en-US"/>
        </w:rPr>
        <w:t xml:space="preserve"> or societal processes</w:t>
      </w:r>
      <w:r w:rsidR="00E74415">
        <w:rPr>
          <w:lang w:val="en-US"/>
        </w:rPr>
        <w:t xml:space="preserve"> (shaped and influenced by human interests) and therefore a social construction</w:t>
      </w:r>
      <w:sdt>
        <w:sdtPr>
          <w:rPr>
            <w:lang w:val="en-US"/>
          </w:rPr>
          <w:id w:val="-1357183787"/>
          <w:citation/>
        </w:sdtPr>
        <w:sdtContent>
          <w:r w:rsidR="00A92D86">
            <w:rPr>
              <w:lang w:val="en-US"/>
            </w:rPr>
            <w:fldChar w:fldCharType="begin"/>
          </w:r>
          <w:r w:rsidR="00A92D86">
            <w:rPr>
              <w:lang w:val="en-US"/>
            </w:rPr>
            <w:instrText xml:space="preserve">CITATION Fin03 \p 248-250 \l 1030 </w:instrText>
          </w:r>
          <w:r w:rsidR="00A92D86">
            <w:rPr>
              <w:lang w:val="en-US"/>
            </w:rPr>
            <w:fldChar w:fldCharType="separate"/>
          </w:r>
          <w:r w:rsidR="00F623D4">
            <w:rPr>
              <w:noProof/>
              <w:lang w:val="en-US"/>
            </w:rPr>
            <w:t xml:space="preserve"> (Collin 2003, 248-250)</w:t>
          </w:r>
          <w:r w:rsidR="00A92D86">
            <w:rPr>
              <w:lang w:val="en-US"/>
            </w:rPr>
            <w:fldChar w:fldCharType="end"/>
          </w:r>
        </w:sdtContent>
      </w:sdt>
      <w:r w:rsidR="00E74415">
        <w:rPr>
          <w:lang w:val="en-US"/>
        </w:rPr>
        <w:t>.</w:t>
      </w:r>
      <w:r w:rsidR="00841A86">
        <w:rPr>
          <w:lang w:val="en-US"/>
        </w:rPr>
        <w:t xml:space="preserve"> The role of language is considered essential in the construction of ‘reality’, as the semiotic process of language constitutes the structure and substance of reality, as well as cognitive knowledge. Arguably, the premises of a social construction is facilitated through language or the discourses semantically structured thereof.</w:t>
      </w:r>
      <w:r w:rsidR="00446797">
        <w:rPr>
          <w:lang w:val="en-US"/>
        </w:rPr>
        <w:t xml:space="preserve"> This has entailed a link between the hermeneutics and social </w:t>
      </w:r>
      <w:r w:rsidR="00784BF4">
        <w:rPr>
          <w:lang w:val="en-US"/>
        </w:rPr>
        <w:t>sciences</w:t>
      </w:r>
      <w:r w:rsidR="00446797">
        <w:rPr>
          <w:lang w:val="en-US"/>
        </w:rPr>
        <w:t xml:space="preserve">, examining the social parameters revealed through language, referred to as </w:t>
      </w:r>
      <w:r w:rsidR="00446797">
        <w:rPr>
          <w:i/>
          <w:lang w:val="en-US"/>
        </w:rPr>
        <w:t>discourse analysis</w:t>
      </w:r>
      <w:r w:rsidR="00F97A1E">
        <w:rPr>
          <w:lang w:val="en-US"/>
        </w:rPr>
        <w:t xml:space="preserve"> (</w:t>
      </w:r>
      <w:r w:rsidR="00A92D86">
        <w:rPr>
          <w:lang w:val="en-US"/>
        </w:rPr>
        <w:t xml:space="preserve">Ibid: </w:t>
      </w:r>
      <w:r w:rsidR="00F97A1E">
        <w:rPr>
          <w:lang w:val="en-US"/>
        </w:rPr>
        <w:t>252)</w:t>
      </w:r>
      <w:r w:rsidR="00446797">
        <w:rPr>
          <w:lang w:val="en-US"/>
        </w:rPr>
        <w:t xml:space="preserve">. </w:t>
      </w:r>
      <w:r w:rsidR="003E1D1B">
        <w:rPr>
          <w:lang w:val="en-US"/>
        </w:rPr>
        <w:t>With impetus towards the examination of social relations – especially referring to ideological motives and identity construction</w:t>
      </w:r>
      <w:r w:rsidR="00A92D86">
        <w:rPr>
          <w:lang w:val="en-US"/>
        </w:rPr>
        <w:t xml:space="preserve"> (Ibid: 275)</w:t>
      </w:r>
      <w:r w:rsidR="003E1D1B">
        <w:rPr>
          <w:lang w:val="en-US"/>
        </w:rPr>
        <w:t xml:space="preserve"> – the analysis of discourses</w:t>
      </w:r>
      <w:r w:rsidR="0067313D">
        <w:rPr>
          <w:lang w:val="en-US"/>
        </w:rPr>
        <w:t xml:space="preserve"> and the connotation of language</w:t>
      </w:r>
      <w:r w:rsidR="003E1D1B">
        <w:rPr>
          <w:lang w:val="en-US"/>
        </w:rPr>
        <w:t xml:space="preserve"> </w:t>
      </w:r>
      <w:r w:rsidR="0067313D">
        <w:rPr>
          <w:lang w:val="en-US"/>
        </w:rPr>
        <w:t>have</w:t>
      </w:r>
      <w:r w:rsidR="003E1D1B">
        <w:rPr>
          <w:lang w:val="en-US"/>
        </w:rPr>
        <w:t xml:space="preserve"> significant momentum in this study</w:t>
      </w:r>
      <w:r w:rsidR="00E85F6B">
        <w:rPr>
          <w:lang w:val="en-US"/>
        </w:rPr>
        <w:t>, aiming at revealing discursive misalignments</w:t>
      </w:r>
      <w:r w:rsidR="003E1D1B">
        <w:rPr>
          <w:lang w:val="en-US"/>
        </w:rPr>
        <w:t>. To further apply the perspective of social constructi</w:t>
      </w:r>
      <w:r w:rsidR="0032354A">
        <w:rPr>
          <w:lang w:val="en-US"/>
        </w:rPr>
        <w:t>on</w:t>
      </w:r>
      <w:r w:rsidR="003E1D1B">
        <w:rPr>
          <w:lang w:val="en-US"/>
        </w:rPr>
        <w:t xml:space="preserve">ism, </w:t>
      </w:r>
      <w:r w:rsidR="003E1D1B">
        <w:rPr>
          <w:i/>
          <w:lang w:val="en-US"/>
        </w:rPr>
        <w:t xml:space="preserve">critical discourse analysis </w:t>
      </w:r>
      <w:r w:rsidR="003E1D1B">
        <w:rPr>
          <w:lang w:val="en-US"/>
        </w:rPr>
        <w:t>is the primary method in use</w:t>
      </w:r>
      <w:r w:rsidR="0067313D">
        <w:rPr>
          <w:lang w:val="en-US"/>
        </w:rPr>
        <w:t xml:space="preserve">, where language, discourse, perspective and method will be extensively elaborated and explored in Chapter </w:t>
      </w:r>
      <w:r w:rsidR="004E09F7">
        <w:rPr>
          <w:lang w:val="en-US"/>
        </w:rPr>
        <w:t>5</w:t>
      </w:r>
      <w:r w:rsidR="0067313D">
        <w:rPr>
          <w:lang w:val="en-US"/>
        </w:rPr>
        <w:t>.</w:t>
      </w:r>
    </w:p>
    <w:p w:rsidR="004630B9" w:rsidRDefault="00AB7E06" w:rsidP="00337119">
      <w:pPr>
        <w:pStyle w:val="Overskrift2"/>
        <w:spacing w:line="360" w:lineRule="auto"/>
        <w:rPr>
          <w:lang w:val="en-US"/>
        </w:rPr>
      </w:pPr>
      <w:bookmarkStart w:id="17" w:name="_Toc420075807"/>
      <w:bookmarkStart w:id="18" w:name="_Toc420761616"/>
      <w:r>
        <w:rPr>
          <w:lang w:val="en-US"/>
        </w:rPr>
        <w:t xml:space="preserve">2.4 </w:t>
      </w:r>
      <w:r w:rsidR="004630B9">
        <w:rPr>
          <w:lang w:val="en-US"/>
        </w:rPr>
        <w:t>Study Design</w:t>
      </w:r>
      <w:bookmarkEnd w:id="17"/>
      <w:bookmarkEnd w:id="18"/>
    </w:p>
    <w:p w:rsidR="0016534C" w:rsidRPr="008C1BE1" w:rsidRDefault="009249CB" w:rsidP="00337119">
      <w:pPr>
        <w:spacing w:line="360" w:lineRule="auto"/>
        <w:rPr>
          <w:szCs w:val="24"/>
          <w:lang w:val="en-US"/>
        </w:rPr>
      </w:pPr>
      <w:r>
        <w:rPr>
          <w:lang w:val="en-US"/>
        </w:rPr>
        <w:t>The study builds on the case of the Mozilla Foundation’s CEO crisis in 2014, meaning that the study utilizes a case study design, aiming at investigating the phenomenon of crisis communication in relation to a specific context (CSR discourse as crisis communication).</w:t>
      </w:r>
      <w:r w:rsidR="0067313D">
        <w:rPr>
          <w:lang w:val="en-US"/>
        </w:rPr>
        <w:t xml:space="preserve"> </w:t>
      </w:r>
      <w:r w:rsidR="005A14DE">
        <w:rPr>
          <w:lang w:val="en-US"/>
        </w:rPr>
        <w:t>The main purpose of the case study design is to enable an in-depth examination of a phenomenon by u</w:t>
      </w:r>
      <w:r w:rsidR="00181105">
        <w:rPr>
          <w:lang w:val="en-US"/>
        </w:rPr>
        <w:t>sing the data of a given case. I</w:t>
      </w:r>
      <w:r w:rsidR="005A14DE">
        <w:rPr>
          <w:lang w:val="en-US"/>
        </w:rPr>
        <w:t xml:space="preserve">n this </w:t>
      </w:r>
      <w:r w:rsidR="00181105">
        <w:rPr>
          <w:lang w:val="en-US"/>
        </w:rPr>
        <w:t>study</w:t>
      </w:r>
      <w:r w:rsidR="005A14DE">
        <w:rPr>
          <w:lang w:val="en-US"/>
        </w:rPr>
        <w:t>, the case in question is an organization in a crisis situation</w:t>
      </w:r>
      <w:sdt>
        <w:sdtPr>
          <w:rPr>
            <w:lang w:val="en-US"/>
          </w:rPr>
          <w:id w:val="-2108489645"/>
          <w:citation/>
        </w:sdtPr>
        <w:sdtContent>
          <w:r w:rsidR="001E2785">
            <w:rPr>
              <w:lang w:val="en-US"/>
            </w:rPr>
            <w:fldChar w:fldCharType="begin"/>
          </w:r>
          <w:r w:rsidR="008864D5">
            <w:rPr>
              <w:lang w:val="en-US"/>
            </w:rPr>
            <w:instrText xml:space="preserve">CITATION Vin06 \p 20 \l 1030 </w:instrText>
          </w:r>
          <w:r w:rsidR="001E2785">
            <w:rPr>
              <w:lang w:val="en-US"/>
            </w:rPr>
            <w:fldChar w:fldCharType="separate"/>
          </w:r>
          <w:r w:rsidR="00F623D4">
            <w:rPr>
              <w:noProof/>
              <w:lang w:val="en-US"/>
            </w:rPr>
            <w:t xml:space="preserve"> (Keddie 2006, 20)</w:t>
          </w:r>
          <w:r w:rsidR="001E2785">
            <w:rPr>
              <w:lang w:val="en-US"/>
            </w:rPr>
            <w:fldChar w:fldCharType="end"/>
          </w:r>
        </w:sdtContent>
      </w:sdt>
      <w:r w:rsidR="005A14DE">
        <w:rPr>
          <w:lang w:val="en-US"/>
        </w:rPr>
        <w:t xml:space="preserve">. </w:t>
      </w:r>
      <w:r w:rsidR="001E2785">
        <w:rPr>
          <w:lang w:val="en-US"/>
        </w:rPr>
        <w:t xml:space="preserve">Moreover, by applying this design as a research method, it is possible </w:t>
      </w:r>
      <w:r w:rsidR="001E2785" w:rsidRPr="008C1BE1">
        <w:rPr>
          <w:i/>
          <w:szCs w:val="24"/>
          <w:lang w:val="en-US"/>
        </w:rPr>
        <w:t>“to retain the holistic and meaningful characteristics of real-life events – such as […] organizational and managerial processes”</w:t>
      </w:r>
      <w:sdt>
        <w:sdtPr>
          <w:rPr>
            <w:i/>
            <w:szCs w:val="24"/>
            <w:lang w:val="en-US"/>
          </w:rPr>
          <w:id w:val="-1957708347"/>
          <w:citation/>
        </w:sdtPr>
        <w:sdtContent>
          <w:r w:rsidR="001E2785" w:rsidRPr="008C1BE1">
            <w:rPr>
              <w:i/>
              <w:szCs w:val="24"/>
              <w:lang w:val="en-US"/>
            </w:rPr>
            <w:fldChar w:fldCharType="begin"/>
          </w:r>
          <w:r w:rsidR="00AA7A87" w:rsidRPr="008C1BE1">
            <w:rPr>
              <w:szCs w:val="24"/>
              <w:lang w:val="en-US"/>
            </w:rPr>
            <w:instrText xml:space="preserve">CITATION Yin03 \p 2 \l 1030 </w:instrText>
          </w:r>
          <w:r w:rsidR="001E2785" w:rsidRPr="008C1BE1">
            <w:rPr>
              <w:i/>
              <w:szCs w:val="24"/>
              <w:lang w:val="en-US"/>
            </w:rPr>
            <w:fldChar w:fldCharType="separate"/>
          </w:r>
          <w:r w:rsidR="00F623D4">
            <w:rPr>
              <w:noProof/>
              <w:szCs w:val="24"/>
              <w:lang w:val="en-US"/>
            </w:rPr>
            <w:t xml:space="preserve"> </w:t>
          </w:r>
          <w:r w:rsidR="00F623D4" w:rsidRPr="00F623D4">
            <w:rPr>
              <w:noProof/>
              <w:szCs w:val="24"/>
              <w:lang w:val="en-US"/>
            </w:rPr>
            <w:t>(Yin 2009, 2)</w:t>
          </w:r>
          <w:r w:rsidR="001E2785" w:rsidRPr="008C1BE1">
            <w:rPr>
              <w:i/>
              <w:szCs w:val="24"/>
              <w:lang w:val="en-US"/>
            </w:rPr>
            <w:fldChar w:fldCharType="end"/>
          </w:r>
        </w:sdtContent>
      </w:sdt>
      <w:r w:rsidR="001E2785" w:rsidRPr="008C1BE1">
        <w:rPr>
          <w:szCs w:val="24"/>
          <w:lang w:val="en-US"/>
        </w:rPr>
        <w:t xml:space="preserve"> </w:t>
      </w:r>
      <w:r w:rsidR="005F304A" w:rsidRPr="008C1BE1">
        <w:rPr>
          <w:szCs w:val="24"/>
          <w:lang w:val="en-US"/>
        </w:rPr>
        <w:t xml:space="preserve">in an investigation. </w:t>
      </w:r>
    </w:p>
    <w:p w:rsidR="00CC4EDD" w:rsidRPr="008C1BE1" w:rsidRDefault="008864D5" w:rsidP="00337119">
      <w:pPr>
        <w:spacing w:line="360" w:lineRule="auto"/>
        <w:rPr>
          <w:szCs w:val="24"/>
          <w:lang w:val="en-US"/>
        </w:rPr>
      </w:pPr>
      <w:r w:rsidRPr="008C1BE1">
        <w:rPr>
          <w:szCs w:val="24"/>
          <w:lang w:val="en-US"/>
        </w:rPr>
        <w:t xml:space="preserve">A case study can be </w:t>
      </w:r>
      <w:r w:rsidRPr="008C1BE1">
        <w:rPr>
          <w:i/>
          <w:szCs w:val="24"/>
          <w:lang w:val="en-US"/>
        </w:rPr>
        <w:t xml:space="preserve">descriptive, exploratory </w:t>
      </w:r>
      <w:r w:rsidRPr="008C1BE1">
        <w:rPr>
          <w:szCs w:val="24"/>
          <w:lang w:val="en-US"/>
        </w:rPr>
        <w:t xml:space="preserve">or </w:t>
      </w:r>
      <w:r w:rsidRPr="008C1BE1">
        <w:rPr>
          <w:i/>
          <w:szCs w:val="24"/>
          <w:lang w:val="en-US"/>
        </w:rPr>
        <w:t xml:space="preserve">explanatory </w:t>
      </w:r>
      <w:r w:rsidRPr="008C1BE1">
        <w:rPr>
          <w:szCs w:val="24"/>
          <w:lang w:val="en-US"/>
        </w:rPr>
        <w:t>in character, where this study makes use of the latter, directing focus on the cause of the phenomenon to unfold as it did</w:t>
      </w:r>
      <w:sdt>
        <w:sdtPr>
          <w:rPr>
            <w:szCs w:val="24"/>
            <w:lang w:val="en-US"/>
          </w:rPr>
          <w:id w:val="-79749842"/>
          <w:citation/>
        </w:sdtPr>
        <w:sdtContent>
          <w:r w:rsidR="000E2AF0" w:rsidRPr="008C1BE1">
            <w:rPr>
              <w:szCs w:val="24"/>
              <w:lang w:val="en-US"/>
            </w:rPr>
            <w:fldChar w:fldCharType="begin"/>
          </w:r>
          <w:r w:rsidR="000E2AF0" w:rsidRPr="008C1BE1">
            <w:rPr>
              <w:szCs w:val="24"/>
              <w:lang w:val="en-US"/>
            </w:rPr>
            <w:instrText xml:space="preserve">CITATION Vin06 \p 20 \l 1030 </w:instrText>
          </w:r>
          <w:r w:rsidR="000E2AF0" w:rsidRPr="008C1BE1">
            <w:rPr>
              <w:szCs w:val="24"/>
              <w:lang w:val="en-US"/>
            </w:rPr>
            <w:fldChar w:fldCharType="separate"/>
          </w:r>
          <w:r w:rsidR="00F623D4">
            <w:rPr>
              <w:noProof/>
              <w:szCs w:val="24"/>
              <w:lang w:val="en-US"/>
            </w:rPr>
            <w:t xml:space="preserve"> </w:t>
          </w:r>
          <w:r w:rsidR="00F623D4" w:rsidRPr="00F623D4">
            <w:rPr>
              <w:noProof/>
              <w:szCs w:val="24"/>
              <w:lang w:val="en-US"/>
            </w:rPr>
            <w:t>(Keddie 2006, 20)</w:t>
          </w:r>
          <w:r w:rsidR="000E2AF0" w:rsidRPr="008C1BE1">
            <w:rPr>
              <w:szCs w:val="24"/>
              <w:lang w:val="en-US"/>
            </w:rPr>
            <w:fldChar w:fldCharType="end"/>
          </w:r>
        </w:sdtContent>
      </w:sdt>
      <w:r w:rsidRPr="008C1BE1">
        <w:rPr>
          <w:szCs w:val="24"/>
          <w:lang w:val="en-US"/>
        </w:rPr>
        <w:t>.</w:t>
      </w:r>
      <w:r w:rsidR="00B659C1">
        <w:rPr>
          <w:szCs w:val="24"/>
          <w:lang w:val="en-US"/>
        </w:rPr>
        <w:t xml:space="preserve"> Generally, the </w:t>
      </w:r>
      <w:r w:rsidR="00B659C1" w:rsidRPr="00B659C1">
        <w:rPr>
          <w:i/>
          <w:szCs w:val="24"/>
          <w:lang w:val="en-US"/>
        </w:rPr>
        <w:t>how</w:t>
      </w:r>
      <w:r w:rsidR="00B659C1">
        <w:rPr>
          <w:szCs w:val="24"/>
          <w:lang w:val="en-US"/>
        </w:rPr>
        <w:t xml:space="preserve"> and </w:t>
      </w:r>
      <w:r w:rsidR="00BB0DFB" w:rsidRPr="00B659C1">
        <w:rPr>
          <w:i/>
          <w:szCs w:val="24"/>
          <w:lang w:val="en-US"/>
        </w:rPr>
        <w:t>why</w:t>
      </w:r>
      <w:r w:rsidR="00BB0DFB" w:rsidRPr="008C1BE1">
        <w:rPr>
          <w:szCs w:val="24"/>
          <w:lang w:val="en-US"/>
        </w:rPr>
        <w:t xml:space="preserve"> questions are eminent within a case study design, also highlighting the </w:t>
      </w:r>
      <w:r w:rsidR="00BB0DFB" w:rsidRPr="008C1BE1">
        <w:rPr>
          <w:i/>
          <w:szCs w:val="24"/>
          <w:lang w:val="en-US"/>
        </w:rPr>
        <w:t>unit of analysis</w:t>
      </w:r>
      <w:r w:rsidR="00BB0DFB" w:rsidRPr="008C1BE1">
        <w:rPr>
          <w:szCs w:val="24"/>
          <w:lang w:val="en-US"/>
        </w:rPr>
        <w:t xml:space="preserve"> (what is it specifically that needs to be analyzed in the case?)</w:t>
      </w:r>
      <w:sdt>
        <w:sdtPr>
          <w:rPr>
            <w:szCs w:val="24"/>
            <w:lang w:val="en-US"/>
          </w:rPr>
          <w:id w:val="-1348487059"/>
          <w:citation/>
        </w:sdtPr>
        <w:sdtContent>
          <w:r w:rsidR="000E2AF0" w:rsidRPr="008C1BE1">
            <w:rPr>
              <w:szCs w:val="24"/>
              <w:lang w:val="en-US"/>
            </w:rPr>
            <w:fldChar w:fldCharType="begin"/>
          </w:r>
          <w:r w:rsidR="00AA7A87" w:rsidRPr="008C1BE1">
            <w:rPr>
              <w:szCs w:val="24"/>
              <w:lang w:val="en-US"/>
            </w:rPr>
            <w:instrText xml:space="preserve">CITATION Yin03 \p 22 \l 1030 </w:instrText>
          </w:r>
          <w:r w:rsidR="000E2AF0" w:rsidRPr="008C1BE1">
            <w:rPr>
              <w:szCs w:val="24"/>
              <w:lang w:val="en-US"/>
            </w:rPr>
            <w:fldChar w:fldCharType="separate"/>
          </w:r>
          <w:r w:rsidR="00F623D4">
            <w:rPr>
              <w:noProof/>
              <w:szCs w:val="24"/>
              <w:lang w:val="en-US"/>
            </w:rPr>
            <w:t xml:space="preserve"> </w:t>
          </w:r>
          <w:r w:rsidR="00F623D4" w:rsidRPr="00F623D4">
            <w:rPr>
              <w:noProof/>
              <w:szCs w:val="24"/>
              <w:lang w:val="en-US"/>
            </w:rPr>
            <w:t>(Yin 2009, 22)</w:t>
          </w:r>
          <w:r w:rsidR="000E2AF0" w:rsidRPr="008C1BE1">
            <w:rPr>
              <w:szCs w:val="24"/>
              <w:lang w:val="en-US"/>
            </w:rPr>
            <w:fldChar w:fldCharType="end"/>
          </w:r>
        </w:sdtContent>
      </w:sdt>
      <w:r w:rsidR="000E2AF0" w:rsidRPr="008C1BE1">
        <w:rPr>
          <w:szCs w:val="24"/>
          <w:lang w:val="en-US"/>
        </w:rPr>
        <w:t>.</w:t>
      </w:r>
      <w:r w:rsidR="00BB0DFB" w:rsidRPr="008C1BE1">
        <w:rPr>
          <w:szCs w:val="24"/>
          <w:lang w:val="en-US"/>
        </w:rPr>
        <w:t xml:space="preserve"> </w:t>
      </w:r>
      <w:r w:rsidR="00BB0DFB" w:rsidRPr="008C1BE1">
        <w:rPr>
          <w:szCs w:val="24"/>
          <w:lang w:val="en-US"/>
        </w:rPr>
        <w:lastRenderedPageBreak/>
        <w:t xml:space="preserve">Within the Mozilla case, the utilized crisis communication </w:t>
      </w:r>
      <w:r w:rsidR="000E2AF0" w:rsidRPr="008C1BE1">
        <w:rPr>
          <w:szCs w:val="24"/>
          <w:lang w:val="en-US"/>
        </w:rPr>
        <w:t>strategies that are conveyed through CSR discourse are considered the unit of analysis. Relations or ‘boundaries’ between crisis communication strategies and CSR discourse</w:t>
      </w:r>
      <w:r w:rsidR="0016534C" w:rsidRPr="008C1BE1">
        <w:rPr>
          <w:szCs w:val="24"/>
          <w:lang w:val="en-US"/>
        </w:rPr>
        <w:t xml:space="preserve"> are not clearly evident, due to the lack of research in the specific area, which is i</w:t>
      </w:r>
      <w:r w:rsidR="000E2AF0" w:rsidRPr="008C1BE1">
        <w:rPr>
          <w:szCs w:val="24"/>
          <w:lang w:val="en-US"/>
        </w:rPr>
        <w:t>n line with a case study being an empirical inquiry that aims at investigating</w:t>
      </w:r>
      <w:r w:rsidR="0016534C" w:rsidRPr="008C1BE1">
        <w:rPr>
          <w:szCs w:val="24"/>
          <w:lang w:val="en-US"/>
        </w:rPr>
        <w:t xml:space="preserve"> and determining these</w:t>
      </w:r>
      <w:r w:rsidR="000E2AF0" w:rsidRPr="008C1BE1">
        <w:rPr>
          <w:szCs w:val="24"/>
          <w:lang w:val="en-US"/>
        </w:rPr>
        <w:t xml:space="preserve"> </w:t>
      </w:r>
      <w:r w:rsidR="008C1BE1" w:rsidRPr="008C1BE1">
        <w:rPr>
          <w:szCs w:val="24"/>
          <w:lang w:val="en-US"/>
        </w:rPr>
        <w:t xml:space="preserve">undefined </w:t>
      </w:r>
      <w:r w:rsidR="000E2AF0" w:rsidRPr="008C1BE1">
        <w:rPr>
          <w:szCs w:val="24"/>
          <w:lang w:val="en-US"/>
        </w:rPr>
        <w:t>relations</w:t>
      </w:r>
      <w:r w:rsidR="0016534C" w:rsidRPr="008C1BE1">
        <w:rPr>
          <w:szCs w:val="24"/>
          <w:lang w:val="en-US"/>
        </w:rPr>
        <w:t xml:space="preserve"> (Ibid: 13). On the other hand, the use of only one case in a study can be considered delimiting in achieving a representativeness and generalizability in other similar situations</w:t>
      </w:r>
      <w:sdt>
        <w:sdtPr>
          <w:rPr>
            <w:szCs w:val="24"/>
            <w:lang w:val="en-US"/>
          </w:rPr>
          <w:id w:val="-1955782307"/>
          <w:citation/>
        </w:sdtPr>
        <w:sdtContent>
          <w:r w:rsidR="00FF0DCE" w:rsidRPr="008C1BE1">
            <w:rPr>
              <w:szCs w:val="24"/>
              <w:lang w:val="en-US"/>
            </w:rPr>
            <w:fldChar w:fldCharType="begin"/>
          </w:r>
          <w:r w:rsidR="00FF0DCE" w:rsidRPr="008C1BE1">
            <w:rPr>
              <w:szCs w:val="24"/>
              <w:lang w:val="en-US"/>
            </w:rPr>
            <w:instrText xml:space="preserve">CITATION Vin06 \p 21 \l 1030 </w:instrText>
          </w:r>
          <w:r w:rsidR="00FF0DCE" w:rsidRPr="008C1BE1">
            <w:rPr>
              <w:szCs w:val="24"/>
              <w:lang w:val="en-US"/>
            </w:rPr>
            <w:fldChar w:fldCharType="separate"/>
          </w:r>
          <w:r w:rsidR="00F623D4">
            <w:rPr>
              <w:noProof/>
              <w:szCs w:val="24"/>
              <w:lang w:val="en-US"/>
            </w:rPr>
            <w:t xml:space="preserve"> </w:t>
          </w:r>
          <w:r w:rsidR="00F623D4" w:rsidRPr="00F623D4">
            <w:rPr>
              <w:noProof/>
              <w:szCs w:val="24"/>
              <w:lang w:val="en-US"/>
            </w:rPr>
            <w:t>(Keddie 2006, 21)</w:t>
          </w:r>
          <w:r w:rsidR="00FF0DCE" w:rsidRPr="008C1BE1">
            <w:rPr>
              <w:szCs w:val="24"/>
              <w:lang w:val="en-US"/>
            </w:rPr>
            <w:fldChar w:fldCharType="end"/>
          </w:r>
        </w:sdtContent>
      </w:sdt>
      <w:r w:rsidR="0016534C" w:rsidRPr="008C1BE1">
        <w:rPr>
          <w:szCs w:val="24"/>
          <w:lang w:val="en-US"/>
        </w:rPr>
        <w:t>.</w:t>
      </w:r>
      <w:r w:rsidR="00A63B47" w:rsidRPr="008C1BE1">
        <w:rPr>
          <w:szCs w:val="24"/>
          <w:lang w:val="en-US"/>
        </w:rPr>
        <w:t xml:space="preserve"> Consequently, it is important to recognize that the results of this study are deduced on the basis of one case, which may restrict its holistic purpose. But, the choice of focusing on one case enables </w:t>
      </w:r>
      <w:r w:rsidR="0032354A" w:rsidRPr="008C1BE1">
        <w:rPr>
          <w:szCs w:val="24"/>
          <w:lang w:val="en-US"/>
        </w:rPr>
        <w:t>a</w:t>
      </w:r>
      <w:r w:rsidR="00A63B47" w:rsidRPr="008C1BE1">
        <w:rPr>
          <w:szCs w:val="24"/>
          <w:lang w:val="en-US"/>
        </w:rPr>
        <w:t xml:space="preserve"> more in-depth analysis, including a ‘range’ of analytica</w:t>
      </w:r>
      <w:r w:rsidR="0032354A">
        <w:rPr>
          <w:szCs w:val="24"/>
          <w:lang w:val="en-US"/>
        </w:rPr>
        <w:t>l methods to more comprehensibly</w:t>
      </w:r>
      <w:r w:rsidR="00A63B47" w:rsidRPr="008C1BE1">
        <w:rPr>
          <w:szCs w:val="24"/>
          <w:lang w:val="en-US"/>
        </w:rPr>
        <w:t xml:space="preserve"> examine the research area in question – so as to provide more valuable</w:t>
      </w:r>
      <w:r w:rsidR="00E97E72" w:rsidRPr="008C1BE1">
        <w:rPr>
          <w:szCs w:val="24"/>
          <w:lang w:val="en-US"/>
        </w:rPr>
        <w:t xml:space="preserve"> and reliable</w:t>
      </w:r>
      <w:r w:rsidR="00A63B47" w:rsidRPr="008C1BE1">
        <w:rPr>
          <w:szCs w:val="24"/>
          <w:lang w:val="en-US"/>
        </w:rPr>
        <w:t xml:space="preserve"> results for further research</w:t>
      </w:r>
      <w:sdt>
        <w:sdtPr>
          <w:rPr>
            <w:szCs w:val="24"/>
            <w:lang w:val="en-US"/>
          </w:rPr>
          <w:id w:val="1574314172"/>
          <w:citation/>
        </w:sdtPr>
        <w:sdtContent>
          <w:r w:rsidR="00FF0DCE" w:rsidRPr="008C1BE1">
            <w:rPr>
              <w:szCs w:val="24"/>
              <w:lang w:val="en-US"/>
            </w:rPr>
            <w:fldChar w:fldCharType="begin"/>
          </w:r>
          <w:r w:rsidR="00AA7A87" w:rsidRPr="008C1BE1">
            <w:rPr>
              <w:szCs w:val="24"/>
              <w:lang w:val="en-US"/>
            </w:rPr>
            <w:instrText xml:space="preserve">CITATION Yin03 \p 37 \l 1030 </w:instrText>
          </w:r>
          <w:r w:rsidR="00FF0DCE" w:rsidRPr="008C1BE1">
            <w:rPr>
              <w:szCs w:val="24"/>
              <w:lang w:val="en-US"/>
            </w:rPr>
            <w:fldChar w:fldCharType="separate"/>
          </w:r>
          <w:r w:rsidR="00F623D4">
            <w:rPr>
              <w:noProof/>
              <w:szCs w:val="24"/>
              <w:lang w:val="en-US"/>
            </w:rPr>
            <w:t xml:space="preserve"> </w:t>
          </w:r>
          <w:r w:rsidR="00F623D4" w:rsidRPr="00F623D4">
            <w:rPr>
              <w:noProof/>
              <w:szCs w:val="24"/>
              <w:lang w:val="en-US"/>
            </w:rPr>
            <w:t>(Yin 2009, 37)</w:t>
          </w:r>
          <w:r w:rsidR="00FF0DCE" w:rsidRPr="008C1BE1">
            <w:rPr>
              <w:szCs w:val="24"/>
              <w:lang w:val="en-US"/>
            </w:rPr>
            <w:fldChar w:fldCharType="end"/>
          </w:r>
        </w:sdtContent>
      </w:sdt>
      <w:r w:rsidR="00A63B47" w:rsidRPr="008C1BE1">
        <w:rPr>
          <w:szCs w:val="24"/>
          <w:lang w:val="en-US"/>
        </w:rPr>
        <w:t xml:space="preserve">. </w:t>
      </w:r>
    </w:p>
    <w:p w:rsidR="00CC4EDD" w:rsidRDefault="00AB7E06" w:rsidP="00337119">
      <w:pPr>
        <w:pStyle w:val="Overskrift3"/>
        <w:spacing w:line="360" w:lineRule="auto"/>
        <w:rPr>
          <w:lang w:val="en-US"/>
        </w:rPr>
      </w:pPr>
      <w:bookmarkStart w:id="19" w:name="_Toc420075808"/>
      <w:bookmarkStart w:id="20" w:name="_Toc420761617"/>
      <w:r>
        <w:rPr>
          <w:lang w:val="en-US"/>
        </w:rPr>
        <w:t xml:space="preserve">2.4.1 </w:t>
      </w:r>
      <w:r w:rsidR="00CC4EDD">
        <w:rPr>
          <w:lang w:val="en-US"/>
        </w:rPr>
        <w:t>Theoretical Approach</w:t>
      </w:r>
      <w:bookmarkEnd w:id="19"/>
      <w:bookmarkEnd w:id="20"/>
    </w:p>
    <w:p w:rsidR="00BD2F8A" w:rsidRDefault="00B20934" w:rsidP="00337119">
      <w:pPr>
        <w:spacing w:line="360" w:lineRule="auto"/>
        <w:rPr>
          <w:lang w:val="en-US"/>
        </w:rPr>
      </w:pPr>
      <w:r>
        <w:rPr>
          <w:lang w:val="en-US"/>
        </w:rPr>
        <w:t>The</w:t>
      </w:r>
      <w:r w:rsidR="002D5FEF">
        <w:rPr>
          <w:lang w:val="en-US"/>
        </w:rPr>
        <w:t xml:space="preserve"> theory selected</w:t>
      </w:r>
      <w:r>
        <w:rPr>
          <w:lang w:val="en-US"/>
        </w:rPr>
        <w:t>,</w:t>
      </w:r>
      <w:r w:rsidR="002D5FEF">
        <w:rPr>
          <w:lang w:val="en-US"/>
        </w:rPr>
        <w:t xml:space="preserve"> </w:t>
      </w:r>
      <w:r>
        <w:rPr>
          <w:lang w:val="en-US"/>
        </w:rPr>
        <w:t xml:space="preserve">in accordance with the scope of the study, </w:t>
      </w:r>
      <w:r w:rsidR="002D5FEF">
        <w:rPr>
          <w:lang w:val="en-US"/>
        </w:rPr>
        <w:t xml:space="preserve">has both the purpose of accounting for the phenomenon and context, as well as providing a foundation for the analytical approach. As </w:t>
      </w:r>
      <w:r w:rsidR="00265117">
        <w:rPr>
          <w:lang w:val="en-US"/>
        </w:rPr>
        <w:t xml:space="preserve">a result, the </w:t>
      </w:r>
      <w:r w:rsidR="00CC7A6F">
        <w:rPr>
          <w:lang w:val="en-US"/>
        </w:rPr>
        <w:t xml:space="preserve">main </w:t>
      </w:r>
      <w:r w:rsidR="00265117">
        <w:rPr>
          <w:lang w:val="en-US"/>
        </w:rPr>
        <w:t>theory section</w:t>
      </w:r>
      <w:r w:rsidR="004E09F7">
        <w:rPr>
          <w:lang w:val="en-US"/>
        </w:rPr>
        <w:t xml:space="preserve">, </w:t>
      </w:r>
      <w:r w:rsidR="00CC7A6F">
        <w:rPr>
          <w:lang w:val="en-US"/>
        </w:rPr>
        <w:t>following a literature review (C</w:t>
      </w:r>
      <w:r w:rsidR="004E09F7">
        <w:rPr>
          <w:lang w:val="en-US"/>
        </w:rPr>
        <w:t>hapter 3),</w:t>
      </w:r>
      <w:r w:rsidR="00265117">
        <w:rPr>
          <w:lang w:val="en-US"/>
        </w:rPr>
        <w:t xml:space="preserve"> operates around two research fields that are of interest to the study, divided into two chapters</w:t>
      </w:r>
      <w:r w:rsidR="004E09F7">
        <w:rPr>
          <w:lang w:val="en-US"/>
        </w:rPr>
        <w:t xml:space="preserve"> (4 and 5)</w:t>
      </w:r>
      <w:r w:rsidR="00265117">
        <w:rPr>
          <w:lang w:val="en-US"/>
        </w:rPr>
        <w:t xml:space="preserve">. </w:t>
      </w:r>
    </w:p>
    <w:p w:rsidR="001A0917" w:rsidRDefault="00265117" w:rsidP="00337119">
      <w:pPr>
        <w:spacing w:line="360" w:lineRule="auto"/>
        <w:rPr>
          <w:lang w:val="en-US"/>
        </w:rPr>
      </w:pPr>
      <w:r>
        <w:rPr>
          <w:lang w:val="en-US"/>
        </w:rPr>
        <w:t xml:space="preserve">The first chapter accounts for the field of crisis communication through the original work of William Benoit (1997), Timothy Coombs (2007) and Finn Frandsen and </w:t>
      </w:r>
      <w:proofErr w:type="spellStart"/>
      <w:r>
        <w:rPr>
          <w:lang w:val="en-US"/>
        </w:rPr>
        <w:t>Winni</w:t>
      </w:r>
      <w:proofErr w:type="spellEnd"/>
      <w:r>
        <w:rPr>
          <w:lang w:val="en-US"/>
        </w:rPr>
        <w:t xml:space="preserve"> Johansen (2007). </w:t>
      </w:r>
      <w:r w:rsidR="00F74335">
        <w:rPr>
          <w:lang w:val="en-US"/>
        </w:rPr>
        <w:t>Coombs and Benoit’s theories have been selected largely on the basis of being tried-and-true; their prominence in the field speaks well for their ability to analyze a crisis communication situation. Frandsen and Johansen’s theory has been selected due to their focus on external and internal parameters, influencing the process of crisis communication, which can supplement an analysis of a crisis situation.</w:t>
      </w:r>
      <w:r w:rsidR="00590E13">
        <w:rPr>
          <w:lang w:val="en-US"/>
        </w:rPr>
        <w:t xml:space="preserve"> </w:t>
      </w:r>
      <w:r w:rsidR="00D4628A">
        <w:rPr>
          <w:lang w:val="en-US"/>
        </w:rPr>
        <w:t>These represent three different perspectives on crisis communication, which are being por</w:t>
      </w:r>
      <w:r w:rsidR="00596B5F">
        <w:rPr>
          <w:lang w:val="en-US"/>
        </w:rPr>
        <w:t xml:space="preserve">trayed and evaluated – with the purpose </w:t>
      </w:r>
      <w:r w:rsidR="00D4628A">
        <w:rPr>
          <w:lang w:val="en-US"/>
        </w:rPr>
        <w:t>of constructing a theoretica</w:t>
      </w:r>
      <w:r w:rsidR="003F0F7C">
        <w:rPr>
          <w:lang w:val="en-US"/>
        </w:rPr>
        <w:t>l framework and analytical model</w:t>
      </w:r>
      <w:r w:rsidR="00596B5F">
        <w:rPr>
          <w:lang w:val="en-US"/>
        </w:rPr>
        <w:t xml:space="preserve"> </w:t>
      </w:r>
      <w:r w:rsidR="004E09F7">
        <w:rPr>
          <w:lang w:val="en-US"/>
        </w:rPr>
        <w:t>(Chapter 4</w:t>
      </w:r>
      <w:r w:rsidR="00590E13">
        <w:rPr>
          <w:lang w:val="en-US"/>
        </w:rPr>
        <w:t xml:space="preserve">). </w:t>
      </w:r>
      <w:r w:rsidR="00F74335">
        <w:rPr>
          <w:lang w:val="en-US"/>
        </w:rPr>
        <w:t xml:space="preserve"> </w:t>
      </w:r>
    </w:p>
    <w:p w:rsidR="00CC7CBB" w:rsidRDefault="00CC7CBB" w:rsidP="00337119">
      <w:pPr>
        <w:spacing w:line="360" w:lineRule="auto"/>
        <w:rPr>
          <w:lang w:val="en-US"/>
        </w:rPr>
      </w:pPr>
      <w:r>
        <w:rPr>
          <w:lang w:val="en-US"/>
        </w:rPr>
        <w:t>The second chapter accounts for language and discourse, critical discourse analysis and CSR discourse – primarily building on</w:t>
      </w:r>
      <w:r w:rsidR="00E37F63">
        <w:rPr>
          <w:lang w:val="en-US"/>
        </w:rPr>
        <w:t xml:space="preserve"> the original work of</w:t>
      </w:r>
      <w:r>
        <w:rPr>
          <w:lang w:val="en-US"/>
        </w:rPr>
        <w:t xml:space="preserve"> </w:t>
      </w:r>
      <w:r w:rsidR="00907386">
        <w:rPr>
          <w:lang w:val="en-US"/>
        </w:rPr>
        <w:t xml:space="preserve">David Machin and Andrea </w:t>
      </w:r>
      <w:proofErr w:type="spellStart"/>
      <w:r w:rsidR="00907386">
        <w:rPr>
          <w:lang w:val="en-US"/>
        </w:rPr>
        <w:t>Mayr</w:t>
      </w:r>
      <w:proofErr w:type="spellEnd"/>
      <w:r w:rsidR="00907386">
        <w:rPr>
          <w:lang w:val="en-US"/>
        </w:rPr>
        <w:t xml:space="preserve"> (2012), </w:t>
      </w:r>
      <w:r w:rsidR="00E37F63" w:rsidRPr="00F732A9">
        <w:rPr>
          <w:lang w:val="en-US"/>
        </w:rPr>
        <w:t xml:space="preserve">Ernesto </w:t>
      </w:r>
      <w:proofErr w:type="spellStart"/>
      <w:r w:rsidR="00E37F63" w:rsidRPr="00F732A9">
        <w:rPr>
          <w:lang w:val="en-US"/>
        </w:rPr>
        <w:t>Laclau</w:t>
      </w:r>
      <w:proofErr w:type="spellEnd"/>
      <w:r w:rsidR="00E37F63" w:rsidRPr="00F732A9">
        <w:rPr>
          <w:lang w:val="en-US"/>
        </w:rPr>
        <w:t xml:space="preserve"> and Chantal </w:t>
      </w:r>
      <w:proofErr w:type="spellStart"/>
      <w:r w:rsidR="00E37F63" w:rsidRPr="00F732A9">
        <w:rPr>
          <w:lang w:val="en-US"/>
        </w:rPr>
        <w:t>Mouffe</w:t>
      </w:r>
      <w:proofErr w:type="spellEnd"/>
      <w:r w:rsidR="00E37F63">
        <w:rPr>
          <w:lang w:val="en-US"/>
        </w:rPr>
        <w:t xml:space="preserve"> (1985), Marianne Jørgensen and Louise Phillips (2002) and Norman </w:t>
      </w:r>
      <w:proofErr w:type="spellStart"/>
      <w:r w:rsidR="00E37F63">
        <w:rPr>
          <w:lang w:val="en-US"/>
        </w:rPr>
        <w:t>Fairclough</w:t>
      </w:r>
      <w:proofErr w:type="spellEnd"/>
      <w:r w:rsidR="00E37F63">
        <w:rPr>
          <w:lang w:val="en-US"/>
        </w:rPr>
        <w:t xml:space="preserve"> (2010). However, due to limited access to the work of </w:t>
      </w:r>
      <w:proofErr w:type="spellStart"/>
      <w:r w:rsidR="00E37F63">
        <w:rPr>
          <w:lang w:val="en-US"/>
        </w:rPr>
        <w:t>Laclau</w:t>
      </w:r>
      <w:proofErr w:type="spellEnd"/>
      <w:r w:rsidR="00E37F63">
        <w:rPr>
          <w:lang w:val="en-US"/>
        </w:rPr>
        <w:t xml:space="preserve"> and </w:t>
      </w:r>
      <w:proofErr w:type="spellStart"/>
      <w:r w:rsidR="00E37F63">
        <w:rPr>
          <w:lang w:val="en-US"/>
        </w:rPr>
        <w:t>Mouff</w:t>
      </w:r>
      <w:r w:rsidR="007E56C8">
        <w:rPr>
          <w:lang w:val="en-US"/>
        </w:rPr>
        <w:t>e</w:t>
      </w:r>
      <w:proofErr w:type="spellEnd"/>
      <w:r w:rsidR="007E56C8">
        <w:rPr>
          <w:lang w:val="en-US"/>
        </w:rPr>
        <w:t>, Jørgensen and Phillips serve</w:t>
      </w:r>
      <w:r w:rsidR="00E37F63">
        <w:rPr>
          <w:lang w:val="en-US"/>
        </w:rPr>
        <w:t xml:space="preserve"> as the primary source for their Discourse Theory.</w:t>
      </w:r>
      <w:r w:rsidR="00796BAF">
        <w:rPr>
          <w:lang w:val="en-US"/>
        </w:rPr>
        <w:t xml:space="preserve"> The review and evaluation of the various theories has the purpose of providing an understanding of language and </w:t>
      </w:r>
      <w:r w:rsidR="00796BAF">
        <w:rPr>
          <w:lang w:val="en-US"/>
        </w:rPr>
        <w:lastRenderedPageBreak/>
        <w:t>discourse in relation to CSR and critical discourse analysis, culminating in an analytical approach</w:t>
      </w:r>
      <w:r w:rsidR="00BA575D">
        <w:rPr>
          <w:lang w:val="en-US"/>
        </w:rPr>
        <w:t xml:space="preserve"> with focus on </w:t>
      </w:r>
      <w:r w:rsidR="00BF057B">
        <w:rPr>
          <w:lang w:val="en-US"/>
        </w:rPr>
        <w:t xml:space="preserve">the </w:t>
      </w:r>
      <w:r w:rsidR="00BA575D">
        <w:rPr>
          <w:lang w:val="en-US"/>
        </w:rPr>
        <w:t>linguistic content</w:t>
      </w:r>
      <w:r w:rsidR="00BF057B">
        <w:rPr>
          <w:lang w:val="en-US"/>
        </w:rPr>
        <w:t xml:space="preserve"> of the empirical data</w:t>
      </w:r>
      <w:r w:rsidR="004E09F7">
        <w:rPr>
          <w:lang w:val="en-US"/>
        </w:rPr>
        <w:t xml:space="preserve"> (Chapter 5</w:t>
      </w:r>
      <w:r w:rsidR="00BA575D">
        <w:rPr>
          <w:lang w:val="en-US"/>
        </w:rPr>
        <w:t>)</w:t>
      </w:r>
      <w:r w:rsidR="00796BAF">
        <w:rPr>
          <w:lang w:val="en-US"/>
        </w:rPr>
        <w:t xml:space="preserve">.  </w:t>
      </w:r>
    </w:p>
    <w:p w:rsidR="0084437E" w:rsidRDefault="00AB7E06" w:rsidP="00337119">
      <w:pPr>
        <w:pStyle w:val="Overskrift2"/>
        <w:spacing w:line="360" w:lineRule="auto"/>
        <w:rPr>
          <w:lang w:val="en-US"/>
        </w:rPr>
      </w:pPr>
      <w:bookmarkStart w:id="21" w:name="_Toc420075809"/>
      <w:bookmarkStart w:id="22" w:name="_Toc420761618"/>
      <w:r>
        <w:rPr>
          <w:lang w:val="en-US"/>
        </w:rPr>
        <w:t xml:space="preserve">2.5 </w:t>
      </w:r>
      <w:r w:rsidR="0084437E">
        <w:rPr>
          <w:lang w:val="en-US"/>
        </w:rPr>
        <w:t>Empirical Data Collection</w:t>
      </w:r>
      <w:bookmarkEnd w:id="21"/>
      <w:bookmarkEnd w:id="22"/>
    </w:p>
    <w:p w:rsidR="005A21CF" w:rsidRDefault="004230E4" w:rsidP="00337119">
      <w:pPr>
        <w:spacing w:line="360" w:lineRule="auto"/>
        <w:rPr>
          <w:lang w:val="en-US"/>
        </w:rPr>
      </w:pPr>
      <w:r>
        <w:rPr>
          <w:lang w:val="en-US"/>
        </w:rPr>
        <w:t xml:space="preserve">There are generally two ways in which research data may be collected: the quantitative method (data that can be measured) and </w:t>
      </w:r>
      <w:r w:rsidR="00410820">
        <w:rPr>
          <w:lang w:val="en-US"/>
        </w:rPr>
        <w:t>the qualitative method</w:t>
      </w:r>
      <w:r w:rsidR="00A30494">
        <w:rPr>
          <w:lang w:val="en-US"/>
        </w:rPr>
        <w:t xml:space="preserve">, </w:t>
      </w:r>
      <w:r>
        <w:rPr>
          <w:lang w:val="en-US"/>
        </w:rPr>
        <w:t xml:space="preserve">which can be related to the approach of </w:t>
      </w:r>
      <w:proofErr w:type="spellStart"/>
      <w:r>
        <w:rPr>
          <w:lang w:val="en-US"/>
        </w:rPr>
        <w:t>interpretivism</w:t>
      </w:r>
      <w:proofErr w:type="spellEnd"/>
      <w:sdt>
        <w:sdtPr>
          <w:rPr>
            <w:lang w:val="en-US"/>
          </w:rPr>
          <w:id w:val="1311522892"/>
          <w:citation/>
        </w:sdtPr>
        <w:sdtContent>
          <w:r>
            <w:rPr>
              <w:lang w:val="en-US"/>
            </w:rPr>
            <w:fldChar w:fldCharType="begin"/>
          </w:r>
          <w:r>
            <w:rPr>
              <w:lang w:val="en-US"/>
            </w:rPr>
            <w:instrText xml:space="preserve">CITATION Ala88 \p 3 \t  \l 1030 </w:instrText>
          </w:r>
          <w:r>
            <w:rPr>
              <w:lang w:val="en-US"/>
            </w:rPr>
            <w:fldChar w:fldCharType="separate"/>
          </w:r>
          <w:r w:rsidR="00F623D4">
            <w:rPr>
              <w:noProof/>
              <w:lang w:val="en-US"/>
            </w:rPr>
            <w:t xml:space="preserve"> (Bryman 1988, 3)</w:t>
          </w:r>
          <w:r>
            <w:rPr>
              <w:lang w:val="en-US"/>
            </w:rPr>
            <w:fldChar w:fldCharType="end"/>
          </w:r>
        </w:sdtContent>
      </w:sdt>
      <w:r>
        <w:rPr>
          <w:lang w:val="en-US"/>
        </w:rPr>
        <w:t>. In accordance with the focus on discursive misalignments within the crisis communication of Mozilla, this study has a clear focus on qualitative data, where the method in practice has an emphasis on the analysis of words instead of quantification thereof.</w:t>
      </w:r>
      <w:r w:rsidR="00145D52">
        <w:rPr>
          <w:lang w:val="en-US"/>
        </w:rPr>
        <w:t xml:space="preserve"> Moreover, </w:t>
      </w:r>
      <w:r w:rsidR="00CE56C4">
        <w:rPr>
          <w:lang w:val="en-US"/>
        </w:rPr>
        <w:t xml:space="preserve">following the case study method, </w:t>
      </w:r>
      <w:r w:rsidR="00145D52">
        <w:rPr>
          <w:lang w:val="en-US"/>
        </w:rPr>
        <w:t>the primary method of data collection employed is document analysis, which is a choice deriving from the observation that the subject under investigation (Mozilla) solely produces textural data.</w:t>
      </w:r>
      <w:sdt>
        <w:sdtPr>
          <w:rPr>
            <w:lang w:val="en-US"/>
          </w:rPr>
          <w:id w:val="-228380166"/>
          <w:citation/>
        </w:sdtPr>
        <w:sdtContent>
          <w:r w:rsidR="00931327">
            <w:rPr>
              <w:lang w:val="en-US"/>
            </w:rPr>
            <w:fldChar w:fldCharType="begin"/>
          </w:r>
          <w:r w:rsidR="00931327">
            <w:rPr>
              <w:lang w:val="en-US"/>
            </w:rPr>
            <w:instrText xml:space="preserve">CITATION Koh06 \p 81 \l 1030 </w:instrText>
          </w:r>
          <w:r w:rsidR="00931327">
            <w:rPr>
              <w:lang w:val="en-US"/>
            </w:rPr>
            <w:fldChar w:fldCharType="separate"/>
          </w:r>
          <w:r w:rsidR="00F623D4">
            <w:rPr>
              <w:noProof/>
              <w:lang w:val="en-US"/>
            </w:rPr>
            <w:t xml:space="preserve"> (Kohlbacher 2006, 81)</w:t>
          </w:r>
          <w:r w:rsidR="00931327">
            <w:rPr>
              <w:lang w:val="en-US"/>
            </w:rPr>
            <w:fldChar w:fldCharType="end"/>
          </w:r>
        </w:sdtContent>
      </w:sdt>
      <w:r w:rsidR="005A21CF">
        <w:rPr>
          <w:lang w:val="en-US"/>
        </w:rPr>
        <w:t>.</w:t>
      </w:r>
    </w:p>
    <w:p w:rsidR="00EC0EA6" w:rsidRDefault="005A21CF" w:rsidP="00337119">
      <w:pPr>
        <w:spacing w:line="360" w:lineRule="auto"/>
        <w:rPr>
          <w:lang w:val="en-US"/>
        </w:rPr>
      </w:pPr>
      <w:r>
        <w:rPr>
          <w:lang w:val="en-US"/>
        </w:rPr>
        <w:t>Data from various sources have been collected throughout the research process, mainly concentrated on official statements from the M</w:t>
      </w:r>
      <w:r w:rsidR="000E7FF0">
        <w:rPr>
          <w:lang w:val="en-US"/>
        </w:rPr>
        <w:t>ozilla Foundation (through its</w:t>
      </w:r>
      <w:r>
        <w:rPr>
          <w:lang w:val="en-US"/>
        </w:rPr>
        <w:t xml:space="preserve"> website</w:t>
      </w:r>
      <w:r w:rsidR="00633B7C">
        <w:rPr>
          <w:lang w:val="en-US"/>
        </w:rPr>
        <w:t>) and statements from Mozilla’s executive Chairwoman and CEO on their personal but official Mozilla blogs</w:t>
      </w:r>
      <w:r w:rsidR="003A1679">
        <w:rPr>
          <w:lang w:val="en-US"/>
        </w:rPr>
        <w:t xml:space="preserve"> (primary data)</w:t>
      </w:r>
      <w:r w:rsidR="00633B7C">
        <w:rPr>
          <w:lang w:val="en-US"/>
        </w:rPr>
        <w:t>.</w:t>
      </w:r>
      <w:r w:rsidR="00D42A2E">
        <w:rPr>
          <w:lang w:val="en-US"/>
        </w:rPr>
        <w:t xml:space="preserve"> Additionally, stakeholder statements/comments on the social media channel Twitter and blogposts, as well as statements represented through traditional media channels, have been collected</w:t>
      </w:r>
      <w:r w:rsidR="003A1679">
        <w:rPr>
          <w:lang w:val="en-US"/>
        </w:rPr>
        <w:t xml:space="preserve"> (secondary data)</w:t>
      </w:r>
      <w:r w:rsidR="00D42A2E">
        <w:rPr>
          <w:lang w:val="en-US"/>
        </w:rPr>
        <w:t>.</w:t>
      </w:r>
    </w:p>
    <w:p w:rsidR="00615774" w:rsidRDefault="00AB7E06" w:rsidP="00337119">
      <w:pPr>
        <w:pStyle w:val="Overskrift3"/>
        <w:spacing w:line="360" w:lineRule="auto"/>
        <w:rPr>
          <w:lang w:val="en-US"/>
        </w:rPr>
      </w:pPr>
      <w:bookmarkStart w:id="23" w:name="_Toc420075810"/>
      <w:bookmarkStart w:id="24" w:name="_Toc420761619"/>
      <w:r>
        <w:rPr>
          <w:lang w:val="en-US"/>
        </w:rPr>
        <w:t xml:space="preserve">2.5.1 </w:t>
      </w:r>
      <w:r w:rsidR="00EC0EA6">
        <w:rPr>
          <w:lang w:val="en-US"/>
        </w:rPr>
        <w:t>Primary Data</w:t>
      </w:r>
      <w:bookmarkEnd w:id="23"/>
      <w:bookmarkEnd w:id="24"/>
    </w:p>
    <w:p w:rsidR="00DC118A" w:rsidRDefault="00615774" w:rsidP="00337119">
      <w:pPr>
        <w:spacing w:line="360" w:lineRule="auto"/>
        <w:rPr>
          <w:lang w:val="en-US"/>
        </w:rPr>
      </w:pPr>
      <w:r>
        <w:rPr>
          <w:lang w:val="en-US"/>
        </w:rPr>
        <w:t xml:space="preserve">The study is mainly focused on the primary data collected, which constitute the textual material in the analysis. </w:t>
      </w:r>
      <w:r w:rsidR="000246CD">
        <w:rPr>
          <w:lang w:val="en-US"/>
        </w:rPr>
        <w:t>The primary data center around the Mozilla statements published thr</w:t>
      </w:r>
      <w:r w:rsidR="009C6745">
        <w:rPr>
          <w:lang w:val="en-US"/>
        </w:rPr>
        <w:t>oughout the assumed period of the</w:t>
      </w:r>
      <w:r w:rsidR="000246CD">
        <w:rPr>
          <w:lang w:val="en-US"/>
        </w:rPr>
        <w:t xml:space="preserve"> organizational crisis.</w:t>
      </w:r>
      <w:r w:rsidR="009C6745">
        <w:rPr>
          <w:lang w:val="en-US"/>
        </w:rPr>
        <w:t xml:space="preserve"> Generally, the app</w:t>
      </w:r>
      <w:r w:rsidR="00924C75">
        <w:rPr>
          <w:lang w:val="en-US"/>
        </w:rPr>
        <w:t>licability of each ‘document’ i</w:t>
      </w:r>
      <w:r w:rsidR="009C6745">
        <w:rPr>
          <w:lang w:val="en-US"/>
        </w:rPr>
        <w:t xml:space="preserve">s evaluated on the basis of four criteria: </w:t>
      </w:r>
      <w:r w:rsidR="009C6745" w:rsidRPr="00924C75">
        <w:rPr>
          <w:i/>
          <w:lang w:val="en-US"/>
        </w:rPr>
        <w:t>time period, relevance, content</w:t>
      </w:r>
      <w:r w:rsidR="009C6745">
        <w:rPr>
          <w:lang w:val="en-US"/>
        </w:rPr>
        <w:t xml:space="preserve"> and </w:t>
      </w:r>
      <w:r w:rsidR="009C6745" w:rsidRPr="00924C75">
        <w:rPr>
          <w:i/>
          <w:lang w:val="en-US"/>
        </w:rPr>
        <w:t>source</w:t>
      </w:r>
      <w:r w:rsidR="009C6745">
        <w:rPr>
          <w:lang w:val="en-US"/>
        </w:rPr>
        <w:t xml:space="preserve">. As portrayed, the </w:t>
      </w:r>
      <w:r w:rsidR="009C6745" w:rsidRPr="00924C75">
        <w:rPr>
          <w:i/>
          <w:lang w:val="en-US"/>
        </w:rPr>
        <w:t>time period</w:t>
      </w:r>
      <w:r w:rsidR="009C6745">
        <w:rPr>
          <w:lang w:val="en-US"/>
        </w:rPr>
        <w:t xml:space="preserve"> of each piece of data needs to comply with the assumed period of crisis (March 24 – April 3), corresponding with the scope of the study. </w:t>
      </w:r>
      <w:r w:rsidR="007F7FF1" w:rsidRPr="00924C75">
        <w:rPr>
          <w:i/>
          <w:lang w:val="en-US"/>
        </w:rPr>
        <w:t>Relevance</w:t>
      </w:r>
      <w:r w:rsidR="007F7FF1">
        <w:rPr>
          <w:lang w:val="en-US"/>
        </w:rPr>
        <w:t xml:space="preserve"> refers to the factor that the data segments need to be useful in a fulfilment of the purpose of the study. As an organization does not stop all </w:t>
      </w:r>
      <w:r w:rsidR="00986F35">
        <w:rPr>
          <w:lang w:val="en-US"/>
        </w:rPr>
        <w:t>its</w:t>
      </w:r>
      <w:r w:rsidR="007F7FF1">
        <w:rPr>
          <w:lang w:val="en-US"/>
        </w:rPr>
        <w:t xml:space="preserve"> affairs during a crisis, </w:t>
      </w:r>
      <w:r w:rsidR="007F7FF1" w:rsidRPr="00924C75">
        <w:rPr>
          <w:i/>
          <w:lang w:val="en-US"/>
        </w:rPr>
        <w:t>content</w:t>
      </w:r>
      <w:r w:rsidR="007F7FF1">
        <w:rPr>
          <w:lang w:val="en-US"/>
        </w:rPr>
        <w:t xml:space="preserve"> is important as well, because the statements need to reflect the crisis </w:t>
      </w:r>
      <w:r w:rsidR="003A1679">
        <w:rPr>
          <w:lang w:val="en-US"/>
        </w:rPr>
        <w:t>situation through communication and discourse</w:t>
      </w:r>
      <w:r w:rsidR="0046648D">
        <w:rPr>
          <w:lang w:val="en-US"/>
        </w:rPr>
        <w:t xml:space="preserve">. Finally, the </w:t>
      </w:r>
      <w:r w:rsidR="0046648D" w:rsidRPr="00924C75">
        <w:rPr>
          <w:i/>
          <w:lang w:val="en-US"/>
        </w:rPr>
        <w:t>source</w:t>
      </w:r>
      <w:r w:rsidR="0046648D">
        <w:rPr>
          <w:lang w:val="en-US"/>
        </w:rPr>
        <w:t xml:space="preserve"> is important when operating from a perspective of social constructi</w:t>
      </w:r>
      <w:r w:rsidR="00A30494">
        <w:rPr>
          <w:lang w:val="en-US"/>
        </w:rPr>
        <w:t>on</w:t>
      </w:r>
      <w:r w:rsidR="0046648D">
        <w:rPr>
          <w:lang w:val="en-US"/>
        </w:rPr>
        <w:t xml:space="preserve">ism, as a statement from its original source can be considered more reliable – free from the </w:t>
      </w:r>
      <w:r w:rsidR="00924C75">
        <w:rPr>
          <w:lang w:val="en-US"/>
        </w:rPr>
        <w:t>potential</w:t>
      </w:r>
      <w:r w:rsidR="0046648D">
        <w:rPr>
          <w:lang w:val="en-US"/>
        </w:rPr>
        <w:t xml:space="preserve"> restructuring of a third party.</w:t>
      </w:r>
      <w:r w:rsidR="00DC118A">
        <w:rPr>
          <w:lang w:val="en-US"/>
        </w:rPr>
        <w:t xml:space="preserve"> The </w:t>
      </w:r>
      <w:r w:rsidR="004E09F7">
        <w:rPr>
          <w:lang w:val="en-US"/>
        </w:rPr>
        <w:t xml:space="preserve">data/statements will be </w:t>
      </w:r>
      <w:r w:rsidR="00343EAA">
        <w:rPr>
          <w:lang w:val="en-US"/>
        </w:rPr>
        <w:t>readdressed in Chapter 6.</w:t>
      </w:r>
    </w:p>
    <w:p w:rsidR="00DC118A" w:rsidRDefault="00AB7E06" w:rsidP="00337119">
      <w:pPr>
        <w:pStyle w:val="Overskrift3"/>
        <w:spacing w:line="360" w:lineRule="auto"/>
        <w:rPr>
          <w:lang w:val="en-US"/>
        </w:rPr>
      </w:pPr>
      <w:bookmarkStart w:id="25" w:name="_Toc420075811"/>
      <w:bookmarkStart w:id="26" w:name="_Toc420761620"/>
      <w:r>
        <w:rPr>
          <w:lang w:val="en-US"/>
        </w:rPr>
        <w:lastRenderedPageBreak/>
        <w:t xml:space="preserve">2.5.2 </w:t>
      </w:r>
      <w:r w:rsidR="00DC118A">
        <w:rPr>
          <w:lang w:val="en-US"/>
        </w:rPr>
        <w:t>Secondary Data</w:t>
      </w:r>
      <w:bookmarkEnd w:id="25"/>
      <w:bookmarkEnd w:id="26"/>
    </w:p>
    <w:p w:rsidR="002C1452" w:rsidRDefault="00DC118A" w:rsidP="00337119">
      <w:pPr>
        <w:spacing w:line="360" w:lineRule="auto"/>
        <w:rPr>
          <w:lang w:val="en-US"/>
        </w:rPr>
      </w:pPr>
      <w:r>
        <w:rPr>
          <w:lang w:val="en-US"/>
        </w:rPr>
        <w:t xml:space="preserve">The main purpose of the secondary data, including stakeholder comments (mostly gathered through third party sources), is to supplement the primary data and substantiate an understanding of the overall case. The secondary data supplements the primary by </w:t>
      </w:r>
      <w:r w:rsidR="00633CEE">
        <w:rPr>
          <w:lang w:val="en-US"/>
        </w:rPr>
        <w:t>providing an objective indication of the efficiency of the crisis communication in practice – through stakeholder reactions.</w:t>
      </w:r>
      <w:r w:rsidR="00135A98">
        <w:rPr>
          <w:lang w:val="en-US"/>
        </w:rPr>
        <w:t xml:space="preserve"> This knowledge may be significa</w:t>
      </w:r>
      <w:r w:rsidR="00410820">
        <w:rPr>
          <w:lang w:val="en-US"/>
        </w:rPr>
        <w:t>nt in a discussion</w:t>
      </w:r>
      <w:r w:rsidR="00351C93">
        <w:rPr>
          <w:lang w:val="en-US"/>
        </w:rPr>
        <w:t xml:space="preserve"> and an evaluation of the situational context</w:t>
      </w:r>
      <w:r w:rsidR="00410820">
        <w:rPr>
          <w:lang w:val="en-US"/>
        </w:rPr>
        <w:t>,</w:t>
      </w:r>
      <w:r w:rsidR="00135A98">
        <w:rPr>
          <w:lang w:val="en-US"/>
        </w:rPr>
        <w:t xml:space="preserve"> in the sense that additional considerations can be brought into perspective, augmenting the validity of the findings.</w:t>
      </w:r>
    </w:p>
    <w:p w:rsidR="005B2F16" w:rsidRDefault="00AB7E06" w:rsidP="00337119">
      <w:pPr>
        <w:pStyle w:val="Overskrift2"/>
        <w:spacing w:line="360" w:lineRule="auto"/>
        <w:rPr>
          <w:lang w:val="en-US"/>
        </w:rPr>
      </w:pPr>
      <w:bookmarkStart w:id="27" w:name="_Toc420075812"/>
      <w:bookmarkStart w:id="28" w:name="_Toc420761621"/>
      <w:r>
        <w:rPr>
          <w:lang w:val="en-US"/>
        </w:rPr>
        <w:t xml:space="preserve">2.6 </w:t>
      </w:r>
      <w:r w:rsidR="002C1452">
        <w:rPr>
          <w:lang w:val="en-US"/>
        </w:rPr>
        <w:t>Analytical Approach</w:t>
      </w:r>
      <w:bookmarkEnd w:id="27"/>
      <w:bookmarkEnd w:id="28"/>
      <w:r w:rsidR="00135A98">
        <w:rPr>
          <w:lang w:val="en-US"/>
        </w:rPr>
        <w:t xml:space="preserve">  </w:t>
      </w:r>
      <w:r w:rsidR="00633CEE">
        <w:rPr>
          <w:lang w:val="en-US"/>
        </w:rPr>
        <w:t xml:space="preserve"> </w:t>
      </w:r>
      <w:r w:rsidR="00DC118A">
        <w:rPr>
          <w:lang w:val="en-US"/>
        </w:rPr>
        <w:t xml:space="preserve">  </w:t>
      </w:r>
      <w:r w:rsidR="0046648D">
        <w:rPr>
          <w:lang w:val="en-US"/>
        </w:rPr>
        <w:t xml:space="preserve"> </w:t>
      </w:r>
    </w:p>
    <w:p w:rsidR="00BD1D81" w:rsidRDefault="00C63002" w:rsidP="00337119">
      <w:pPr>
        <w:spacing w:line="360" w:lineRule="auto"/>
        <w:rPr>
          <w:lang w:val="en-US"/>
        </w:rPr>
      </w:pPr>
      <w:r>
        <w:rPr>
          <w:lang w:val="en-US"/>
        </w:rPr>
        <w:t>The first order of analysis is to establish a</w:t>
      </w:r>
      <w:r w:rsidR="00E15657">
        <w:rPr>
          <w:lang w:val="en-US"/>
        </w:rPr>
        <w:t>n</w:t>
      </w:r>
      <w:r>
        <w:rPr>
          <w:lang w:val="en-US"/>
        </w:rPr>
        <w:t xml:space="preserve"> understanding of the crisis situation and the crisis communication strategies in use by Mozilla. To achieve this, the constructed analytical </w:t>
      </w:r>
      <w:r w:rsidR="00596B5F">
        <w:rPr>
          <w:lang w:val="en-US"/>
        </w:rPr>
        <w:t>framework</w:t>
      </w:r>
      <w:r>
        <w:rPr>
          <w:lang w:val="en-US"/>
        </w:rPr>
        <w:t xml:space="preserve"> </w:t>
      </w:r>
      <w:r w:rsidR="00596B5F">
        <w:rPr>
          <w:lang w:val="en-US"/>
        </w:rPr>
        <w:t>(</w:t>
      </w:r>
      <w:r w:rsidR="005F3C3C">
        <w:rPr>
          <w:lang w:val="en-US"/>
        </w:rPr>
        <w:t>4.7</w:t>
      </w:r>
      <w:r>
        <w:rPr>
          <w:lang w:val="en-US"/>
        </w:rPr>
        <w:t xml:space="preserve">) </w:t>
      </w:r>
      <w:r w:rsidR="00A13974">
        <w:rPr>
          <w:lang w:val="en-US"/>
        </w:rPr>
        <w:t xml:space="preserve">is </w:t>
      </w:r>
      <w:r>
        <w:rPr>
          <w:lang w:val="en-US"/>
        </w:rPr>
        <w:t xml:space="preserve">applied, where the initiating phase of the analysis </w:t>
      </w:r>
      <w:r w:rsidR="00A13974">
        <w:rPr>
          <w:lang w:val="en-US"/>
        </w:rPr>
        <w:t>is</w:t>
      </w:r>
      <w:r>
        <w:rPr>
          <w:lang w:val="en-US"/>
        </w:rPr>
        <w:t xml:space="preserve"> to evaluate the various circumstances surrounding the case. </w:t>
      </w:r>
      <w:r w:rsidR="00BD1D81">
        <w:rPr>
          <w:lang w:val="en-US"/>
        </w:rPr>
        <w:t xml:space="preserve">Subsequently, each statement made throughout the reputational crisis </w:t>
      </w:r>
      <w:r w:rsidR="00A13974">
        <w:rPr>
          <w:lang w:val="en-US"/>
        </w:rPr>
        <w:t>is</w:t>
      </w:r>
      <w:r w:rsidR="00BD1D81">
        <w:rPr>
          <w:lang w:val="en-US"/>
        </w:rPr>
        <w:t xml:space="preserve"> examined</w:t>
      </w:r>
      <w:r w:rsidR="00596B5F">
        <w:rPr>
          <w:lang w:val="en-US"/>
        </w:rPr>
        <w:t xml:space="preserve"> </w:t>
      </w:r>
      <w:r w:rsidR="00BD1D81">
        <w:rPr>
          <w:lang w:val="en-US"/>
        </w:rPr>
        <w:t>– so as to divulge the crisis communication strategies in use.</w:t>
      </w:r>
    </w:p>
    <w:p w:rsidR="00DC6637" w:rsidRDefault="00B00989" w:rsidP="00337119">
      <w:pPr>
        <w:spacing w:line="360" w:lineRule="auto"/>
        <w:rPr>
          <w:lang w:val="en-US"/>
        </w:rPr>
      </w:pPr>
      <w:r>
        <w:rPr>
          <w:lang w:val="en-US"/>
        </w:rPr>
        <w:t xml:space="preserve">Next, focus </w:t>
      </w:r>
      <w:r w:rsidR="00A13974">
        <w:rPr>
          <w:lang w:val="en-US"/>
        </w:rPr>
        <w:t>is</w:t>
      </w:r>
      <w:r>
        <w:rPr>
          <w:lang w:val="en-US"/>
        </w:rPr>
        <w:t xml:space="preserve"> directed more comprehensively towards the linguistic properties of the </w:t>
      </w:r>
      <w:r w:rsidR="00A13974">
        <w:rPr>
          <w:lang w:val="en-US"/>
        </w:rPr>
        <w:t>individual statements, on the basis of a critical discourse analysis. The main approach is an analysis of the lexical surface features and interpretations thereof, which can be further evaluated, in terms of the established crisis communication strategies in use (hermeneutic spiral)</w:t>
      </w:r>
      <w:r w:rsidR="00076DEF">
        <w:rPr>
          <w:lang w:val="en-US"/>
        </w:rPr>
        <w:t xml:space="preserve">. </w:t>
      </w:r>
      <w:r w:rsidR="00D03815">
        <w:rPr>
          <w:lang w:val="en-US"/>
        </w:rPr>
        <w:t xml:space="preserve">Consequently, there is a focus on the textual </w:t>
      </w:r>
      <w:r w:rsidR="00BF6145">
        <w:rPr>
          <w:lang w:val="en-US"/>
        </w:rPr>
        <w:t xml:space="preserve">and </w:t>
      </w:r>
      <w:r w:rsidR="00D03815">
        <w:rPr>
          <w:lang w:val="en-US"/>
        </w:rPr>
        <w:t>discursive content of the produced statements. This approach may also be referred to as qualitative content analysis</w:t>
      </w:r>
      <w:r w:rsidR="004C7700">
        <w:rPr>
          <w:lang w:val="en-US"/>
        </w:rPr>
        <w:t xml:space="preserve"> (a part of the case study research design)</w:t>
      </w:r>
      <w:r w:rsidR="00D03815">
        <w:rPr>
          <w:lang w:val="en-US"/>
        </w:rPr>
        <w:t>, which differs from the classical quantitative content analysis</w:t>
      </w:r>
      <w:r w:rsidR="003D61FC">
        <w:rPr>
          <w:lang w:val="en-US"/>
        </w:rPr>
        <w:t xml:space="preserve"> by including the context as well as other considerations</w:t>
      </w:r>
      <w:r w:rsidR="00F24AD8">
        <w:rPr>
          <w:lang w:val="en-US"/>
        </w:rPr>
        <w:t xml:space="preserve"> based on</w:t>
      </w:r>
      <w:r w:rsidR="00E61E16">
        <w:rPr>
          <w:lang w:val="en-US"/>
        </w:rPr>
        <w:t xml:space="preserve"> the</w:t>
      </w:r>
      <w:r w:rsidR="00F24AD8">
        <w:rPr>
          <w:lang w:val="en-US"/>
        </w:rPr>
        <w:t xml:space="preserve"> research area</w:t>
      </w:r>
      <w:sdt>
        <w:sdtPr>
          <w:rPr>
            <w:lang w:val="en-US"/>
          </w:rPr>
          <w:id w:val="-1102802393"/>
          <w:citation/>
        </w:sdtPr>
        <w:sdtContent>
          <w:r w:rsidR="003D61FC">
            <w:rPr>
              <w:lang w:val="en-US"/>
            </w:rPr>
            <w:fldChar w:fldCharType="begin"/>
          </w:r>
          <w:r w:rsidR="003D61FC">
            <w:rPr>
              <w:lang w:val="en-US"/>
            </w:rPr>
            <w:instrText xml:space="preserve">CITATION Koh06 \p 86 \l 1030 </w:instrText>
          </w:r>
          <w:r w:rsidR="003D61FC">
            <w:rPr>
              <w:lang w:val="en-US"/>
            </w:rPr>
            <w:fldChar w:fldCharType="separate"/>
          </w:r>
          <w:r w:rsidR="00F623D4">
            <w:rPr>
              <w:noProof/>
              <w:lang w:val="en-US"/>
            </w:rPr>
            <w:t xml:space="preserve"> (Kohlbacher 2006, 86)</w:t>
          </w:r>
          <w:r w:rsidR="003D61FC">
            <w:rPr>
              <w:lang w:val="en-US"/>
            </w:rPr>
            <w:fldChar w:fldCharType="end"/>
          </w:r>
        </w:sdtContent>
      </w:sdt>
      <w:r w:rsidR="003D61FC">
        <w:rPr>
          <w:lang w:val="en-US"/>
        </w:rPr>
        <w:t>. Moreover, qualitative conte</w:t>
      </w:r>
      <w:r w:rsidR="00F24AD8">
        <w:rPr>
          <w:lang w:val="en-US"/>
        </w:rPr>
        <w:t xml:space="preserve">nt analysis is theory-guided, </w:t>
      </w:r>
      <w:r w:rsidR="009D38F9">
        <w:rPr>
          <w:lang w:val="en-US"/>
        </w:rPr>
        <w:t>where it in</w:t>
      </w:r>
      <w:r w:rsidR="00F24AD8">
        <w:rPr>
          <w:lang w:val="en-US"/>
        </w:rPr>
        <w:t xml:space="preserve"> this study relies on critical discourse analysis</w:t>
      </w:r>
      <w:r w:rsidR="00E61E16">
        <w:rPr>
          <w:lang w:val="en-US"/>
        </w:rPr>
        <w:t xml:space="preserve"> </w:t>
      </w:r>
      <w:sdt>
        <w:sdtPr>
          <w:rPr>
            <w:lang w:val="en-US"/>
          </w:rPr>
          <w:id w:val="1642008697"/>
          <w:citation/>
        </w:sdtPr>
        <w:sdtContent>
          <w:r w:rsidR="00E61E16">
            <w:rPr>
              <w:lang w:val="en-US"/>
            </w:rPr>
            <w:fldChar w:fldCharType="begin"/>
          </w:r>
          <w:r w:rsidR="00E61E16">
            <w:rPr>
              <w:lang w:val="en-US"/>
            </w:rPr>
            <w:instrText xml:space="preserve">CITATION Koh06 \p 54 \l 1030 </w:instrText>
          </w:r>
          <w:r w:rsidR="00E61E16">
            <w:rPr>
              <w:lang w:val="en-US"/>
            </w:rPr>
            <w:fldChar w:fldCharType="separate"/>
          </w:r>
          <w:r w:rsidR="00F623D4">
            <w:rPr>
              <w:noProof/>
              <w:lang w:val="en-US"/>
            </w:rPr>
            <w:t>(Kohlbacher 2006, 54)</w:t>
          </w:r>
          <w:r w:rsidR="00E61E16">
            <w:rPr>
              <w:lang w:val="en-US"/>
            </w:rPr>
            <w:fldChar w:fldCharType="end"/>
          </w:r>
        </w:sdtContent>
      </w:sdt>
      <w:r w:rsidR="00E61E16">
        <w:rPr>
          <w:lang w:val="en-US"/>
        </w:rPr>
        <w:t>.</w:t>
      </w:r>
    </w:p>
    <w:p w:rsidR="00DC6637" w:rsidRDefault="00AB7E06" w:rsidP="00337119">
      <w:pPr>
        <w:pStyle w:val="Overskrift2"/>
        <w:spacing w:line="360" w:lineRule="auto"/>
        <w:rPr>
          <w:lang w:val="en-US"/>
        </w:rPr>
      </w:pPr>
      <w:bookmarkStart w:id="29" w:name="_Toc420075813"/>
      <w:bookmarkStart w:id="30" w:name="_Toc420761622"/>
      <w:r>
        <w:rPr>
          <w:lang w:val="en-US"/>
        </w:rPr>
        <w:t xml:space="preserve">2.7 </w:t>
      </w:r>
      <w:r w:rsidR="00DC6637">
        <w:rPr>
          <w:lang w:val="en-US"/>
        </w:rPr>
        <w:t>Delimitations</w:t>
      </w:r>
      <w:bookmarkEnd w:id="29"/>
      <w:bookmarkEnd w:id="30"/>
    </w:p>
    <w:p w:rsidR="00733540" w:rsidRDefault="00B729A6" w:rsidP="00337119">
      <w:pPr>
        <w:spacing w:line="360" w:lineRule="auto"/>
        <w:rPr>
          <w:lang w:val="en-US"/>
        </w:rPr>
      </w:pPr>
      <w:r>
        <w:rPr>
          <w:lang w:val="en-US"/>
        </w:rPr>
        <w:t xml:space="preserve">A few factors </w:t>
      </w:r>
      <w:r w:rsidR="00733540">
        <w:rPr>
          <w:lang w:val="en-US"/>
        </w:rPr>
        <w:t xml:space="preserve">may inhibit the reliability and generalizability of the findings. First of all, the study includes all official statements in connection with Mozilla, which are being analyzed from two different perspectives (crisis communication and CDA) – in order to </w:t>
      </w:r>
      <w:r w:rsidR="00D439B2">
        <w:rPr>
          <w:lang w:val="en-US"/>
        </w:rPr>
        <w:t xml:space="preserve">reach a more comprehensive understanding. However, this may result in the study not being able to go into specific details with each statement, </w:t>
      </w:r>
      <w:r w:rsidR="00A30494">
        <w:rPr>
          <w:lang w:val="en-US"/>
        </w:rPr>
        <w:t>possibly</w:t>
      </w:r>
      <w:r w:rsidR="00D439B2">
        <w:rPr>
          <w:lang w:val="en-US"/>
        </w:rPr>
        <w:t xml:space="preserve"> leaving details unaccounted for. </w:t>
      </w:r>
      <w:r w:rsidR="00E57F4F">
        <w:rPr>
          <w:lang w:val="en-US"/>
        </w:rPr>
        <w:t>Moreover</w:t>
      </w:r>
      <w:r w:rsidR="00D439B2">
        <w:rPr>
          <w:lang w:val="en-US"/>
        </w:rPr>
        <w:t>, stakeholder statements</w:t>
      </w:r>
      <w:r w:rsidR="00A84D9C">
        <w:rPr>
          <w:lang w:val="en-US"/>
        </w:rPr>
        <w:t xml:space="preserve"> and </w:t>
      </w:r>
      <w:r w:rsidR="00A84D9C">
        <w:rPr>
          <w:lang w:val="en-US"/>
        </w:rPr>
        <w:lastRenderedPageBreak/>
        <w:t xml:space="preserve">other data </w:t>
      </w:r>
      <w:r w:rsidR="00D439B2">
        <w:rPr>
          <w:lang w:val="en-US"/>
        </w:rPr>
        <w:t xml:space="preserve">have not </w:t>
      </w:r>
      <w:r w:rsidR="00E57F4F">
        <w:rPr>
          <w:lang w:val="en-US"/>
        </w:rPr>
        <w:t xml:space="preserve">directly </w:t>
      </w:r>
      <w:r w:rsidR="00D439B2">
        <w:rPr>
          <w:lang w:val="en-US"/>
        </w:rPr>
        <w:t xml:space="preserve">been brought into the analysis, which is </w:t>
      </w:r>
      <w:r w:rsidR="00A30494">
        <w:rPr>
          <w:lang w:val="en-US"/>
        </w:rPr>
        <w:t>explained</w:t>
      </w:r>
      <w:r w:rsidR="00D439B2">
        <w:rPr>
          <w:lang w:val="en-US"/>
        </w:rPr>
        <w:t xml:space="preserve"> by the latter</w:t>
      </w:r>
      <w:r w:rsidR="00A84D9C">
        <w:rPr>
          <w:lang w:val="en-US"/>
        </w:rPr>
        <w:t xml:space="preserve">. </w:t>
      </w:r>
      <w:r w:rsidR="00E57F4F">
        <w:rPr>
          <w:lang w:val="en-US"/>
        </w:rPr>
        <w:t>Secondly</w:t>
      </w:r>
      <w:r w:rsidR="00A84D9C">
        <w:rPr>
          <w:lang w:val="en-US"/>
        </w:rPr>
        <w:t xml:space="preserve">, </w:t>
      </w:r>
      <w:r w:rsidR="00E07CB2">
        <w:rPr>
          <w:lang w:val="en-US"/>
        </w:rPr>
        <w:t>even though the communication of crisis-related information within the case of Mozilla was exclusively through the internet medium, the online</w:t>
      </w:r>
      <w:r w:rsidR="00A84D9C">
        <w:rPr>
          <w:lang w:val="en-US"/>
        </w:rPr>
        <w:t xml:space="preserve"> </w:t>
      </w:r>
      <w:r w:rsidR="00B36C0C">
        <w:rPr>
          <w:lang w:val="en-US"/>
        </w:rPr>
        <w:t xml:space="preserve">(web 2.0) </w:t>
      </w:r>
      <w:r w:rsidR="00A84D9C">
        <w:rPr>
          <w:lang w:val="en-US"/>
        </w:rPr>
        <w:t xml:space="preserve">context (social media channels and dissemination of information) </w:t>
      </w:r>
      <w:r w:rsidR="00E07CB2">
        <w:rPr>
          <w:lang w:val="en-US"/>
        </w:rPr>
        <w:t xml:space="preserve">is only briefly addressed in the literature review (3.1). Consequently, it is an acknowledged area, but it </w:t>
      </w:r>
      <w:r w:rsidR="00A84D9C">
        <w:rPr>
          <w:lang w:val="en-US"/>
        </w:rPr>
        <w:t>has not been included</w:t>
      </w:r>
      <w:r w:rsidR="00E07CB2">
        <w:rPr>
          <w:lang w:val="en-US"/>
        </w:rPr>
        <w:t xml:space="preserve"> in the analysis</w:t>
      </w:r>
      <w:r w:rsidR="00A84D9C">
        <w:rPr>
          <w:lang w:val="en-US"/>
        </w:rPr>
        <w:t xml:space="preserve">, as it does not have direct significance to the area of research. </w:t>
      </w:r>
    </w:p>
    <w:p w:rsidR="000062A8" w:rsidRPr="001F4264" w:rsidRDefault="000062A8" w:rsidP="00337119">
      <w:pPr>
        <w:pStyle w:val="Overskrift1"/>
        <w:pBdr>
          <w:bottom w:val="single" w:sz="4" w:space="1" w:color="auto"/>
        </w:pBdr>
        <w:rPr>
          <w:lang w:val="en-US"/>
        </w:rPr>
      </w:pPr>
      <w:bookmarkStart w:id="31" w:name="_Toc420761623"/>
      <w:r>
        <w:rPr>
          <w:lang w:val="en-US"/>
        </w:rPr>
        <w:t>3. Literature Review</w:t>
      </w:r>
      <w:bookmarkEnd w:id="31"/>
    </w:p>
    <w:p w:rsidR="000062A8" w:rsidRPr="00CF717B" w:rsidRDefault="000062A8" w:rsidP="00337119">
      <w:pPr>
        <w:spacing w:line="360" w:lineRule="auto"/>
        <w:rPr>
          <w:lang w:val="en-US"/>
        </w:rPr>
      </w:pPr>
      <w:r>
        <w:rPr>
          <w:lang w:val="en-US"/>
        </w:rPr>
        <w:t>Th</w:t>
      </w:r>
      <w:r w:rsidR="00404428">
        <w:rPr>
          <w:lang w:val="en-US"/>
        </w:rPr>
        <w:t>is chapter precedes the main theory section of the study and</w:t>
      </w:r>
      <w:r>
        <w:rPr>
          <w:lang w:val="en-US"/>
        </w:rPr>
        <w:t xml:space="preserve"> will include a brief review of </w:t>
      </w:r>
      <w:r w:rsidR="00DD532D">
        <w:rPr>
          <w:lang w:val="en-US"/>
        </w:rPr>
        <w:t>relevant</w:t>
      </w:r>
      <w:r>
        <w:rPr>
          <w:lang w:val="en-US"/>
        </w:rPr>
        <w:t xml:space="preserve"> literature, affili</w:t>
      </w:r>
      <w:r w:rsidR="00404428">
        <w:rPr>
          <w:lang w:val="en-US"/>
        </w:rPr>
        <w:t>ated with the topic of interest –</w:t>
      </w:r>
      <w:r>
        <w:rPr>
          <w:lang w:val="en-US"/>
        </w:rPr>
        <w:t xml:space="preserve"> so as to provide an understanding of the literary background of the research area, emphasizing its context as well as underlying interest.</w:t>
      </w:r>
    </w:p>
    <w:p w:rsidR="000062A8" w:rsidRDefault="000062A8" w:rsidP="00337119">
      <w:pPr>
        <w:pStyle w:val="Overskrift3"/>
        <w:spacing w:line="360" w:lineRule="auto"/>
        <w:rPr>
          <w:lang w:val="en-US"/>
        </w:rPr>
      </w:pPr>
      <w:bookmarkStart w:id="32" w:name="_Toc420761624"/>
      <w:r>
        <w:rPr>
          <w:lang w:val="en-US"/>
        </w:rPr>
        <w:t>3.1 Crisis Communication</w:t>
      </w:r>
      <w:bookmarkEnd w:id="32"/>
    </w:p>
    <w:p w:rsidR="000062A8" w:rsidRDefault="00EC0528" w:rsidP="00337119">
      <w:pPr>
        <w:spacing w:line="360" w:lineRule="auto"/>
        <w:rPr>
          <w:lang w:val="en-US"/>
        </w:rPr>
      </w:pPr>
      <w:r w:rsidRPr="00CF717B">
        <w:rPr>
          <w:lang w:val="en-US"/>
        </w:rPr>
        <w:t>The crisis communication area is an important aspect within the public relations field and</w:t>
      </w:r>
      <w:r>
        <w:rPr>
          <w:lang w:val="en-US"/>
        </w:rPr>
        <w:t xml:space="preserve"> the research of communications</w:t>
      </w:r>
      <w:r w:rsidR="00D45023">
        <w:rPr>
          <w:lang w:val="en-US"/>
        </w:rPr>
        <w:t xml:space="preserve">. </w:t>
      </w:r>
      <w:r w:rsidRPr="00CF717B">
        <w:rPr>
          <w:lang w:val="en-US"/>
        </w:rPr>
        <w:t>Throughout</w:t>
      </w:r>
      <w:r>
        <w:rPr>
          <w:lang w:val="en-US"/>
        </w:rPr>
        <w:t xml:space="preserve"> </w:t>
      </w:r>
      <w:r w:rsidR="00D45023">
        <w:rPr>
          <w:lang w:val="en-US"/>
        </w:rPr>
        <w:t>recent decades,</w:t>
      </w:r>
      <w:r w:rsidR="000062A8" w:rsidRPr="00CF717B">
        <w:rPr>
          <w:lang w:val="en-US"/>
        </w:rPr>
        <w:t xml:space="preserve"> </w:t>
      </w:r>
      <w:r w:rsidR="00D45023">
        <w:rPr>
          <w:lang w:val="en-US"/>
        </w:rPr>
        <w:t>crisis communication has been</w:t>
      </w:r>
      <w:r w:rsidR="000062A8" w:rsidRPr="00CF717B">
        <w:rPr>
          <w:lang w:val="en-US"/>
        </w:rPr>
        <w:t xml:space="preserve"> conceptualized around the practice of conveying a message from organization to stakeholders during an organizational crisis</w:t>
      </w:r>
      <w:r w:rsidR="00D45023">
        <w:rPr>
          <w:lang w:val="en-US"/>
        </w:rPr>
        <w:t xml:space="preserve"> </w:t>
      </w:r>
      <w:sdt>
        <w:sdtPr>
          <w:rPr>
            <w:lang w:val="en-US"/>
          </w:rPr>
          <w:id w:val="-225067547"/>
          <w:citation/>
        </w:sdtPr>
        <w:sdtContent>
          <w:r w:rsidR="000062A8" w:rsidRPr="00CF717B">
            <w:rPr>
              <w:lang w:val="en-US"/>
            </w:rPr>
            <w:fldChar w:fldCharType="begin"/>
          </w:r>
          <w:r w:rsidR="00D45023">
            <w:rPr>
              <w:lang w:val="en-US"/>
            </w:rPr>
            <w:instrText xml:space="preserve">CITATION Tim13 \m Fin07 \p 187 \t  \l 1030 </w:instrText>
          </w:r>
          <w:r w:rsidR="000062A8" w:rsidRPr="00CF717B">
            <w:rPr>
              <w:lang w:val="en-US"/>
            </w:rPr>
            <w:fldChar w:fldCharType="separate"/>
          </w:r>
          <w:r w:rsidR="00F623D4">
            <w:rPr>
              <w:noProof/>
              <w:lang w:val="en-US"/>
            </w:rPr>
            <w:t>(Sellnow and Seeger 2013, Frandsen and Johansen 2007, 187)</w:t>
          </w:r>
          <w:r w:rsidR="000062A8" w:rsidRPr="00CF717B">
            <w:rPr>
              <w:lang w:val="en-US"/>
            </w:rPr>
            <w:fldChar w:fldCharType="end"/>
          </w:r>
        </w:sdtContent>
      </w:sdt>
      <w:r w:rsidR="000062A8" w:rsidRPr="00CF717B">
        <w:rPr>
          <w:lang w:val="en-US"/>
        </w:rPr>
        <w:t>. William Benoit represents the theory of this practice with a descriptive approach and a case-study design, constituting a comprehensive typology of rhetorical crisis repair strategies</w:t>
      </w:r>
      <w:sdt>
        <w:sdtPr>
          <w:rPr>
            <w:lang w:val="en-US"/>
          </w:rPr>
          <w:id w:val="1466157446"/>
          <w:citation/>
        </w:sdtPr>
        <w:sdtContent>
          <w:r w:rsidR="000062A8" w:rsidRPr="00CF717B">
            <w:rPr>
              <w:lang w:val="en-US"/>
            </w:rPr>
            <w:fldChar w:fldCharType="begin"/>
          </w:r>
          <w:r w:rsidR="00F44044">
            <w:rPr>
              <w:lang w:val="en-US"/>
            </w:rPr>
            <w:instrText xml:space="preserve">CITATION Ben97 \m Wil97 \t  \l 1030 </w:instrText>
          </w:r>
          <w:r w:rsidR="000062A8" w:rsidRPr="00CF717B">
            <w:rPr>
              <w:lang w:val="en-US"/>
            </w:rPr>
            <w:fldChar w:fldCharType="separate"/>
          </w:r>
          <w:r w:rsidR="00F623D4">
            <w:rPr>
              <w:noProof/>
              <w:lang w:val="en-US"/>
            </w:rPr>
            <w:t xml:space="preserve"> (W. L. Benoit 1997, Benoit and Drew 1997)</w:t>
          </w:r>
          <w:r w:rsidR="000062A8" w:rsidRPr="00CF717B">
            <w:rPr>
              <w:lang w:val="en-US"/>
            </w:rPr>
            <w:fldChar w:fldCharType="end"/>
          </w:r>
        </w:sdtContent>
      </w:sdt>
      <w:r w:rsidR="000062A8" w:rsidRPr="00CF717B">
        <w:rPr>
          <w:lang w:val="en-US"/>
        </w:rPr>
        <w:t>. From a more prescriptive approach, in relation to attribution theory, Timothy Coombs</w:t>
      </w:r>
      <w:r w:rsidR="0013362B">
        <w:rPr>
          <w:lang w:val="en-US"/>
        </w:rPr>
        <w:t xml:space="preserve"> challenges</w:t>
      </w:r>
      <w:r w:rsidR="000062A8">
        <w:rPr>
          <w:lang w:val="en-US"/>
        </w:rPr>
        <w:t xml:space="preserve"> the practice of a descriptive one-way transmission of a rhetorical message</w:t>
      </w:r>
      <w:r w:rsidR="000062A8" w:rsidRPr="0075257F">
        <w:rPr>
          <w:rFonts w:cs="Times New Roman"/>
          <w:lang w:val="en-US"/>
        </w:rPr>
        <w:t xml:space="preserve"> </w:t>
      </w:r>
      <w:sdt>
        <w:sdtPr>
          <w:rPr>
            <w:rFonts w:cs="Times New Roman"/>
            <w:lang w:val="en-US"/>
          </w:rPr>
          <w:id w:val="1926917518"/>
          <w:citation/>
        </w:sdtPr>
        <w:sdtContent>
          <w:r w:rsidR="000062A8" w:rsidRPr="00CF717B">
            <w:rPr>
              <w:rFonts w:cs="Times New Roman"/>
              <w:lang w:val="en-US"/>
            </w:rPr>
            <w:fldChar w:fldCharType="begin"/>
          </w:r>
          <w:r w:rsidR="00CD45AF">
            <w:rPr>
              <w:rFonts w:cs="Times New Roman"/>
              <w:lang w:val="en-US"/>
            </w:rPr>
            <w:instrText xml:space="preserve">CITATION Pro07 \t  \l 1030 </w:instrText>
          </w:r>
          <w:r w:rsidR="000062A8" w:rsidRPr="00CF717B">
            <w:rPr>
              <w:rFonts w:cs="Times New Roman"/>
              <w:lang w:val="en-US"/>
            </w:rPr>
            <w:fldChar w:fldCharType="separate"/>
          </w:r>
          <w:r w:rsidR="00F623D4" w:rsidRPr="00F623D4">
            <w:rPr>
              <w:rFonts w:cs="Times New Roman"/>
              <w:noProof/>
              <w:lang w:val="en-US"/>
            </w:rPr>
            <w:t>(W. T. Coombs 2007)</w:t>
          </w:r>
          <w:r w:rsidR="000062A8" w:rsidRPr="00CF717B">
            <w:rPr>
              <w:rFonts w:cs="Times New Roman"/>
              <w:lang w:val="en-US"/>
            </w:rPr>
            <w:fldChar w:fldCharType="end"/>
          </w:r>
        </w:sdtContent>
      </w:sdt>
      <w:r w:rsidR="000062A8" w:rsidRPr="00CF717B">
        <w:rPr>
          <w:lang w:val="en-US"/>
        </w:rPr>
        <w:t>. His theoretical framework operates around stakeholder perceptions – more specifically how stakeholder</w:t>
      </w:r>
      <w:r w:rsidR="000062A8">
        <w:rPr>
          <w:lang w:val="en-US"/>
        </w:rPr>
        <w:t>s perceive the crisis at hand. Accordingly, h</w:t>
      </w:r>
      <w:r w:rsidR="000062A8" w:rsidRPr="00CF717B">
        <w:rPr>
          <w:lang w:val="en-US"/>
        </w:rPr>
        <w:t xml:space="preserve">ow the crisis is perceived determines the utilization of </w:t>
      </w:r>
      <w:r w:rsidR="000062A8">
        <w:rPr>
          <w:lang w:val="en-US"/>
        </w:rPr>
        <w:t>rhetorical</w:t>
      </w:r>
      <w:r w:rsidR="000062A8" w:rsidRPr="00CF717B">
        <w:rPr>
          <w:lang w:val="en-US"/>
        </w:rPr>
        <w:t xml:space="preserve"> response strategies</w:t>
      </w:r>
      <w:sdt>
        <w:sdtPr>
          <w:rPr>
            <w:lang w:val="en-US"/>
          </w:rPr>
          <w:id w:val="1151875776"/>
          <w:citation/>
        </w:sdtPr>
        <w:sdtContent>
          <w:r w:rsidR="000062A8" w:rsidRPr="00CF717B">
            <w:rPr>
              <w:lang w:val="en-US"/>
            </w:rPr>
            <w:fldChar w:fldCharType="begin"/>
          </w:r>
          <w:r w:rsidR="000062A8" w:rsidRPr="00CF717B">
            <w:rPr>
              <w:lang w:val="en-US"/>
            </w:rPr>
            <w:instrText xml:space="preserve">CITATION Pro07 \t  \l 1030 </w:instrText>
          </w:r>
          <w:r w:rsidR="000062A8" w:rsidRPr="00CF717B">
            <w:rPr>
              <w:lang w:val="en-US"/>
            </w:rPr>
            <w:fldChar w:fldCharType="separate"/>
          </w:r>
          <w:r w:rsidR="00F623D4">
            <w:rPr>
              <w:noProof/>
              <w:lang w:val="en-US"/>
            </w:rPr>
            <w:t xml:space="preserve"> (W. T. Coombs 2007)</w:t>
          </w:r>
          <w:r w:rsidR="000062A8" w:rsidRPr="00CF717B">
            <w:rPr>
              <w:lang w:val="en-US"/>
            </w:rPr>
            <w:fldChar w:fldCharType="end"/>
          </w:r>
        </w:sdtContent>
      </w:sdt>
      <w:r w:rsidR="000062A8" w:rsidRPr="00CF717B">
        <w:rPr>
          <w:lang w:val="en-US"/>
        </w:rPr>
        <w:t xml:space="preserve">. </w:t>
      </w:r>
    </w:p>
    <w:p w:rsidR="000062A8" w:rsidRDefault="000062A8" w:rsidP="00337119">
      <w:pPr>
        <w:spacing w:line="360" w:lineRule="auto"/>
        <w:rPr>
          <w:lang w:val="en-US"/>
        </w:rPr>
      </w:pPr>
      <w:r w:rsidRPr="00CF717B">
        <w:rPr>
          <w:lang w:val="en-US"/>
        </w:rPr>
        <w:t xml:space="preserve">Finn Frandsen and </w:t>
      </w:r>
      <w:proofErr w:type="spellStart"/>
      <w:r w:rsidRPr="00CF717B">
        <w:rPr>
          <w:lang w:val="en-US"/>
        </w:rPr>
        <w:t>Winni</w:t>
      </w:r>
      <w:proofErr w:type="spellEnd"/>
      <w:r w:rsidRPr="00CF717B">
        <w:rPr>
          <w:lang w:val="en-US"/>
        </w:rPr>
        <w:t xml:space="preserve"> Johansen</w:t>
      </w:r>
      <w:r>
        <w:rPr>
          <w:lang w:val="en-US"/>
        </w:rPr>
        <w:t xml:space="preserve"> (2007)</w:t>
      </w:r>
      <w:r w:rsidRPr="00CF717B">
        <w:rPr>
          <w:lang w:val="en-US"/>
        </w:rPr>
        <w:t xml:space="preserve"> represent a supplementing perspective on crisis communication, which derives from the early studies of both Benoit and Coombs</w:t>
      </w:r>
      <w:sdt>
        <w:sdtPr>
          <w:rPr>
            <w:lang w:val="en-US"/>
          </w:rPr>
          <w:id w:val="946970876"/>
          <w:citation/>
        </w:sdtPr>
        <w:sdtContent>
          <w:r w:rsidRPr="00CF717B">
            <w:rPr>
              <w:lang w:val="en-US"/>
            </w:rPr>
            <w:fldChar w:fldCharType="begin"/>
          </w:r>
          <w:r w:rsidRPr="00CF717B">
            <w:rPr>
              <w:lang w:val="en-US"/>
            </w:rPr>
            <w:instrText xml:space="preserve">CITATION Fin07 \p 251 \t  \l 1030 </w:instrText>
          </w:r>
          <w:r w:rsidRPr="00CF717B">
            <w:rPr>
              <w:lang w:val="en-US"/>
            </w:rPr>
            <w:fldChar w:fldCharType="separate"/>
          </w:r>
          <w:r w:rsidR="00F623D4">
            <w:rPr>
              <w:noProof/>
              <w:lang w:val="en-US"/>
            </w:rPr>
            <w:t xml:space="preserve"> (Frandsen and Johansen 2007, 251)</w:t>
          </w:r>
          <w:r w:rsidRPr="00CF717B">
            <w:rPr>
              <w:lang w:val="en-US"/>
            </w:rPr>
            <w:fldChar w:fldCharType="end"/>
          </w:r>
        </w:sdtContent>
      </w:sdt>
      <w:r w:rsidRPr="00CF717B">
        <w:rPr>
          <w:lang w:val="en-US"/>
        </w:rPr>
        <w:t>. Their theoret</w:t>
      </w:r>
      <w:r>
        <w:rPr>
          <w:lang w:val="en-US"/>
        </w:rPr>
        <w:t xml:space="preserve">ical framework, referred to as </w:t>
      </w:r>
      <w:r w:rsidRPr="000A3BB4">
        <w:rPr>
          <w:i/>
          <w:lang w:val="en-US"/>
        </w:rPr>
        <w:t>The</w:t>
      </w:r>
      <w:r w:rsidRPr="00CF717B">
        <w:rPr>
          <w:lang w:val="en-US"/>
        </w:rPr>
        <w:t xml:space="preserve"> </w:t>
      </w:r>
      <w:r>
        <w:rPr>
          <w:i/>
          <w:lang w:val="en-US"/>
        </w:rPr>
        <w:t>R</w:t>
      </w:r>
      <w:r w:rsidRPr="00CF717B">
        <w:rPr>
          <w:i/>
          <w:lang w:val="en-US"/>
        </w:rPr>
        <w:t xml:space="preserve">hetorical </w:t>
      </w:r>
      <w:r>
        <w:rPr>
          <w:i/>
          <w:lang w:val="en-US"/>
        </w:rPr>
        <w:t>A</w:t>
      </w:r>
      <w:r w:rsidRPr="00CF717B">
        <w:rPr>
          <w:i/>
          <w:lang w:val="en-US"/>
        </w:rPr>
        <w:t>rena</w:t>
      </w:r>
      <w:r w:rsidRPr="00CF717B">
        <w:rPr>
          <w:lang w:val="en-US"/>
        </w:rPr>
        <w:t>, seeks its foundation and inspiration from both the text-oriented tradition (Benoit et.al.) and the context-oriented tradition (Coombs et.al.)</w:t>
      </w:r>
      <w:sdt>
        <w:sdtPr>
          <w:rPr>
            <w:lang w:val="en-US"/>
          </w:rPr>
          <w:id w:val="1451362691"/>
          <w:citation/>
        </w:sdtPr>
        <w:sdtContent>
          <w:r w:rsidRPr="00CF717B">
            <w:rPr>
              <w:lang w:val="en-US"/>
            </w:rPr>
            <w:fldChar w:fldCharType="begin"/>
          </w:r>
          <w:r w:rsidRPr="00CF717B">
            <w:rPr>
              <w:lang w:val="en-US"/>
            </w:rPr>
            <w:instrText xml:space="preserve">CITATION Fra13 \t  \l 1030 </w:instrText>
          </w:r>
          <w:r w:rsidRPr="00CF717B">
            <w:rPr>
              <w:lang w:val="en-US"/>
            </w:rPr>
            <w:fldChar w:fldCharType="separate"/>
          </w:r>
          <w:r w:rsidR="00F623D4">
            <w:rPr>
              <w:noProof/>
              <w:lang w:val="en-US"/>
            </w:rPr>
            <w:t xml:space="preserve"> (Frandsen and Johansen 2013)</w:t>
          </w:r>
          <w:r w:rsidRPr="00CF717B">
            <w:rPr>
              <w:lang w:val="en-US"/>
            </w:rPr>
            <w:fldChar w:fldCharType="end"/>
          </w:r>
        </w:sdtContent>
      </w:sdt>
      <w:r w:rsidRPr="00CF717B">
        <w:rPr>
          <w:lang w:val="en-US"/>
        </w:rPr>
        <w:t xml:space="preserve">. Frandsen and Johansen </w:t>
      </w:r>
      <w:r>
        <w:rPr>
          <w:lang w:val="en-US"/>
        </w:rPr>
        <w:t xml:space="preserve">introduce </w:t>
      </w:r>
      <w:r w:rsidRPr="00CF717B">
        <w:rPr>
          <w:lang w:val="en-US"/>
        </w:rPr>
        <w:t>a mul</w:t>
      </w:r>
      <w:r>
        <w:rPr>
          <w:lang w:val="en-US"/>
        </w:rPr>
        <w:t>ti-vocal approach,</w:t>
      </w:r>
      <w:r w:rsidRPr="00CF717B">
        <w:rPr>
          <w:lang w:val="en-US"/>
        </w:rPr>
        <w:t xml:space="preserve"> portraying the complexity and dynamics of a crisis situation, where the potentiality of several cross-interacting senders and receivers are taken into account (Ibid: 252). </w:t>
      </w:r>
      <w:r w:rsidRPr="00CF717B">
        <w:rPr>
          <w:lang w:val="en-US"/>
        </w:rPr>
        <w:lastRenderedPageBreak/>
        <w:t>With supplementing inspiration from other theories, such as aspects from text and discourse theories, both a macro and micro component constitutes their rhetorical arena model</w:t>
      </w:r>
      <w:sdt>
        <w:sdtPr>
          <w:rPr>
            <w:lang w:val="en-US"/>
          </w:rPr>
          <w:id w:val="507567096"/>
          <w:citation/>
        </w:sdtPr>
        <w:sdtContent>
          <w:r w:rsidRPr="00CF717B">
            <w:rPr>
              <w:lang w:val="en-US"/>
            </w:rPr>
            <w:fldChar w:fldCharType="begin"/>
          </w:r>
          <w:r w:rsidRPr="00CF717B">
            <w:rPr>
              <w:lang w:val="en-US"/>
            </w:rPr>
            <w:instrText xml:space="preserve">CITATION Fra12 \t  \l 1030 </w:instrText>
          </w:r>
          <w:r w:rsidRPr="00CF717B">
            <w:rPr>
              <w:lang w:val="en-US"/>
            </w:rPr>
            <w:fldChar w:fldCharType="separate"/>
          </w:r>
          <w:r w:rsidR="00F623D4">
            <w:rPr>
              <w:noProof/>
              <w:lang w:val="en-US"/>
            </w:rPr>
            <w:t xml:space="preserve"> (Frandsen and Johansen 2012)</w:t>
          </w:r>
          <w:r w:rsidRPr="00CF717B">
            <w:rPr>
              <w:lang w:val="en-US"/>
            </w:rPr>
            <w:fldChar w:fldCharType="end"/>
          </w:r>
        </w:sdtContent>
      </w:sdt>
      <w:r w:rsidRPr="00CF717B">
        <w:rPr>
          <w:lang w:val="en-US"/>
        </w:rPr>
        <w:t xml:space="preserve">. The first represents the communicative circumstances and processes inside of the figurative </w:t>
      </w:r>
      <w:r w:rsidRPr="00CF717B">
        <w:rPr>
          <w:i/>
          <w:lang w:val="en-US"/>
        </w:rPr>
        <w:t>arena</w:t>
      </w:r>
      <w:r w:rsidRPr="00CF717B">
        <w:rPr>
          <w:lang w:val="en-US"/>
        </w:rPr>
        <w:t>, determined by the number and nature of actors/voices communicating in relation to the specific crisis</w:t>
      </w:r>
      <w:sdt>
        <w:sdtPr>
          <w:rPr>
            <w:lang w:val="en-US"/>
          </w:rPr>
          <w:id w:val="507179522"/>
          <w:citation/>
        </w:sdtPr>
        <w:sdtContent>
          <w:r w:rsidRPr="00CF717B">
            <w:rPr>
              <w:lang w:val="en-US"/>
            </w:rPr>
            <w:fldChar w:fldCharType="begin"/>
          </w:r>
          <w:r w:rsidRPr="00CF717B">
            <w:rPr>
              <w:lang w:val="en-US"/>
            </w:rPr>
            <w:instrText xml:space="preserve">CITATION Fin07 \p 275-277 \t  \l 1030 </w:instrText>
          </w:r>
          <w:r w:rsidRPr="00CF717B">
            <w:rPr>
              <w:lang w:val="en-US"/>
            </w:rPr>
            <w:fldChar w:fldCharType="separate"/>
          </w:r>
          <w:r w:rsidR="00F623D4">
            <w:rPr>
              <w:noProof/>
              <w:lang w:val="en-US"/>
            </w:rPr>
            <w:t xml:space="preserve"> (Frandsen and Johansen 2007, 275-277)</w:t>
          </w:r>
          <w:r w:rsidRPr="00CF717B">
            <w:rPr>
              <w:lang w:val="en-US"/>
            </w:rPr>
            <w:fldChar w:fldCharType="end"/>
          </w:r>
        </w:sdtContent>
      </w:sdt>
      <w:r w:rsidRPr="00CF717B">
        <w:rPr>
          <w:lang w:val="en-US"/>
        </w:rPr>
        <w:t>. The latter represents the individual processes and discourses, mediated through the f</w:t>
      </w:r>
      <w:r>
        <w:rPr>
          <w:lang w:val="en-US"/>
        </w:rPr>
        <w:t xml:space="preserve">our parameters of </w:t>
      </w:r>
      <w:r w:rsidRPr="00C12F0A">
        <w:rPr>
          <w:i/>
          <w:lang w:val="en-US"/>
        </w:rPr>
        <w:t>context, medium, genre</w:t>
      </w:r>
      <w:r w:rsidRPr="00CF717B">
        <w:rPr>
          <w:lang w:val="en-US"/>
        </w:rPr>
        <w:t xml:space="preserve"> and </w:t>
      </w:r>
      <w:r w:rsidRPr="00C12F0A">
        <w:rPr>
          <w:i/>
          <w:lang w:val="en-US"/>
        </w:rPr>
        <w:t>text</w:t>
      </w:r>
      <w:r>
        <w:rPr>
          <w:lang w:val="en-US"/>
        </w:rPr>
        <w:t xml:space="preserve"> – thereby outlining the influential factors to an organization’s crisis response message</w:t>
      </w:r>
      <w:sdt>
        <w:sdtPr>
          <w:rPr>
            <w:lang w:val="en-US"/>
          </w:rPr>
          <w:id w:val="-1448919999"/>
          <w:citation/>
        </w:sdtPr>
        <w:sdtContent>
          <w:r w:rsidRPr="00CF717B">
            <w:rPr>
              <w:lang w:val="en-US"/>
            </w:rPr>
            <w:fldChar w:fldCharType="begin"/>
          </w:r>
          <w:r w:rsidRPr="00CF717B">
            <w:rPr>
              <w:lang w:val="en-US"/>
            </w:rPr>
            <w:instrText xml:space="preserve">CITATION Fin07 \p 280-284 \t  \l 1030 </w:instrText>
          </w:r>
          <w:r w:rsidRPr="00CF717B">
            <w:rPr>
              <w:lang w:val="en-US"/>
            </w:rPr>
            <w:fldChar w:fldCharType="separate"/>
          </w:r>
          <w:r w:rsidR="00F623D4">
            <w:rPr>
              <w:noProof/>
              <w:lang w:val="en-US"/>
            </w:rPr>
            <w:t xml:space="preserve"> (Frandsen and Johansen 2007, 280-284)</w:t>
          </w:r>
          <w:r w:rsidRPr="00CF717B">
            <w:rPr>
              <w:lang w:val="en-US"/>
            </w:rPr>
            <w:fldChar w:fldCharType="end"/>
          </w:r>
        </w:sdtContent>
      </w:sdt>
      <w:r w:rsidRPr="00CF717B">
        <w:rPr>
          <w:lang w:val="en-US"/>
        </w:rPr>
        <w:t xml:space="preserve">. </w:t>
      </w:r>
    </w:p>
    <w:p w:rsidR="000062A8" w:rsidRPr="00CF717B" w:rsidRDefault="000062A8" w:rsidP="00337119">
      <w:pPr>
        <w:spacing w:line="360" w:lineRule="auto"/>
        <w:rPr>
          <w:lang w:val="en-US"/>
        </w:rPr>
      </w:pPr>
      <w:r>
        <w:rPr>
          <w:lang w:val="en-US"/>
        </w:rPr>
        <w:t xml:space="preserve">With the continuing evolvement of the internet as a prominent facilitator of crisis information, crisis communication becomes even more essential, </w:t>
      </w:r>
      <w:r w:rsidRPr="00CF717B">
        <w:rPr>
          <w:lang w:val="en-US"/>
        </w:rPr>
        <w:t>where Alfonso Gonzalez-Herrero and Suzanne Smith point to the influential factors that the Web 2.0 context has on crisis situations. Their study of crisis communications emphasizes the increasing magnitude of</w:t>
      </w:r>
      <w:r>
        <w:rPr>
          <w:lang w:val="en-US"/>
        </w:rPr>
        <w:t xml:space="preserve"> </w:t>
      </w:r>
      <w:r w:rsidRPr="00CF717B">
        <w:rPr>
          <w:lang w:val="en-US"/>
        </w:rPr>
        <w:t>in</w:t>
      </w:r>
      <w:r>
        <w:rPr>
          <w:lang w:val="en-US"/>
        </w:rPr>
        <w:t>formation dissemination online</w:t>
      </w:r>
      <w:sdt>
        <w:sdtPr>
          <w:rPr>
            <w:lang w:val="en-US"/>
          </w:rPr>
          <w:id w:val="-711034253"/>
          <w:citation/>
        </w:sdtPr>
        <w:sdtContent>
          <w:r w:rsidRPr="00CF717B">
            <w:rPr>
              <w:lang w:val="en-US"/>
            </w:rPr>
            <w:fldChar w:fldCharType="begin"/>
          </w:r>
          <w:r w:rsidRPr="00CF717B">
            <w:rPr>
              <w:lang w:val="en-US"/>
            </w:rPr>
            <w:instrText xml:space="preserve">CITATION Alf10 \p 97-105 \l 1030 </w:instrText>
          </w:r>
          <w:r w:rsidRPr="00CF717B">
            <w:rPr>
              <w:lang w:val="en-US"/>
            </w:rPr>
            <w:fldChar w:fldCharType="separate"/>
          </w:r>
          <w:r w:rsidR="00F623D4">
            <w:rPr>
              <w:noProof/>
              <w:lang w:val="en-US"/>
            </w:rPr>
            <w:t xml:space="preserve"> (González-Herrero and Smith 2010, 97-105)</w:t>
          </w:r>
          <w:r w:rsidRPr="00CF717B">
            <w:rPr>
              <w:lang w:val="en-US"/>
            </w:rPr>
            <w:fldChar w:fldCharType="end"/>
          </w:r>
        </w:sdtContent>
      </w:sdt>
      <w:r>
        <w:rPr>
          <w:lang w:val="en-US"/>
        </w:rPr>
        <w:t>. Considering the</w:t>
      </w:r>
      <w:r w:rsidRPr="00CF717B">
        <w:rPr>
          <w:lang w:val="en-US"/>
        </w:rPr>
        <w:t xml:space="preserve"> high degree of information flow online, stakeholders are in a perceptive position, where a</w:t>
      </w:r>
      <w:r>
        <w:rPr>
          <w:lang w:val="en-US"/>
        </w:rPr>
        <w:t>n organization’s</w:t>
      </w:r>
      <w:r w:rsidRPr="00CF717B">
        <w:rPr>
          <w:lang w:val="en-US"/>
        </w:rPr>
        <w:t xml:space="preserve"> activities reach an unavoidable state of transparency. This means that unethical behaviors, are, potentially, brought into public display, </w:t>
      </w:r>
      <w:r>
        <w:rPr>
          <w:lang w:val="en-US"/>
        </w:rPr>
        <w:t>with the possible result of an organizational crisis</w:t>
      </w:r>
      <w:r w:rsidRPr="00555D18">
        <w:rPr>
          <w:lang w:val="en-US"/>
        </w:rPr>
        <w:t xml:space="preserve"> </w:t>
      </w:r>
      <w:sdt>
        <w:sdtPr>
          <w:rPr>
            <w:lang w:val="en-US"/>
          </w:rPr>
          <w:id w:val="-112440283"/>
          <w:citation/>
        </w:sdtPr>
        <w:sdtContent>
          <w:r w:rsidRPr="00CF717B">
            <w:rPr>
              <w:lang w:val="en-US"/>
            </w:rPr>
            <w:fldChar w:fldCharType="begin"/>
          </w:r>
          <w:r>
            <w:rPr>
              <w:lang w:val="en-US"/>
            </w:rPr>
            <w:instrText xml:space="preserve">CITATION Sør07 \p 5 \l 1030 </w:instrText>
          </w:r>
          <w:r w:rsidRPr="00CF717B">
            <w:rPr>
              <w:lang w:val="en-US"/>
            </w:rPr>
            <w:fldChar w:fldCharType="separate"/>
          </w:r>
          <w:r w:rsidR="00F623D4">
            <w:rPr>
              <w:noProof/>
              <w:lang w:val="en-US"/>
            </w:rPr>
            <w:t>(Sørensen and Peitersen 2007, 5)</w:t>
          </w:r>
          <w:r w:rsidRPr="00CF717B">
            <w:rPr>
              <w:lang w:val="en-US"/>
            </w:rPr>
            <w:fldChar w:fldCharType="end"/>
          </w:r>
        </w:sdtContent>
      </w:sdt>
      <w:r>
        <w:rPr>
          <w:lang w:val="en-US"/>
        </w:rPr>
        <w:t>. The internet is a medium, where communication platforms have presented themselves, enabling a plethora of communicating actors – relating to Frandsen and Johansen theory, as the internet medium can influence the message communicated</w:t>
      </w:r>
      <w:sdt>
        <w:sdtPr>
          <w:rPr>
            <w:lang w:val="en-US"/>
          </w:rPr>
          <w:id w:val="-2097555926"/>
          <w:citation/>
        </w:sdtPr>
        <w:sdtContent>
          <w:r w:rsidRPr="00CF717B">
            <w:rPr>
              <w:lang w:val="en-US"/>
            </w:rPr>
            <w:fldChar w:fldCharType="begin"/>
          </w:r>
          <w:r w:rsidRPr="00CF717B">
            <w:rPr>
              <w:lang w:val="en-US"/>
            </w:rPr>
            <w:instrText xml:space="preserve">CITATION Tim13 \p 11-12 \l 1030 </w:instrText>
          </w:r>
          <w:r w:rsidRPr="00CF717B">
            <w:rPr>
              <w:lang w:val="en-US"/>
            </w:rPr>
            <w:fldChar w:fldCharType="separate"/>
          </w:r>
          <w:r w:rsidR="00F623D4">
            <w:rPr>
              <w:noProof/>
              <w:lang w:val="en-US"/>
            </w:rPr>
            <w:t xml:space="preserve"> (Sellnow and Seeger 2013, 11-12)</w:t>
          </w:r>
          <w:r w:rsidRPr="00CF717B">
            <w:rPr>
              <w:lang w:val="en-US"/>
            </w:rPr>
            <w:fldChar w:fldCharType="end"/>
          </w:r>
        </w:sdtContent>
      </w:sdt>
      <w:r>
        <w:rPr>
          <w:lang w:val="en-US"/>
        </w:rPr>
        <w:t>. The most essential communication platform would be the social media, giving individual stakeholders a prominent voice – thereby shifting the locus of power from the organization to the stakeholders</w:t>
      </w:r>
      <w:sdt>
        <w:sdtPr>
          <w:rPr>
            <w:lang w:val="en-US"/>
          </w:rPr>
          <w:id w:val="-2095157164"/>
          <w:citation/>
        </w:sdtPr>
        <w:sdtContent>
          <w:r w:rsidRPr="00CF717B">
            <w:rPr>
              <w:lang w:val="en-US"/>
            </w:rPr>
            <w:fldChar w:fldCharType="begin"/>
          </w:r>
          <w:r w:rsidRPr="00CF717B">
            <w:rPr>
              <w:lang w:val="en-US"/>
            </w:rPr>
            <w:instrText xml:space="preserve">CITATION Pie121 \p 262 \l 1030 </w:instrText>
          </w:r>
          <w:r w:rsidRPr="00CF717B">
            <w:rPr>
              <w:lang w:val="en-US"/>
            </w:rPr>
            <w:fldChar w:fldCharType="separate"/>
          </w:r>
          <w:r w:rsidR="00F623D4">
            <w:rPr>
              <w:noProof/>
              <w:lang w:val="en-US"/>
            </w:rPr>
            <w:t xml:space="preserve"> (Berthon, et al. 2012, 262)</w:t>
          </w:r>
          <w:r w:rsidRPr="00CF717B">
            <w:rPr>
              <w:lang w:val="en-US"/>
            </w:rPr>
            <w:fldChar w:fldCharType="end"/>
          </w:r>
        </w:sdtContent>
      </w:sdt>
      <w:r>
        <w:rPr>
          <w:lang w:val="en-US"/>
        </w:rPr>
        <w:t xml:space="preserve">. </w:t>
      </w:r>
    </w:p>
    <w:p w:rsidR="000062A8" w:rsidRDefault="000062A8" w:rsidP="00337119">
      <w:pPr>
        <w:pStyle w:val="Overskrift3"/>
        <w:spacing w:line="360" w:lineRule="auto"/>
        <w:rPr>
          <w:lang w:val="en-US"/>
        </w:rPr>
      </w:pPr>
      <w:bookmarkStart w:id="33" w:name="_Toc420761625"/>
      <w:r>
        <w:rPr>
          <w:lang w:val="en-US"/>
        </w:rPr>
        <w:t>3. 2 Corporate Social Responsibility</w:t>
      </w:r>
      <w:bookmarkEnd w:id="33"/>
    </w:p>
    <w:p w:rsidR="000062A8" w:rsidRPr="00CF717B" w:rsidRDefault="002C0658" w:rsidP="00337119">
      <w:pPr>
        <w:spacing w:line="360" w:lineRule="auto"/>
        <w:rPr>
          <w:szCs w:val="24"/>
          <w:lang w:val="en-US"/>
        </w:rPr>
      </w:pPr>
      <w:r>
        <w:rPr>
          <w:szCs w:val="24"/>
          <w:lang w:val="en-US"/>
        </w:rPr>
        <w:t>Coombs and Sherry J. Holladay have studied</w:t>
      </w:r>
      <w:r w:rsidR="000062A8" w:rsidRPr="00CF717B">
        <w:rPr>
          <w:szCs w:val="24"/>
          <w:lang w:val="en-US"/>
        </w:rPr>
        <w:t xml:space="preserve"> the strategic and communicative relevance of the concept of </w:t>
      </w:r>
      <w:r w:rsidR="000062A8">
        <w:rPr>
          <w:szCs w:val="24"/>
          <w:lang w:val="en-US"/>
        </w:rPr>
        <w:t>CSR</w:t>
      </w:r>
      <w:r>
        <w:rPr>
          <w:szCs w:val="24"/>
          <w:lang w:val="en-US"/>
        </w:rPr>
        <w:t>, where b</w:t>
      </w:r>
      <w:r w:rsidR="000062A8" w:rsidRPr="00CF717B">
        <w:rPr>
          <w:szCs w:val="24"/>
          <w:lang w:val="en-US"/>
        </w:rPr>
        <w:t>est practice of CSR implementation, creation of CSR initiatives and ways of communicatin</w:t>
      </w:r>
      <w:r w:rsidR="000062A8">
        <w:rPr>
          <w:szCs w:val="24"/>
          <w:lang w:val="en-US"/>
        </w:rPr>
        <w:t>g the initiatives are discussed</w:t>
      </w:r>
      <w:r w:rsidR="000062A8" w:rsidRPr="00CF717B">
        <w:rPr>
          <w:szCs w:val="24"/>
          <w:lang w:val="en-US"/>
        </w:rPr>
        <w:t xml:space="preserve">. The creation of CSR initiatives is characterized as a complex process, which cannot be prescribed, because of an undeniable uniqueness of each </w:t>
      </w:r>
      <w:r w:rsidR="000062A8">
        <w:rPr>
          <w:szCs w:val="24"/>
          <w:lang w:val="en-US"/>
        </w:rPr>
        <w:t>organization</w:t>
      </w:r>
      <w:r w:rsidR="000062A8" w:rsidRPr="00CF717B">
        <w:rPr>
          <w:szCs w:val="24"/>
          <w:lang w:val="en-US"/>
        </w:rPr>
        <w:t xml:space="preserve">. </w:t>
      </w:r>
      <w:r w:rsidR="000062A8">
        <w:rPr>
          <w:szCs w:val="24"/>
          <w:lang w:val="en-US"/>
        </w:rPr>
        <w:t xml:space="preserve">An </w:t>
      </w:r>
      <w:r w:rsidR="000062A8" w:rsidRPr="00CF717B">
        <w:rPr>
          <w:szCs w:val="24"/>
          <w:lang w:val="en-US"/>
        </w:rPr>
        <w:t xml:space="preserve">important aspect examined by Coombs and Holladay is the strategic dimensions of CSR, where one area discussed is its reputational relevance. On the basis of additional research </w:t>
      </w:r>
      <w:sdt>
        <w:sdtPr>
          <w:rPr>
            <w:szCs w:val="24"/>
            <w:lang w:val="en-US"/>
          </w:rPr>
          <w:id w:val="-1575429623"/>
          <w:citation/>
        </w:sdtPr>
        <w:sdtContent>
          <w:r w:rsidR="000062A8" w:rsidRPr="00CF717B">
            <w:rPr>
              <w:szCs w:val="24"/>
              <w:lang w:val="en-US"/>
            </w:rPr>
            <w:fldChar w:fldCharType="begin"/>
          </w:r>
          <w:r w:rsidR="000062A8" w:rsidRPr="00CF717B">
            <w:rPr>
              <w:szCs w:val="24"/>
              <w:lang w:val="en-US"/>
            </w:rPr>
            <w:instrText xml:space="preserve"> CITATION Fom05 \l 1030 </w:instrText>
          </w:r>
          <w:r w:rsidR="000062A8" w:rsidRPr="00CF717B">
            <w:rPr>
              <w:szCs w:val="24"/>
              <w:lang w:val="en-US"/>
            </w:rPr>
            <w:fldChar w:fldCharType="separate"/>
          </w:r>
          <w:r w:rsidR="00F623D4" w:rsidRPr="00F623D4">
            <w:rPr>
              <w:noProof/>
              <w:szCs w:val="24"/>
              <w:lang w:val="en-US"/>
            </w:rPr>
            <w:t>(Fombrun 2005)</w:t>
          </w:r>
          <w:r w:rsidR="000062A8" w:rsidRPr="00CF717B">
            <w:rPr>
              <w:szCs w:val="24"/>
              <w:lang w:val="en-US"/>
            </w:rPr>
            <w:fldChar w:fldCharType="end"/>
          </w:r>
        </w:sdtContent>
      </w:sdt>
      <w:r w:rsidR="000062A8" w:rsidRPr="00CF717B">
        <w:rPr>
          <w:szCs w:val="24"/>
          <w:lang w:val="en-US"/>
        </w:rPr>
        <w:t xml:space="preserve">, it is argued that CSR is rapidly developing into becoming a driver of reputation. </w:t>
      </w:r>
      <w:r w:rsidR="000062A8" w:rsidRPr="00CF717B">
        <w:rPr>
          <w:szCs w:val="24"/>
          <w:lang w:val="en-US"/>
        </w:rPr>
        <w:lastRenderedPageBreak/>
        <w:t>Reputations are portrayed as being evaluations of stakeholders and can, consequently, range from favorable to unfavorable</w:t>
      </w:r>
      <w:sdt>
        <w:sdtPr>
          <w:rPr>
            <w:szCs w:val="24"/>
            <w:lang w:val="en-US"/>
          </w:rPr>
          <w:id w:val="-45300614"/>
          <w:citation/>
        </w:sdtPr>
        <w:sdtContent>
          <w:r w:rsidR="000062A8" w:rsidRPr="00CF717B">
            <w:rPr>
              <w:szCs w:val="24"/>
              <w:lang w:val="en-US"/>
            </w:rPr>
            <w:fldChar w:fldCharType="begin"/>
          </w:r>
          <w:r w:rsidR="000062A8">
            <w:rPr>
              <w:szCs w:val="24"/>
              <w:lang w:val="en-US"/>
            </w:rPr>
            <w:instrText xml:space="preserve">CITATION WTi123 \p 36 \t  \l 1030 </w:instrText>
          </w:r>
          <w:r w:rsidR="000062A8" w:rsidRPr="00CF717B">
            <w:rPr>
              <w:szCs w:val="24"/>
              <w:lang w:val="en-US"/>
            </w:rPr>
            <w:fldChar w:fldCharType="separate"/>
          </w:r>
          <w:r w:rsidR="00F623D4">
            <w:rPr>
              <w:noProof/>
              <w:szCs w:val="24"/>
              <w:lang w:val="en-US"/>
            </w:rPr>
            <w:t xml:space="preserve"> </w:t>
          </w:r>
          <w:r w:rsidR="00F623D4" w:rsidRPr="00F623D4">
            <w:rPr>
              <w:noProof/>
              <w:szCs w:val="24"/>
              <w:lang w:val="en-US"/>
            </w:rPr>
            <w:t>(Coombs and Holladay 2012, 36)</w:t>
          </w:r>
          <w:r w:rsidR="000062A8" w:rsidRPr="00CF717B">
            <w:rPr>
              <w:szCs w:val="24"/>
              <w:lang w:val="en-US"/>
            </w:rPr>
            <w:fldChar w:fldCharType="end"/>
          </w:r>
        </w:sdtContent>
      </w:sdt>
      <w:r w:rsidR="000062A8" w:rsidRPr="00CF717B">
        <w:rPr>
          <w:szCs w:val="24"/>
          <w:lang w:val="en-US"/>
        </w:rPr>
        <w:t xml:space="preserve">. </w:t>
      </w:r>
    </w:p>
    <w:p w:rsidR="000062A8" w:rsidRPr="00CF717B" w:rsidRDefault="000062A8" w:rsidP="00337119">
      <w:pPr>
        <w:spacing w:line="360" w:lineRule="auto"/>
        <w:rPr>
          <w:szCs w:val="24"/>
          <w:lang w:val="en-US"/>
        </w:rPr>
      </w:pPr>
      <w:r w:rsidRPr="00CF717B">
        <w:rPr>
          <w:szCs w:val="24"/>
          <w:lang w:val="en-US"/>
        </w:rPr>
        <w:t>The reputation benefitting element of CSR and the concept itself</w:t>
      </w:r>
      <w:r>
        <w:rPr>
          <w:szCs w:val="24"/>
          <w:lang w:val="en-US"/>
        </w:rPr>
        <w:t xml:space="preserve"> is also related to the practice of propaganda, which </w:t>
      </w:r>
      <w:r w:rsidRPr="00CF717B">
        <w:rPr>
          <w:szCs w:val="24"/>
          <w:lang w:val="en-US"/>
        </w:rPr>
        <w:t xml:space="preserve">is recognized within the study of the field, as it supplements the phase of communicating and </w:t>
      </w:r>
      <w:r w:rsidRPr="00CF717B">
        <w:rPr>
          <w:i/>
          <w:szCs w:val="24"/>
          <w:lang w:val="en-US"/>
        </w:rPr>
        <w:t>selling</w:t>
      </w:r>
      <w:r w:rsidRPr="00CF717B">
        <w:rPr>
          <w:szCs w:val="24"/>
          <w:lang w:val="en-US"/>
        </w:rPr>
        <w:t xml:space="preserve"> (through discourse) a corporation’s social responsibility</w:t>
      </w:r>
      <w:r w:rsidRPr="00965930">
        <w:rPr>
          <w:szCs w:val="24"/>
          <w:lang w:val="en-US"/>
        </w:rPr>
        <w:t xml:space="preserve"> </w:t>
      </w:r>
      <w:sdt>
        <w:sdtPr>
          <w:rPr>
            <w:szCs w:val="24"/>
            <w:lang w:val="en-US"/>
          </w:rPr>
          <w:id w:val="-642658595"/>
          <w:citation/>
        </w:sdtPr>
        <w:sdtContent>
          <w:r w:rsidRPr="00CF717B">
            <w:rPr>
              <w:szCs w:val="24"/>
              <w:lang w:val="en-US"/>
            </w:rPr>
            <w:fldChar w:fldCharType="begin"/>
          </w:r>
          <w:r w:rsidRPr="00CF717B">
            <w:rPr>
              <w:szCs w:val="24"/>
              <w:lang w:val="en-US"/>
            </w:rPr>
            <w:instrText xml:space="preserve">CITATION Pet131 \p 2 \l 1030 </w:instrText>
          </w:r>
          <w:r w:rsidRPr="00CF717B">
            <w:rPr>
              <w:szCs w:val="24"/>
              <w:lang w:val="en-US"/>
            </w:rPr>
            <w:fldChar w:fldCharType="separate"/>
          </w:r>
          <w:r w:rsidR="00F623D4" w:rsidRPr="00F623D4">
            <w:rPr>
              <w:noProof/>
              <w:szCs w:val="24"/>
              <w:lang w:val="en-US"/>
            </w:rPr>
            <w:t>(Fleming and Jones 2013, 2)</w:t>
          </w:r>
          <w:r w:rsidRPr="00CF717B">
            <w:rPr>
              <w:szCs w:val="24"/>
              <w:lang w:val="en-US"/>
            </w:rPr>
            <w:fldChar w:fldCharType="end"/>
          </w:r>
        </w:sdtContent>
      </w:sdt>
      <w:r w:rsidRPr="00CF717B">
        <w:rPr>
          <w:szCs w:val="24"/>
          <w:lang w:val="en-US"/>
        </w:rPr>
        <w:t xml:space="preserve">. However, without actual achievements and sincerity to support the words, the reputational gain of the practice can parish and even provoke criticism from stakeholders </w:t>
      </w:r>
      <w:sdt>
        <w:sdtPr>
          <w:rPr>
            <w:szCs w:val="24"/>
          </w:rPr>
          <w:id w:val="1373732088"/>
          <w:citation/>
        </w:sdtPr>
        <w:sdtContent>
          <w:r w:rsidRPr="00CF717B">
            <w:rPr>
              <w:szCs w:val="24"/>
            </w:rPr>
            <w:fldChar w:fldCharType="begin"/>
          </w:r>
          <w:r w:rsidRPr="00CF717B">
            <w:rPr>
              <w:szCs w:val="24"/>
              <w:lang w:val="en-US"/>
            </w:rPr>
            <w:instrText xml:space="preserve"> CITATION Tra09 \l 1030 </w:instrText>
          </w:r>
          <w:r w:rsidRPr="00CF717B">
            <w:rPr>
              <w:szCs w:val="24"/>
            </w:rPr>
            <w:fldChar w:fldCharType="separate"/>
          </w:r>
          <w:r w:rsidR="00F623D4" w:rsidRPr="00F623D4">
            <w:rPr>
              <w:noProof/>
              <w:szCs w:val="24"/>
              <w:lang w:val="en-US"/>
            </w:rPr>
            <w:t>(Keys, Malnight and Graaf 2009)</w:t>
          </w:r>
          <w:r w:rsidRPr="00CF717B">
            <w:rPr>
              <w:szCs w:val="24"/>
            </w:rPr>
            <w:fldChar w:fldCharType="end"/>
          </w:r>
        </w:sdtContent>
      </w:sdt>
      <w:r w:rsidRPr="00CF717B">
        <w:rPr>
          <w:szCs w:val="24"/>
          <w:lang w:val="en-US"/>
        </w:rPr>
        <w:t xml:space="preserve">. The practice of efficient CSR can be considered a reconciliation process between </w:t>
      </w:r>
      <w:r>
        <w:rPr>
          <w:szCs w:val="24"/>
          <w:lang w:val="en-US"/>
        </w:rPr>
        <w:t>organizational</w:t>
      </w:r>
      <w:r w:rsidRPr="00CF717B">
        <w:rPr>
          <w:szCs w:val="24"/>
          <w:lang w:val="en-US"/>
        </w:rPr>
        <w:t xml:space="preserve"> goals and social good, where the premises are constantly changing</w:t>
      </w:r>
      <w:sdt>
        <w:sdtPr>
          <w:rPr>
            <w:szCs w:val="24"/>
            <w:lang w:val="en-US"/>
          </w:rPr>
          <w:id w:val="-1915001671"/>
          <w:citation/>
        </w:sdtPr>
        <w:sdtContent>
          <w:r w:rsidRPr="00CF717B">
            <w:rPr>
              <w:szCs w:val="24"/>
              <w:lang w:val="en-US"/>
            </w:rPr>
            <w:fldChar w:fldCharType="begin"/>
          </w:r>
          <w:r w:rsidR="00674431">
            <w:rPr>
              <w:szCs w:val="24"/>
              <w:lang w:val="en-US"/>
            </w:rPr>
            <w:instrText xml:space="preserve">CITATION Mar03 \p 509 \l 1030 </w:instrText>
          </w:r>
          <w:r w:rsidRPr="00CF717B">
            <w:rPr>
              <w:szCs w:val="24"/>
              <w:lang w:val="en-US"/>
            </w:rPr>
            <w:fldChar w:fldCharType="separate"/>
          </w:r>
          <w:r w:rsidR="00F623D4">
            <w:rPr>
              <w:noProof/>
              <w:szCs w:val="24"/>
              <w:lang w:val="en-US"/>
            </w:rPr>
            <w:t xml:space="preserve"> </w:t>
          </w:r>
          <w:r w:rsidR="00F623D4" w:rsidRPr="00F623D4">
            <w:rPr>
              <w:noProof/>
              <w:szCs w:val="24"/>
              <w:lang w:val="en-US"/>
            </w:rPr>
            <w:t>(Schwartz and Carroll 2003, 509)</w:t>
          </w:r>
          <w:r w:rsidRPr="00CF717B">
            <w:rPr>
              <w:szCs w:val="24"/>
              <w:lang w:val="en-US"/>
            </w:rPr>
            <w:fldChar w:fldCharType="end"/>
          </w:r>
        </w:sdtContent>
      </w:sdt>
      <w:r w:rsidRPr="00CF717B">
        <w:rPr>
          <w:szCs w:val="24"/>
          <w:lang w:val="en-US"/>
        </w:rPr>
        <w:t>. Case studies show that, as societal values and stakeholder expectations shift, corporations react and adapt their CSR, in practice and communication, in order to avoid potential criticism of their corporate practices</w:t>
      </w:r>
      <w:sdt>
        <w:sdtPr>
          <w:rPr>
            <w:szCs w:val="24"/>
            <w:lang w:val="en-US"/>
          </w:rPr>
          <w:id w:val="-2004425845"/>
          <w:citation/>
        </w:sdtPr>
        <w:sdtContent>
          <w:r w:rsidR="00674431">
            <w:rPr>
              <w:szCs w:val="24"/>
              <w:lang w:val="en-US"/>
            </w:rPr>
            <w:fldChar w:fldCharType="begin"/>
          </w:r>
          <w:r w:rsidR="00674431">
            <w:rPr>
              <w:szCs w:val="24"/>
              <w:lang w:val="en-US"/>
            </w:rPr>
            <w:instrText xml:space="preserve">CITATION Pet131 \p 17 \l 1030 </w:instrText>
          </w:r>
          <w:r w:rsidR="00674431">
            <w:rPr>
              <w:szCs w:val="24"/>
              <w:lang w:val="en-US"/>
            </w:rPr>
            <w:fldChar w:fldCharType="separate"/>
          </w:r>
          <w:r w:rsidR="00F623D4">
            <w:rPr>
              <w:noProof/>
              <w:szCs w:val="24"/>
              <w:lang w:val="en-US"/>
            </w:rPr>
            <w:t xml:space="preserve"> </w:t>
          </w:r>
          <w:r w:rsidR="00F623D4" w:rsidRPr="00F623D4">
            <w:rPr>
              <w:noProof/>
              <w:szCs w:val="24"/>
              <w:lang w:val="en-US"/>
            </w:rPr>
            <w:t>(Fleming and Jones 2013, 17)</w:t>
          </w:r>
          <w:r w:rsidR="00674431">
            <w:rPr>
              <w:szCs w:val="24"/>
              <w:lang w:val="en-US"/>
            </w:rPr>
            <w:fldChar w:fldCharType="end"/>
          </w:r>
        </w:sdtContent>
      </w:sdt>
      <w:r w:rsidR="00674431">
        <w:rPr>
          <w:szCs w:val="24"/>
          <w:lang w:val="en-US"/>
        </w:rPr>
        <w:t>.</w:t>
      </w:r>
    </w:p>
    <w:p w:rsidR="000062A8" w:rsidRPr="00CF717B" w:rsidRDefault="000062A8" w:rsidP="00337119">
      <w:pPr>
        <w:spacing w:line="360" w:lineRule="auto"/>
        <w:rPr>
          <w:szCs w:val="24"/>
          <w:lang w:val="en-US"/>
        </w:rPr>
      </w:pPr>
      <w:r>
        <w:rPr>
          <w:szCs w:val="24"/>
          <w:lang w:val="en-US"/>
        </w:rPr>
        <w:t xml:space="preserve">The essentiality of communicating CSR is further examined by </w:t>
      </w:r>
      <w:r w:rsidRPr="00CF717B">
        <w:rPr>
          <w:szCs w:val="24"/>
          <w:lang w:val="en-US"/>
        </w:rPr>
        <w:t xml:space="preserve">Ralph </w:t>
      </w:r>
      <w:proofErr w:type="spellStart"/>
      <w:r w:rsidRPr="00CF717B">
        <w:rPr>
          <w:szCs w:val="24"/>
          <w:lang w:val="en-US"/>
        </w:rPr>
        <w:t>Tench</w:t>
      </w:r>
      <w:proofErr w:type="spellEnd"/>
      <w:r w:rsidRPr="00CF717B">
        <w:rPr>
          <w:szCs w:val="24"/>
          <w:lang w:val="en-US"/>
        </w:rPr>
        <w:t>, William Sun and Brian Jones,</w:t>
      </w:r>
      <w:r>
        <w:rPr>
          <w:szCs w:val="24"/>
          <w:lang w:val="en-US"/>
        </w:rPr>
        <w:t xml:space="preserve"> combining</w:t>
      </w:r>
      <w:r w:rsidRPr="00CF717B">
        <w:rPr>
          <w:szCs w:val="24"/>
          <w:lang w:val="en-US"/>
        </w:rPr>
        <w:t xml:space="preserve"> CSR research and co</w:t>
      </w:r>
      <w:r>
        <w:rPr>
          <w:szCs w:val="24"/>
          <w:lang w:val="en-US"/>
        </w:rPr>
        <w:t xml:space="preserve">mmunication studies. </w:t>
      </w:r>
      <w:r w:rsidRPr="00CF717B">
        <w:rPr>
          <w:szCs w:val="24"/>
          <w:lang w:val="en-US"/>
        </w:rPr>
        <w:t>The purpose is to grow knowledge and understanding of the ways in w</w:t>
      </w:r>
      <w:r w:rsidR="00C2559D">
        <w:rPr>
          <w:szCs w:val="24"/>
          <w:lang w:val="en-US"/>
        </w:rPr>
        <w:t>hich businesses communicate CSR</w:t>
      </w:r>
      <w:sdt>
        <w:sdtPr>
          <w:rPr>
            <w:szCs w:val="24"/>
            <w:lang w:val="en-US"/>
          </w:rPr>
          <w:id w:val="1902551000"/>
          <w:citation/>
        </w:sdtPr>
        <w:sdtContent>
          <w:r w:rsidRPr="00CF717B">
            <w:rPr>
              <w:szCs w:val="24"/>
              <w:lang w:val="en-US"/>
            </w:rPr>
            <w:fldChar w:fldCharType="begin"/>
          </w:r>
          <w:r w:rsidRPr="00CF717B">
            <w:rPr>
              <w:szCs w:val="24"/>
              <w:lang w:val="en-US"/>
            </w:rPr>
            <w:instrText xml:space="preserve">CITATION Ral14 \p 3-4 \l 1030 </w:instrText>
          </w:r>
          <w:r w:rsidRPr="00CF717B">
            <w:rPr>
              <w:szCs w:val="24"/>
              <w:lang w:val="en-US"/>
            </w:rPr>
            <w:fldChar w:fldCharType="separate"/>
          </w:r>
          <w:r w:rsidR="00F623D4">
            <w:rPr>
              <w:noProof/>
              <w:szCs w:val="24"/>
              <w:lang w:val="en-US"/>
            </w:rPr>
            <w:t xml:space="preserve"> </w:t>
          </w:r>
          <w:r w:rsidR="00F623D4" w:rsidRPr="00F623D4">
            <w:rPr>
              <w:noProof/>
              <w:szCs w:val="24"/>
              <w:lang w:val="en-US"/>
            </w:rPr>
            <w:t>(Tench, Sun and Jones 2014, 3-4)</w:t>
          </w:r>
          <w:r w:rsidRPr="00CF717B">
            <w:rPr>
              <w:szCs w:val="24"/>
              <w:lang w:val="en-US"/>
            </w:rPr>
            <w:fldChar w:fldCharType="end"/>
          </w:r>
        </w:sdtContent>
      </w:sdt>
      <w:r w:rsidRPr="00CF717B">
        <w:rPr>
          <w:szCs w:val="24"/>
          <w:lang w:val="en-US"/>
        </w:rPr>
        <w:t xml:space="preserve">. This </w:t>
      </w:r>
      <w:r w:rsidR="00C2559D">
        <w:rPr>
          <w:szCs w:val="24"/>
          <w:lang w:val="en-US"/>
        </w:rPr>
        <w:t>is achieved through</w:t>
      </w:r>
      <w:r w:rsidRPr="00CF717B">
        <w:rPr>
          <w:szCs w:val="24"/>
          <w:lang w:val="en-US"/>
        </w:rPr>
        <w:t xml:space="preserve"> the findings of important research studies, including studies of </w:t>
      </w:r>
      <w:r>
        <w:rPr>
          <w:szCs w:val="24"/>
          <w:lang w:val="en-US"/>
        </w:rPr>
        <w:t>CSR communication and discourse</w:t>
      </w:r>
      <w:r w:rsidRPr="00CF717B">
        <w:rPr>
          <w:szCs w:val="24"/>
          <w:lang w:val="en-US"/>
        </w:rPr>
        <w:t xml:space="preserve"> </w:t>
      </w:r>
      <w:sdt>
        <w:sdtPr>
          <w:rPr>
            <w:szCs w:val="24"/>
            <w:lang w:val="en-US"/>
          </w:rPr>
          <w:id w:val="-1975519687"/>
          <w:citation/>
        </w:sdtPr>
        <w:sdtContent>
          <w:r w:rsidRPr="00CF717B">
            <w:rPr>
              <w:szCs w:val="24"/>
              <w:lang w:val="en-US"/>
            </w:rPr>
            <w:fldChar w:fldCharType="begin"/>
          </w:r>
          <w:r w:rsidRPr="00CF717B">
            <w:rPr>
              <w:szCs w:val="24"/>
              <w:lang w:val="en-US"/>
            </w:rPr>
            <w:instrText xml:space="preserve"> CITATION Joy14 \l 1030  \m Ber14 \m Gan14</w:instrText>
          </w:r>
          <w:r w:rsidRPr="00CF717B">
            <w:rPr>
              <w:szCs w:val="24"/>
              <w:lang w:val="en-US"/>
            </w:rPr>
            <w:fldChar w:fldCharType="separate"/>
          </w:r>
          <w:r w:rsidR="00F623D4" w:rsidRPr="00F623D4">
            <w:rPr>
              <w:noProof/>
              <w:szCs w:val="24"/>
              <w:lang w:val="en-US"/>
            </w:rPr>
            <w:t>(Chia 2014, Walter 2014, Dhanesh 2014)</w:t>
          </w:r>
          <w:r w:rsidRPr="00CF717B">
            <w:rPr>
              <w:szCs w:val="24"/>
              <w:lang w:val="en-US"/>
            </w:rPr>
            <w:fldChar w:fldCharType="end"/>
          </w:r>
        </w:sdtContent>
      </w:sdt>
      <w:r w:rsidRPr="00CF717B">
        <w:rPr>
          <w:szCs w:val="24"/>
          <w:lang w:val="en-US"/>
        </w:rPr>
        <w:t xml:space="preserve"> and employee skepticism</w:t>
      </w:r>
      <w:sdt>
        <w:sdtPr>
          <w:rPr>
            <w:szCs w:val="24"/>
            <w:lang w:val="en-US"/>
          </w:rPr>
          <w:id w:val="1387833987"/>
          <w:citation/>
        </w:sdtPr>
        <w:sdtContent>
          <w:r w:rsidRPr="00CF717B">
            <w:rPr>
              <w:szCs w:val="24"/>
              <w:lang w:val="en-US"/>
            </w:rPr>
            <w:fldChar w:fldCharType="begin"/>
          </w:r>
          <w:r w:rsidRPr="00CF717B">
            <w:rPr>
              <w:szCs w:val="24"/>
              <w:lang w:val="en-US"/>
            </w:rPr>
            <w:instrText xml:space="preserve"> CITATION Ana14 \l 1030 </w:instrText>
          </w:r>
          <w:r w:rsidRPr="00CF717B">
            <w:rPr>
              <w:szCs w:val="24"/>
              <w:lang w:val="en-US"/>
            </w:rPr>
            <w:fldChar w:fldCharType="separate"/>
          </w:r>
          <w:r w:rsidR="00F623D4">
            <w:rPr>
              <w:noProof/>
              <w:szCs w:val="24"/>
              <w:lang w:val="en-US"/>
            </w:rPr>
            <w:t xml:space="preserve"> </w:t>
          </w:r>
          <w:r w:rsidR="00F623D4" w:rsidRPr="00F623D4">
            <w:rPr>
              <w:noProof/>
              <w:szCs w:val="24"/>
              <w:lang w:val="en-US"/>
            </w:rPr>
            <w:t>(Theofilou and Watson 2014)</w:t>
          </w:r>
          <w:r w:rsidRPr="00CF717B">
            <w:rPr>
              <w:szCs w:val="24"/>
              <w:lang w:val="en-US"/>
            </w:rPr>
            <w:fldChar w:fldCharType="end"/>
          </w:r>
        </w:sdtContent>
      </w:sdt>
      <w:r w:rsidRPr="00CF717B">
        <w:rPr>
          <w:szCs w:val="24"/>
          <w:lang w:val="en-US"/>
        </w:rPr>
        <w:t xml:space="preserve">. The </w:t>
      </w:r>
      <w:r w:rsidR="00C2559D">
        <w:rPr>
          <w:szCs w:val="24"/>
          <w:lang w:val="en-US"/>
        </w:rPr>
        <w:t xml:space="preserve">findings </w:t>
      </w:r>
      <w:r w:rsidRPr="00CF717B">
        <w:rPr>
          <w:szCs w:val="24"/>
          <w:lang w:val="en-US"/>
        </w:rPr>
        <w:t>highlight the importance of CSR communication,</w:t>
      </w:r>
      <w:r>
        <w:rPr>
          <w:szCs w:val="24"/>
          <w:lang w:val="en-US"/>
        </w:rPr>
        <w:t xml:space="preserve"> enabling that an organization</w:t>
      </w:r>
      <w:r w:rsidRPr="00CF717B">
        <w:rPr>
          <w:szCs w:val="24"/>
          <w:lang w:val="en-US"/>
        </w:rPr>
        <w:t>’s message of CSR can effectively be conveyed from sender to recipient. Furthermore, when the CSR is communicated, intentionally or unintentionally, the CSR information exchange process begins, having two different effects based on stakeholder perceptions and understandings. It can have a positive effect, where the message is seen as sincere, reliable and clear</w:t>
      </w:r>
      <w:r>
        <w:rPr>
          <w:szCs w:val="24"/>
          <w:lang w:val="en-US"/>
        </w:rPr>
        <w:t>,</w:t>
      </w:r>
      <w:r w:rsidRPr="00CF717B">
        <w:rPr>
          <w:szCs w:val="24"/>
          <w:lang w:val="en-US"/>
        </w:rPr>
        <w:t xml:space="preserve"> and a negative effect, where the message is perceived as false, unreliable and generally misunderstood. Consequently, emphasis is directed at the challenge of managing mutual expectations between organization and stakeholders. The key to efficient CSR communication relies on </w:t>
      </w:r>
      <w:r w:rsidR="006A26A8">
        <w:rPr>
          <w:szCs w:val="24"/>
          <w:lang w:val="en-US"/>
        </w:rPr>
        <w:t>a</w:t>
      </w:r>
      <w:r w:rsidRPr="00CF717B">
        <w:rPr>
          <w:szCs w:val="24"/>
          <w:lang w:val="en-US"/>
        </w:rPr>
        <w:t xml:space="preserve"> two-way communication principle, as stakeholders perceive CSR differently</w:t>
      </w:r>
      <w:sdt>
        <w:sdtPr>
          <w:rPr>
            <w:szCs w:val="24"/>
            <w:lang w:val="en-US"/>
          </w:rPr>
          <w:id w:val="-806321895"/>
          <w:citation/>
        </w:sdtPr>
        <w:sdtContent>
          <w:r w:rsidRPr="00CF717B">
            <w:rPr>
              <w:szCs w:val="24"/>
              <w:lang w:val="en-US"/>
            </w:rPr>
            <w:fldChar w:fldCharType="begin"/>
          </w:r>
          <w:r w:rsidRPr="00CF717B">
            <w:rPr>
              <w:szCs w:val="24"/>
              <w:lang w:val="en-US"/>
            </w:rPr>
            <w:instrText xml:space="preserve">CITATION Ral14 \p 20 \l 1030 </w:instrText>
          </w:r>
          <w:r w:rsidRPr="00CF717B">
            <w:rPr>
              <w:szCs w:val="24"/>
              <w:lang w:val="en-US"/>
            </w:rPr>
            <w:fldChar w:fldCharType="separate"/>
          </w:r>
          <w:r w:rsidR="00F623D4">
            <w:rPr>
              <w:noProof/>
              <w:szCs w:val="24"/>
              <w:lang w:val="en-US"/>
            </w:rPr>
            <w:t xml:space="preserve"> </w:t>
          </w:r>
          <w:r w:rsidR="00F623D4" w:rsidRPr="00F623D4">
            <w:rPr>
              <w:noProof/>
              <w:szCs w:val="24"/>
              <w:lang w:val="en-US"/>
            </w:rPr>
            <w:t>(Tench, Sun and Jones 2014, 20)</w:t>
          </w:r>
          <w:r w:rsidRPr="00CF717B">
            <w:rPr>
              <w:szCs w:val="24"/>
              <w:lang w:val="en-US"/>
            </w:rPr>
            <w:fldChar w:fldCharType="end"/>
          </w:r>
        </w:sdtContent>
      </w:sdt>
      <w:r w:rsidRPr="00CF717B">
        <w:rPr>
          <w:szCs w:val="24"/>
          <w:lang w:val="en-US"/>
        </w:rPr>
        <w:t>.</w:t>
      </w:r>
    </w:p>
    <w:p w:rsidR="000062A8" w:rsidRPr="00941EE7" w:rsidRDefault="000062A8" w:rsidP="00337119">
      <w:pPr>
        <w:spacing w:line="360" w:lineRule="auto"/>
        <w:rPr>
          <w:lang w:val="en-US"/>
        </w:rPr>
      </w:pPr>
      <w:r>
        <w:rPr>
          <w:lang w:val="en-US"/>
        </w:rPr>
        <w:t>All in all, CSR communication can be seen as the practice of transmitting CSR-related information</w:t>
      </w:r>
      <w:r w:rsidRPr="0047790E">
        <w:rPr>
          <w:lang w:val="en-US"/>
        </w:rPr>
        <w:t xml:space="preserve"> </w:t>
      </w:r>
      <w:sdt>
        <w:sdtPr>
          <w:rPr>
            <w:lang w:val="en-US"/>
          </w:rPr>
          <w:id w:val="-59099136"/>
          <w:citation/>
        </w:sdtPr>
        <w:sdtContent>
          <w:r>
            <w:rPr>
              <w:lang w:val="en-US"/>
            </w:rPr>
            <w:fldChar w:fldCharType="begin"/>
          </w:r>
          <w:r>
            <w:rPr>
              <w:lang w:val="en-US"/>
            </w:rPr>
            <w:instrText xml:space="preserve">CITATION Täu04 \p 3 \l 1030 </w:instrText>
          </w:r>
          <w:r>
            <w:rPr>
              <w:lang w:val="en-US"/>
            </w:rPr>
            <w:fldChar w:fldCharType="separate"/>
          </w:r>
          <w:r w:rsidR="00F623D4">
            <w:rPr>
              <w:noProof/>
              <w:lang w:val="en-US"/>
            </w:rPr>
            <w:t>(Täuschel 2004, 3)</w:t>
          </w:r>
          <w:r>
            <w:rPr>
              <w:lang w:val="en-US"/>
            </w:rPr>
            <w:fldChar w:fldCharType="end"/>
          </w:r>
        </w:sdtContent>
      </w:sdt>
      <w:r>
        <w:rPr>
          <w:lang w:val="en-US"/>
        </w:rPr>
        <w:t xml:space="preserve">. Even though CSR discourse is addressed by </w:t>
      </w:r>
      <w:proofErr w:type="spellStart"/>
      <w:r>
        <w:rPr>
          <w:lang w:val="en-US"/>
        </w:rPr>
        <w:t>Tench</w:t>
      </w:r>
      <w:proofErr w:type="spellEnd"/>
      <w:r>
        <w:rPr>
          <w:lang w:val="en-US"/>
        </w:rPr>
        <w:t xml:space="preserve"> et.al, their presented research studies do not seem to provide a clear characterization – other than describing it as a type of discourse </w:t>
      </w:r>
      <w:r w:rsidR="006A26A8">
        <w:rPr>
          <w:lang w:val="en-US"/>
        </w:rPr>
        <w:t>regarding</w:t>
      </w:r>
      <w:r>
        <w:rPr>
          <w:lang w:val="en-US"/>
        </w:rPr>
        <w:t xml:space="preserve"> CSR</w:t>
      </w:r>
      <w:r w:rsidR="006A26A8">
        <w:rPr>
          <w:lang w:val="en-US"/>
        </w:rPr>
        <w:t xml:space="preserve">, where some focus has been directed at </w:t>
      </w:r>
      <w:r>
        <w:rPr>
          <w:lang w:val="en-US"/>
        </w:rPr>
        <w:t xml:space="preserve">dialectical relations in CSR </w:t>
      </w:r>
      <w:r>
        <w:rPr>
          <w:lang w:val="en-US"/>
        </w:rPr>
        <w:lastRenderedPageBreak/>
        <w:t xml:space="preserve">discourse – though not completely explored </w:t>
      </w:r>
      <w:sdt>
        <w:sdtPr>
          <w:rPr>
            <w:lang w:val="en-US"/>
          </w:rPr>
          <w:id w:val="-1541656829"/>
          <w:citation/>
        </w:sdtPr>
        <w:sdtContent>
          <w:r>
            <w:rPr>
              <w:lang w:val="en-US"/>
            </w:rPr>
            <w:fldChar w:fldCharType="begin"/>
          </w:r>
          <w:r>
            <w:rPr>
              <w:lang w:val="en-US"/>
            </w:rPr>
            <w:instrText xml:space="preserve">CITATION Gan14 \l 1030 </w:instrText>
          </w:r>
          <w:r>
            <w:rPr>
              <w:lang w:val="en-US"/>
            </w:rPr>
            <w:fldChar w:fldCharType="separate"/>
          </w:r>
          <w:r w:rsidR="00F623D4">
            <w:rPr>
              <w:noProof/>
              <w:lang w:val="en-US"/>
            </w:rPr>
            <w:t>(Dhanesh 2014)</w:t>
          </w:r>
          <w:r>
            <w:rPr>
              <w:lang w:val="en-US"/>
            </w:rPr>
            <w:fldChar w:fldCharType="end"/>
          </w:r>
        </w:sdtContent>
      </w:sdt>
      <w:r>
        <w:rPr>
          <w:lang w:val="en-US"/>
        </w:rPr>
        <w:t xml:space="preserve">. Accordingly, CSR discourse seems to be a fairly unexplored subject, but in relation to dialectical relations, discourse itself has been greatly explored. In this field of study, the construction and meaning of discourses are examined, where </w:t>
      </w:r>
      <w:r w:rsidRPr="00F732A9">
        <w:rPr>
          <w:lang w:val="en-US"/>
        </w:rPr>
        <w:t xml:space="preserve">Ernesto </w:t>
      </w:r>
      <w:proofErr w:type="spellStart"/>
      <w:r w:rsidRPr="00F732A9">
        <w:rPr>
          <w:lang w:val="en-US"/>
        </w:rPr>
        <w:t>Laclau</w:t>
      </w:r>
      <w:proofErr w:type="spellEnd"/>
      <w:r w:rsidRPr="00F732A9">
        <w:rPr>
          <w:lang w:val="en-US"/>
        </w:rPr>
        <w:t xml:space="preserve"> and Chantal </w:t>
      </w:r>
      <w:proofErr w:type="spellStart"/>
      <w:r w:rsidRPr="00F732A9">
        <w:rPr>
          <w:lang w:val="en-US"/>
        </w:rPr>
        <w:t>Mouffe’s</w:t>
      </w:r>
      <w:proofErr w:type="spellEnd"/>
      <w:r>
        <w:rPr>
          <w:lang w:val="en-US"/>
        </w:rPr>
        <w:t xml:space="preserve"> Discourse Theory (1985) can be considered prominent. In short, the theory proclaims that meaning in texts is created through relations between words and clauses (signs/moments)</w:t>
      </w:r>
      <w:r w:rsidRPr="0085397C">
        <w:rPr>
          <w:lang w:val="en-US"/>
        </w:rPr>
        <w:t xml:space="preserve"> </w:t>
      </w:r>
      <w:sdt>
        <w:sdtPr>
          <w:rPr>
            <w:lang w:val="en-US"/>
          </w:rPr>
          <w:id w:val="-696619055"/>
          <w:citation/>
        </w:sdtPr>
        <w:sdtContent>
          <w:r>
            <w:rPr>
              <w:lang w:val="en-US"/>
            </w:rPr>
            <w:fldChar w:fldCharType="begin"/>
          </w:r>
          <w:r>
            <w:rPr>
              <w:lang w:val="en-US"/>
            </w:rPr>
            <w:instrText xml:space="preserve">CITATION Ern85 \p 105 \l 1030 </w:instrText>
          </w:r>
          <w:r>
            <w:rPr>
              <w:lang w:val="en-US"/>
            </w:rPr>
            <w:fldChar w:fldCharType="separate"/>
          </w:r>
          <w:r w:rsidR="00F623D4">
            <w:rPr>
              <w:noProof/>
              <w:lang w:val="en-US"/>
            </w:rPr>
            <w:t>(Laclau and Mouffe 1985, 105)</w:t>
          </w:r>
          <w:r>
            <w:rPr>
              <w:lang w:val="en-US"/>
            </w:rPr>
            <w:fldChar w:fldCharType="end"/>
          </w:r>
        </w:sdtContent>
      </w:sdt>
      <w:r>
        <w:rPr>
          <w:lang w:val="en-US"/>
        </w:rPr>
        <w:t xml:space="preserve">. Moreover, discourses have been further examined through the work of Norman </w:t>
      </w:r>
      <w:proofErr w:type="spellStart"/>
      <w:r>
        <w:rPr>
          <w:lang w:val="en-US"/>
        </w:rPr>
        <w:t>Fairclough</w:t>
      </w:r>
      <w:proofErr w:type="spellEnd"/>
      <w:r>
        <w:rPr>
          <w:lang w:val="en-US"/>
        </w:rPr>
        <w:t xml:space="preserve"> (2010), theorizing </w:t>
      </w:r>
      <w:r>
        <w:rPr>
          <w:i/>
          <w:lang w:val="en-US"/>
        </w:rPr>
        <w:t>critical discourse analysis</w:t>
      </w:r>
      <w:r>
        <w:rPr>
          <w:lang w:val="en-US"/>
        </w:rPr>
        <w:t xml:space="preserve"> – so as to examine the meaning of a discourse through dialectical relations, revealing its social and ideological purpose</w:t>
      </w:r>
      <w:sdt>
        <w:sdtPr>
          <w:rPr>
            <w:i/>
            <w:lang w:val="en-US"/>
          </w:rPr>
          <w:id w:val="146105400"/>
          <w:citation/>
        </w:sdtPr>
        <w:sdtContent>
          <w:r w:rsidRPr="00741345">
            <w:rPr>
              <w:i/>
              <w:lang w:val="en-US"/>
            </w:rPr>
            <w:fldChar w:fldCharType="begin"/>
          </w:r>
          <w:r w:rsidRPr="00741345">
            <w:rPr>
              <w:i/>
              <w:lang w:val="en-US"/>
            </w:rPr>
            <w:instrText xml:space="preserve">CITATION Nor101 \p 3 \t  \l 1030 </w:instrText>
          </w:r>
          <w:r w:rsidRPr="00741345">
            <w:rPr>
              <w:i/>
              <w:lang w:val="en-US"/>
            </w:rPr>
            <w:fldChar w:fldCharType="separate"/>
          </w:r>
          <w:r w:rsidR="00F623D4">
            <w:rPr>
              <w:i/>
              <w:noProof/>
              <w:lang w:val="en-US"/>
            </w:rPr>
            <w:t xml:space="preserve"> </w:t>
          </w:r>
          <w:r w:rsidR="00F623D4">
            <w:rPr>
              <w:noProof/>
              <w:lang w:val="en-US"/>
            </w:rPr>
            <w:t>(Fairclough 2010, 3)</w:t>
          </w:r>
          <w:r w:rsidRPr="00741345">
            <w:rPr>
              <w:i/>
              <w:lang w:val="en-US"/>
            </w:rPr>
            <w:fldChar w:fldCharType="end"/>
          </w:r>
        </w:sdtContent>
      </w:sdt>
      <w:r>
        <w:rPr>
          <w:sz w:val="22"/>
          <w:lang w:val="en-US"/>
        </w:rPr>
        <w:t xml:space="preserve">. </w:t>
      </w:r>
      <w:r w:rsidRPr="0047790E">
        <w:rPr>
          <w:lang w:val="en-US"/>
        </w:rPr>
        <w:t xml:space="preserve">Consequently, </w:t>
      </w:r>
      <w:r>
        <w:rPr>
          <w:lang w:val="en-US"/>
        </w:rPr>
        <w:t>a general</w:t>
      </w:r>
      <w:r w:rsidR="006832CC">
        <w:rPr>
          <w:lang w:val="en-US"/>
        </w:rPr>
        <w:t xml:space="preserve"> understanding of ‘discourse’ is</w:t>
      </w:r>
      <w:r>
        <w:rPr>
          <w:lang w:val="en-US"/>
        </w:rPr>
        <w:t xml:space="preserve"> that it signifies the semiotic choices of language use, constituting a specific meaning and message, based on an underlying social and ideological purpose</w:t>
      </w:r>
      <w:r w:rsidRPr="00B079D0">
        <w:rPr>
          <w:lang w:val="en-US"/>
        </w:rPr>
        <w:t xml:space="preserve"> </w:t>
      </w:r>
      <w:sdt>
        <w:sdtPr>
          <w:rPr>
            <w:lang w:val="en-US"/>
          </w:rPr>
          <w:id w:val="162748339"/>
          <w:citation/>
        </w:sdtPr>
        <w:sdtContent>
          <w:r>
            <w:rPr>
              <w:lang w:val="en-US"/>
            </w:rPr>
            <w:fldChar w:fldCharType="begin"/>
          </w:r>
          <w:r>
            <w:rPr>
              <w:lang w:val="en-US"/>
            </w:rPr>
            <w:instrText xml:space="preserve">CITATION Dav12 \p 20 \l 1030 </w:instrText>
          </w:r>
          <w:r>
            <w:rPr>
              <w:lang w:val="en-US"/>
            </w:rPr>
            <w:fldChar w:fldCharType="separate"/>
          </w:r>
          <w:r w:rsidR="00F623D4">
            <w:rPr>
              <w:noProof/>
              <w:lang w:val="en-US"/>
            </w:rPr>
            <w:t>(Machin and Mayr 2012, 20)</w:t>
          </w:r>
          <w:r>
            <w:rPr>
              <w:lang w:val="en-US"/>
            </w:rPr>
            <w:fldChar w:fldCharType="end"/>
          </w:r>
        </w:sdtContent>
      </w:sdt>
      <w:r>
        <w:rPr>
          <w:lang w:val="en-US"/>
        </w:rPr>
        <w:t xml:space="preserve">.         </w:t>
      </w:r>
    </w:p>
    <w:p w:rsidR="000062A8" w:rsidRPr="006D3992" w:rsidRDefault="000062A8" w:rsidP="00337119">
      <w:pPr>
        <w:pStyle w:val="Overskrift3"/>
        <w:spacing w:line="360" w:lineRule="auto"/>
        <w:rPr>
          <w:lang w:val="en-US"/>
        </w:rPr>
      </w:pPr>
      <w:bookmarkStart w:id="34" w:name="_Toc420761626"/>
      <w:r>
        <w:rPr>
          <w:lang w:val="en-US"/>
        </w:rPr>
        <w:t>3. 3 Crisis Communication and Corporate Social Responsibility Interconnected</w:t>
      </w:r>
      <w:bookmarkEnd w:id="34"/>
    </w:p>
    <w:p w:rsidR="000062A8" w:rsidRDefault="000062A8" w:rsidP="00337119">
      <w:pPr>
        <w:spacing w:line="360" w:lineRule="auto"/>
        <w:rPr>
          <w:lang w:val="en-US"/>
        </w:rPr>
      </w:pPr>
      <w:r w:rsidRPr="00CF717B">
        <w:rPr>
          <w:lang w:val="en-US"/>
        </w:rPr>
        <w:t>Research literature, concerning CSR and crisis management/communication, present overlapping areas, such as reputation management and stakeholder perceptions and expectations, which connect the two areas within the public relations field. Additionally, where crisis communication is primarily a management process during extraordinary circumstances, mitigating health and safety effects by conveying information while managing reputation, the CSR area is also a social f</w:t>
      </w:r>
      <w:r w:rsidR="00260B03">
        <w:rPr>
          <w:lang w:val="en-US"/>
        </w:rPr>
        <w:t>unction of public relations, which</w:t>
      </w:r>
      <w:r w:rsidRPr="00CF717B">
        <w:rPr>
          <w:lang w:val="en-US"/>
        </w:rPr>
        <w:t xml:space="preserve"> compliments the same interest areas</w:t>
      </w:r>
      <w:sdt>
        <w:sdtPr>
          <w:rPr>
            <w:lang w:val="en-US"/>
          </w:rPr>
          <w:id w:val="-881241792"/>
          <w:citation/>
        </w:sdtPr>
        <w:sdtContent>
          <w:r w:rsidRPr="00CF717B">
            <w:rPr>
              <w:lang w:val="en-US"/>
            </w:rPr>
            <w:fldChar w:fldCharType="begin"/>
          </w:r>
          <w:r w:rsidRPr="00CF717B">
            <w:rPr>
              <w:lang w:val="en-US"/>
            </w:rPr>
            <w:instrText xml:space="preserve">CITATION Mic13 \p 778 \l 1030 </w:instrText>
          </w:r>
          <w:r w:rsidRPr="00CF717B">
            <w:rPr>
              <w:lang w:val="en-US"/>
            </w:rPr>
            <w:fldChar w:fldCharType="separate"/>
          </w:r>
          <w:r w:rsidR="00F623D4">
            <w:rPr>
              <w:noProof/>
              <w:lang w:val="en-US"/>
            </w:rPr>
            <w:t xml:space="preserve"> (Palenchar 2013, 778)</w:t>
          </w:r>
          <w:r w:rsidRPr="00CF717B">
            <w:rPr>
              <w:lang w:val="en-US"/>
            </w:rPr>
            <w:fldChar w:fldCharType="end"/>
          </w:r>
        </w:sdtContent>
      </w:sdt>
      <w:r w:rsidRPr="00CF717B">
        <w:rPr>
          <w:lang w:val="en-US"/>
        </w:rPr>
        <w:t>. This constitutes a relational similarity between CSR and crisis communication, where studies even point to interconnectedness between the two areas: From a CSR perspective</w:t>
      </w:r>
      <w:r>
        <w:rPr>
          <w:lang w:val="en-US"/>
        </w:rPr>
        <w:t>,</w:t>
      </w:r>
      <w:r w:rsidRPr="00CF717B">
        <w:rPr>
          <w:lang w:val="en-US"/>
        </w:rPr>
        <w:t xml:space="preserve"> focusing on its characteristics and potentials, Steve Tombs and Denis Smith </w:t>
      </w:r>
      <w:r>
        <w:rPr>
          <w:lang w:val="en-US"/>
        </w:rPr>
        <w:t>point to an apparent inter-relationship between CSR and crisis avoidance</w:t>
      </w:r>
      <w:sdt>
        <w:sdtPr>
          <w:rPr>
            <w:lang w:val="en-US"/>
          </w:rPr>
          <w:id w:val="1225338316"/>
          <w:citation/>
        </w:sdtPr>
        <w:sdtContent>
          <w:r w:rsidRPr="00CF717B">
            <w:rPr>
              <w:lang w:val="en-US"/>
            </w:rPr>
            <w:fldChar w:fldCharType="begin"/>
          </w:r>
          <w:r>
            <w:rPr>
              <w:lang w:val="en-US"/>
            </w:rPr>
            <w:instrText xml:space="preserve">CITATION Ste95 \p "135, 142" \l 1030 </w:instrText>
          </w:r>
          <w:r w:rsidRPr="00CF717B">
            <w:rPr>
              <w:lang w:val="en-US"/>
            </w:rPr>
            <w:fldChar w:fldCharType="separate"/>
          </w:r>
          <w:r w:rsidR="00F623D4">
            <w:rPr>
              <w:noProof/>
              <w:lang w:val="en-US"/>
            </w:rPr>
            <w:t xml:space="preserve"> (Tombs and Smith 1995, 135, 142)</w:t>
          </w:r>
          <w:r w:rsidRPr="00CF717B">
            <w:rPr>
              <w:lang w:val="en-US"/>
            </w:rPr>
            <w:fldChar w:fldCharType="end"/>
          </w:r>
        </w:sdtContent>
      </w:sdt>
      <w:r w:rsidRPr="00CF717B">
        <w:rPr>
          <w:lang w:val="en-US"/>
        </w:rPr>
        <w:t xml:space="preserve">. The study directs its focus towards crisis management research concerning various phases of crises, </w:t>
      </w:r>
      <w:r>
        <w:rPr>
          <w:lang w:val="en-US"/>
        </w:rPr>
        <w:t>and</w:t>
      </w:r>
      <w:r w:rsidRPr="00CF717B">
        <w:rPr>
          <w:lang w:val="en-US"/>
        </w:rPr>
        <w:t xml:space="preserve"> sees crisis management as a significant process of crisis prevention or avoidance. This involves the pre-crisis phase at the time when a potential crisis inflicting incident occurs (Ibid: 141). </w:t>
      </w:r>
      <w:r>
        <w:rPr>
          <w:lang w:val="en-US"/>
        </w:rPr>
        <w:t>Tombs and Smith argue that t</w:t>
      </w:r>
      <w:r w:rsidRPr="00CF717B">
        <w:rPr>
          <w:lang w:val="en-US"/>
        </w:rPr>
        <w:t>he evaluated main consequence and attribute of implemented CSR, in a potential crisis situation, is the openness and flourish of crisis-avoiding information, which emerge from all stakeholders of a</w:t>
      </w:r>
      <w:r>
        <w:rPr>
          <w:lang w:val="en-US"/>
        </w:rPr>
        <w:t>n organization</w:t>
      </w:r>
      <w:sdt>
        <w:sdtPr>
          <w:rPr>
            <w:lang w:val="en-US"/>
          </w:rPr>
          <w:id w:val="921067187"/>
          <w:citation/>
        </w:sdtPr>
        <w:sdtContent>
          <w:r w:rsidRPr="00CF717B">
            <w:rPr>
              <w:lang w:val="en-US"/>
            </w:rPr>
            <w:fldChar w:fldCharType="begin"/>
          </w:r>
          <w:r>
            <w:rPr>
              <w:lang w:val="en-US"/>
            </w:rPr>
            <w:instrText xml:space="preserve">CITATION Ste95 \p 143-144 \l 1030 </w:instrText>
          </w:r>
          <w:r w:rsidRPr="00CF717B">
            <w:rPr>
              <w:lang w:val="en-US"/>
            </w:rPr>
            <w:fldChar w:fldCharType="separate"/>
          </w:r>
          <w:r w:rsidR="00F623D4">
            <w:rPr>
              <w:noProof/>
              <w:lang w:val="en-US"/>
            </w:rPr>
            <w:t xml:space="preserve"> (Tombs and Smith 1995, 143-144)</w:t>
          </w:r>
          <w:r w:rsidRPr="00CF717B">
            <w:rPr>
              <w:lang w:val="en-US"/>
            </w:rPr>
            <w:fldChar w:fldCharType="end"/>
          </w:r>
        </w:sdtContent>
      </w:sdt>
      <w:r>
        <w:rPr>
          <w:lang w:val="en-US"/>
        </w:rPr>
        <w:t>.</w:t>
      </w:r>
      <w:r w:rsidRPr="00CF717B">
        <w:rPr>
          <w:lang w:val="en-US"/>
        </w:rPr>
        <w:t xml:space="preserve"> </w:t>
      </w:r>
    </w:p>
    <w:p w:rsidR="000062A8" w:rsidRPr="00CF717B" w:rsidRDefault="000062A8" w:rsidP="00337119">
      <w:pPr>
        <w:spacing w:line="360" w:lineRule="auto"/>
        <w:rPr>
          <w:lang w:val="en-US"/>
        </w:rPr>
      </w:pPr>
      <w:r>
        <w:rPr>
          <w:lang w:val="en-US"/>
        </w:rPr>
        <w:t>More r</w:t>
      </w:r>
      <w:r w:rsidRPr="00CF717B">
        <w:rPr>
          <w:lang w:val="en-US"/>
        </w:rPr>
        <w:t xml:space="preserve">ecent studies </w:t>
      </w:r>
      <w:r>
        <w:rPr>
          <w:lang w:val="en-US"/>
        </w:rPr>
        <w:t xml:space="preserve">also </w:t>
      </w:r>
      <w:r w:rsidRPr="00CF717B">
        <w:rPr>
          <w:lang w:val="en-US"/>
        </w:rPr>
        <w:t xml:space="preserve">acknowledge the importance of CSR in relation to crisis management, as a way to restore trust between </w:t>
      </w:r>
      <w:r>
        <w:rPr>
          <w:lang w:val="en-US"/>
        </w:rPr>
        <w:t>organization</w:t>
      </w:r>
      <w:r w:rsidRPr="00CF717B">
        <w:rPr>
          <w:lang w:val="en-US"/>
        </w:rPr>
        <w:t xml:space="preserve"> and stakeholders and repair the corporate reputation</w:t>
      </w:r>
      <w:sdt>
        <w:sdtPr>
          <w:rPr>
            <w:lang w:val="en-US"/>
          </w:rPr>
          <w:id w:val="1204449837"/>
          <w:citation/>
        </w:sdtPr>
        <w:sdtContent>
          <w:r w:rsidRPr="00CF717B">
            <w:rPr>
              <w:lang w:val="en-US"/>
            </w:rPr>
            <w:fldChar w:fldCharType="begin"/>
          </w:r>
          <w:r w:rsidRPr="00CF717B">
            <w:rPr>
              <w:lang w:val="en-US"/>
            </w:rPr>
            <w:instrText xml:space="preserve">CITATION Gen14 \p 115 \l 1030 </w:instrText>
          </w:r>
          <w:r w:rsidRPr="00CF717B">
            <w:rPr>
              <w:lang w:val="en-US"/>
            </w:rPr>
            <w:fldChar w:fldCharType="separate"/>
          </w:r>
          <w:r w:rsidR="00F623D4">
            <w:rPr>
              <w:noProof/>
              <w:lang w:val="en-US"/>
            </w:rPr>
            <w:t xml:space="preserve"> (Grabowski and Kruse 2013, 115)</w:t>
          </w:r>
          <w:r w:rsidRPr="00CF717B">
            <w:rPr>
              <w:lang w:val="en-US"/>
            </w:rPr>
            <w:fldChar w:fldCharType="end"/>
          </w:r>
        </w:sdtContent>
      </w:sdt>
      <w:r w:rsidRPr="00CF717B">
        <w:rPr>
          <w:lang w:val="en-US"/>
        </w:rPr>
        <w:t xml:space="preserve">. In relation to the pre-crisis element of crisis management, </w:t>
      </w:r>
      <w:r w:rsidRPr="00CF717B">
        <w:rPr>
          <w:lang w:val="en-US"/>
        </w:rPr>
        <w:lastRenderedPageBreak/>
        <w:t>researchers sees CSR as an insurance policy against potentially harmful events, which is achieved and enhanced by social activities – maintaining a good reputation</w:t>
      </w:r>
      <w:sdt>
        <w:sdtPr>
          <w:rPr>
            <w:lang w:val="en-US"/>
          </w:rPr>
          <w:id w:val="1939559629"/>
          <w:citation/>
        </w:sdtPr>
        <w:sdtContent>
          <w:r w:rsidRPr="00CF717B">
            <w:rPr>
              <w:lang w:val="en-US"/>
            </w:rPr>
            <w:fldChar w:fldCharType="begin"/>
          </w:r>
          <w:r w:rsidRPr="00CF717B">
            <w:rPr>
              <w:lang w:val="en-US"/>
            </w:rPr>
            <w:instrText xml:space="preserve">CITATION Muh12 \p 226 \l 1030 </w:instrText>
          </w:r>
          <w:r w:rsidRPr="00CF717B">
            <w:rPr>
              <w:lang w:val="en-US"/>
            </w:rPr>
            <w:fldChar w:fldCharType="separate"/>
          </w:r>
          <w:r w:rsidR="00F623D4">
            <w:rPr>
              <w:noProof/>
              <w:lang w:val="en-US"/>
            </w:rPr>
            <w:t xml:space="preserve"> (Saeed and Arshad 2012, 226)</w:t>
          </w:r>
          <w:r w:rsidRPr="00CF717B">
            <w:rPr>
              <w:lang w:val="en-US"/>
            </w:rPr>
            <w:fldChar w:fldCharType="end"/>
          </w:r>
        </w:sdtContent>
      </w:sdt>
      <w:r>
        <w:rPr>
          <w:lang w:val="en-US"/>
        </w:rPr>
        <w:t xml:space="preserve">. This principle </w:t>
      </w:r>
      <w:r w:rsidRPr="00CF717B">
        <w:rPr>
          <w:lang w:val="en-US"/>
        </w:rPr>
        <w:t xml:space="preserve">is also labeled as </w:t>
      </w:r>
      <w:r w:rsidRPr="00CF717B">
        <w:rPr>
          <w:i/>
          <w:lang w:val="en-US"/>
        </w:rPr>
        <w:t>reputational capital</w:t>
      </w:r>
      <w:r w:rsidRPr="00CF717B">
        <w:rPr>
          <w:lang w:val="en-US"/>
        </w:rPr>
        <w:t xml:space="preserve">, considered advantageous to </w:t>
      </w:r>
      <w:r>
        <w:rPr>
          <w:lang w:val="en-US"/>
        </w:rPr>
        <w:t>organizations in a crisis situation, as it may be</w:t>
      </w:r>
      <w:r w:rsidRPr="00CF717B">
        <w:rPr>
          <w:lang w:val="en-US"/>
        </w:rPr>
        <w:t xml:space="preserve"> a mitigating factor</w:t>
      </w:r>
      <w:sdt>
        <w:sdtPr>
          <w:rPr>
            <w:lang w:val="en-US"/>
          </w:rPr>
          <w:id w:val="-1785338568"/>
          <w:citation/>
        </w:sdtPr>
        <w:sdtContent>
          <w:r w:rsidRPr="00CF717B">
            <w:rPr>
              <w:lang w:val="en-US"/>
            </w:rPr>
            <w:fldChar w:fldCharType="begin"/>
          </w:r>
          <w:r w:rsidRPr="00CF717B">
            <w:rPr>
              <w:lang w:val="en-US"/>
            </w:rPr>
            <w:instrText xml:space="preserve">CITATION Pro07 \p 165 \t  \l 1030 </w:instrText>
          </w:r>
          <w:r w:rsidRPr="00CF717B">
            <w:rPr>
              <w:lang w:val="en-US"/>
            </w:rPr>
            <w:fldChar w:fldCharType="separate"/>
          </w:r>
          <w:r w:rsidR="00F623D4">
            <w:rPr>
              <w:noProof/>
              <w:lang w:val="en-US"/>
            </w:rPr>
            <w:t xml:space="preserve"> (W. T. Coombs 2007, 165)</w:t>
          </w:r>
          <w:r w:rsidRPr="00CF717B">
            <w:rPr>
              <w:lang w:val="en-US"/>
            </w:rPr>
            <w:fldChar w:fldCharType="end"/>
          </w:r>
        </w:sdtContent>
      </w:sdt>
      <w:r w:rsidRPr="00CF717B">
        <w:rPr>
          <w:lang w:val="en-US"/>
        </w:rPr>
        <w:t>. On the other hand, a favorable pre-crisis reputation may raise the expectations of stakeholders, increasing the potential reputational loss during a crisis, if these expectations are greatly challenged</w:t>
      </w:r>
      <w:sdt>
        <w:sdtPr>
          <w:rPr>
            <w:lang w:val="en-US"/>
          </w:rPr>
          <w:id w:val="242382599"/>
          <w:citation/>
        </w:sdtPr>
        <w:sdtContent>
          <w:r w:rsidRPr="00CF717B">
            <w:rPr>
              <w:lang w:val="en-US"/>
            </w:rPr>
            <w:fldChar w:fldCharType="begin"/>
          </w:r>
          <w:r w:rsidRPr="00CF717B">
            <w:rPr>
              <w:lang w:val="en-US"/>
            </w:rPr>
            <w:instrText xml:space="preserve"> CITATION Sab13 \l 1030 </w:instrText>
          </w:r>
          <w:r w:rsidRPr="00CF717B">
            <w:rPr>
              <w:lang w:val="en-US"/>
            </w:rPr>
            <w:fldChar w:fldCharType="separate"/>
          </w:r>
          <w:r w:rsidR="00F623D4">
            <w:rPr>
              <w:noProof/>
              <w:lang w:val="en-US"/>
            </w:rPr>
            <w:t xml:space="preserve"> (Helm and Tolsdorf 2013)</w:t>
          </w:r>
          <w:r w:rsidRPr="00CF717B">
            <w:rPr>
              <w:lang w:val="en-US"/>
            </w:rPr>
            <w:fldChar w:fldCharType="end"/>
          </w:r>
        </w:sdtContent>
      </w:sdt>
      <w:r w:rsidRPr="00CF717B">
        <w:rPr>
          <w:lang w:val="en-US"/>
        </w:rPr>
        <w:t xml:space="preserve">. </w:t>
      </w:r>
      <w:r>
        <w:rPr>
          <w:lang w:val="en-US"/>
        </w:rPr>
        <w:t xml:space="preserve">Following the notion of mutual dependency between CSR and crisis communication, </w:t>
      </w:r>
      <w:r w:rsidRPr="00CF717B">
        <w:rPr>
          <w:lang w:val="en-US"/>
        </w:rPr>
        <w:t xml:space="preserve">Grabowski and Kruse </w:t>
      </w:r>
      <w:r>
        <w:rPr>
          <w:lang w:val="en-US"/>
        </w:rPr>
        <w:t>argue that</w:t>
      </w:r>
      <w:r w:rsidRPr="00CF717B">
        <w:rPr>
          <w:lang w:val="en-US"/>
        </w:rPr>
        <w:t xml:space="preserve"> CSR is a significant strategic business initiative, </w:t>
      </w:r>
      <w:r>
        <w:rPr>
          <w:lang w:val="en-US"/>
        </w:rPr>
        <w:t xml:space="preserve">where the communication of socially responsibly activities </w:t>
      </w:r>
      <w:r w:rsidRPr="00CF717B">
        <w:rPr>
          <w:lang w:val="en-US"/>
        </w:rPr>
        <w:t xml:space="preserve">is an essential factor in times of a crisis – so as to direct attention towards positive aspects of the </w:t>
      </w:r>
      <w:r>
        <w:rPr>
          <w:lang w:val="en-US"/>
        </w:rPr>
        <w:t>organization</w:t>
      </w:r>
      <w:r w:rsidRPr="00CF717B">
        <w:rPr>
          <w:lang w:val="en-US"/>
        </w:rPr>
        <w:t>. A</w:t>
      </w:r>
      <w:r>
        <w:rPr>
          <w:lang w:val="en-US"/>
        </w:rPr>
        <w:t>n organization</w:t>
      </w:r>
      <w:r w:rsidRPr="00CF717B">
        <w:rPr>
          <w:lang w:val="en-US"/>
        </w:rPr>
        <w:t xml:space="preserve">’s CSR policy’s main purpose is to safeguard the interest of all stakeholders, where its ability to do so is enhanced by the crisis communication in play </w:t>
      </w:r>
      <w:sdt>
        <w:sdtPr>
          <w:rPr>
            <w:lang w:val="en-US"/>
          </w:rPr>
          <w:id w:val="-1551988958"/>
          <w:citation/>
        </w:sdtPr>
        <w:sdtContent>
          <w:r w:rsidRPr="00CF717B">
            <w:rPr>
              <w:lang w:val="en-US"/>
            </w:rPr>
            <w:fldChar w:fldCharType="begin"/>
          </w:r>
          <w:r w:rsidRPr="00CF717B">
            <w:rPr>
              <w:lang w:val="en-US"/>
            </w:rPr>
            <w:instrText xml:space="preserve">CITATION Gen14 \p 113 \l 1030 </w:instrText>
          </w:r>
          <w:r w:rsidRPr="00CF717B">
            <w:rPr>
              <w:lang w:val="en-US"/>
            </w:rPr>
            <w:fldChar w:fldCharType="separate"/>
          </w:r>
          <w:r w:rsidR="00F623D4">
            <w:rPr>
              <w:noProof/>
              <w:lang w:val="en-US"/>
            </w:rPr>
            <w:t>(Grabowski and Kruse 2013, 113)</w:t>
          </w:r>
          <w:r w:rsidRPr="00CF717B">
            <w:rPr>
              <w:lang w:val="en-US"/>
            </w:rPr>
            <w:fldChar w:fldCharType="end"/>
          </w:r>
        </w:sdtContent>
      </w:sdt>
    </w:p>
    <w:p w:rsidR="000062A8" w:rsidRPr="00733540" w:rsidRDefault="0042481E" w:rsidP="00337119">
      <w:pPr>
        <w:spacing w:line="360" w:lineRule="auto"/>
        <w:rPr>
          <w:lang w:val="en-US"/>
        </w:rPr>
      </w:pPr>
      <w:r>
        <w:rPr>
          <w:lang w:val="en-US"/>
        </w:rPr>
        <w:t>Consequently</w:t>
      </w:r>
      <w:r w:rsidR="000062A8" w:rsidRPr="00CF717B">
        <w:rPr>
          <w:lang w:val="en-US"/>
        </w:rPr>
        <w:t xml:space="preserve">, CSR is a recognized practice in relation to crisis management and communication, where it can have an </w:t>
      </w:r>
      <w:r w:rsidRPr="00CF717B">
        <w:rPr>
          <w:lang w:val="en-US"/>
        </w:rPr>
        <w:t>interconnecte</w:t>
      </w:r>
      <w:r>
        <w:rPr>
          <w:lang w:val="en-US"/>
        </w:rPr>
        <w:t xml:space="preserve">d </w:t>
      </w:r>
      <w:r w:rsidR="000062A8" w:rsidRPr="00CF717B">
        <w:rPr>
          <w:lang w:val="en-US"/>
        </w:rPr>
        <w:t>influential role in a crisis situation</w:t>
      </w:r>
      <w:r>
        <w:rPr>
          <w:lang w:val="en-US"/>
        </w:rPr>
        <w:t xml:space="preserve"> on a reputational level</w:t>
      </w:r>
      <w:r w:rsidR="000062A8" w:rsidRPr="00CF717B">
        <w:rPr>
          <w:lang w:val="en-US"/>
        </w:rPr>
        <w:t xml:space="preserve">. On the other hand, as the communication and discourse of CSR is considered a significant factor in efficient CSR practice, through various studies, no definite </w:t>
      </w:r>
      <w:r w:rsidR="000062A8" w:rsidRPr="003A676A">
        <w:rPr>
          <w:i/>
          <w:lang w:val="en-US"/>
        </w:rPr>
        <w:t>discursive</w:t>
      </w:r>
      <w:r w:rsidR="000062A8" w:rsidRPr="00CF717B">
        <w:rPr>
          <w:lang w:val="en-US"/>
        </w:rPr>
        <w:t xml:space="preserve"> </w:t>
      </w:r>
      <w:r w:rsidR="000062A8">
        <w:rPr>
          <w:lang w:val="en-US"/>
        </w:rPr>
        <w:t>relationship</w:t>
      </w:r>
      <w:r w:rsidR="000062A8" w:rsidRPr="00CF717B">
        <w:rPr>
          <w:lang w:val="en-US"/>
        </w:rPr>
        <w:t xml:space="preserve"> between CSR and crisis </w:t>
      </w:r>
      <w:r w:rsidR="000062A8">
        <w:rPr>
          <w:lang w:val="en-US"/>
        </w:rPr>
        <w:t>communication</w:t>
      </w:r>
      <w:r w:rsidR="000062A8" w:rsidRPr="00CF717B">
        <w:rPr>
          <w:lang w:val="en-US"/>
        </w:rPr>
        <w:t xml:space="preserve"> seems to have been made</w:t>
      </w:r>
      <w:sdt>
        <w:sdtPr>
          <w:rPr>
            <w:lang w:val="en-US"/>
          </w:rPr>
          <w:id w:val="452905433"/>
          <w:citation/>
        </w:sdtPr>
        <w:sdtContent>
          <w:r w:rsidR="000062A8" w:rsidRPr="00CF717B">
            <w:rPr>
              <w:lang w:val="en-US"/>
            </w:rPr>
            <w:fldChar w:fldCharType="begin"/>
          </w:r>
          <w:r w:rsidR="000062A8" w:rsidRPr="00CF717B">
            <w:rPr>
              <w:lang w:val="en-US"/>
            </w:rPr>
            <w:instrText xml:space="preserve"> CITATION Ral14 \l 1030 </w:instrText>
          </w:r>
          <w:r w:rsidR="000062A8" w:rsidRPr="00CF717B">
            <w:rPr>
              <w:lang w:val="en-US"/>
            </w:rPr>
            <w:fldChar w:fldCharType="separate"/>
          </w:r>
          <w:r w:rsidR="00F623D4">
            <w:rPr>
              <w:noProof/>
              <w:lang w:val="en-US"/>
            </w:rPr>
            <w:t xml:space="preserve"> (Tench, Sun and Jones 2014)</w:t>
          </w:r>
          <w:r w:rsidR="000062A8" w:rsidRPr="00CF717B">
            <w:rPr>
              <w:lang w:val="en-US"/>
            </w:rPr>
            <w:fldChar w:fldCharType="end"/>
          </w:r>
        </w:sdtContent>
      </w:sdt>
      <w:r w:rsidR="000062A8" w:rsidRPr="00CF717B">
        <w:rPr>
          <w:lang w:val="en-US"/>
        </w:rPr>
        <w:t>. In a crisis situation;</w:t>
      </w:r>
      <w:r w:rsidR="000062A8" w:rsidRPr="00CF717B">
        <w:rPr>
          <w:i/>
          <w:lang w:val="en-US"/>
        </w:rPr>
        <w:t xml:space="preserve"> how</w:t>
      </w:r>
      <w:r w:rsidR="000062A8">
        <w:rPr>
          <w:lang w:val="en-US"/>
        </w:rPr>
        <w:t xml:space="preserve"> an organization </w:t>
      </w:r>
      <w:r w:rsidR="000062A8" w:rsidRPr="00CF717B">
        <w:rPr>
          <w:lang w:val="en-US"/>
        </w:rPr>
        <w:t xml:space="preserve">communicates and </w:t>
      </w:r>
      <w:r w:rsidR="000062A8" w:rsidRPr="00CF717B">
        <w:rPr>
          <w:i/>
          <w:lang w:val="en-US"/>
        </w:rPr>
        <w:t>what</w:t>
      </w:r>
      <w:r w:rsidR="000062A8" w:rsidRPr="00CF717B">
        <w:rPr>
          <w:lang w:val="en-US"/>
        </w:rPr>
        <w:t xml:space="preserve"> </w:t>
      </w:r>
      <w:r w:rsidR="000062A8">
        <w:rPr>
          <w:lang w:val="en-US"/>
        </w:rPr>
        <w:t xml:space="preserve">an organization </w:t>
      </w:r>
      <w:r w:rsidR="000062A8" w:rsidRPr="00CF717B">
        <w:rPr>
          <w:lang w:val="en-US"/>
        </w:rPr>
        <w:t>communicates are crucial matters, which depend on the nature of the crisis</w:t>
      </w:r>
      <w:sdt>
        <w:sdtPr>
          <w:rPr>
            <w:lang w:val="en-US"/>
          </w:rPr>
          <w:id w:val="-10988129"/>
          <w:citation/>
        </w:sdtPr>
        <w:sdtContent>
          <w:r w:rsidR="000062A8" w:rsidRPr="00CF717B">
            <w:rPr>
              <w:lang w:val="en-US"/>
            </w:rPr>
            <w:fldChar w:fldCharType="begin"/>
          </w:r>
          <w:r w:rsidR="000062A8" w:rsidRPr="00CF717B">
            <w:rPr>
              <w:lang w:val="en-US"/>
            </w:rPr>
            <w:instrText xml:space="preserve">CITATION Pro07 \t  \m Wes09 \p 124 \l 1030 </w:instrText>
          </w:r>
          <w:r w:rsidR="000062A8" w:rsidRPr="00CF717B">
            <w:rPr>
              <w:lang w:val="en-US"/>
            </w:rPr>
            <w:fldChar w:fldCharType="separate"/>
          </w:r>
          <w:r w:rsidR="00F623D4">
            <w:rPr>
              <w:noProof/>
              <w:lang w:val="en-US"/>
            </w:rPr>
            <w:t xml:space="preserve"> (W. T. Coombs 2007, Wester 2009, 124)</w:t>
          </w:r>
          <w:r w:rsidR="000062A8" w:rsidRPr="00CF717B">
            <w:rPr>
              <w:lang w:val="en-US"/>
            </w:rPr>
            <w:fldChar w:fldCharType="end"/>
          </w:r>
        </w:sdtContent>
      </w:sdt>
      <w:r w:rsidR="000062A8" w:rsidRPr="00CF717B">
        <w:rPr>
          <w:lang w:val="en-US"/>
        </w:rPr>
        <w:t xml:space="preserve">. </w:t>
      </w:r>
      <w:r w:rsidR="00864610">
        <w:rPr>
          <w:lang w:val="en-US"/>
        </w:rPr>
        <w:t>Expectedly, a CSR-related communicative content and discursive structure will arise in crisis situations caused by social issues, which makes</w:t>
      </w:r>
      <w:r>
        <w:rPr>
          <w:lang w:val="en-US"/>
        </w:rPr>
        <w:t xml:space="preserve"> CSR discourse in crisis communication</w:t>
      </w:r>
      <w:r w:rsidR="00864610">
        <w:rPr>
          <w:lang w:val="en-US"/>
        </w:rPr>
        <w:t xml:space="preserve"> an interesting and important area to study.</w:t>
      </w:r>
    </w:p>
    <w:p w:rsidR="009B7A92" w:rsidRDefault="009B7A92">
      <w:pPr>
        <w:jc w:val="left"/>
        <w:rPr>
          <w:rFonts w:eastAsiaTheme="majorEastAsia" w:cstheme="majorBidi"/>
          <w:b/>
          <w:bCs/>
          <w:color w:val="000000" w:themeColor="text1"/>
          <w:spacing w:val="5"/>
          <w:kern w:val="28"/>
          <w:sz w:val="32"/>
          <w:szCs w:val="28"/>
          <w:lang w:val="en-US"/>
        </w:rPr>
      </w:pPr>
      <w:bookmarkStart w:id="35" w:name="_Toc420075814"/>
      <w:r>
        <w:rPr>
          <w:lang w:val="en-US"/>
        </w:rPr>
        <w:br w:type="page"/>
      </w:r>
    </w:p>
    <w:p w:rsidR="00762725" w:rsidRDefault="005D0951" w:rsidP="00337119">
      <w:pPr>
        <w:pStyle w:val="Overskrift1"/>
        <w:pBdr>
          <w:bottom w:val="single" w:sz="4" w:space="1" w:color="auto"/>
        </w:pBdr>
        <w:spacing w:line="360" w:lineRule="auto"/>
        <w:rPr>
          <w:lang w:val="en-US"/>
        </w:rPr>
      </w:pPr>
      <w:bookmarkStart w:id="36" w:name="_Toc420761627"/>
      <w:r>
        <w:rPr>
          <w:lang w:val="en-US"/>
        </w:rPr>
        <w:lastRenderedPageBreak/>
        <w:t>4</w:t>
      </w:r>
      <w:r w:rsidR="00762725">
        <w:rPr>
          <w:lang w:val="en-US"/>
        </w:rPr>
        <w:t xml:space="preserve">. </w:t>
      </w:r>
      <w:r w:rsidR="00762725" w:rsidRPr="00F448F8">
        <w:rPr>
          <w:lang w:val="en-US"/>
        </w:rPr>
        <w:t>Theoretical Framework of Crisis Communication</w:t>
      </w:r>
      <w:bookmarkEnd w:id="35"/>
      <w:bookmarkEnd w:id="36"/>
    </w:p>
    <w:p w:rsidR="00762725" w:rsidRDefault="007A6D6C" w:rsidP="00337119">
      <w:pPr>
        <w:spacing w:line="360" w:lineRule="auto"/>
        <w:rPr>
          <w:lang w:val="en-US"/>
        </w:rPr>
      </w:pPr>
      <w:r>
        <w:rPr>
          <w:lang w:val="en-US"/>
        </w:rPr>
        <w:t>In accordance with the case and research area, t</w:t>
      </w:r>
      <w:r w:rsidR="00762725">
        <w:rPr>
          <w:lang w:val="en-US"/>
        </w:rPr>
        <w:t xml:space="preserve">his chapter provides an understanding of </w:t>
      </w:r>
      <w:r>
        <w:rPr>
          <w:lang w:val="en-US"/>
        </w:rPr>
        <w:t xml:space="preserve">relevant and </w:t>
      </w:r>
      <w:r w:rsidR="00762725">
        <w:rPr>
          <w:lang w:val="en-US"/>
        </w:rPr>
        <w:t xml:space="preserve">supplementing factors within the crisis communication field, as well as an outline of valuable theories, providing the primary basis of a theoretical framework. Benoit’s image restoration theory and Coombs’s situational crisis communication theory will constitute the foundation of a framework, where Frandsen and Johansen’s </w:t>
      </w:r>
      <w:r w:rsidR="00320581">
        <w:rPr>
          <w:lang w:val="en-US"/>
        </w:rPr>
        <w:t>Rhetorical A</w:t>
      </w:r>
      <w:r w:rsidR="00762725">
        <w:rPr>
          <w:lang w:val="en-US"/>
        </w:rPr>
        <w:t xml:space="preserve">rena concept will represent the frame, in order to facilitate a somewhat comprehensive analytical tool, directed at the specific case.  </w:t>
      </w:r>
    </w:p>
    <w:p w:rsidR="00762725" w:rsidRDefault="005D0951" w:rsidP="00337119">
      <w:pPr>
        <w:pStyle w:val="Overskrift2"/>
        <w:spacing w:line="360" w:lineRule="auto"/>
        <w:rPr>
          <w:lang w:val="en-US"/>
        </w:rPr>
      </w:pPr>
      <w:bookmarkStart w:id="37" w:name="_Toc420075815"/>
      <w:bookmarkStart w:id="38" w:name="_Toc420761628"/>
      <w:r>
        <w:rPr>
          <w:lang w:val="en-US"/>
        </w:rPr>
        <w:t>4</w:t>
      </w:r>
      <w:r w:rsidR="00762725">
        <w:rPr>
          <w:lang w:val="en-US"/>
        </w:rPr>
        <w:t>.1 Defining a Crisis</w:t>
      </w:r>
      <w:bookmarkEnd w:id="37"/>
      <w:bookmarkEnd w:id="38"/>
    </w:p>
    <w:p w:rsidR="00762725" w:rsidRDefault="00762725" w:rsidP="00337119">
      <w:pPr>
        <w:spacing w:line="360" w:lineRule="auto"/>
        <w:rPr>
          <w:lang w:val="en-US"/>
        </w:rPr>
      </w:pPr>
      <w:r>
        <w:rPr>
          <w:lang w:val="en-US"/>
        </w:rPr>
        <w:t xml:space="preserve">A definition of what actually characterizes a crisis is a significant focus point when examining the circumstances of a crisis situation – in terms of determining the type of crisis, </w:t>
      </w:r>
      <w:r w:rsidRPr="00E00AA1">
        <w:rPr>
          <w:i/>
          <w:lang w:val="en-US"/>
        </w:rPr>
        <w:t>when</w:t>
      </w:r>
      <w:r>
        <w:rPr>
          <w:lang w:val="en-US"/>
        </w:rPr>
        <w:t xml:space="preserve"> and </w:t>
      </w:r>
      <w:r>
        <w:rPr>
          <w:i/>
          <w:lang w:val="en-US"/>
        </w:rPr>
        <w:t>how</w:t>
      </w:r>
      <w:r>
        <w:rPr>
          <w:lang w:val="en-US"/>
        </w:rPr>
        <w:t xml:space="preserve"> the crisis broke out and to evaluate factors leading up to the crisis</w:t>
      </w:r>
      <w:r w:rsidRPr="00E00AA1">
        <w:rPr>
          <w:sz w:val="22"/>
          <w:lang w:val="en-US"/>
        </w:rPr>
        <w:t xml:space="preserve"> </w:t>
      </w:r>
      <w:sdt>
        <w:sdtPr>
          <w:rPr>
            <w:sz w:val="22"/>
            <w:lang w:val="en-US"/>
          </w:rPr>
          <w:id w:val="92443934"/>
          <w:citation/>
        </w:sdtPr>
        <w:sdtContent>
          <w:r w:rsidRPr="00E00AA1">
            <w:rPr>
              <w:lang w:val="en-US"/>
            </w:rPr>
            <w:fldChar w:fldCharType="begin"/>
          </w:r>
          <w:r>
            <w:rPr>
              <w:lang w:val="en-US"/>
            </w:rPr>
            <w:instrText xml:space="preserve">CITATION Tim13 \p 4 \l 1030 </w:instrText>
          </w:r>
          <w:r w:rsidRPr="00E00AA1">
            <w:rPr>
              <w:lang w:val="en-US"/>
            </w:rPr>
            <w:fldChar w:fldCharType="separate"/>
          </w:r>
          <w:r w:rsidR="00F623D4">
            <w:rPr>
              <w:noProof/>
              <w:lang w:val="en-US"/>
            </w:rPr>
            <w:t>(Sellnow and Seeger 2013, 4)</w:t>
          </w:r>
          <w:r w:rsidRPr="00E00AA1">
            <w:rPr>
              <w:lang w:val="en-US"/>
            </w:rPr>
            <w:fldChar w:fldCharType="end"/>
          </w:r>
        </w:sdtContent>
      </w:sdt>
      <w:r>
        <w:rPr>
          <w:lang w:val="en-US"/>
        </w:rPr>
        <w:t xml:space="preserve">. </w:t>
      </w:r>
    </w:p>
    <w:p w:rsidR="00762725" w:rsidRPr="007052F5" w:rsidRDefault="00762725" w:rsidP="00337119">
      <w:pPr>
        <w:spacing w:line="360" w:lineRule="auto"/>
        <w:rPr>
          <w:lang w:val="en-US"/>
        </w:rPr>
      </w:pPr>
      <w:r>
        <w:rPr>
          <w:szCs w:val="24"/>
          <w:lang w:val="en-US"/>
        </w:rPr>
        <w:t xml:space="preserve">When examining the term </w:t>
      </w:r>
      <w:r w:rsidRPr="007052F5">
        <w:rPr>
          <w:i/>
          <w:szCs w:val="24"/>
          <w:lang w:val="en-US"/>
        </w:rPr>
        <w:t>crisis</w:t>
      </w:r>
      <w:r>
        <w:rPr>
          <w:szCs w:val="24"/>
          <w:lang w:val="en-US"/>
        </w:rPr>
        <w:t>, a fundamental understanding behind the term dominates the field – with specific relevance to the corporate world. There is a consensus about crises being either natural or man-made (human errors), unpredictable, and negative</w:t>
      </w:r>
      <w:sdt>
        <w:sdtPr>
          <w:rPr>
            <w:szCs w:val="24"/>
            <w:lang w:val="en-US"/>
          </w:rPr>
          <w:id w:val="1802965229"/>
          <w:citation/>
        </w:sdtPr>
        <w:sdtContent>
          <w:r>
            <w:rPr>
              <w:szCs w:val="24"/>
              <w:lang w:val="en-US"/>
            </w:rPr>
            <w:fldChar w:fldCharType="begin"/>
          </w:r>
          <w:r>
            <w:rPr>
              <w:szCs w:val="24"/>
              <w:lang w:val="en-US"/>
            </w:rPr>
            <w:instrText xml:space="preserve">CITATION Fin07 \p 74 \t  \l 1030 </w:instrText>
          </w:r>
          <w:r>
            <w:rPr>
              <w:szCs w:val="24"/>
              <w:lang w:val="en-US"/>
            </w:rPr>
            <w:fldChar w:fldCharType="separate"/>
          </w:r>
          <w:r w:rsidR="00F623D4">
            <w:rPr>
              <w:noProof/>
              <w:szCs w:val="24"/>
              <w:lang w:val="en-US"/>
            </w:rPr>
            <w:t xml:space="preserve"> </w:t>
          </w:r>
          <w:r w:rsidR="00F623D4" w:rsidRPr="00F623D4">
            <w:rPr>
              <w:noProof/>
              <w:szCs w:val="24"/>
              <w:lang w:val="en-US"/>
            </w:rPr>
            <w:t>(Frandsen and Johansen 2007, 74)</w:t>
          </w:r>
          <w:r>
            <w:rPr>
              <w:szCs w:val="24"/>
              <w:lang w:val="en-US"/>
            </w:rPr>
            <w:fldChar w:fldCharType="end"/>
          </w:r>
        </w:sdtContent>
      </w:sdt>
      <w:r>
        <w:rPr>
          <w:szCs w:val="24"/>
          <w:lang w:val="en-US"/>
        </w:rPr>
        <w:t>. Nevertheless, t</w:t>
      </w:r>
      <w:r w:rsidRPr="007052F5">
        <w:rPr>
          <w:szCs w:val="24"/>
          <w:lang w:val="en-US"/>
        </w:rPr>
        <w:t xml:space="preserve">heories </w:t>
      </w:r>
      <w:r w:rsidRPr="006F1DE1">
        <w:rPr>
          <w:szCs w:val="24"/>
          <w:lang w:val="en-US"/>
        </w:rPr>
        <w:t xml:space="preserve">and definitions of what constitutes a crisis vary within the literature, because it depends on where focus is directed. Generally, the </w:t>
      </w:r>
      <w:r>
        <w:rPr>
          <w:szCs w:val="24"/>
          <w:lang w:val="en-US"/>
        </w:rPr>
        <w:t xml:space="preserve">concept of </w:t>
      </w:r>
      <w:r w:rsidRPr="00CE7488">
        <w:rPr>
          <w:i/>
          <w:szCs w:val="24"/>
          <w:lang w:val="en-US"/>
        </w:rPr>
        <w:t>crisis</w:t>
      </w:r>
      <w:r w:rsidRPr="006F1DE1">
        <w:rPr>
          <w:szCs w:val="24"/>
          <w:lang w:val="en-US"/>
        </w:rPr>
        <w:t xml:space="preserve"> can be divided into two categories, being </w:t>
      </w:r>
      <w:r w:rsidRPr="006F1DE1">
        <w:rPr>
          <w:i/>
          <w:szCs w:val="24"/>
          <w:lang w:val="en-US"/>
        </w:rPr>
        <w:t xml:space="preserve">disaster </w:t>
      </w:r>
      <w:r w:rsidRPr="006F1DE1">
        <w:rPr>
          <w:szCs w:val="24"/>
          <w:lang w:val="en-US"/>
        </w:rPr>
        <w:t xml:space="preserve">and </w:t>
      </w:r>
      <w:r w:rsidRPr="006F1DE1">
        <w:rPr>
          <w:i/>
          <w:szCs w:val="24"/>
          <w:lang w:val="en-US"/>
        </w:rPr>
        <w:t>organizational crisis</w:t>
      </w:r>
      <w:r w:rsidRPr="006F1DE1">
        <w:rPr>
          <w:szCs w:val="24"/>
          <w:lang w:val="en-US"/>
        </w:rPr>
        <w:t>. The first refers to sudden a</w:t>
      </w:r>
      <w:r w:rsidR="00484ED1">
        <w:rPr>
          <w:szCs w:val="24"/>
          <w:lang w:val="en-US"/>
        </w:rPr>
        <w:t>nd extremely unexpected events</w:t>
      </w:r>
      <w:r>
        <w:rPr>
          <w:szCs w:val="24"/>
          <w:lang w:val="en-US"/>
        </w:rPr>
        <w:t>, such as a tornado</w:t>
      </w:r>
      <w:sdt>
        <w:sdtPr>
          <w:rPr>
            <w:i/>
            <w:szCs w:val="24"/>
            <w:lang w:val="en-US"/>
          </w:rPr>
          <w:id w:val="-66493518"/>
          <w:citation/>
        </w:sdtPr>
        <w:sdtContent>
          <w:r w:rsidR="004C6D5F" w:rsidRPr="006F1DE1">
            <w:rPr>
              <w:i/>
              <w:szCs w:val="24"/>
              <w:lang w:val="en-US"/>
            </w:rPr>
            <w:fldChar w:fldCharType="begin"/>
          </w:r>
          <w:r w:rsidR="004C6D5F" w:rsidRPr="006F1DE1">
            <w:rPr>
              <w:szCs w:val="24"/>
              <w:lang w:val="en-US"/>
            </w:rPr>
            <w:instrText xml:space="preserve">CITATION WTi15 \p 3 \t  \l 1030 </w:instrText>
          </w:r>
          <w:r w:rsidR="004C6D5F" w:rsidRPr="006F1DE1">
            <w:rPr>
              <w:i/>
              <w:szCs w:val="24"/>
              <w:lang w:val="en-US"/>
            </w:rPr>
            <w:fldChar w:fldCharType="separate"/>
          </w:r>
          <w:r w:rsidR="00F623D4">
            <w:rPr>
              <w:noProof/>
              <w:szCs w:val="24"/>
              <w:lang w:val="en-US"/>
            </w:rPr>
            <w:t xml:space="preserve"> </w:t>
          </w:r>
          <w:r w:rsidR="00F623D4" w:rsidRPr="00F623D4">
            <w:rPr>
              <w:noProof/>
              <w:szCs w:val="24"/>
              <w:lang w:val="en-US"/>
            </w:rPr>
            <w:t>(W. T. Coombs 2015, 3)</w:t>
          </w:r>
          <w:r w:rsidR="004C6D5F" w:rsidRPr="006F1DE1">
            <w:rPr>
              <w:i/>
              <w:szCs w:val="24"/>
              <w:lang w:val="en-US"/>
            </w:rPr>
            <w:fldChar w:fldCharType="end"/>
          </w:r>
        </w:sdtContent>
      </w:sdt>
      <w:r w:rsidRPr="006F1DE1">
        <w:rPr>
          <w:szCs w:val="24"/>
          <w:lang w:val="en-US"/>
        </w:rPr>
        <w:t xml:space="preserve">. The latter </w:t>
      </w:r>
      <w:r>
        <w:rPr>
          <w:szCs w:val="24"/>
          <w:lang w:val="en-US"/>
        </w:rPr>
        <w:t>encapsulates</w:t>
      </w:r>
      <w:r w:rsidRPr="006F1DE1">
        <w:rPr>
          <w:szCs w:val="24"/>
          <w:lang w:val="en-US"/>
        </w:rPr>
        <w:t xml:space="preserve"> “</w:t>
      </w:r>
      <w:r w:rsidRPr="006F1DE1">
        <w:rPr>
          <w:i/>
          <w:szCs w:val="24"/>
          <w:lang w:val="en-US"/>
        </w:rPr>
        <w:t>the perception of an unpredictable event that threatens important expectancies of stakeholders […] and can seriously impact an organization’s performance and generate a negative outcome”</w:t>
      </w:r>
      <w:sdt>
        <w:sdtPr>
          <w:rPr>
            <w:i/>
            <w:szCs w:val="24"/>
            <w:lang w:val="en-US"/>
          </w:rPr>
          <w:id w:val="763961129"/>
          <w:citation/>
        </w:sdtPr>
        <w:sdtContent>
          <w:r w:rsidRPr="006F1DE1">
            <w:rPr>
              <w:i/>
              <w:szCs w:val="24"/>
              <w:lang w:val="en-US"/>
            </w:rPr>
            <w:fldChar w:fldCharType="begin"/>
          </w:r>
          <w:r w:rsidRPr="006F1DE1">
            <w:rPr>
              <w:i/>
              <w:szCs w:val="24"/>
              <w:lang w:val="en-US"/>
            </w:rPr>
            <w:instrText xml:space="preserve">CITATION WTi15 \p 3 \t  \l 1030 </w:instrText>
          </w:r>
          <w:r w:rsidRPr="006F1DE1">
            <w:rPr>
              <w:i/>
              <w:szCs w:val="24"/>
              <w:lang w:val="en-US"/>
            </w:rPr>
            <w:fldChar w:fldCharType="separate"/>
          </w:r>
          <w:r w:rsidR="00F623D4">
            <w:rPr>
              <w:i/>
              <w:noProof/>
              <w:szCs w:val="24"/>
              <w:lang w:val="en-US"/>
            </w:rPr>
            <w:t xml:space="preserve"> </w:t>
          </w:r>
          <w:r w:rsidR="00F623D4" w:rsidRPr="00F623D4">
            <w:rPr>
              <w:noProof/>
              <w:szCs w:val="24"/>
              <w:lang w:val="en-US"/>
            </w:rPr>
            <w:t>(W. T. Coombs 2015, 3)</w:t>
          </w:r>
          <w:r w:rsidRPr="006F1DE1">
            <w:rPr>
              <w:i/>
              <w:szCs w:val="24"/>
              <w:lang w:val="en-US"/>
            </w:rPr>
            <w:fldChar w:fldCharType="end"/>
          </w:r>
        </w:sdtContent>
      </w:sdt>
      <w:r w:rsidRPr="006F1DE1">
        <w:rPr>
          <w:i/>
          <w:szCs w:val="24"/>
          <w:lang w:val="en-US"/>
        </w:rPr>
        <w:t>.</w:t>
      </w:r>
      <w:r>
        <w:rPr>
          <w:szCs w:val="24"/>
          <w:lang w:val="en-US"/>
        </w:rPr>
        <w:t xml:space="preserve"> The theories of both Benoit and Coombs, as well as Frandsen and Johansen’s study, have their main focus directed at the organizational crisis aspect (Ibid: 3). Expectably, this definition of a crisis will follow the same principle, </w:t>
      </w:r>
      <w:r w:rsidR="00190AB7">
        <w:rPr>
          <w:szCs w:val="24"/>
          <w:lang w:val="en-US"/>
        </w:rPr>
        <w:t>aimed at</w:t>
      </w:r>
      <w:r>
        <w:rPr>
          <w:szCs w:val="24"/>
          <w:lang w:val="en-US"/>
        </w:rPr>
        <w:t xml:space="preserve"> the case of Mozilla.</w:t>
      </w:r>
    </w:p>
    <w:p w:rsidR="00762725" w:rsidRDefault="00762725" w:rsidP="00337119">
      <w:pPr>
        <w:spacing w:line="360" w:lineRule="auto"/>
        <w:rPr>
          <w:lang w:val="en-US"/>
        </w:rPr>
      </w:pPr>
      <w:r>
        <w:rPr>
          <w:lang w:val="en-US"/>
        </w:rPr>
        <w:t>A crisis has the potenti</w:t>
      </w:r>
      <w:r w:rsidR="009A6840">
        <w:rPr>
          <w:lang w:val="en-US"/>
        </w:rPr>
        <w:t>al to emerge in the coil of an incident</w:t>
      </w:r>
      <w:r>
        <w:rPr>
          <w:lang w:val="en-US"/>
        </w:rPr>
        <w:t>, which poses an unpredictable threat to areas such as public health and safety – affecting organization, business and stakeholders negatively</w:t>
      </w:r>
      <w:sdt>
        <w:sdtPr>
          <w:rPr>
            <w:lang w:val="en-US"/>
          </w:rPr>
          <w:id w:val="-2027629711"/>
          <w:citation/>
        </w:sdtPr>
        <w:sdtContent>
          <w:r>
            <w:rPr>
              <w:lang w:val="en-US"/>
            </w:rPr>
            <w:fldChar w:fldCharType="begin"/>
          </w:r>
          <w:r>
            <w:rPr>
              <w:lang w:val="en-US"/>
            </w:rPr>
            <w:instrText xml:space="preserve">CITATION Fin07 \p 78 \t  \l 1030 </w:instrText>
          </w:r>
          <w:r>
            <w:rPr>
              <w:lang w:val="en-US"/>
            </w:rPr>
            <w:fldChar w:fldCharType="separate"/>
          </w:r>
          <w:r w:rsidR="00F623D4">
            <w:rPr>
              <w:noProof/>
              <w:lang w:val="en-US"/>
            </w:rPr>
            <w:t xml:space="preserve"> (Frandsen and Johansen 2007, 78)</w:t>
          </w:r>
          <w:r>
            <w:rPr>
              <w:lang w:val="en-US"/>
            </w:rPr>
            <w:fldChar w:fldCharType="end"/>
          </w:r>
        </w:sdtContent>
      </w:sdt>
      <w:r>
        <w:rPr>
          <w:lang w:val="en-US"/>
        </w:rPr>
        <w:t>. However, it is the magnitude of the inf</w:t>
      </w:r>
      <w:r w:rsidR="009A6840">
        <w:rPr>
          <w:lang w:val="en-US"/>
        </w:rPr>
        <w:t>luential effect of the incident</w:t>
      </w:r>
      <w:r>
        <w:rPr>
          <w:lang w:val="en-US"/>
        </w:rPr>
        <w:t xml:space="preserve"> that creat</w:t>
      </w:r>
      <w:r w:rsidR="00484ED1">
        <w:rPr>
          <w:lang w:val="en-US"/>
        </w:rPr>
        <w:t xml:space="preserve">es the crisis. The magnitude </w:t>
      </w:r>
      <w:r>
        <w:rPr>
          <w:lang w:val="en-US"/>
        </w:rPr>
        <w:t xml:space="preserve">is not determined on the basis of the nature of the </w:t>
      </w:r>
      <w:r w:rsidR="009A6840">
        <w:rPr>
          <w:lang w:val="en-US"/>
        </w:rPr>
        <w:t>incident</w:t>
      </w:r>
      <w:r>
        <w:rPr>
          <w:lang w:val="en-US"/>
        </w:rPr>
        <w:t xml:space="preserve"> itself, but by personal, community and cultural perceptions; a process driven by strong expectations, which have been violated to some extent </w:t>
      </w:r>
      <w:sdt>
        <w:sdtPr>
          <w:rPr>
            <w:lang w:val="en-US"/>
          </w:rPr>
          <w:id w:val="-1349318689"/>
          <w:citation/>
        </w:sdtPr>
        <w:sdtContent>
          <w:r>
            <w:rPr>
              <w:lang w:val="en-US"/>
            </w:rPr>
            <w:fldChar w:fldCharType="begin"/>
          </w:r>
          <w:r>
            <w:rPr>
              <w:lang w:val="en-US"/>
            </w:rPr>
            <w:instrText xml:space="preserve">CITATION Tim13 \p 4 \l 1030 </w:instrText>
          </w:r>
          <w:r>
            <w:rPr>
              <w:lang w:val="en-US"/>
            </w:rPr>
            <w:fldChar w:fldCharType="separate"/>
          </w:r>
          <w:r w:rsidR="00F623D4">
            <w:rPr>
              <w:noProof/>
              <w:lang w:val="en-US"/>
            </w:rPr>
            <w:t>(Sellnow and Seeger 2013, 4)</w:t>
          </w:r>
          <w:r>
            <w:rPr>
              <w:lang w:val="en-US"/>
            </w:rPr>
            <w:fldChar w:fldCharType="end"/>
          </w:r>
        </w:sdtContent>
      </w:sdt>
      <w:r>
        <w:rPr>
          <w:lang w:val="en-US"/>
        </w:rPr>
        <w:t xml:space="preserve">. As a result, an </w:t>
      </w:r>
      <w:r w:rsidR="009A6840">
        <w:rPr>
          <w:lang w:val="en-US"/>
        </w:rPr>
        <w:t>incident</w:t>
      </w:r>
      <w:r>
        <w:rPr>
          <w:lang w:val="en-US"/>
        </w:rPr>
        <w:t xml:space="preserve"> with a potentially negative and harmful outcome to a specific organization will not </w:t>
      </w:r>
      <w:r>
        <w:rPr>
          <w:lang w:val="en-US"/>
        </w:rPr>
        <w:lastRenderedPageBreak/>
        <w:t>necessarily invoke a crisis situation, because it depends on whether it is perceived as a crisis or not, and the magnitude thereof (Ibid: 5). Embedded within the magnitude parameter is also the understanding that a few stakeholders, who perceive a situation as being a crisis</w:t>
      </w:r>
      <w:r w:rsidR="00E102D4">
        <w:rPr>
          <w:lang w:val="en-US"/>
        </w:rPr>
        <w:t>, raising critical assertions about an organization</w:t>
      </w:r>
      <w:r>
        <w:rPr>
          <w:lang w:val="en-US"/>
        </w:rPr>
        <w:t>, do not necessarily create a crisis</w:t>
      </w:r>
      <w:sdt>
        <w:sdtPr>
          <w:rPr>
            <w:lang w:val="en-US"/>
          </w:rPr>
          <w:id w:val="-701472556"/>
          <w:citation/>
        </w:sdtPr>
        <w:sdtContent>
          <w:r>
            <w:rPr>
              <w:lang w:val="en-US"/>
            </w:rPr>
            <w:fldChar w:fldCharType="begin"/>
          </w:r>
          <w:r>
            <w:rPr>
              <w:lang w:val="en-US"/>
            </w:rPr>
            <w:instrText xml:space="preserve">CITATION Coo12 \p 408 \t  \l 1030 </w:instrText>
          </w:r>
          <w:r>
            <w:rPr>
              <w:lang w:val="en-US"/>
            </w:rPr>
            <w:fldChar w:fldCharType="separate"/>
          </w:r>
          <w:r w:rsidR="00F623D4">
            <w:rPr>
              <w:noProof/>
              <w:lang w:val="en-US"/>
            </w:rPr>
            <w:t xml:space="preserve"> (Coombs and Holladay 2012, 408)</w:t>
          </w:r>
          <w:r>
            <w:rPr>
              <w:lang w:val="en-US"/>
            </w:rPr>
            <w:fldChar w:fldCharType="end"/>
          </w:r>
        </w:sdtContent>
      </w:sdt>
      <w:r>
        <w:rPr>
          <w:lang w:val="en-US"/>
        </w:rPr>
        <w:t xml:space="preserve">. </w:t>
      </w:r>
      <w:r w:rsidR="00E102D4">
        <w:rPr>
          <w:lang w:val="en-US"/>
        </w:rPr>
        <w:t>T</w:t>
      </w:r>
      <w:r>
        <w:rPr>
          <w:lang w:val="en-US"/>
        </w:rPr>
        <w:t>he definite perception of a crisis evolves from community and social consensus in terms of violated expectations</w:t>
      </w:r>
      <w:sdt>
        <w:sdtPr>
          <w:rPr>
            <w:lang w:val="en-US"/>
          </w:rPr>
          <w:id w:val="473097428"/>
          <w:citation/>
        </w:sdtPr>
        <w:sdtContent>
          <w:r>
            <w:rPr>
              <w:lang w:val="en-US"/>
            </w:rPr>
            <w:fldChar w:fldCharType="begin"/>
          </w:r>
          <w:r w:rsidR="00E102D4">
            <w:rPr>
              <w:lang w:val="en-US"/>
            </w:rPr>
            <w:instrText xml:space="preserve">CITATION Tim13 \p 5-8 \l 1030 </w:instrText>
          </w:r>
          <w:r>
            <w:rPr>
              <w:lang w:val="en-US"/>
            </w:rPr>
            <w:fldChar w:fldCharType="separate"/>
          </w:r>
          <w:r w:rsidR="00F623D4">
            <w:rPr>
              <w:noProof/>
              <w:lang w:val="en-US"/>
            </w:rPr>
            <w:t xml:space="preserve"> (Sellnow and Seeger 2013, 5-8)</w:t>
          </w:r>
          <w:r>
            <w:rPr>
              <w:lang w:val="en-US"/>
            </w:rPr>
            <w:fldChar w:fldCharType="end"/>
          </w:r>
        </w:sdtContent>
      </w:sdt>
      <w:r>
        <w:rPr>
          <w:lang w:val="en-US"/>
        </w:rPr>
        <w:t>. The complexity in what causes a crisis is therefore salient, but</w:t>
      </w:r>
      <w:r w:rsidR="00E102D4">
        <w:rPr>
          <w:lang w:val="en-US"/>
        </w:rPr>
        <w:t>, as asserted by</w:t>
      </w:r>
      <w:r w:rsidRPr="005B1D45">
        <w:rPr>
          <w:lang w:val="en-US"/>
        </w:rPr>
        <w:t xml:space="preserve"> </w:t>
      </w:r>
      <w:r w:rsidR="00E102D4">
        <w:rPr>
          <w:lang w:val="en-US"/>
        </w:rPr>
        <w:t>Coombs;</w:t>
      </w:r>
      <w:r>
        <w:rPr>
          <w:lang w:val="en-US"/>
        </w:rPr>
        <w:t xml:space="preserve"> what ultimately causes a crisis is how the </w:t>
      </w:r>
      <w:r w:rsidR="00E102D4">
        <w:rPr>
          <w:lang w:val="en-US"/>
        </w:rPr>
        <w:t>incident</w:t>
      </w:r>
      <w:r>
        <w:rPr>
          <w:lang w:val="en-US"/>
        </w:rPr>
        <w:t xml:space="preserve"> posing a threat is handled by the organization – and more importantly, the subsequent perceptions of the situation by stakeholders</w:t>
      </w:r>
      <w:sdt>
        <w:sdtPr>
          <w:rPr>
            <w:lang w:val="en-US"/>
          </w:rPr>
          <w:id w:val="-350415373"/>
          <w:citation/>
        </w:sdtPr>
        <w:sdtContent>
          <w:r>
            <w:rPr>
              <w:lang w:val="en-US"/>
            </w:rPr>
            <w:fldChar w:fldCharType="begin"/>
          </w:r>
          <w:r>
            <w:rPr>
              <w:lang w:val="en-US"/>
            </w:rPr>
            <w:instrText xml:space="preserve">CITATION WTi15 \p 4 \t  \l 1030 </w:instrText>
          </w:r>
          <w:r>
            <w:rPr>
              <w:lang w:val="en-US"/>
            </w:rPr>
            <w:fldChar w:fldCharType="separate"/>
          </w:r>
          <w:r w:rsidR="00F623D4">
            <w:rPr>
              <w:noProof/>
              <w:lang w:val="en-US"/>
            </w:rPr>
            <w:t xml:space="preserve"> (W. T. Coombs 2015, 4)</w:t>
          </w:r>
          <w:r>
            <w:rPr>
              <w:lang w:val="en-US"/>
            </w:rPr>
            <w:fldChar w:fldCharType="end"/>
          </w:r>
        </w:sdtContent>
      </w:sdt>
      <w:r>
        <w:rPr>
          <w:lang w:val="en-US"/>
        </w:rPr>
        <w:t xml:space="preserve">. </w:t>
      </w:r>
    </w:p>
    <w:p w:rsidR="00762725" w:rsidRDefault="00762725" w:rsidP="00337119">
      <w:pPr>
        <w:spacing w:line="360" w:lineRule="auto"/>
        <w:rPr>
          <w:lang w:val="en-US"/>
        </w:rPr>
      </w:pPr>
      <w:r>
        <w:rPr>
          <w:lang w:val="en-US"/>
        </w:rPr>
        <w:t>Situations involving incidents posing a reputational threat to an organization can also be referred to as para-crises, because they may simulate a crisis – invoked by a harmful event or unsatisfied stakeholders. The para-crisis term is defined as a publicly visible crisis threat, which may evolve into a crisis, if not addressed properly</w:t>
      </w:r>
      <w:sdt>
        <w:sdtPr>
          <w:rPr>
            <w:lang w:val="en-US"/>
          </w:rPr>
          <w:id w:val="-1141194540"/>
          <w:citation/>
        </w:sdtPr>
        <w:sdtContent>
          <w:r>
            <w:rPr>
              <w:lang w:val="en-US"/>
            </w:rPr>
            <w:fldChar w:fldCharType="begin"/>
          </w:r>
          <w:r w:rsidR="00D45896">
            <w:rPr>
              <w:lang w:val="en-US"/>
            </w:rPr>
            <w:instrText xml:space="preserve">CITATION Coo12 \p 409 \t  \l 1030 </w:instrText>
          </w:r>
          <w:r>
            <w:rPr>
              <w:lang w:val="en-US"/>
            </w:rPr>
            <w:fldChar w:fldCharType="separate"/>
          </w:r>
          <w:r w:rsidR="00F623D4">
            <w:rPr>
              <w:noProof/>
              <w:lang w:val="en-US"/>
            </w:rPr>
            <w:t xml:space="preserve"> (Coombs and Holladay 2012, 409)</w:t>
          </w:r>
          <w:r>
            <w:rPr>
              <w:lang w:val="en-US"/>
            </w:rPr>
            <w:fldChar w:fldCharType="end"/>
          </w:r>
        </w:sdtContent>
      </w:sdt>
      <w:r>
        <w:rPr>
          <w:lang w:val="en-US"/>
        </w:rPr>
        <w:t xml:space="preserve">. </w:t>
      </w:r>
      <w:r w:rsidRPr="00D57D72">
        <w:rPr>
          <w:lang w:val="en-US"/>
        </w:rPr>
        <w:t>With</w:t>
      </w:r>
      <w:r>
        <w:rPr>
          <w:lang w:val="en-US"/>
        </w:rPr>
        <w:t xml:space="preserve"> the potential to evolve into a crisis, para-crises should be recognized and addressed. An example of a para-crisis evolving into a regular crisis can be found within the case of Mozilla. Preceding the 2014 crisis situation of Mozilla, when CTO Brendan </w:t>
      </w:r>
      <w:proofErr w:type="spellStart"/>
      <w:r>
        <w:rPr>
          <w:lang w:val="en-US"/>
        </w:rPr>
        <w:t>Eich</w:t>
      </w:r>
      <w:proofErr w:type="spellEnd"/>
      <w:r>
        <w:rPr>
          <w:lang w:val="en-US"/>
        </w:rPr>
        <w:t xml:space="preserve"> was elected CEO, public anger towards </w:t>
      </w:r>
      <w:proofErr w:type="spellStart"/>
      <w:r>
        <w:rPr>
          <w:lang w:val="en-US"/>
        </w:rPr>
        <w:t>Eich’s</w:t>
      </w:r>
      <w:proofErr w:type="spellEnd"/>
      <w:r>
        <w:rPr>
          <w:lang w:val="en-US"/>
        </w:rPr>
        <w:t xml:space="preserve"> anti-gay-marriage donation ha</w:t>
      </w:r>
      <w:r w:rsidR="00E102D4">
        <w:rPr>
          <w:lang w:val="en-US"/>
        </w:rPr>
        <w:t xml:space="preserve">d already emerged back in 2012, </w:t>
      </w:r>
      <w:r>
        <w:rPr>
          <w:lang w:val="en-US"/>
        </w:rPr>
        <w:t xml:space="preserve">when the incident became known. However, the controversy abated after </w:t>
      </w:r>
      <w:proofErr w:type="spellStart"/>
      <w:r>
        <w:rPr>
          <w:lang w:val="en-US"/>
        </w:rPr>
        <w:t>Eich</w:t>
      </w:r>
      <w:proofErr w:type="spellEnd"/>
      <w:r>
        <w:rPr>
          <w:lang w:val="en-US"/>
        </w:rPr>
        <w:t xml:space="preserve"> dismissed the essentiality of the incident – right up until the moment he was appointed CEO of Mozilla two years later, when the issue attracted renewed attention</w:t>
      </w:r>
      <w:sdt>
        <w:sdtPr>
          <w:rPr>
            <w:lang w:val="en-US"/>
          </w:rPr>
          <w:id w:val="-1071426001"/>
          <w:citation/>
        </w:sdtPr>
        <w:sdtContent>
          <w:r>
            <w:rPr>
              <w:lang w:val="en-US"/>
            </w:rPr>
            <w:fldChar w:fldCharType="begin"/>
          </w:r>
          <w:r w:rsidR="00D45896">
            <w:rPr>
              <w:lang w:val="en-US"/>
            </w:rPr>
            <w:instrText xml:space="preserve">CITATION Kel12 \t  \l 1030 </w:instrText>
          </w:r>
          <w:r>
            <w:rPr>
              <w:lang w:val="en-US"/>
            </w:rPr>
            <w:fldChar w:fldCharType="separate"/>
          </w:r>
          <w:r w:rsidR="00F623D4">
            <w:rPr>
              <w:noProof/>
              <w:lang w:val="en-US"/>
            </w:rPr>
            <w:t xml:space="preserve"> (Faircloth 2012)</w:t>
          </w:r>
          <w:r>
            <w:rPr>
              <w:lang w:val="en-US"/>
            </w:rPr>
            <w:fldChar w:fldCharType="end"/>
          </w:r>
        </w:sdtContent>
      </w:sdt>
      <w:r>
        <w:rPr>
          <w:lang w:val="en-US"/>
        </w:rPr>
        <w:t>, meaning that the issue itself never had subsided. A para-crisis, which the Mozilla controversy in 2012 may resemble, relates to a challenge crisis</w:t>
      </w:r>
      <w:sdt>
        <w:sdtPr>
          <w:rPr>
            <w:lang w:val="en-US"/>
          </w:rPr>
          <w:id w:val="556211790"/>
          <w:citation/>
        </w:sdtPr>
        <w:sdtContent>
          <w:r>
            <w:rPr>
              <w:lang w:val="en-US"/>
            </w:rPr>
            <w:fldChar w:fldCharType="begin"/>
          </w:r>
          <w:r>
            <w:rPr>
              <w:lang w:val="en-US"/>
            </w:rPr>
            <w:instrText xml:space="preserve">CITATION Coo12 \p 409 \t  \l 1030 </w:instrText>
          </w:r>
          <w:r>
            <w:rPr>
              <w:lang w:val="en-US"/>
            </w:rPr>
            <w:fldChar w:fldCharType="separate"/>
          </w:r>
          <w:r w:rsidR="00F623D4">
            <w:rPr>
              <w:noProof/>
              <w:lang w:val="en-US"/>
            </w:rPr>
            <w:t xml:space="preserve"> (Coombs and Holladay 2012, 409)</w:t>
          </w:r>
          <w:r>
            <w:rPr>
              <w:lang w:val="en-US"/>
            </w:rPr>
            <w:fldChar w:fldCharType="end"/>
          </w:r>
        </w:sdtContent>
      </w:sdt>
      <w:r>
        <w:rPr>
          <w:lang w:val="en-US"/>
        </w:rPr>
        <w:t>, meaning that it signifies low attribution of responsibility</w:t>
      </w:r>
      <w:r w:rsidRPr="005D1D58">
        <w:rPr>
          <w:sz w:val="22"/>
          <w:lang w:val="en-US"/>
        </w:rPr>
        <w:t xml:space="preserve"> </w:t>
      </w:r>
      <w:sdt>
        <w:sdtPr>
          <w:rPr>
            <w:lang w:val="en-US"/>
          </w:rPr>
          <w:id w:val="998001716"/>
          <w:citation/>
        </w:sdtPr>
        <w:sdtContent>
          <w:r w:rsidRPr="005D1D58">
            <w:rPr>
              <w:lang w:val="en-US"/>
            </w:rPr>
            <w:fldChar w:fldCharType="begin"/>
          </w:r>
          <w:r>
            <w:rPr>
              <w:lang w:val="en-US"/>
            </w:rPr>
            <w:instrText xml:space="preserve">CITATION Pro07 \p 168 \t  \l 1030 </w:instrText>
          </w:r>
          <w:r w:rsidRPr="005D1D58">
            <w:rPr>
              <w:lang w:val="en-US"/>
            </w:rPr>
            <w:fldChar w:fldCharType="separate"/>
          </w:r>
          <w:r w:rsidR="00F623D4">
            <w:rPr>
              <w:noProof/>
              <w:lang w:val="en-US"/>
            </w:rPr>
            <w:t>(W. T. Coombs 2007, 168)</w:t>
          </w:r>
          <w:r w:rsidRPr="005D1D58">
            <w:rPr>
              <w:lang w:val="en-US"/>
            </w:rPr>
            <w:fldChar w:fldCharType="end"/>
          </w:r>
        </w:sdtContent>
      </w:sdt>
      <w:r>
        <w:rPr>
          <w:lang w:val="en-US"/>
        </w:rPr>
        <w:t xml:space="preserve">, which might explain, why the controversy abated in 2012. </w:t>
      </w:r>
    </w:p>
    <w:p w:rsidR="00762725" w:rsidRDefault="00762725" w:rsidP="00337119">
      <w:pPr>
        <w:spacing w:line="360" w:lineRule="auto"/>
        <w:rPr>
          <w:szCs w:val="24"/>
          <w:lang w:val="en-US"/>
        </w:rPr>
      </w:pPr>
      <w:r>
        <w:rPr>
          <w:lang w:val="en-US"/>
        </w:rPr>
        <w:t xml:space="preserve">The aspect of responsibility is considered important when it comes to organizational crises, as it underlines the essentiality of perception in a crisis, </w:t>
      </w:r>
      <w:r w:rsidR="004906DF">
        <w:rPr>
          <w:lang w:val="en-US"/>
        </w:rPr>
        <w:t xml:space="preserve">which determines the magnitude: </w:t>
      </w:r>
      <w:r>
        <w:rPr>
          <w:lang w:val="en-US"/>
        </w:rPr>
        <w:t>a</w:t>
      </w:r>
      <w:r w:rsidR="002F4D29">
        <w:rPr>
          <w:lang w:val="en-US"/>
        </w:rPr>
        <w:t>n organizational</w:t>
      </w:r>
      <w:r>
        <w:rPr>
          <w:lang w:val="en-US"/>
        </w:rPr>
        <w:t xml:space="preserve"> crisis arises when the </w:t>
      </w:r>
      <w:r w:rsidR="002F4D29">
        <w:rPr>
          <w:lang w:val="en-US"/>
        </w:rPr>
        <w:t>organization</w:t>
      </w:r>
      <w:r>
        <w:rPr>
          <w:lang w:val="en-US"/>
        </w:rPr>
        <w:t xml:space="preserve"> is perceived to be responsible for</w:t>
      </w:r>
      <w:r w:rsidR="004906DF">
        <w:rPr>
          <w:lang w:val="en-US"/>
        </w:rPr>
        <w:t xml:space="preserve"> an offensiveness caused by a </w:t>
      </w:r>
      <w:r>
        <w:rPr>
          <w:lang w:val="en-US"/>
        </w:rPr>
        <w:t xml:space="preserve">specific </w:t>
      </w:r>
      <w:r w:rsidR="004906DF">
        <w:rPr>
          <w:lang w:val="en-US"/>
        </w:rPr>
        <w:t>incident</w:t>
      </w:r>
      <w:r w:rsidRPr="00977C89">
        <w:rPr>
          <w:sz w:val="22"/>
          <w:lang w:val="en-US"/>
        </w:rPr>
        <w:t xml:space="preserve"> </w:t>
      </w:r>
      <w:sdt>
        <w:sdtPr>
          <w:rPr>
            <w:sz w:val="22"/>
            <w:lang w:val="en-US"/>
          </w:rPr>
          <w:id w:val="1174695428"/>
          <w:citation/>
        </w:sdtPr>
        <w:sdtContent>
          <w:r w:rsidRPr="00977C89">
            <w:rPr>
              <w:lang w:val="en-US"/>
            </w:rPr>
            <w:fldChar w:fldCharType="begin"/>
          </w:r>
          <w:r>
            <w:rPr>
              <w:lang w:val="en-US"/>
            </w:rPr>
            <w:instrText xml:space="preserve">CITATION Ben97 \p 178 \l 1030 </w:instrText>
          </w:r>
          <w:r w:rsidRPr="00977C89">
            <w:rPr>
              <w:lang w:val="en-US"/>
            </w:rPr>
            <w:fldChar w:fldCharType="separate"/>
          </w:r>
          <w:r w:rsidR="00F623D4">
            <w:rPr>
              <w:noProof/>
              <w:lang w:val="en-US"/>
            </w:rPr>
            <w:t>(W. L. Benoit 1997, 178)</w:t>
          </w:r>
          <w:r w:rsidRPr="00977C89">
            <w:rPr>
              <w:lang w:val="en-US"/>
            </w:rPr>
            <w:fldChar w:fldCharType="end"/>
          </w:r>
        </w:sdtContent>
      </w:sdt>
      <w:r>
        <w:rPr>
          <w:lang w:val="en-US"/>
        </w:rPr>
        <w:t xml:space="preserve">. Similar to Coombs, Benoit sees perception as more important than reality, meaning that it does not matter whether or not the </w:t>
      </w:r>
      <w:r w:rsidR="004906DF">
        <w:rPr>
          <w:lang w:val="en-US"/>
        </w:rPr>
        <w:t>organization</w:t>
      </w:r>
      <w:r>
        <w:rPr>
          <w:lang w:val="en-US"/>
        </w:rPr>
        <w:t xml:space="preserve"> is responsible; the only reality that matters is if the stakeholders believe it to be responsible. Subsequently, if the </w:t>
      </w:r>
      <w:r w:rsidR="004906DF">
        <w:rPr>
          <w:lang w:val="en-US"/>
        </w:rPr>
        <w:t>organization</w:t>
      </w:r>
      <w:r>
        <w:rPr>
          <w:lang w:val="en-US"/>
        </w:rPr>
        <w:t xml:space="preserve"> is perceived to be responsible, a response </w:t>
      </w:r>
      <w:r w:rsidRPr="006F1DE1">
        <w:rPr>
          <w:szCs w:val="24"/>
          <w:lang w:val="en-US"/>
        </w:rPr>
        <w:t>to address the issues present is of outmost significance (Ibid: 178).</w:t>
      </w:r>
    </w:p>
    <w:p w:rsidR="00762725" w:rsidRPr="008C421C" w:rsidRDefault="00762725" w:rsidP="00337119">
      <w:pPr>
        <w:spacing w:line="360" w:lineRule="auto"/>
        <w:rPr>
          <w:i/>
          <w:szCs w:val="24"/>
          <w:lang w:val="en-US"/>
        </w:rPr>
      </w:pPr>
      <w:r>
        <w:rPr>
          <w:szCs w:val="24"/>
          <w:lang w:val="en-US"/>
        </w:rPr>
        <w:lastRenderedPageBreak/>
        <w:t xml:space="preserve">In the description presented thus far, incidents posing an organizational threat have not been represented as crises on their own, but as catalysts potentially leading to an organizational crisis – determined on how they are handled and perceived. From a somewhat different theoretical standpoint, Frandsen and Johansen acknowledges the event as an actual crisis as well, but also presents the idea of a </w:t>
      </w:r>
      <w:r>
        <w:rPr>
          <w:i/>
          <w:szCs w:val="24"/>
          <w:lang w:val="en-US"/>
        </w:rPr>
        <w:t>double crisis</w:t>
      </w:r>
      <w:r>
        <w:rPr>
          <w:szCs w:val="24"/>
          <w:lang w:val="en-US"/>
        </w:rPr>
        <w:t>, which is created on the basis of how the original crisis is handled – in the form of a communication crisis. Consequently, the preceding theoretical definitions are not negated by Frandsen and Johansen, but rather expanded in order to address the complexities of crises and the consequences of the communication involved</w:t>
      </w:r>
      <w:sdt>
        <w:sdtPr>
          <w:rPr>
            <w:szCs w:val="24"/>
            <w:lang w:val="en-US"/>
          </w:rPr>
          <w:id w:val="2124408227"/>
          <w:citation/>
        </w:sdtPr>
        <w:sdtContent>
          <w:r>
            <w:rPr>
              <w:szCs w:val="24"/>
              <w:lang w:val="en-US"/>
            </w:rPr>
            <w:fldChar w:fldCharType="begin"/>
          </w:r>
          <w:r>
            <w:rPr>
              <w:szCs w:val="24"/>
              <w:lang w:val="en-US"/>
            </w:rPr>
            <w:instrText xml:space="preserve">CITATION Fin07 \p 79 \t  \l 1030 </w:instrText>
          </w:r>
          <w:r>
            <w:rPr>
              <w:szCs w:val="24"/>
              <w:lang w:val="en-US"/>
            </w:rPr>
            <w:fldChar w:fldCharType="separate"/>
          </w:r>
          <w:r w:rsidR="00F623D4">
            <w:rPr>
              <w:noProof/>
              <w:szCs w:val="24"/>
              <w:lang w:val="en-US"/>
            </w:rPr>
            <w:t xml:space="preserve"> </w:t>
          </w:r>
          <w:r w:rsidR="00F623D4" w:rsidRPr="00F623D4">
            <w:rPr>
              <w:noProof/>
              <w:szCs w:val="24"/>
              <w:lang w:val="en-US"/>
            </w:rPr>
            <w:t>(Frandsen and Johansen 2007, 79)</w:t>
          </w:r>
          <w:r>
            <w:rPr>
              <w:szCs w:val="24"/>
              <w:lang w:val="en-US"/>
            </w:rPr>
            <w:fldChar w:fldCharType="end"/>
          </w:r>
        </w:sdtContent>
      </w:sdt>
      <w:r>
        <w:rPr>
          <w:szCs w:val="24"/>
          <w:lang w:val="en-US"/>
        </w:rPr>
        <w:t>. Despite obvious differences in the categorization of a crisis, the double crisis parameter relates, in some measure, to the para-crisis term by Coombs and Holladay, as they emphasizes the importance of correct communicative handling of an threatening event as well – in order to avoid a crisis</w:t>
      </w:r>
      <w:sdt>
        <w:sdtPr>
          <w:rPr>
            <w:szCs w:val="24"/>
            <w:lang w:val="en-US"/>
          </w:rPr>
          <w:id w:val="-1757967819"/>
          <w:citation/>
        </w:sdtPr>
        <w:sdtContent>
          <w:r>
            <w:rPr>
              <w:szCs w:val="24"/>
              <w:lang w:val="en-US"/>
            </w:rPr>
            <w:fldChar w:fldCharType="begin"/>
          </w:r>
          <w:r>
            <w:rPr>
              <w:szCs w:val="24"/>
              <w:lang w:val="en-US"/>
            </w:rPr>
            <w:instrText xml:space="preserve">CITATION Coo12 \p 409 \t  \l 1030 </w:instrText>
          </w:r>
          <w:r>
            <w:rPr>
              <w:szCs w:val="24"/>
              <w:lang w:val="en-US"/>
            </w:rPr>
            <w:fldChar w:fldCharType="separate"/>
          </w:r>
          <w:r w:rsidR="00F623D4">
            <w:rPr>
              <w:noProof/>
              <w:szCs w:val="24"/>
              <w:lang w:val="en-US"/>
            </w:rPr>
            <w:t xml:space="preserve"> </w:t>
          </w:r>
          <w:r w:rsidR="00F623D4" w:rsidRPr="00F623D4">
            <w:rPr>
              <w:noProof/>
              <w:szCs w:val="24"/>
              <w:lang w:val="en-US"/>
            </w:rPr>
            <w:t>(Coombs and Holladay 2012, 409)</w:t>
          </w:r>
          <w:r>
            <w:rPr>
              <w:szCs w:val="24"/>
              <w:lang w:val="en-US"/>
            </w:rPr>
            <w:fldChar w:fldCharType="end"/>
          </w:r>
        </w:sdtContent>
      </w:sdt>
      <w:r>
        <w:rPr>
          <w:szCs w:val="24"/>
          <w:lang w:val="en-US"/>
        </w:rPr>
        <w:t xml:space="preserve">. All in all, the various theoretical perspectives seem to reach the consensus that </w:t>
      </w:r>
      <w:r w:rsidR="004906DF">
        <w:rPr>
          <w:szCs w:val="24"/>
          <w:lang w:val="en-US"/>
        </w:rPr>
        <w:t>incidents</w:t>
      </w:r>
      <w:r>
        <w:rPr>
          <w:szCs w:val="24"/>
          <w:lang w:val="en-US"/>
        </w:rPr>
        <w:t xml:space="preserve"> can shatter the </w:t>
      </w:r>
      <w:r w:rsidR="004906DF">
        <w:rPr>
          <w:szCs w:val="24"/>
          <w:lang w:val="en-US"/>
        </w:rPr>
        <w:t>organizational</w:t>
      </w:r>
      <w:r>
        <w:rPr>
          <w:szCs w:val="24"/>
          <w:lang w:val="en-US"/>
        </w:rPr>
        <w:t xml:space="preserve"> and social sense of normalcy, stability and predictability, which can threaten </w:t>
      </w:r>
      <w:r w:rsidR="004906DF">
        <w:rPr>
          <w:szCs w:val="24"/>
          <w:lang w:val="en-US"/>
        </w:rPr>
        <w:t>organizations</w:t>
      </w:r>
      <w:r>
        <w:rPr>
          <w:szCs w:val="24"/>
          <w:lang w:val="en-US"/>
        </w:rPr>
        <w:t xml:space="preserve"> as well as stakeholders. Accordingly, </w:t>
      </w:r>
      <w:r w:rsidRPr="008C421C">
        <w:rPr>
          <w:i/>
          <w:szCs w:val="24"/>
          <w:lang w:val="en-US"/>
        </w:rPr>
        <w:t>“Making sense of them and reestablishing some new normal requires communication”</w:t>
      </w:r>
      <w:sdt>
        <w:sdtPr>
          <w:rPr>
            <w:i/>
            <w:szCs w:val="24"/>
            <w:lang w:val="en-US"/>
          </w:rPr>
          <w:id w:val="-187294912"/>
          <w:citation/>
        </w:sdtPr>
        <w:sdtContent>
          <w:r>
            <w:rPr>
              <w:i/>
              <w:szCs w:val="24"/>
              <w:lang w:val="en-US"/>
            </w:rPr>
            <w:fldChar w:fldCharType="begin"/>
          </w:r>
          <w:r>
            <w:rPr>
              <w:i/>
              <w:szCs w:val="24"/>
              <w:lang w:val="en-US"/>
            </w:rPr>
            <w:instrText xml:space="preserve">CITATION Tim13 \p 14 \l 1030 </w:instrText>
          </w:r>
          <w:r>
            <w:rPr>
              <w:i/>
              <w:szCs w:val="24"/>
              <w:lang w:val="en-US"/>
            </w:rPr>
            <w:fldChar w:fldCharType="separate"/>
          </w:r>
          <w:r w:rsidR="00F623D4">
            <w:rPr>
              <w:i/>
              <w:noProof/>
              <w:szCs w:val="24"/>
              <w:lang w:val="en-US"/>
            </w:rPr>
            <w:t xml:space="preserve"> </w:t>
          </w:r>
          <w:r w:rsidR="00F623D4" w:rsidRPr="00F623D4">
            <w:rPr>
              <w:noProof/>
              <w:szCs w:val="24"/>
              <w:lang w:val="en-US"/>
            </w:rPr>
            <w:t>(Sellnow and Seeger 2013, 14)</w:t>
          </w:r>
          <w:r>
            <w:rPr>
              <w:i/>
              <w:szCs w:val="24"/>
              <w:lang w:val="en-US"/>
            </w:rPr>
            <w:fldChar w:fldCharType="end"/>
          </w:r>
        </w:sdtContent>
      </w:sdt>
      <w:r>
        <w:rPr>
          <w:szCs w:val="24"/>
          <w:lang w:val="en-US"/>
        </w:rPr>
        <w:t xml:space="preserve">, which accommodates the diversity and complexity of the circumstances </w:t>
      </w:r>
      <w:r w:rsidR="008B1414">
        <w:rPr>
          <w:szCs w:val="24"/>
          <w:lang w:val="en-US"/>
        </w:rPr>
        <w:t>(</w:t>
      </w:r>
      <w:r w:rsidR="008B1414">
        <w:rPr>
          <w:lang w:val="en-US"/>
        </w:rPr>
        <w:t>parameters of</w:t>
      </w:r>
      <w:r w:rsidR="008B1414">
        <w:rPr>
          <w:i/>
          <w:lang w:val="en-US"/>
        </w:rPr>
        <w:t xml:space="preserve"> what, how, where </w:t>
      </w:r>
      <w:r w:rsidR="008B1414">
        <w:rPr>
          <w:lang w:val="en-US"/>
        </w:rPr>
        <w:t xml:space="preserve">and </w:t>
      </w:r>
      <w:r w:rsidR="008B1414">
        <w:rPr>
          <w:i/>
          <w:lang w:val="en-US"/>
        </w:rPr>
        <w:t>when</w:t>
      </w:r>
      <w:r w:rsidR="008B1414">
        <w:rPr>
          <w:lang w:val="en-US"/>
        </w:rPr>
        <w:t xml:space="preserve">) </w:t>
      </w:r>
      <w:r>
        <w:rPr>
          <w:szCs w:val="24"/>
          <w:lang w:val="en-US"/>
        </w:rPr>
        <w:t xml:space="preserve">surrounding the specific </w:t>
      </w:r>
      <w:r w:rsidR="004906DF">
        <w:rPr>
          <w:szCs w:val="24"/>
          <w:lang w:val="en-US"/>
        </w:rPr>
        <w:t>incident</w:t>
      </w:r>
      <w:r>
        <w:rPr>
          <w:szCs w:val="24"/>
          <w:lang w:val="en-US"/>
        </w:rPr>
        <w:t xml:space="preserve"> (Ibid: 14). </w:t>
      </w:r>
      <w:r w:rsidRPr="008C421C">
        <w:rPr>
          <w:i/>
          <w:szCs w:val="24"/>
          <w:lang w:val="en-US"/>
        </w:rPr>
        <w:t xml:space="preserve">        </w:t>
      </w:r>
    </w:p>
    <w:p w:rsidR="00762725" w:rsidRDefault="005D0951" w:rsidP="00337119">
      <w:pPr>
        <w:pStyle w:val="Overskrift2"/>
        <w:spacing w:line="360" w:lineRule="auto"/>
        <w:rPr>
          <w:lang w:val="en-US"/>
        </w:rPr>
      </w:pPr>
      <w:bookmarkStart w:id="39" w:name="_Toc420075816"/>
      <w:bookmarkStart w:id="40" w:name="_Toc420761629"/>
      <w:r>
        <w:rPr>
          <w:lang w:val="en-US"/>
        </w:rPr>
        <w:t>4</w:t>
      </w:r>
      <w:r w:rsidR="00762725">
        <w:rPr>
          <w:lang w:val="en-US"/>
        </w:rPr>
        <w:t>.2 Crisis Communication</w:t>
      </w:r>
      <w:bookmarkEnd w:id="39"/>
      <w:bookmarkEnd w:id="40"/>
    </w:p>
    <w:p w:rsidR="00762725" w:rsidRDefault="00762725" w:rsidP="00337119">
      <w:pPr>
        <w:spacing w:line="360" w:lineRule="auto"/>
        <w:rPr>
          <w:lang w:val="en-US"/>
        </w:rPr>
      </w:pPr>
      <w:r>
        <w:rPr>
          <w:lang w:val="en-US"/>
        </w:rPr>
        <w:t>An understanding of crisis communication has been well-examined through recent decades – in particular since the mid 1990’s, where a plethora of crisis communication studies have emerged</w:t>
      </w:r>
      <w:sdt>
        <w:sdtPr>
          <w:rPr>
            <w:lang w:val="en-US"/>
          </w:rPr>
          <w:id w:val="-1030492874"/>
          <w:citation/>
        </w:sdtPr>
        <w:sdtContent>
          <w:r>
            <w:rPr>
              <w:lang w:val="en-US"/>
            </w:rPr>
            <w:fldChar w:fldCharType="begin"/>
          </w:r>
          <w:r>
            <w:rPr>
              <w:lang w:val="en-US"/>
            </w:rPr>
            <w:instrText xml:space="preserve">CITATION Fin07 \p 200 \t  \l 1030 </w:instrText>
          </w:r>
          <w:r>
            <w:rPr>
              <w:lang w:val="en-US"/>
            </w:rPr>
            <w:fldChar w:fldCharType="separate"/>
          </w:r>
          <w:r w:rsidR="00F623D4">
            <w:rPr>
              <w:noProof/>
              <w:lang w:val="en-US"/>
            </w:rPr>
            <w:t xml:space="preserve"> (Frandsen and Johansen 2007, 200)</w:t>
          </w:r>
          <w:r>
            <w:rPr>
              <w:lang w:val="en-US"/>
            </w:rPr>
            <w:fldChar w:fldCharType="end"/>
          </w:r>
        </w:sdtContent>
      </w:sdt>
      <w:r>
        <w:rPr>
          <w:lang w:val="en-US"/>
        </w:rPr>
        <w:t xml:space="preserve">. Through an overview of the various studies, there are two </w:t>
      </w:r>
      <w:r>
        <w:rPr>
          <w:szCs w:val="24"/>
          <w:lang w:val="en-US"/>
        </w:rPr>
        <w:t xml:space="preserve">significant developments of crisis communication research. The first academic development focuses on crisis communication from a text-oriented perspective, where there is an attention towards the rhetoric of the communication. Hence, </w:t>
      </w:r>
      <w:r w:rsidR="00684533">
        <w:rPr>
          <w:i/>
          <w:szCs w:val="24"/>
          <w:lang w:val="en-US"/>
        </w:rPr>
        <w:t xml:space="preserve">how </w:t>
      </w:r>
      <w:r w:rsidR="00684533">
        <w:rPr>
          <w:szCs w:val="24"/>
          <w:lang w:val="en-US"/>
        </w:rPr>
        <w:t xml:space="preserve">and </w:t>
      </w:r>
      <w:r>
        <w:rPr>
          <w:i/>
          <w:szCs w:val="24"/>
          <w:lang w:val="en-US"/>
        </w:rPr>
        <w:t>what</w:t>
      </w:r>
      <w:r>
        <w:rPr>
          <w:szCs w:val="24"/>
          <w:lang w:val="en-US"/>
        </w:rPr>
        <w:t xml:space="preserve"> the organization writes and says during a crisis are of main interest (Ibid: 200). Within this development of crisis communication, also referred to as the text-oriented tradition, we find theorists like Keith Michael </w:t>
      </w:r>
      <w:proofErr w:type="spellStart"/>
      <w:r>
        <w:rPr>
          <w:szCs w:val="24"/>
          <w:lang w:val="en-US"/>
        </w:rPr>
        <w:t>Hearit</w:t>
      </w:r>
      <w:proofErr w:type="spellEnd"/>
      <w:r>
        <w:rPr>
          <w:szCs w:val="24"/>
          <w:lang w:val="en-US"/>
        </w:rPr>
        <w:t xml:space="preserve"> </w:t>
      </w:r>
      <w:sdt>
        <w:sdtPr>
          <w:rPr>
            <w:szCs w:val="24"/>
            <w:lang w:val="en-US"/>
          </w:rPr>
          <w:id w:val="769431509"/>
          <w:citation/>
        </w:sdtPr>
        <w:sdtContent>
          <w:r>
            <w:rPr>
              <w:szCs w:val="24"/>
              <w:lang w:val="en-US"/>
            </w:rPr>
            <w:fldChar w:fldCharType="begin"/>
          </w:r>
          <w:r>
            <w:rPr>
              <w:szCs w:val="24"/>
              <w:lang w:val="en-US"/>
            </w:rPr>
            <w:instrText xml:space="preserve">CITATION KMH95 \n  \t  \l 1030 </w:instrText>
          </w:r>
          <w:r>
            <w:rPr>
              <w:szCs w:val="24"/>
              <w:lang w:val="en-US"/>
            </w:rPr>
            <w:fldChar w:fldCharType="separate"/>
          </w:r>
          <w:r w:rsidR="00F623D4" w:rsidRPr="00F623D4">
            <w:rPr>
              <w:noProof/>
              <w:szCs w:val="24"/>
              <w:lang w:val="en-US"/>
            </w:rPr>
            <w:t>(1995)</w:t>
          </w:r>
          <w:r>
            <w:rPr>
              <w:szCs w:val="24"/>
              <w:lang w:val="en-US"/>
            </w:rPr>
            <w:fldChar w:fldCharType="end"/>
          </w:r>
        </w:sdtContent>
      </w:sdt>
      <w:r>
        <w:rPr>
          <w:szCs w:val="24"/>
          <w:lang w:val="en-US"/>
        </w:rPr>
        <w:t xml:space="preserve"> studying the ethics of apologia, and Benoit (1997) as the most prominent with his image restoration theory. From a descriptiv</w:t>
      </w:r>
      <w:r w:rsidR="00FD4BE5">
        <w:rPr>
          <w:szCs w:val="24"/>
          <w:lang w:val="en-US"/>
        </w:rPr>
        <w:t>e perspective, Benoit represents</w:t>
      </w:r>
      <w:r>
        <w:rPr>
          <w:szCs w:val="24"/>
          <w:lang w:val="en-US"/>
        </w:rPr>
        <w:t xml:space="preserve"> the text-oriented tradition towards crisis communication, consistent of response strategies at the present crisis level, which build</w:t>
      </w:r>
      <w:r w:rsidR="00684533">
        <w:rPr>
          <w:szCs w:val="24"/>
          <w:lang w:val="en-US"/>
        </w:rPr>
        <w:t xml:space="preserve"> the foundation of how an organization can restore its</w:t>
      </w:r>
      <w:r>
        <w:rPr>
          <w:szCs w:val="24"/>
          <w:lang w:val="en-US"/>
        </w:rPr>
        <w:t xml:space="preserve"> image and reputation. </w:t>
      </w:r>
      <w:sdt>
        <w:sdtPr>
          <w:rPr>
            <w:sz w:val="22"/>
            <w:lang w:val="en-US"/>
          </w:rPr>
          <w:id w:val="-604884406"/>
          <w:citation/>
        </w:sdtPr>
        <w:sdtEndPr>
          <w:rPr>
            <w:sz w:val="24"/>
          </w:rPr>
        </w:sdtEndPr>
        <w:sdtContent>
          <w:r w:rsidRPr="005A6402">
            <w:rPr>
              <w:lang w:val="en-US"/>
            </w:rPr>
            <w:fldChar w:fldCharType="begin"/>
          </w:r>
          <w:r>
            <w:rPr>
              <w:lang w:val="en-US"/>
            </w:rPr>
            <w:instrText xml:space="preserve">CITATION Fin07 \p 201 \t  \l 1030 </w:instrText>
          </w:r>
          <w:r w:rsidRPr="005A6402">
            <w:rPr>
              <w:lang w:val="en-US"/>
            </w:rPr>
            <w:fldChar w:fldCharType="separate"/>
          </w:r>
          <w:r w:rsidR="00F623D4">
            <w:rPr>
              <w:noProof/>
              <w:lang w:val="en-US"/>
            </w:rPr>
            <w:t>(Frandsen and Johansen 2007, 201)</w:t>
          </w:r>
          <w:r w:rsidRPr="005A6402">
            <w:rPr>
              <w:lang w:val="en-US"/>
            </w:rPr>
            <w:fldChar w:fldCharType="end"/>
          </w:r>
        </w:sdtContent>
      </w:sdt>
      <w:r>
        <w:rPr>
          <w:lang w:val="en-US"/>
        </w:rPr>
        <w:t>. The image restoration theory by Benoit</w:t>
      </w:r>
      <w:r w:rsidR="00684533">
        <w:rPr>
          <w:lang w:val="en-US"/>
        </w:rPr>
        <w:t>,</w:t>
      </w:r>
      <w:r>
        <w:rPr>
          <w:lang w:val="en-US"/>
        </w:rPr>
        <w:t xml:space="preserve"> operating at the present crisis level</w:t>
      </w:r>
      <w:r w:rsidR="00684533">
        <w:rPr>
          <w:lang w:val="en-US"/>
        </w:rPr>
        <w:t>,</w:t>
      </w:r>
      <w:r>
        <w:rPr>
          <w:lang w:val="en-US"/>
        </w:rPr>
        <w:t xml:space="preserve"> signifies a narrow perception of crisis communication, where communicative attention is directed at the </w:t>
      </w:r>
      <w:r>
        <w:rPr>
          <w:lang w:val="en-US"/>
        </w:rPr>
        <w:lastRenderedPageBreak/>
        <w:t xml:space="preserve">specific crisis inflicting </w:t>
      </w:r>
      <w:r w:rsidR="00684533">
        <w:rPr>
          <w:lang w:val="en-US"/>
        </w:rPr>
        <w:t>incident</w:t>
      </w:r>
      <w:r>
        <w:rPr>
          <w:lang w:val="en-US"/>
        </w:rPr>
        <w:t xml:space="preserve">. Moreover, the narrow perception defines the communication process during a crisis as sender-oriented and as the transmission of information – with a pragmatic and tactical approach (Ibid: 15-16), which to some extent represents Robert L. Heath’s (1992) transmission paradigm: the stimulus of the sender’s communication will invoke a corresponding response in a recipient (message reception) </w:t>
      </w:r>
      <w:sdt>
        <w:sdtPr>
          <w:rPr>
            <w:lang w:val="en-US"/>
          </w:rPr>
          <w:id w:val="20216804"/>
          <w:citation/>
        </w:sdtPr>
        <w:sdtContent>
          <w:r>
            <w:rPr>
              <w:lang w:val="en-US"/>
            </w:rPr>
            <w:fldChar w:fldCharType="begin"/>
          </w:r>
          <w:r>
            <w:rPr>
              <w:lang w:val="en-US"/>
            </w:rPr>
            <w:instrText xml:space="preserve">CITATION Fin07 \p 271 \t  \l 1030 </w:instrText>
          </w:r>
          <w:r>
            <w:rPr>
              <w:lang w:val="en-US"/>
            </w:rPr>
            <w:fldChar w:fldCharType="separate"/>
          </w:r>
          <w:r w:rsidR="00F623D4">
            <w:rPr>
              <w:noProof/>
              <w:lang w:val="en-US"/>
            </w:rPr>
            <w:t>(Frandsen and Johansen 2007, 271)</w:t>
          </w:r>
          <w:r>
            <w:rPr>
              <w:lang w:val="en-US"/>
            </w:rPr>
            <w:fldChar w:fldCharType="end"/>
          </w:r>
        </w:sdtContent>
      </w:sdt>
      <w:r>
        <w:rPr>
          <w:lang w:val="en-US"/>
        </w:rPr>
        <w:t>.</w:t>
      </w:r>
    </w:p>
    <w:p w:rsidR="00762725" w:rsidRDefault="00762725" w:rsidP="00337119">
      <w:pPr>
        <w:spacing w:line="360" w:lineRule="auto"/>
        <w:rPr>
          <w:szCs w:val="24"/>
          <w:lang w:val="en-US"/>
        </w:rPr>
      </w:pPr>
      <w:r>
        <w:rPr>
          <w:lang w:val="en-US"/>
        </w:rPr>
        <w:t xml:space="preserve">The second academic development within crisis communication is referred to as the context-oriented or strategic tradition. Unlike the text-oriented tradition, this tradition has a stronger focus on the situational aspects of the crisis, where the crisis communication process is based on an understanding of the crisis type, the extent of the crisis, decision making and stakeholder attributions (Ibid: 201). As a result, this tradition has an interest in exploring </w:t>
      </w:r>
      <w:r>
        <w:rPr>
          <w:i/>
          <w:lang w:val="en-US"/>
        </w:rPr>
        <w:t xml:space="preserve">where </w:t>
      </w:r>
      <w:r>
        <w:rPr>
          <w:lang w:val="en-US"/>
        </w:rPr>
        <w:t xml:space="preserve">and </w:t>
      </w:r>
      <w:r>
        <w:rPr>
          <w:i/>
          <w:lang w:val="en-US"/>
        </w:rPr>
        <w:t>when</w:t>
      </w:r>
      <w:r>
        <w:rPr>
          <w:lang w:val="en-US"/>
        </w:rPr>
        <w:t xml:space="preserve"> it is statically most beneficial to communicate </w:t>
      </w:r>
      <w:r>
        <w:rPr>
          <w:i/>
          <w:lang w:val="en-US"/>
        </w:rPr>
        <w:t xml:space="preserve">what </w:t>
      </w:r>
      <w:r>
        <w:rPr>
          <w:lang w:val="en-US"/>
        </w:rPr>
        <w:t xml:space="preserve">and </w:t>
      </w:r>
      <w:r>
        <w:rPr>
          <w:i/>
          <w:lang w:val="en-US"/>
        </w:rPr>
        <w:t>how</w:t>
      </w:r>
      <w:r>
        <w:rPr>
          <w:lang w:val="en-US"/>
        </w:rPr>
        <w:t xml:space="preserve"> – in order to achieve the reputational restoring goals set by the organization. The most prominent representative of this tradition is Coombs and his situational crisis communication theory (Ibid: 202). F</w:t>
      </w:r>
      <w:r>
        <w:rPr>
          <w:szCs w:val="24"/>
          <w:lang w:val="en-US"/>
        </w:rPr>
        <w:t>rom a more prescriptive perspective, Coombs operates at the pre-crisis, present and post-crisis level, signifying a broad perception of crisis communication (Ibid: 16). Instead of just focusing on the communication of the sender, there is a focus on the communication of the recipients as well, which enables a deeper understanding of parameters applicable in a crisis situation (Ibid: 17). Moreover, the broad perception defines a strategic approach to the communication and sees it more as a process, where actors create meanings through interactions. It can therefore be positioned within the interactions paradigm by Heath (Ibid: 272).</w:t>
      </w:r>
    </w:p>
    <w:p w:rsidR="00762725" w:rsidRDefault="00762725" w:rsidP="00337119">
      <w:pPr>
        <w:spacing w:line="360" w:lineRule="auto"/>
        <w:rPr>
          <w:szCs w:val="24"/>
          <w:lang w:val="en-US"/>
        </w:rPr>
      </w:pPr>
      <w:r>
        <w:rPr>
          <w:szCs w:val="24"/>
          <w:lang w:val="en-US"/>
        </w:rPr>
        <w:t xml:space="preserve">Consequently, Benoit and Coombs represent two different developments and traditions within crisis communication. Even though Coombs’s theory has a more versatile perspective on crisis communication as a process – by including the aspects of crisis management – </w:t>
      </w:r>
      <w:r w:rsidR="00535DF4">
        <w:rPr>
          <w:szCs w:val="24"/>
          <w:lang w:val="en-US"/>
        </w:rPr>
        <w:t xml:space="preserve">it cannot be seen as superior to </w:t>
      </w:r>
      <w:r>
        <w:rPr>
          <w:szCs w:val="24"/>
          <w:lang w:val="en-US"/>
        </w:rPr>
        <w:t xml:space="preserve">Benoit’s theory. Each approach and perception of crisis communication presents various understandings, which may be seen as supplementing instead of distinctive and/or contradicting.  </w:t>
      </w:r>
    </w:p>
    <w:p w:rsidR="00762725" w:rsidRDefault="005D0951" w:rsidP="00337119">
      <w:pPr>
        <w:pStyle w:val="Overskrift2"/>
        <w:spacing w:line="360" w:lineRule="auto"/>
        <w:rPr>
          <w:lang w:val="en-US"/>
        </w:rPr>
      </w:pPr>
      <w:bookmarkStart w:id="41" w:name="_Toc420075817"/>
      <w:bookmarkStart w:id="42" w:name="_Toc420761630"/>
      <w:r>
        <w:rPr>
          <w:lang w:val="en-US"/>
        </w:rPr>
        <w:t>4</w:t>
      </w:r>
      <w:r w:rsidR="00762725">
        <w:rPr>
          <w:lang w:val="en-US"/>
        </w:rPr>
        <w:t>.3 William L. Benoit’s Image Restoration Theory</w:t>
      </w:r>
      <w:bookmarkEnd w:id="41"/>
      <w:bookmarkEnd w:id="42"/>
    </w:p>
    <w:p w:rsidR="00762725" w:rsidRDefault="00762725" w:rsidP="00337119">
      <w:pPr>
        <w:spacing w:line="360" w:lineRule="auto"/>
        <w:rPr>
          <w:rFonts w:cs="Times New Roman"/>
          <w:lang w:val="en-US"/>
        </w:rPr>
      </w:pPr>
      <w:r>
        <w:rPr>
          <w:rFonts w:cs="Times New Roman"/>
          <w:lang w:val="en-US"/>
        </w:rPr>
        <w:t xml:space="preserve">Benoit’s studies on image restoration rely on the rhetorical and sociological traditions, where the rhetorical aspects primarily seek inspiration from Ware and </w:t>
      </w:r>
      <w:proofErr w:type="spellStart"/>
      <w:r>
        <w:rPr>
          <w:rFonts w:cs="Times New Roman"/>
          <w:lang w:val="en-US"/>
        </w:rPr>
        <w:t>Linkugel’s</w:t>
      </w:r>
      <w:proofErr w:type="spellEnd"/>
      <w:r>
        <w:rPr>
          <w:rFonts w:cs="Times New Roman"/>
          <w:lang w:val="en-US"/>
        </w:rPr>
        <w:t xml:space="preserve"> </w:t>
      </w:r>
      <w:sdt>
        <w:sdtPr>
          <w:rPr>
            <w:rFonts w:cs="Times New Roman"/>
            <w:lang w:val="en-US"/>
          </w:rPr>
          <w:id w:val="-926111889"/>
          <w:citation/>
        </w:sdtPr>
        <w:sdtContent>
          <w:r>
            <w:rPr>
              <w:rFonts w:cs="Times New Roman"/>
              <w:lang w:val="en-US"/>
            </w:rPr>
            <w:fldChar w:fldCharType="begin"/>
          </w:r>
          <w:r>
            <w:rPr>
              <w:rFonts w:cs="Times New Roman"/>
              <w:lang w:val="en-US"/>
            </w:rPr>
            <w:instrText xml:space="preserve">CITATION BLW73 \n  \t  \l 1030 </w:instrText>
          </w:r>
          <w:r>
            <w:rPr>
              <w:rFonts w:cs="Times New Roman"/>
              <w:lang w:val="en-US"/>
            </w:rPr>
            <w:fldChar w:fldCharType="separate"/>
          </w:r>
          <w:r w:rsidR="00F623D4" w:rsidRPr="00F623D4">
            <w:rPr>
              <w:rFonts w:cs="Times New Roman"/>
              <w:noProof/>
              <w:lang w:val="en-US"/>
            </w:rPr>
            <w:t>(1973)</w:t>
          </w:r>
          <w:r>
            <w:rPr>
              <w:rFonts w:cs="Times New Roman"/>
              <w:lang w:val="en-US"/>
            </w:rPr>
            <w:fldChar w:fldCharType="end"/>
          </w:r>
        </w:sdtContent>
      </w:sdt>
      <w:r>
        <w:rPr>
          <w:rFonts w:cs="Times New Roman"/>
          <w:lang w:val="en-US"/>
        </w:rPr>
        <w:t xml:space="preserve"> </w:t>
      </w:r>
      <w:r>
        <w:rPr>
          <w:rFonts w:cs="Times New Roman"/>
          <w:i/>
          <w:lang w:val="en-US"/>
        </w:rPr>
        <w:t xml:space="preserve">apologia </w:t>
      </w:r>
      <w:r w:rsidRPr="00BD51F6">
        <w:rPr>
          <w:rFonts w:cs="Times New Roman"/>
          <w:i/>
          <w:lang w:val="en-US"/>
        </w:rPr>
        <w:t>theory</w:t>
      </w:r>
      <w:r>
        <w:rPr>
          <w:rFonts w:cs="Times New Roman"/>
          <w:lang w:val="en-US"/>
        </w:rPr>
        <w:t xml:space="preserve"> and </w:t>
      </w:r>
      <w:r>
        <w:rPr>
          <w:rFonts w:cs="Times New Roman"/>
          <w:i/>
          <w:lang w:val="en-US"/>
        </w:rPr>
        <w:t xml:space="preserve">guilt redemption </w:t>
      </w:r>
      <w:r>
        <w:rPr>
          <w:rFonts w:cs="Times New Roman"/>
          <w:lang w:val="en-US"/>
        </w:rPr>
        <w:t xml:space="preserve">by Burke </w:t>
      </w:r>
      <w:sdt>
        <w:sdtPr>
          <w:rPr>
            <w:rFonts w:cs="Times New Roman"/>
            <w:lang w:val="en-US"/>
          </w:rPr>
          <w:id w:val="-862894480"/>
          <w:citation/>
        </w:sdtPr>
        <w:sdtContent>
          <w:r>
            <w:rPr>
              <w:rFonts w:cs="Times New Roman"/>
              <w:lang w:val="en-US"/>
            </w:rPr>
            <w:fldChar w:fldCharType="begin"/>
          </w:r>
          <w:r>
            <w:rPr>
              <w:rFonts w:cs="Times New Roman"/>
              <w:lang w:val="en-US"/>
            </w:rPr>
            <w:instrText xml:space="preserve">CITATION KBu70 \n  \t  \l 1030 </w:instrText>
          </w:r>
          <w:r>
            <w:rPr>
              <w:rFonts w:cs="Times New Roman"/>
              <w:lang w:val="en-US"/>
            </w:rPr>
            <w:fldChar w:fldCharType="separate"/>
          </w:r>
          <w:r w:rsidR="00F623D4" w:rsidRPr="00F623D4">
            <w:rPr>
              <w:rFonts w:cs="Times New Roman"/>
              <w:noProof/>
              <w:lang w:val="en-US"/>
            </w:rPr>
            <w:t>(1970)</w:t>
          </w:r>
          <w:r>
            <w:rPr>
              <w:rFonts w:cs="Times New Roman"/>
              <w:lang w:val="en-US"/>
            </w:rPr>
            <w:fldChar w:fldCharType="end"/>
          </w:r>
        </w:sdtContent>
      </w:sdt>
      <w:r>
        <w:rPr>
          <w:rFonts w:cs="Times New Roman"/>
          <w:lang w:val="en-US"/>
        </w:rPr>
        <w:t xml:space="preserve">, and the sociological aspect seeks inspiration from the theory of </w:t>
      </w:r>
      <w:r>
        <w:rPr>
          <w:rFonts w:cs="Times New Roman"/>
          <w:i/>
          <w:lang w:val="en-US"/>
        </w:rPr>
        <w:t>accounts</w:t>
      </w:r>
      <w:r>
        <w:rPr>
          <w:rFonts w:cs="Times New Roman"/>
          <w:lang w:val="en-US"/>
        </w:rPr>
        <w:t xml:space="preserve"> by Scott and Lyman </w:t>
      </w:r>
      <w:sdt>
        <w:sdtPr>
          <w:rPr>
            <w:rFonts w:cs="Times New Roman"/>
            <w:lang w:val="en-US"/>
          </w:rPr>
          <w:id w:val="599915249"/>
          <w:citation/>
        </w:sdtPr>
        <w:sdtContent>
          <w:r>
            <w:rPr>
              <w:rFonts w:cs="Times New Roman"/>
              <w:lang w:val="en-US"/>
            </w:rPr>
            <w:fldChar w:fldCharType="begin"/>
          </w:r>
          <w:r>
            <w:rPr>
              <w:rFonts w:cs="Times New Roman"/>
              <w:lang w:val="en-US"/>
            </w:rPr>
            <w:instrText xml:space="preserve">CITATION MHS68 \n  \t  \l 1030 </w:instrText>
          </w:r>
          <w:r>
            <w:rPr>
              <w:rFonts w:cs="Times New Roman"/>
              <w:lang w:val="en-US"/>
            </w:rPr>
            <w:fldChar w:fldCharType="separate"/>
          </w:r>
          <w:r w:rsidR="00F623D4" w:rsidRPr="00F623D4">
            <w:rPr>
              <w:rFonts w:cs="Times New Roman"/>
              <w:noProof/>
              <w:lang w:val="en-US"/>
            </w:rPr>
            <w:t>(1968)</w:t>
          </w:r>
          <w:r>
            <w:rPr>
              <w:rFonts w:cs="Times New Roman"/>
              <w:lang w:val="en-US"/>
            </w:rPr>
            <w:fldChar w:fldCharType="end"/>
          </w:r>
        </w:sdtContent>
      </w:sdt>
      <w:r>
        <w:rPr>
          <w:rFonts w:cs="Times New Roman"/>
          <w:lang w:val="en-US"/>
        </w:rPr>
        <w:t xml:space="preserve"> </w:t>
      </w:r>
      <w:sdt>
        <w:sdtPr>
          <w:rPr>
            <w:rFonts w:cs="Times New Roman"/>
            <w:lang w:val="en-US"/>
          </w:rPr>
          <w:id w:val="-1231530776"/>
          <w:citation/>
        </w:sdtPr>
        <w:sdtContent>
          <w:r>
            <w:rPr>
              <w:rFonts w:cs="Times New Roman"/>
              <w:lang w:val="en-US"/>
            </w:rPr>
            <w:fldChar w:fldCharType="begin"/>
          </w:r>
          <w:r>
            <w:rPr>
              <w:rFonts w:cs="Times New Roman"/>
              <w:lang w:val="en-US"/>
            </w:rPr>
            <w:instrText xml:space="preserve">CITATION Fin07 \p 204 \t  \m Wil05 \p 407 \t  \l 1030 </w:instrText>
          </w:r>
          <w:r>
            <w:rPr>
              <w:rFonts w:cs="Times New Roman"/>
              <w:lang w:val="en-US"/>
            </w:rPr>
            <w:fldChar w:fldCharType="separate"/>
          </w:r>
          <w:r w:rsidR="00F623D4" w:rsidRPr="00F623D4">
            <w:rPr>
              <w:rFonts w:cs="Times New Roman"/>
              <w:noProof/>
              <w:lang w:val="en-US"/>
            </w:rPr>
            <w:t>(Frandsen and Johansen 2007, 204, W. L. Benoit 2005, 407)</w:t>
          </w:r>
          <w:r>
            <w:rPr>
              <w:rFonts w:cs="Times New Roman"/>
              <w:lang w:val="en-US"/>
            </w:rPr>
            <w:fldChar w:fldCharType="end"/>
          </w:r>
        </w:sdtContent>
      </w:sdt>
      <w:r>
        <w:rPr>
          <w:rFonts w:cs="Times New Roman"/>
          <w:lang w:val="en-US"/>
        </w:rPr>
        <w:t xml:space="preserve">. The academic studies of these theorists are utilized in the theorization of image restoration and the </w:t>
      </w:r>
      <w:r>
        <w:rPr>
          <w:rFonts w:cs="Times New Roman"/>
          <w:lang w:val="en-US"/>
        </w:rPr>
        <w:lastRenderedPageBreak/>
        <w:t>construction of a comprehensive typology, which is considered prominent within the area of apologetic rhetoric and strategies</w:t>
      </w:r>
      <w:sdt>
        <w:sdtPr>
          <w:rPr>
            <w:rFonts w:cs="Times New Roman"/>
            <w:lang w:val="en-US"/>
          </w:rPr>
          <w:id w:val="-1052535583"/>
          <w:citation/>
        </w:sdtPr>
        <w:sdtContent>
          <w:r>
            <w:rPr>
              <w:rFonts w:cs="Times New Roman"/>
              <w:lang w:val="en-US"/>
            </w:rPr>
            <w:fldChar w:fldCharType="begin"/>
          </w:r>
          <w:r>
            <w:rPr>
              <w:rFonts w:cs="Times New Roman"/>
              <w:lang w:val="en-US"/>
            </w:rPr>
            <w:instrText xml:space="preserve">CITATION Tim13 \p 168 \l 1030 </w:instrText>
          </w:r>
          <w:r>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(Sellnow and Seeger 2013, 168)</w:t>
          </w:r>
          <w:r>
            <w:rPr>
              <w:rFonts w:cs="Times New Roman"/>
              <w:lang w:val="en-US"/>
            </w:rPr>
            <w:fldChar w:fldCharType="end"/>
          </w:r>
        </w:sdtContent>
      </w:sdt>
      <w:r>
        <w:rPr>
          <w:rFonts w:cs="Times New Roman"/>
          <w:lang w:val="en-US"/>
        </w:rPr>
        <w:t>. Even though the theory is labeled as image restoration, the terminology of the theory has been altered in later studies. Benoit acknowledges that the ‘restoration’ of an image to a pre-crisis state might not be possible or even desirable to an org</w:t>
      </w:r>
      <w:r w:rsidR="0002339A">
        <w:rPr>
          <w:rFonts w:cs="Times New Roman"/>
          <w:lang w:val="en-US"/>
        </w:rPr>
        <w:t>anization, where the ‘repair</w:t>
      </w:r>
      <w:r>
        <w:rPr>
          <w:rFonts w:cs="Times New Roman"/>
          <w:lang w:val="en-US"/>
        </w:rPr>
        <w:t>’ of one´s image is a more fitting definition</w:t>
      </w:r>
      <w:sdt>
        <w:sdtPr>
          <w:rPr>
            <w:rFonts w:cs="Times New Roman"/>
            <w:lang w:val="en-US"/>
          </w:rPr>
          <w:id w:val="1485979142"/>
          <w:citation/>
        </w:sdtPr>
        <w:sdtContent>
          <w:r>
            <w:rPr>
              <w:rFonts w:cs="Times New Roman"/>
              <w:lang w:val="en-US"/>
            </w:rPr>
            <w:fldChar w:fldCharType="begin"/>
          </w:r>
          <w:r>
            <w:rPr>
              <w:rFonts w:cs="Times New Roman"/>
              <w:lang w:val="en-US"/>
            </w:rPr>
            <w:instrText xml:space="preserve">CITATION Ben00 \p 40 \t  \l 1030 </w:instrText>
          </w:r>
          <w:r>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(W. L. Benoit 2000, 40)</w:t>
          </w:r>
          <w:r>
            <w:rPr>
              <w:rFonts w:cs="Times New Roman"/>
              <w:lang w:val="en-US"/>
            </w:rPr>
            <w:fldChar w:fldCharType="end"/>
          </w:r>
        </w:sdtContent>
      </w:sdt>
      <w:r>
        <w:rPr>
          <w:rFonts w:cs="Times New Roman"/>
          <w:lang w:val="en-US"/>
        </w:rPr>
        <w:t>. Consequently, though the theory is still labeled as image restoration, the strategies within are referred to as repair strategies by Benoit (Ibid: 40).</w:t>
      </w:r>
    </w:p>
    <w:p w:rsidR="00762725" w:rsidRDefault="00762725" w:rsidP="00337119">
      <w:pPr>
        <w:spacing w:line="360" w:lineRule="auto"/>
        <w:rPr>
          <w:rFonts w:cs="Times New Roman"/>
          <w:lang w:val="en-US"/>
        </w:rPr>
      </w:pPr>
      <w:r>
        <w:rPr>
          <w:rFonts w:cs="Times New Roman"/>
          <w:lang w:val="en-US"/>
        </w:rPr>
        <w:t xml:space="preserve">As a person’s or organization’s image or reputation is extremely important, Benoit sees image repair messages as crucial when that image is threatened. To successfully communicate in those circumstances, he points to two essential parameters, which need to be determined. First of all, the accusation(s) or suspicion(s) threatening the image need to be clarified. Secondly, the most significant audience, who need to be addressed in the situation, will have to be </w:t>
      </w:r>
      <w:r w:rsidR="0002339A">
        <w:rPr>
          <w:rFonts w:cs="Times New Roman"/>
          <w:lang w:val="en-US"/>
        </w:rPr>
        <w:t>determined</w:t>
      </w:r>
      <w:sdt>
        <w:sdtPr>
          <w:rPr>
            <w:rFonts w:cs="Times New Roman"/>
            <w:lang w:val="en-US"/>
          </w:rPr>
          <w:id w:val="-1724984461"/>
          <w:citation/>
        </w:sdtPr>
        <w:sdtContent>
          <w:r>
            <w:rPr>
              <w:rFonts w:cs="Times New Roman"/>
              <w:lang w:val="en-US"/>
            </w:rPr>
            <w:fldChar w:fldCharType="begin"/>
          </w:r>
          <w:r>
            <w:rPr>
              <w:rFonts w:cs="Times New Roman"/>
              <w:lang w:val="en-US"/>
            </w:rPr>
            <w:instrText xml:space="preserve">CITATION Wil05 \p 407 \t  \l 1030 </w:instrText>
          </w:r>
          <w:r>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(W. L. Benoit 2005, 407)</w:t>
          </w:r>
          <w:r>
            <w:rPr>
              <w:rFonts w:cs="Times New Roman"/>
              <w:lang w:val="en-US"/>
            </w:rPr>
            <w:fldChar w:fldCharType="end"/>
          </w:r>
        </w:sdtContent>
      </w:sdt>
      <w:r>
        <w:rPr>
          <w:rFonts w:cs="Times New Roman"/>
          <w:lang w:val="en-US"/>
        </w:rPr>
        <w:t xml:space="preserve">. If an organization is blamed for an offensive </w:t>
      </w:r>
      <w:r w:rsidR="0002339A">
        <w:rPr>
          <w:rFonts w:cs="Times New Roman"/>
          <w:lang w:val="en-US"/>
        </w:rPr>
        <w:t>incident</w:t>
      </w:r>
      <w:r>
        <w:rPr>
          <w:rFonts w:cs="Times New Roman"/>
          <w:lang w:val="en-US"/>
        </w:rPr>
        <w:t>, understanding the issue(s) at hand and the most important audiences/stakeholder</w:t>
      </w:r>
      <w:r w:rsidR="00F1402A">
        <w:rPr>
          <w:rFonts w:cs="Times New Roman"/>
          <w:lang w:val="en-US"/>
        </w:rPr>
        <w:t>s determine which image repair tactics</w:t>
      </w:r>
      <w:r>
        <w:rPr>
          <w:rFonts w:cs="Times New Roman"/>
          <w:lang w:val="en-US"/>
        </w:rPr>
        <w:t xml:space="preserve"> are the most applicable (Ibid: 408). When seeking to repair one’s image, it is all about acknowledging the facts of the case, meaning that if an organization is guilty, full responsibility needs to be communicated. This also highlights the potential harm of lying in a sensitive image threatening situation (Ibid: 408).</w:t>
      </w:r>
    </w:p>
    <w:p w:rsidR="00762725" w:rsidRDefault="00762725" w:rsidP="00337119">
      <w:pPr>
        <w:spacing w:line="360" w:lineRule="auto"/>
        <w:rPr>
          <w:rFonts w:cs="Times New Roman"/>
          <w:lang w:val="en-US"/>
        </w:rPr>
      </w:pPr>
      <w:r>
        <w:rPr>
          <w:rFonts w:cs="Times New Roman"/>
          <w:lang w:val="en-US"/>
        </w:rPr>
        <w:t xml:space="preserve">The image repair tactics, embedded within Benoit’s image restoration theory, are categorized under five general strategies, being </w:t>
      </w:r>
      <w:r>
        <w:rPr>
          <w:rFonts w:cs="Times New Roman"/>
          <w:i/>
          <w:lang w:val="en-US"/>
        </w:rPr>
        <w:t xml:space="preserve">denial, evading responsibility, reducing offensiveness, corrective action </w:t>
      </w:r>
      <w:r>
        <w:rPr>
          <w:rFonts w:cs="Times New Roman"/>
          <w:lang w:val="en-US"/>
        </w:rPr>
        <w:t xml:space="preserve">and </w:t>
      </w:r>
      <w:r>
        <w:rPr>
          <w:rFonts w:cs="Times New Roman"/>
          <w:i/>
          <w:lang w:val="en-US"/>
        </w:rPr>
        <w:t>mortification</w:t>
      </w:r>
      <w:r>
        <w:rPr>
          <w:rFonts w:cs="Times New Roman"/>
          <w:lang w:val="en-US"/>
        </w:rPr>
        <w:t xml:space="preserve">. These strategies and underlining </w:t>
      </w:r>
      <w:r w:rsidR="00FC23F3">
        <w:rPr>
          <w:rFonts w:cs="Times New Roman"/>
          <w:lang w:val="en-US"/>
        </w:rPr>
        <w:t>tactics</w:t>
      </w:r>
      <w:r>
        <w:rPr>
          <w:rFonts w:cs="Times New Roman"/>
          <w:lang w:val="en-US"/>
        </w:rPr>
        <w:t xml:space="preserve"> have the purpose of providing actors with communicative guidance in applying the right discourse to efficiently defend themselves</w:t>
      </w:r>
      <w:sdt>
        <w:sdtPr>
          <w:rPr>
            <w:rFonts w:cs="Times New Roman"/>
            <w:lang w:val="en-US"/>
          </w:rPr>
          <w:id w:val="-324749328"/>
          <w:citation/>
        </w:sdtPr>
        <w:sdtContent>
          <w:r>
            <w:rPr>
              <w:rFonts w:cs="Times New Roman"/>
              <w:lang w:val="en-US"/>
            </w:rPr>
            <w:fldChar w:fldCharType="begin"/>
          </w:r>
          <w:r>
            <w:rPr>
              <w:rFonts w:cs="Times New Roman"/>
              <w:lang w:val="en-US"/>
            </w:rPr>
            <w:instrText xml:space="preserve">CITATION Wil971 \t  \l 1030 </w:instrText>
          </w:r>
          <w:r>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(W. L. Benoit 1997)</w:t>
          </w:r>
          <w:r>
            <w:rPr>
              <w:rFonts w:cs="Times New Roman"/>
              <w:lang w:val="en-US"/>
            </w:rPr>
            <w:fldChar w:fldCharType="end"/>
          </w:r>
        </w:sdtContent>
      </w:sdt>
      <w:r>
        <w:rPr>
          <w:rFonts w:cs="Times New Roman"/>
          <w:lang w:val="en-US"/>
        </w:rPr>
        <w:t xml:space="preserve">. The general strategies and affiliated tactics </w:t>
      </w:r>
      <w:r w:rsidR="00107EAA">
        <w:rPr>
          <w:rFonts w:cs="Times New Roman"/>
          <w:lang w:val="en-US"/>
        </w:rPr>
        <w:t xml:space="preserve">are </w:t>
      </w:r>
      <w:r w:rsidR="0009662E">
        <w:rPr>
          <w:rFonts w:cs="Times New Roman"/>
          <w:lang w:val="en-US"/>
        </w:rPr>
        <w:t>briefly addressed on the basis of</w:t>
      </w:r>
      <w:r>
        <w:rPr>
          <w:rFonts w:cs="Times New Roman"/>
          <w:lang w:val="en-US"/>
        </w:rPr>
        <w:t xml:space="preserve"> Table 1.   </w:t>
      </w:r>
    </w:p>
    <w:p w:rsidR="00762725" w:rsidRDefault="00F1402A" w:rsidP="00337119">
      <w:pPr>
        <w:rPr>
          <w:lang w:val="en-US"/>
        </w:rPr>
      </w:pPr>
      <w:r>
        <w:rPr>
          <w:noProof/>
          <w:lang w:eastAsia="da-DK"/>
        </w:rPr>
        <w:lastRenderedPageBreak/>
        <mc:AlternateContent>
          <mc:Choice Requires="wps">
            <w:drawing>
              <wp:anchor distT="0" distB="0" distL="114300" distR="114300" simplePos="0" relativeHeight="251660288" behindDoc="0" locked="0" layoutInCell="1" allowOverlap="1" wp14:anchorId="45ED8BCE" wp14:editId="45193953">
                <wp:simplePos x="0" y="0"/>
                <wp:positionH relativeFrom="column">
                  <wp:posOffset>502920</wp:posOffset>
                </wp:positionH>
                <wp:positionV relativeFrom="paragraph">
                  <wp:posOffset>-26670</wp:posOffset>
                </wp:positionV>
                <wp:extent cx="5173980" cy="200025"/>
                <wp:effectExtent l="0" t="0" r="7620" b="9525"/>
                <wp:wrapTopAndBottom/>
                <wp:docPr id="2" name="Tekstboks 2"/>
                <wp:cNvGraphicFramePr/>
                <a:graphic xmlns:a="http://schemas.openxmlformats.org/drawingml/2006/main">
                  <a:graphicData uri="http://schemas.microsoft.com/office/word/2010/wordprocessingShape">
                    <wps:wsp>
                      <wps:cNvSpPr txBox="1"/>
                      <wps:spPr>
                        <a:xfrm>
                          <a:off x="0" y="0"/>
                          <a:ext cx="5173980" cy="200025"/>
                        </a:xfrm>
                        <a:prstGeom prst="rect">
                          <a:avLst/>
                        </a:prstGeom>
                        <a:solidFill>
                          <a:prstClr val="white"/>
                        </a:solidFill>
                        <a:ln>
                          <a:noFill/>
                        </a:ln>
                        <a:effectLst/>
                      </wps:spPr>
                      <wps:txbx>
                        <w:txbxContent>
                          <w:p w:rsidR="00CF205E" w:rsidRPr="0067272E" w:rsidRDefault="00CF205E" w:rsidP="00762725">
                            <w:pPr>
                              <w:pStyle w:val="Billedtekst"/>
                              <w:rPr>
                                <w:color w:val="auto"/>
                                <w:sz w:val="24"/>
                                <w:lang w:val="en-US"/>
                              </w:rPr>
                            </w:pPr>
                            <w:r w:rsidRPr="0067272E">
                              <w:rPr>
                                <w:color w:val="auto"/>
                                <w:sz w:val="24"/>
                                <w:lang w:val="en-US"/>
                              </w:rPr>
                              <w:t xml:space="preserve">Table </w:t>
                            </w:r>
                            <w:r w:rsidRPr="0067272E">
                              <w:rPr>
                                <w:color w:val="auto"/>
                                <w:sz w:val="24"/>
                              </w:rPr>
                              <w:fldChar w:fldCharType="begin"/>
                            </w:r>
                            <w:r w:rsidRPr="0067272E">
                              <w:rPr>
                                <w:color w:val="auto"/>
                                <w:sz w:val="24"/>
                                <w:lang w:val="en-US"/>
                              </w:rPr>
                              <w:instrText xml:space="preserve"> SEQ Tabel \* ARABIC </w:instrText>
                            </w:r>
                            <w:r w:rsidRPr="0067272E">
                              <w:rPr>
                                <w:color w:val="auto"/>
                                <w:sz w:val="24"/>
                              </w:rPr>
                              <w:fldChar w:fldCharType="separate"/>
                            </w:r>
                            <w:r w:rsidR="00DC67EC">
                              <w:rPr>
                                <w:noProof/>
                                <w:color w:val="auto"/>
                                <w:sz w:val="24"/>
                                <w:lang w:val="en-US"/>
                              </w:rPr>
                              <w:t>1</w:t>
                            </w:r>
                            <w:r w:rsidRPr="0067272E">
                              <w:rPr>
                                <w:color w:val="auto"/>
                                <w:sz w:val="24"/>
                              </w:rPr>
                              <w:fldChar w:fldCharType="end"/>
                            </w:r>
                            <w:r>
                              <w:rPr>
                                <w:color w:val="auto"/>
                                <w:sz w:val="24"/>
                                <w:lang w:val="en-US"/>
                              </w:rPr>
                              <w:t>: Image Restoration T</w:t>
                            </w:r>
                            <w:r w:rsidRPr="0067272E">
                              <w:rPr>
                                <w:color w:val="auto"/>
                                <w:sz w:val="24"/>
                                <w:lang w:val="en-US"/>
                              </w:rPr>
                              <w:t>ypology</w:t>
                            </w:r>
                            <w:r>
                              <w:rPr>
                                <w:color w:val="auto"/>
                                <w:sz w:val="24"/>
                                <w:lang w:val="en-US"/>
                              </w:rPr>
                              <w:t xml:space="preserve"> by</w:t>
                            </w:r>
                            <w:r w:rsidRPr="0067272E">
                              <w:rPr>
                                <w:color w:val="auto"/>
                                <w:sz w:val="24"/>
                                <w:lang w:val="en-US"/>
                              </w:rPr>
                              <w:t xml:space="preserve"> Benoit </w:t>
                            </w:r>
                            <w:sdt>
                              <w:sdtPr>
                                <w:rPr>
                                  <w:color w:val="auto"/>
                                  <w:sz w:val="24"/>
                                </w:rPr>
                                <w:id w:val="-543298032"/>
                                <w:citation/>
                              </w:sdtPr>
                              <w:sdtContent>
                                <w:r w:rsidRPr="0067272E">
                                  <w:rPr>
                                    <w:color w:val="auto"/>
                                    <w:sz w:val="24"/>
                                  </w:rPr>
                                  <w:fldChar w:fldCharType="begin"/>
                                </w:r>
                                <w:r w:rsidRPr="0067272E">
                                  <w:rPr>
                                    <w:color w:val="auto"/>
                                    <w:sz w:val="24"/>
                                    <w:lang w:val="en-US"/>
                                  </w:rPr>
                                  <w:instrText xml:space="preserve">CITATION Ben97 \p 179 \n  \t  \l 1030 </w:instrText>
                                </w:r>
                                <w:r w:rsidRPr="0067272E">
                                  <w:rPr>
                                    <w:color w:val="auto"/>
                                    <w:sz w:val="24"/>
                                  </w:rPr>
                                  <w:fldChar w:fldCharType="separate"/>
                                </w:r>
                                <w:r w:rsidRPr="00F623D4">
                                  <w:rPr>
                                    <w:noProof/>
                                    <w:color w:val="auto"/>
                                    <w:sz w:val="24"/>
                                    <w:lang w:val="en-US"/>
                                  </w:rPr>
                                  <w:t>(1997, 179)</w:t>
                                </w:r>
                                <w:r w:rsidRPr="0067272E">
                                  <w:rPr>
                                    <w:color w:val="auto"/>
                                    <w:sz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39.6pt;margin-top:-2.1pt;width:407.4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" stroked="f">
                <v:textbox inset="0,0,0,0">
                  <w:txbxContent>
                    <w:p w:rsidR="00CF205E" w:rsidRPr="0067272E" w:rsidRDefault="00CF205E" w:rsidP="00762725">
                      <w:pPr>
                        <w:pStyle w:val="Billedtekst"/>
                        <w:rPr>
                          <w:color w:val="auto"/>
                          <w:sz w:val="24"/>
                          <w:lang w:val="en-US"/>
                        </w:rPr>
                      </w:pPr>
                      <w:r w:rsidRPr="0067272E">
                        <w:rPr>
                          <w:color w:val="auto"/>
                          <w:sz w:val="24"/>
                          <w:lang w:val="en-US"/>
                        </w:rPr>
                        <w:t xml:space="preserve">Table </w:t>
                      </w:r>
                      <w:r w:rsidRPr="0067272E">
                        <w:rPr>
                          <w:color w:val="auto"/>
                          <w:sz w:val="24"/>
                        </w:rPr>
                        <w:fldChar w:fldCharType="begin"/>
                      </w:r>
                      <w:r w:rsidRPr="0067272E">
                        <w:rPr>
                          <w:color w:val="auto"/>
                          <w:sz w:val="24"/>
                          <w:lang w:val="en-US"/>
                        </w:rPr>
                        <w:instrText xml:space="preserve"> SEQ Tabel \* ARABIC </w:instrText>
                      </w:r>
                      <w:r w:rsidRPr="0067272E">
                        <w:rPr>
                          <w:color w:val="auto"/>
                          <w:sz w:val="24"/>
                        </w:rPr>
                        <w:fldChar w:fldCharType="separate"/>
                      </w:r>
                      <w:r w:rsidR="00DC67EC">
                        <w:rPr>
                          <w:noProof/>
                          <w:color w:val="auto"/>
                          <w:sz w:val="24"/>
                          <w:lang w:val="en-US"/>
                        </w:rPr>
                        <w:t>1</w:t>
                      </w:r>
                      <w:r w:rsidRPr="0067272E">
                        <w:rPr>
                          <w:color w:val="auto"/>
                          <w:sz w:val="24"/>
                        </w:rPr>
                        <w:fldChar w:fldCharType="end"/>
                      </w:r>
                      <w:r>
                        <w:rPr>
                          <w:color w:val="auto"/>
                          <w:sz w:val="24"/>
                          <w:lang w:val="en-US"/>
                        </w:rPr>
                        <w:t>: Image Restoration T</w:t>
                      </w:r>
                      <w:r w:rsidRPr="0067272E">
                        <w:rPr>
                          <w:color w:val="auto"/>
                          <w:sz w:val="24"/>
                          <w:lang w:val="en-US"/>
                        </w:rPr>
                        <w:t>ypology</w:t>
                      </w:r>
                      <w:r>
                        <w:rPr>
                          <w:color w:val="auto"/>
                          <w:sz w:val="24"/>
                          <w:lang w:val="en-US"/>
                        </w:rPr>
                        <w:t xml:space="preserve"> by</w:t>
                      </w:r>
                      <w:r w:rsidRPr="0067272E">
                        <w:rPr>
                          <w:color w:val="auto"/>
                          <w:sz w:val="24"/>
                          <w:lang w:val="en-US"/>
                        </w:rPr>
                        <w:t xml:space="preserve"> Benoit </w:t>
                      </w:r>
                      <w:sdt>
                        <w:sdtPr>
                          <w:rPr>
                            <w:color w:val="auto"/>
                            <w:sz w:val="24"/>
                          </w:rPr>
                          <w:id w:val="-543298032"/>
                          <w:citation/>
                        </w:sdtPr>
                        <w:sdtContent>
                          <w:r w:rsidRPr="0067272E">
                            <w:rPr>
                              <w:color w:val="auto"/>
                              <w:sz w:val="24"/>
                            </w:rPr>
                            <w:fldChar w:fldCharType="begin"/>
                          </w:r>
                          <w:r w:rsidRPr="0067272E">
                            <w:rPr>
                              <w:color w:val="auto"/>
                              <w:sz w:val="24"/>
                              <w:lang w:val="en-US"/>
                            </w:rPr>
                            <w:instrText xml:space="preserve">CITATION Ben97 \p 179 \n  \t  \l 1030 </w:instrText>
                          </w:r>
                          <w:r w:rsidRPr="0067272E">
                            <w:rPr>
                              <w:color w:val="auto"/>
                              <w:sz w:val="24"/>
                            </w:rPr>
                            <w:fldChar w:fldCharType="separate"/>
                          </w:r>
                          <w:r w:rsidRPr="00F623D4">
                            <w:rPr>
                              <w:noProof/>
                              <w:color w:val="auto"/>
                              <w:sz w:val="24"/>
                              <w:lang w:val="en-US"/>
                            </w:rPr>
                            <w:t>(1997, 179)</w:t>
                          </w:r>
                          <w:r w:rsidRPr="0067272E">
                            <w:rPr>
                              <w:color w:val="auto"/>
                              <w:sz w:val="24"/>
                            </w:rPr>
                            <w:fldChar w:fldCharType="end"/>
                          </w:r>
                        </w:sdtContent>
                      </w:sdt>
                    </w:p>
                  </w:txbxContent>
                </v:textbox>
                <w10:wrap type="topAndBottom"/>
              </v:shape>
            </w:pict>
          </mc:Fallback>
        </mc:AlternateContent>
      </w:r>
      <w:r w:rsidR="00762725">
        <w:rPr>
          <w:rFonts w:cs="Times New Roman"/>
          <w:noProof/>
          <w:lang w:eastAsia="da-DK"/>
        </w:rPr>
        <w:drawing>
          <wp:anchor distT="0" distB="0" distL="114300" distR="114300" simplePos="0" relativeHeight="251659264" behindDoc="1" locked="0" layoutInCell="1" allowOverlap="1" wp14:anchorId="73B9050F" wp14:editId="1C03FD79">
            <wp:simplePos x="0" y="0"/>
            <wp:positionH relativeFrom="column">
              <wp:posOffset>379730</wp:posOffset>
            </wp:positionH>
            <wp:positionV relativeFrom="paragraph">
              <wp:posOffset>170815</wp:posOffset>
            </wp:positionV>
            <wp:extent cx="5307330" cy="4676775"/>
            <wp:effectExtent l="0" t="0" r="7620" b="9525"/>
            <wp:wrapTight wrapText="bothSides">
              <wp:wrapPolygon edited="0">
                <wp:start x="0" y="0"/>
                <wp:lineTo x="0" y="21556"/>
                <wp:lineTo x="21553" y="21556"/>
                <wp:lineTo x="21553"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restoration theory.png"/>
                    <pic:cNvPicPr/>
                  </pic:nvPicPr>
                  <pic:blipFill>
                    <a:blip r:embed="rId22">
                      <a:extLst>
                        <a:ext uri="{28A0092B-C50C-407E-A947-70E740481C1C}">
                          <a14:useLocalDpi xmlns:a14="http://schemas.microsoft.com/office/drawing/2010/main" val="0"/>
                        </a:ext>
                      </a:extLst>
                    </a:blip>
                    <a:stretch>
                      <a:fillRect/>
                    </a:stretch>
                  </pic:blipFill>
                  <pic:spPr>
                    <a:xfrm>
                      <a:off x="0" y="0"/>
                      <a:ext cx="5307330" cy="4676775"/>
                    </a:xfrm>
                    <a:prstGeom prst="rect">
                      <a:avLst/>
                    </a:prstGeom>
                  </pic:spPr>
                </pic:pic>
              </a:graphicData>
            </a:graphic>
            <wp14:sizeRelH relativeFrom="page">
              <wp14:pctWidth>0</wp14:pctWidth>
            </wp14:sizeRelH>
            <wp14:sizeRelV relativeFrom="page">
              <wp14:pctHeight>0</wp14:pctHeight>
            </wp14:sizeRelV>
          </wp:anchor>
        </w:drawing>
      </w:r>
    </w:p>
    <w:p w:rsidR="00762725" w:rsidRPr="003C1388" w:rsidRDefault="00762725" w:rsidP="00337119">
      <w:pPr>
        <w:rPr>
          <w:lang w:val="en-US"/>
        </w:rPr>
      </w:pPr>
    </w:p>
    <w:p w:rsidR="00762725" w:rsidRPr="003C1388" w:rsidRDefault="00762725" w:rsidP="00337119">
      <w:pPr>
        <w:rPr>
          <w:lang w:val="en-US"/>
        </w:rPr>
      </w:pPr>
    </w:p>
    <w:p w:rsidR="00762725" w:rsidRPr="003C1388" w:rsidRDefault="00762725" w:rsidP="00337119">
      <w:pPr>
        <w:rPr>
          <w:lang w:val="en-US"/>
        </w:rPr>
      </w:pPr>
    </w:p>
    <w:p w:rsidR="00762725" w:rsidRPr="003C1388" w:rsidRDefault="00762725" w:rsidP="00337119">
      <w:pPr>
        <w:rPr>
          <w:lang w:val="en-US"/>
        </w:rPr>
      </w:pPr>
    </w:p>
    <w:p w:rsidR="00762725" w:rsidRPr="003C1388" w:rsidRDefault="00762725" w:rsidP="00337119">
      <w:pPr>
        <w:rPr>
          <w:lang w:val="en-US"/>
        </w:rPr>
      </w:pPr>
    </w:p>
    <w:p w:rsidR="00762725" w:rsidRPr="003C1388" w:rsidRDefault="00762725" w:rsidP="00337119">
      <w:pPr>
        <w:rPr>
          <w:lang w:val="en-US"/>
        </w:rPr>
      </w:pPr>
    </w:p>
    <w:p w:rsidR="00762725" w:rsidRDefault="00762725" w:rsidP="00337119">
      <w:pPr>
        <w:rPr>
          <w:lang w:val="en-US"/>
        </w:rPr>
      </w:pPr>
    </w:p>
    <w:p w:rsidR="00762725" w:rsidRDefault="00762725" w:rsidP="00337119">
      <w:pPr>
        <w:rPr>
          <w:lang w:val="en-US"/>
        </w:rPr>
      </w:pPr>
    </w:p>
    <w:p w:rsidR="00762725" w:rsidRDefault="00762725" w:rsidP="00337119">
      <w:pPr>
        <w:rPr>
          <w:lang w:val="en-US"/>
        </w:rPr>
      </w:pPr>
    </w:p>
    <w:p w:rsidR="00762725" w:rsidRDefault="00762725" w:rsidP="00337119">
      <w:pPr>
        <w:rPr>
          <w:lang w:val="en-US"/>
        </w:rPr>
      </w:pPr>
    </w:p>
    <w:p w:rsidR="00762725" w:rsidRDefault="00762725" w:rsidP="00337119">
      <w:pPr>
        <w:rPr>
          <w:lang w:val="en-US"/>
        </w:rPr>
      </w:pPr>
    </w:p>
    <w:p w:rsidR="00762725" w:rsidRDefault="00762725" w:rsidP="00337119">
      <w:pPr>
        <w:rPr>
          <w:lang w:val="en-US"/>
        </w:rPr>
      </w:pPr>
    </w:p>
    <w:p w:rsidR="00762725" w:rsidRDefault="00762725" w:rsidP="00337119">
      <w:pPr>
        <w:rPr>
          <w:lang w:val="en-US"/>
        </w:rPr>
      </w:pPr>
    </w:p>
    <w:p w:rsidR="00762725" w:rsidRDefault="00762725" w:rsidP="00337119">
      <w:pPr>
        <w:spacing w:line="360" w:lineRule="auto"/>
        <w:rPr>
          <w:lang w:val="en-US"/>
        </w:rPr>
      </w:pPr>
    </w:p>
    <w:p w:rsidR="008910E0" w:rsidRDefault="00762725" w:rsidP="00337119">
      <w:pPr>
        <w:spacing w:line="360" w:lineRule="auto"/>
        <w:rPr>
          <w:rFonts w:cs="Times New Roman"/>
          <w:lang w:val="en-US"/>
        </w:rPr>
      </w:pPr>
      <w:r>
        <w:rPr>
          <w:lang w:val="en-US"/>
        </w:rPr>
        <w:t xml:space="preserve">The first image repair strategy presented by Benoit is </w:t>
      </w:r>
      <w:r>
        <w:rPr>
          <w:i/>
          <w:lang w:val="en-US"/>
        </w:rPr>
        <w:t>denial</w:t>
      </w:r>
      <w:r>
        <w:rPr>
          <w:lang w:val="en-US"/>
        </w:rPr>
        <w:t xml:space="preserve">, where we find two different </w:t>
      </w:r>
      <w:r w:rsidR="00107EAA">
        <w:rPr>
          <w:lang w:val="en-US"/>
        </w:rPr>
        <w:t>tactics</w:t>
      </w:r>
      <w:r>
        <w:rPr>
          <w:lang w:val="en-US"/>
        </w:rPr>
        <w:t xml:space="preserve"> with similar communicative value</w:t>
      </w:r>
      <w:r w:rsidR="00107EAA">
        <w:rPr>
          <w:lang w:val="en-US"/>
        </w:rPr>
        <w:t xml:space="preserve">. The first tactic is </w:t>
      </w:r>
      <w:r>
        <w:rPr>
          <w:i/>
          <w:lang w:val="en-US"/>
        </w:rPr>
        <w:t>simple denial</w:t>
      </w:r>
      <w:r w:rsidR="00107EAA">
        <w:rPr>
          <w:lang w:val="en-US"/>
        </w:rPr>
        <w:t xml:space="preserve">, where </w:t>
      </w:r>
      <w:r>
        <w:rPr>
          <w:lang w:val="en-US"/>
        </w:rPr>
        <w:t>an organization</w:t>
      </w:r>
      <w:r w:rsidR="00107EAA">
        <w:rPr>
          <w:lang w:val="en-US"/>
        </w:rPr>
        <w:t xml:space="preserve"> denies the actuality of an incident</w:t>
      </w:r>
      <w:r>
        <w:rPr>
          <w:lang w:val="en-US"/>
        </w:rPr>
        <w:t xml:space="preserve"> or the merit of any accusations deriving thereof</w:t>
      </w:r>
      <w:sdt>
        <w:sdtPr>
          <w:rPr>
            <w:lang w:val="en-US"/>
          </w:rPr>
          <w:id w:val="-1181198867"/>
          <w:citation/>
        </w:sdtPr>
        <w:sdtContent>
          <w:r>
            <w:rPr>
              <w:lang w:val="en-US"/>
            </w:rPr>
            <w:fldChar w:fldCharType="begin"/>
          </w:r>
          <w:r>
            <w:rPr>
              <w:lang w:val="en-US"/>
            </w:rPr>
            <w:instrText xml:space="preserve">CITATION Wil971 \p 179 \t  \l 1030 </w:instrText>
          </w:r>
          <w:r>
            <w:rPr>
              <w:lang w:val="en-US"/>
            </w:rPr>
            <w:fldChar w:fldCharType="separate"/>
          </w:r>
          <w:r w:rsidR="00F623D4">
            <w:rPr>
              <w:noProof/>
              <w:lang w:val="en-US"/>
            </w:rPr>
            <w:t xml:space="preserve"> (W. L. Benoit 1997, 179)</w:t>
          </w:r>
          <w:r>
            <w:rPr>
              <w:lang w:val="en-US"/>
            </w:rPr>
            <w:fldChar w:fldCharType="end"/>
          </w:r>
        </w:sdtContent>
      </w:sdt>
      <w:r w:rsidR="00107EAA">
        <w:rPr>
          <w:lang w:val="en-US"/>
        </w:rPr>
        <w:t xml:space="preserve">.  The second is </w:t>
      </w:r>
      <w:r w:rsidR="00107EAA">
        <w:rPr>
          <w:i/>
          <w:lang w:val="en-US"/>
        </w:rPr>
        <w:t>shifting the blame</w:t>
      </w:r>
      <w:r w:rsidR="00107EAA">
        <w:rPr>
          <w:lang w:val="en-US"/>
        </w:rPr>
        <w:t>, where an external actor is blamed for the wrong-doings, so as to remove negative feelings from the organization itself</w:t>
      </w:r>
      <w:sdt>
        <w:sdtPr>
          <w:rPr>
            <w:rFonts w:cs="Times New Roman"/>
            <w:lang w:val="en-US"/>
          </w:rPr>
          <w:id w:val="-724682349"/>
          <w:citation/>
        </w:sdtPr>
        <w:sdtContent>
          <w:r w:rsidR="00107EAA">
            <w:rPr>
              <w:rFonts w:cs="Times New Roman"/>
              <w:lang w:val="en-US"/>
            </w:rPr>
            <w:fldChar w:fldCharType="begin"/>
          </w:r>
          <w:r w:rsidR="00FC23F3">
            <w:rPr>
              <w:rFonts w:cs="Times New Roman"/>
              <w:lang w:val="en-US"/>
            </w:rPr>
            <w:instrText xml:space="preserve">CITATION Wil94 \p 419 \m Wil05 \p 408 \t  \l 1030 </w:instrText>
          </w:r>
          <w:r w:rsidR="00107EAA">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(Benoit and Hanczor 1994, 419, W. L. Benoit 2005, 408)</w:t>
          </w:r>
          <w:r w:rsidR="00107EAA">
            <w:rPr>
              <w:rFonts w:cs="Times New Roman"/>
              <w:lang w:val="en-US"/>
            </w:rPr>
            <w:fldChar w:fldCharType="end"/>
          </w:r>
        </w:sdtContent>
      </w:sdt>
      <w:r>
        <w:rPr>
          <w:lang w:val="en-US"/>
        </w:rPr>
        <w:t>.</w:t>
      </w:r>
      <w:r w:rsidR="008910E0">
        <w:rPr>
          <w:lang w:val="en-US"/>
        </w:rPr>
        <w:t xml:space="preserve"> </w:t>
      </w:r>
      <w:r>
        <w:rPr>
          <w:rFonts w:cs="Times New Roman"/>
          <w:lang w:val="en-US"/>
        </w:rPr>
        <w:t xml:space="preserve">This may also be referred to as </w:t>
      </w:r>
      <w:r w:rsidRPr="0028426F">
        <w:rPr>
          <w:rFonts w:cs="Times New Roman"/>
          <w:i/>
          <w:lang w:val="en-US"/>
        </w:rPr>
        <w:t>scapegoating</w:t>
      </w:r>
      <w:r w:rsidRPr="0028426F">
        <w:rPr>
          <w:rFonts w:cs="Times New Roman"/>
          <w:lang w:val="en-US"/>
        </w:rPr>
        <w:t xml:space="preserve"> </w:t>
      </w:r>
      <w:sdt>
        <w:sdtPr>
          <w:rPr>
            <w:rFonts w:cs="Times New Roman"/>
            <w:lang w:val="en-US"/>
          </w:rPr>
          <w:id w:val="-1692909954"/>
          <w:citation/>
        </w:sdtPr>
        <w:sdtContent>
          <w:r>
            <w:rPr>
              <w:rFonts w:cs="Times New Roman"/>
              <w:lang w:val="en-US"/>
            </w:rPr>
            <w:fldChar w:fldCharType="begin"/>
          </w:r>
          <w:r w:rsidRPr="0008369D">
            <w:rPr>
              <w:rFonts w:cs="Times New Roman"/>
              <w:lang w:val="en-US"/>
            </w:rPr>
            <w:instrText xml:space="preserve"> CITATION And13 \l 1030 </w:instrText>
          </w:r>
          <w:r>
            <w:rPr>
              <w:rFonts w:cs="Times New Roman"/>
              <w:lang w:val="en-US"/>
            </w:rPr>
            <w:fldChar w:fldCharType="separate"/>
          </w:r>
          <w:r w:rsidR="00F623D4" w:rsidRPr="00F623D4">
            <w:rPr>
              <w:rFonts w:cs="Times New Roman"/>
              <w:noProof/>
              <w:lang w:val="en-US"/>
            </w:rPr>
            <w:t>(Schwarz 2013)</w:t>
          </w:r>
          <w:r>
            <w:rPr>
              <w:rFonts w:cs="Times New Roman"/>
              <w:lang w:val="en-US"/>
            </w:rPr>
            <w:fldChar w:fldCharType="end"/>
          </w:r>
        </w:sdtContent>
      </w:sdt>
      <w:r w:rsidR="008910E0">
        <w:rPr>
          <w:rFonts w:cs="Times New Roman"/>
          <w:lang w:val="en-US"/>
        </w:rPr>
        <w:t xml:space="preserve">. </w:t>
      </w:r>
    </w:p>
    <w:p w:rsidR="000F781E" w:rsidRDefault="00762725" w:rsidP="00337119">
      <w:pPr>
        <w:spacing w:line="360" w:lineRule="auto"/>
        <w:rPr>
          <w:rFonts w:cs="Times New Roman"/>
          <w:lang w:val="en-US"/>
        </w:rPr>
      </w:pPr>
      <w:r>
        <w:rPr>
          <w:lang w:val="en-US"/>
        </w:rPr>
        <w:t xml:space="preserve">The second categorized strategy is </w:t>
      </w:r>
      <w:r>
        <w:rPr>
          <w:i/>
          <w:lang w:val="en-US"/>
        </w:rPr>
        <w:t>evasion of responsibility</w:t>
      </w:r>
      <w:r>
        <w:rPr>
          <w:lang w:val="en-US"/>
        </w:rPr>
        <w:t>, a strategy where main focus is directed at negating the degree of responsibility attributed in the wake of an offensive act</w:t>
      </w:r>
      <w:r w:rsidR="00EC4184">
        <w:rPr>
          <w:lang w:val="en-US"/>
        </w:rPr>
        <w:t>/incident</w:t>
      </w:r>
      <w:r>
        <w:rPr>
          <w:lang w:val="en-US"/>
        </w:rPr>
        <w:t xml:space="preserve">. The tactical approaches presented by Benoit range from </w:t>
      </w:r>
      <w:r>
        <w:rPr>
          <w:i/>
          <w:lang w:val="en-US"/>
        </w:rPr>
        <w:t xml:space="preserve">provocation, defeasibility, accident </w:t>
      </w:r>
      <w:r>
        <w:rPr>
          <w:lang w:val="en-US"/>
        </w:rPr>
        <w:t xml:space="preserve">and </w:t>
      </w:r>
      <w:r>
        <w:rPr>
          <w:i/>
          <w:lang w:val="en-US"/>
        </w:rPr>
        <w:t>good intentions</w:t>
      </w:r>
      <w:r w:rsidR="006C0D96" w:rsidRPr="006C0D96">
        <w:rPr>
          <w:lang w:val="en-US"/>
        </w:rPr>
        <w:t xml:space="preserve"> </w:t>
      </w:r>
      <w:sdt>
        <w:sdtPr>
          <w:rPr>
            <w:lang w:val="en-US"/>
          </w:rPr>
          <w:id w:val="881600541"/>
          <w:citation/>
        </w:sdtPr>
        <w:sdtContent>
          <w:r w:rsidR="006C0D96">
            <w:rPr>
              <w:lang w:val="en-US"/>
            </w:rPr>
            <w:fldChar w:fldCharType="begin"/>
          </w:r>
          <w:r w:rsidR="006C0D96">
            <w:rPr>
              <w:lang w:val="en-US"/>
            </w:rPr>
            <w:instrText xml:space="preserve">CITATION Wil94 \p 420 \l 1030 </w:instrText>
          </w:r>
          <w:r w:rsidR="006C0D96">
            <w:rPr>
              <w:lang w:val="en-US"/>
            </w:rPr>
            <w:fldChar w:fldCharType="separate"/>
          </w:r>
          <w:r w:rsidR="00F623D4">
            <w:rPr>
              <w:noProof/>
              <w:lang w:val="en-US"/>
            </w:rPr>
            <w:t>(Benoit and Hanczor 1994, 420)</w:t>
          </w:r>
          <w:r w:rsidR="006C0D96">
            <w:rPr>
              <w:lang w:val="en-US"/>
            </w:rPr>
            <w:fldChar w:fldCharType="end"/>
          </w:r>
        </w:sdtContent>
      </w:sdt>
      <w:r w:rsidR="006C0D96">
        <w:rPr>
          <w:lang w:val="en-US"/>
        </w:rPr>
        <w:t>.</w:t>
      </w:r>
      <w:r>
        <w:rPr>
          <w:lang w:val="en-US"/>
        </w:rPr>
        <w:t xml:space="preserve"> </w:t>
      </w:r>
      <w:r>
        <w:rPr>
          <w:i/>
          <w:lang w:val="en-US"/>
        </w:rPr>
        <w:t>Provocation</w:t>
      </w:r>
      <w:r w:rsidRPr="002F7393">
        <w:rPr>
          <w:lang w:val="en-US"/>
        </w:rPr>
        <w:t xml:space="preserve"> involves the mentioning of another wrongful act, which this current act was a response to, </w:t>
      </w:r>
      <w:r>
        <w:rPr>
          <w:lang w:val="en-US"/>
        </w:rPr>
        <w:t>meaning that the undesirable act committed is reasonable in retrospect of what prompted it</w:t>
      </w:r>
      <w:sdt>
        <w:sdtPr>
          <w:rPr>
            <w:lang w:val="en-US"/>
          </w:rPr>
          <w:id w:val="493609387"/>
          <w:citation/>
        </w:sdtPr>
        <w:sdtContent>
          <w:r>
            <w:rPr>
              <w:lang w:val="en-US"/>
            </w:rPr>
            <w:fldChar w:fldCharType="begin"/>
          </w:r>
          <w:r>
            <w:rPr>
              <w:lang w:val="en-US"/>
            </w:rPr>
            <w:instrText xml:space="preserve">CITATION Wil971 \p 180 \t  \l 1030 </w:instrText>
          </w:r>
          <w:r>
            <w:rPr>
              <w:lang w:val="en-US"/>
            </w:rPr>
            <w:fldChar w:fldCharType="separate"/>
          </w:r>
          <w:r w:rsidR="00F623D4">
            <w:rPr>
              <w:noProof/>
              <w:lang w:val="en-US"/>
            </w:rPr>
            <w:t xml:space="preserve"> (W. L. Benoit 1997, 180)</w:t>
          </w:r>
          <w:r>
            <w:rPr>
              <w:lang w:val="en-US"/>
            </w:rPr>
            <w:fldChar w:fldCharType="end"/>
          </w:r>
        </w:sdtContent>
      </w:sdt>
      <w:r>
        <w:rPr>
          <w:lang w:val="en-US"/>
        </w:rPr>
        <w:t>.</w:t>
      </w:r>
      <w:r w:rsidRPr="002F7393">
        <w:rPr>
          <w:lang w:val="en-US"/>
        </w:rPr>
        <w:t xml:space="preserve"> </w:t>
      </w:r>
      <w:r>
        <w:rPr>
          <w:rFonts w:cs="Times New Roman"/>
          <w:lang w:val="en-US"/>
        </w:rPr>
        <w:t xml:space="preserve">The tactic of </w:t>
      </w:r>
      <w:r w:rsidRPr="005F6ADF">
        <w:rPr>
          <w:rFonts w:cs="Times New Roman"/>
          <w:i/>
          <w:lang w:val="en-US"/>
        </w:rPr>
        <w:t>defeasibility</w:t>
      </w:r>
      <w:r>
        <w:rPr>
          <w:rFonts w:cs="Times New Roman"/>
          <w:lang w:val="en-US"/>
        </w:rPr>
        <w:t xml:space="preserve"> </w:t>
      </w:r>
      <w:r>
        <w:rPr>
          <w:rFonts w:cs="Times New Roman"/>
          <w:lang w:val="en-US"/>
        </w:rPr>
        <w:lastRenderedPageBreak/>
        <w:t>is to simply state that it was impossible to perform the right act, because of the lack of in</w:t>
      </w:r>
      <w:r w:rsidR="00EC4184">
        <w:rPr>
          <w:rFonts w:cs="Times New Roman"/>
          <w:lang w:val="en-US"/>
        </w:rPr>
        <w:t xml:space="preserve">formation or control of events </w:t>
      </w:r>
      <w:r>
        <w:rPr>
          <w:rFonts w:cs="Times New Roman"/>
          <w:lang w:val="en-US"/>
        </w:rPr>
        <w:t xml:space="preserve">(Ibid: 180). </w:t>
      </w:r>
      <w:r w:rsidR="00205798">
        <w:rPr>
          <w:rFonts w:cs="Times New Roman"/>
          <w:lang w:val="en-US"/>
        </w:rPr>
        <w:t xml:space="preserve">The </w:t>
      </w:r>
      <w:r>
        <w:rPr>
          <w:rFonts w:cs="Times New Roman"/>
          <w:i/>
          <w:lang w:val="en-US"/>
        </w:rPr>
        <w:t>accident</w:t>
      </w:r>
      <w:r w:rsidR="00205798">
        <w:rPr>
          <w:rFonts w:cs="Times New Roman"/>
          <w:lang w:val="en-US"/>
        </w:rPr>
        <w:t xml:space="preserve"> tactic and </w:t>
      </w:r>
      <w:r w:rsidR="00205798">
        <w:rPr>
          <w:rFonts w:cs="Times New Roman"/>
          <w:i/>
          <w:lang w:val="en-US"/>
        </w:rPr>
        <w:t xml:space="preserve">good intentions </w:t>
      </w:r>
      <w:r w:rsidR="000F781E">
        <w:rPr>
          <w:rFonts w:cs="Times New Roman"/>
          <w:lang w:val="en-US"/>
        </w:rPr>
        <w:t>tactic either</w:t>
      </w:r>
      <w:r w:rsidR="00205798">
        <w:rPr>
          <w:rFonts w:cs="Times New Roman"/>
          <w:lang w:val="en-US"/>
        </w:rPr>
        <w:t xml:space="preserve"> involve the proclamation that </w:t>
      </w:r>
      <w:r w:rsidR="000F781E">
        <w:rPr>
          <w:rFonts w:cs="Times New Roman"/>
          <w:lang w:val="en-US"/>
        </w:rPr>
        <w:t xml:space="preserve">the wrongful act </w:t>
      </w:r>
      <w:r w:rsidR="00205798">
        <w:rPr>
          <w:rFonts w:cs="Times New Roman"/>
          <w:lang w:val="en-US"/>
        </w:rPr>
        <w:t xml:space="preserve">was </w:t>
      </w:r>
      <w:r w:rsidR="000F781E">
        <w:rPr>
          <w:rFonts w:cs="Times New Roman"/>
          <w:lang w:val="en-US"/>
        </w:rPr>
        <w:t xml:space="preserve">unintentional or that it was done with the best intentions – </w:t>
      </w:r>
      <w:r>
        <w:rPr>
          <w:rFonts w:cs="Times New Roman"/>
          <w:lang w:val="en-US"/>
        </w:rPr>
        <w:t>potentially reducing the degree in which the org</w:t>
      </w:r>
      <w:r w:rsidR="000F781E">
        <w:rPr>
          <w:rFonts w:cs="Times New Roman"/>
          <w:lang w:val="en-US"/>
        </w:rPr>
        <w:t xml:space="preserve">anization is held accountable </w:t>
      </w:r>
      <w:r>
        <w:rPr>
          <w:rFonts w:cs="Times New Roman"/>
          <w:lang w:val="en-US"/>
        </w:rPr>
        <w:t xml:space="preserve">(Ibid: 180). </w:t>
      </w:r>
    </w:p>
    <w:p w:rsidR="00762725" w:rsidRDefault="00084251" w:rsidP="00337119">
      <w:pPr>
        <w:spacing w:line="360" w:lineRule="auto"/>
        <w:rPr>
          <w:rFonts w:cs="Times New Roman"/>
          <w:lang w:val="en-US"/>
        </w:rPr>
      </w:pPr>
      <w:r>
        <w:rPr>
          <w:rFonts w:cs="Times New Roman"/>
          <w:i/>
          <w:lang w:val="en-US"/>
        </w:rPr>
        <w:t xml:space="preserve">Reducing offensiveness </w:t>
      </w:r>
      <w:r>
        <w:rPr>
          <w:rFonts w:cs="Times New Roman"/>
          <w:lang w:val="en-US"/>
        </w:rPr>
        <w:t xml:space="preserve">is a strategy type </w:t>
      </w:r>
      <w:r w:rsidR="00762725">
        <w:rPr>
          <w:rFonts w:cs="Times New Roman"/>
          <w:lang w:val="en-US"/>
        </w:rPr>
        <w:t xml:space="preserve">centered on the concept of </w:t>
      </w:r>
      <w:r w:rsidR="00762725" w:rsidRPr="0019128F">
        <w:rPr>
          <w:rFonts w:cs="Times New Roman"/>
          <w:i/>
          <w:lang w:val="en-US"/>
        </w:rPr>
        <w:t>justification</w:t>
      </w:r>
      <w:r w:rsidR="00762725">
        <w:rPr>
          <w:rFonts w:cs="Times New Roman"/>
          <w:lang w:val="en-US"/>
        </w:rPr>
        <w:t xml:space="preserve">, which has the purpose of minimizing the ill-feelings associated with the given </w:t>
      </w:r>
      <w:r>
        <w:rPr>
          <w:rFonts w:cs="Times New Roman"/>
          <w:lang w:val="en-US"/>
        </w:rPr>
        <w:t>incident</w:t>
      </w:r>
      <w:sdt>
        <w:sdtPr>
          <w:rPr>
            <w:rFonts w:cs="Times New Roman"/>
            <w:lang w:val="en-US"/>
          </w:rPr>
          <w:id w:val="-1308077237"/>
          <w:citation/>
        </w:sdtPr>
        <w:sdtContent>
          <w:r w:rsidR="00762725">
            <w:rPr>
              <w:rFonts w:cs="Times New Roman"/>
              <w:lang w:val="en-US"/>
            </w:rPr>
            <w:fldChar w:fldCharType="begin"/>
          </w:r>
          <w:r w:rsidR="00762725">
            <w:rPr>
              <w:rFonts w:cs="Times New Roman"/>
              <w:lang w:val="en-US"/>
            </w:rPr>
            <w:instrText xml:space="preserve">CITATION Wil97 \p 156 \t  \l 1030 </w:instrText>
          </w:r>
          <w:r w:rsidR="00762725">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(Benoit and Drew 1997, 156)</w:t>
          </w:r>
          <w:r w:rsidR="00762725">
            <w:rPr>
              <w:rFonts w:cs="Times New Roman"/>
              <w:lang w:val="en-US"/>
            </w:rPr>
            <w:fldChar w:fldCharType="end"/>
          </w:r>
        </w:sdtContent>
      </w:sdt>
      <w:r w:rsidR="00762725">
        <w:rPr>
          <w:rFonts w:cs="Times New Roman"/>
          <w:lang w:val="en-US"/>
        </w:rPr>
        <w:t xml:space="preserve">. In order to counterweigh the negative feelings towards the organization, positive acts in the past or positive characteristics can be stressed to </w:t>
      </w:r>
      <w:r w:rsidR="00762725">
        <w:rPr>
          <w:rFonts w:cs="Times New Roman"/>
          <w:i/>
          <w:lang w:val="en-US"/>
        </w:rPr>
        <w:t>bolster</w:t>
      </w:r>
      <w:r w:rsidR="00762725">
        <w:rPr>
          <w:rFonts w:cs="Times New Roman"/>
          <w:lang w:val="en-US"/>
        </w:rPr>
        <w:t xml:space="preserve"> stakeholders’ positive view on the organization. Otherwise, the simpler tactic of </w:t>
      </w:r>
      <w:r w:rsidR="00762725">
        <w:rPr>
          <w:rFonts w:cs="Times New Roman"/>
          <w:i/>
          <w:lang w:val="en-US"/>
        </w:rPr>
        <w:t>minimization</w:t>
      </w:r>
      <w:r w:rsidR="00762725">
        <w:rPr>
          <w:rFonts w:cs="Times New Roman"/>
          <w:lang w:val="en-US"/>
        </w:rPr>
        <w:t xml:space="preserve"> can lessen the offensiveness as well, by implying that the </w:t>
      </w:r>
      <w:r>
        <w:rPr>
          <w:rFonts w:cs="Times New Roman"/>
          <w:lang w:val="en-US"/>
        </w:rPr>
        <w:t>negative consequences of the incident</w:t>
      </w:r>
      <w:r w:rsidR="00762725">
        <w:rPr>
          <w:rFonts w:cs="Times New Roman"/>
          <w:lang w:val="en-US"/>
        </w:rPr>
        <w:t xml:space="preserve"> were not that significant </w:t>
      </w:r>
      <w:sdt>
        <w:sdtPr>
          <w:rPr>
            <w:rFonts w:cs="Times New Roman"/>
            <w:lang w:val="en-US"/>
          </w:rPr>
          <w:id w:val="851847242"/>
          <w:citation/>
        </w:sdtPr>
        <w:sdtContent>
          <w:r w:rsidR="00762725">
            <w:rPr>
              <w:rFonts w:cs="Times New Roman"/>
              <w:lang w:val="en-US"/>
            </w:rPr>
            <w:fldChar w:fldCharType="begin"/>
          </w:r>
          <w:r w:rsidR="00762725">
            <w:rPr>
              <w:rFonts w:cs="Times New Roman"/>
              <w:lang w:val="en-US"/>
            </w:rPr>
            <w:instrText xml:space="preserve">CITATION Wil971 \p 180 \t  \l 1030 </w:instrText>
          </w:r>
          <w:r w:rsidR="00762725">
            <w:rPr>
              <w:rFonts w:cs="Times New Roman"/>
              <w:lang w:val="en-US"/>
            </w:rPr>
            <w:fldChar w:fldCharType="separate"/>
          </w:r>
          <w:r w:rsidR="00F623D4" w:rsidRPr="00F623D4">
            <w:rPr>
              <w:rFonts w:cs="Times New Roman"/>
              <w:noProof/>
              <w:lang w:val="en-US"/>
            </w:rPr>
            <w:t>(W. L. Benoit 1997, 180)</w:t>
          </w:r>
          <w:r w:rsidR="00762725">
            <w:rPr>
              <w:rFonts w:cs="Times New Roman"/>
              <w:lang w:val="en-US"/>
            </w:rPr>
            <w:fldChar w:fldCharType="end"/>
          </w:r>
        </w:sdtContent>
      </w:sdt>
      <w:r w:rsidR="00762725">
        <w:rPr>
          <w:rFonts w:cs="Times New Roman"/>
          <w:lang w:val="en-US"/>
        </w:rPr>
        <w:t xml:space="preserve">. The purpose of the </w:t>
      </w:r>
      <w:r w:rsidR="00762725">
        <w:rPr>
          <w:rFonts w:cs="Times New Roman"/>
          <w:i/>
          <w:lang w:val="en-US"/>
        </w:rPr>
        <w:t>differentiation</w:t>
      </w:r>
      <w:r w:rsidR="00762725">
        <w:rPr>
          <w:rFonts w:cs="Times New Roman"/>
          <w:lang w:val="en-US"/>
        </w:rPr>
        <w:t xml:space="preserve"> tactic is to situate the performed act in contrast to other similar, but c</w:t>
      </w:r>
      <w:r>
        <w:rPr>
          <w:rFonts w:cs="Times New Roman"/>
          <w:lang w:val="en-US"/>
        </w:rPr>
        <w:t xml:space="preserve">onsiderable more offensive acts – thereby changing the harmful perspective, stakeholders may have </w:t>
      </w:r>
      <w:r w:rsidR="00762725">
        <w:rPr>
          <w:rFonts w:cs="Times New Roman"/>
          <w:lang w:val="en-US"/>
        </w:rPr>
        <w:t xml:space="preserve">(Ibid: 181). To further change the perspective of the stakeholders, an organization can make use of the </w:t>
      </w:r>
      <w:r w:rsidR="00762725">
        <w:rPr>
          <w:rFonts w:cs="Times New Roman"/>
          <w:i/>
          <w:lang w:val="en-US"/>
        </w:rPr>
        <w:t xml:space="preserve">transcendence </w:t>
      </w:r>
      <w:r w:rsidR="00762725">
        <w:rPr>
          <w:rFonts w:cs="Times New Roman"/>
          <w:lang w:val="en-US"/>
        </w:rPr>
        <w:t>tactic, where the specific act is placed in a more favorable context. The purpose is to redirect the perspective towards higher values, which may justify the action (Ibid: 181).</w:t>
      </w:r>
      <w:r>
        <w:rPr>
          <w:rFonts w:cs="Times New Roman"/>
          <w:lang w:val="en-US"/>
        </w:rPr>
        <w:t xml:space="preserve"> A</w:t>
      </w:r>
      <w:r w:rsidR="00762725">
        <w:rPr>
          <w:rFonts w:cs="Times New Roman"/>
          <w:lang w:val="en-US"/>
        </w:rPr>
        <w:t xml:space="preserve">n organization can </w:t>
      </w:r>
      <w:r>
        <w:rPr>
          <w:rFonts w:cs="Times New Roman"/>
          <w:lang w:val="en-US"/>
        </w:rPr>
        <w:t xml:space="preserve">also </w:t>
      </w:r>
      <w:r w:rsidR="00762725">
        <w:rPr>
          <w:rFonts w:cs="Times New Roman"/>
          <w:lang w:val="en-US"/>
        </w:rPr>
        <w:t xml:space="preserve">decide to </w:t>
      </w:r>
      <w:r w:rsidR="00762725">
        <w:rPr>
          <w:rFonts w:cs="Times New Roman"/>
          <w:i/>
          <w:lang w:val="en-US"/>
        </w:rPr>
        <w:t>attack the accuser</w:t>
      </w:r>
      <w:r w:rsidR="00762725">
        <w:rPr>
          <w:rFonts w:cs="Times New Roman"/>
          <w:lang w:val="en-US"/>
        </w:rPr>
        <w:t xml:space="preserve"> in order to damage ‘his’ credibility and reduce damage towards itself. Benoit’s final tactic in reducing offensiveness is </w:t>
      </w:r>
      <w:r w:rsidR="00762725">
        <w:rPr>
          <w:rFonts w:cs="Times New Roman"/>
          <w:i/>
          <w:lang w:val="en-US"/>
        </w:rPr>
        <w:t>compensation</w:t>
      </w:r>
      <w:r w:rsidR="00762725">
        <w:rPr>
          <w:rFonts w:cs="Times New Roman"/>
          <w:lang w:val="en-US"/>
        </w:rPr>
        <w:t xml:space="preserve"> (cash, goods and services), which in short means that an organization can choose to reimburse stakeholders, as a way of easing the tension of the situation (Ibid: 181).</w:t>
      </w:r>
    </w:p>
    <w:p w:rsidR="00762725" w:rsidRDefault="00762725" w:rsidP="00337119">
      <w:pPr>
        <w:spacing w:line="360" w:lineRule="auto"/>
        <w:rPr>
          <w:rFonts w:cs="Times New Roman"/>
          <w:lang w:val="en-US"/>
        </w:rPr>
      </w:pPr>
      <w:r>
        <w:rPr>
          <w:rFonts w:cs="Times New Roman"/>
          <w:lang w:val="en-US"/>
        </w:rPr>
        <w:t xml:space="preserve">The </w:t>
      </w:r>
      <w:r>
        <w:rPr>
          <w:rFonts w:cs="Times New Roman"/>
          <w:i/>
          <w:lang w:val="en-US"/>
        </w:rPr>
        <w:t>corrective action</w:t>
      </w:r>
      <w:r>
        <w:rPr>
          <w:rFonts w:cs="Times New Roman"/>
          <w:lang w:val="en-US"/>
        </w:rPr>
        <w:t xml:space="preserve"> strategy does not have any underlining tactics and is considered an essential strategy in repairing one’s image.</w:t>
      </w:r>
      <w:r w:rsidR="008E234B">
        <w:rPr>
          <w:rFonts w:cs="Times New Roman"/>
          <w:lang w:val="en-US"/>
        </w:rPr>
        <w:t xml:space="preserve"> When</w:t>
      </w:r>
      <w:r>
        <w:rPr>
          <w:rFonts w:cs="Times New Roman"/>
          <w:lang w:val="en-US"/>
        </w:rPr>
        <w:t xml:space="preserve"> an organization </w:t>
      </w:r>
      <w:r w:rsidR="008E234B">
        <w:rPr>
          <w:rFonts w:cs="Times New Roman"/>
          <w:lang w:val="en-US"/>
        </w:rPr>
        <w:t xml:space="preserve">makes use of this strategy, it </w:t>
      </w:r>
      <w:r>
        <w:rPr>
          <w:rFonts w:cs="Times New Roman"/>
          <w:lang w:val="en-US"/>
        </w:rPr>
        <w:t xml:space="preserve">communicates that it has the desire to restore </w:t>
      </w:r>
      <w:r>
        <w:rPr>
          <w:rFonts w:cs="Times New Roman"/>
          <w:i/>
          <w:lang w:val="en-US"/>
        </w:rPr>
        <w:t>normalcy</w:t>
      </w:r>
      <w:r>
        <w:rPr>
          <w:rFonts w:cs="Times New Roman"/>
          <w:lang w:val="en-US"/>
        </w:rPr>
        <w:t xml:space="preserve"> of the state of affairs present before the offensive act or prevent a reoccurrence of the act (Ibid: 181). </w:t>
      </w:r>
    </w:p>
    <w:p w:rsidR="00762725" w:rsidRDefault="00762725" w:rsidP="00337119">
      <w:pPr>
        <w:spacing w:line="360" w:lineRule="auto"/>
        <w:rPr>
          <w:rFonts w:cs="Times New Roman"/>
          <w:lang w:val="en-US"/>
        </w:rPr>
      </w:pPr>
      <w:r>
        <w:rPr>
          <w:rFonts w:cs="Times New Roman"/>
          <w:lang w:val="en-US"/>
        </w:rPr>
        <w:t xml:space="preserve">The last strategy, referred to as </w:t>
      </w:r>
      <w:r>
        <w:rPr>
          <w:rFonts w:cs="Times New Roman"/>
          <w:i/>
          <w:lang w:val="en-US"/>
        </w:rPr>
        <w:t>mortification</w:t>
      </w:r>
      <w:r>
        <w:rPr>
          <w:rFonts w:cs="Times New Roman"/>
          <w:lang w:val="en-US"/>
        </w:rPr>
        <w:t xml:space="preserve">, </w:t>
      </w:r>
      <w:r w:rsidRPr="00F04E2D">
        <w:rPr>
          <w:rFonts w:cs="Times New Roman"/>
          <w:lang w:val="en-US"/>
        </w:rPr>
        <w:t>is the act of apologizing</w:t>
      </w:r>
      <w:r>
        <w:rPr>
          <w:rFonts w:cs="Times New Roman"/>
          <w:lang w:val="en-US"/>
        </w:rPr>
        <w:t>, begging for forgiveness</w:t>
      </w:r>
      <w:r w:rsidRPr="00F04E2D">
        <w:rPr>
          <w:rFonts w:cs="Times New Roman"/>
          <w:lang w:val="en-US"/>
        </w:rPr>
        <w:t xml:space="preserve"> and taking full responsibility. </w:t>
      </w:r>
      <w:r>
        <w:rPr>
          <w:rFonts w:cs="Times New Roman"/>
          <w:lang w:val="en-US"/>
        </w:rPr>
        <w:t>In the performance of this strategy</w:t>
      </w:r>
      <w:r w:rsidRPr="00F04E2D">
        <w:rPr>
          <w:rFonts w:cs="Times New Roman"/>
          <w:lang w:val="en-US"/>
        </w:rPr>
        <w:t>, it is of crucial importan</w:t>
      </w:r>
      <w:r>
        <w:rPr>
          <w:rFonts w:cs="Times New Roman"/>
          <w:lang w:val="en-US"/>
        </w:rPr>
        <w:t>ce that the promises and apologies</w:t>
      </w:r>
      <w:r w:rsidRPr="00F04E2D">
        <w:rPr>
          <w:rFonts w:cs="Times New Roman"/>
          <w:lang w:val="en-US"/>
        </w:rPr>
        <w:t xml:space="preserve"> are perceived as sincere – otherwise it could further harm the </w:t>
      </w:r>
      <w:r>
        <w:rPr>
          <w:rFonts w:cs="Times New Roman"/>
          <w:lang w:val="en-US"/>
        </w:rPr>
        <w:t>organization</w:t>
      </w:r>
      <w:r w:rsidRPr="00F04E2D">
        <w:rPr>
          <w:rFonts w:cs="Times New Roman"/>
          <w:lang w:val="en-US"/>
        </w:rPr>
        <w:t xml:space="preserve">’s </w:t>
      </w:r>
      <w:r>
        <w:rPr>
          <w:rFonts w:cs="Times New Roman"/>
          <w:lang w:val="en-US"/>
        </w:rPr>
        <w:t>image (Ibid: 181).</w:t>
      </w:r>
    </w:p>
    <w:p w:rsidR="00762725" w:rsidRDefault="005D0951" w:rsidP="00337119">
      <w:pPr>
        <w:pStyle w:val="Overskrift3"/>
        <w:spacing w:line="360" w:lineRule="auto"/>
        <w:rPr>
          <w:lang w:val="en-US"/>
        </w:rPr>
      </w:pPr>
      <w:bookmarkStart w:id="43" w:name="_Toc420075818"/>
      <w:bookmarkStart w:id="44" w:name="_Toc420761631"/>
      <w:r>
        <w:rPr>
          <w:lang w:val="en-US"/>
        </w:rPr>
        <w:t>4</w:t>
      </w:r>
      <w:r w:rsidR="00762725">
        <w:rPr>
          <w:lang w:val="en-US"/>
        </w:rPr>
        <w:t>.3.1 Critical Reflections</w:t>
      </w:r>
      <w:bookmarkEnd w:id="43"/>
      <w:bookmarkEnd w:id="44"/>
    </w:p>
    <w:p w:rsidR="00762725" w:rsidRDefault="00762725" w:rsidP="00337119">
      <w:pPr>
        <w:spacing w:line="360" w:lineRule="auto"/>
        <w:rPr>
          <w:lang w:val="en-US"/>
        </w:rPr>
      </w:pPr>
      <w:r>
        <w:rPr>
          <w:lang w:val="en-US"/>
        </w:rPr>
        <w:t xml:space="preserve">Benoit’s typology of image repair is a widely applied theoretical framework within the field of crisis communication, which has proved proficient in a wide range of case studies of politicians, </w:t>
      </w:r>
      <w:r>
        <w:rPr>
          <w:lang w:val="en-US"/>
        </w:rPr>
        <w:lastRenderedPageBreak/>
        <w:t>organizations or movie celebrities – many of which were conducted by Benoit himself</w:t>
      </w:r>
      <w:sdt>
        <w:sdtPr>
          <w:rPr>
            <w:lang w:val="en-US"/>
          </w:rPr>
          <w:id w:val="900560085"/>
          <w:citation/>
        </w:sdtPr>
        <w:sdtContent>
          <w:r>
            <w:rPr>
              <w:lang w:val="en-US"/>
            </w:rPr>
            <w:fldChar w:fldCharType="begin"/>
          </w:r>
          <w:r>
            <w:rPr>
              <w:lang w:val="en-US"/>
            </w:rPr>
            <w:instrText xml:space="preserve">CITATION Tim13 \p 171 \l 1030 </w:instrText>
          </w:r>
          <w:r>
            <w:rPr>
              <w:lang w:val="en-US"/>
            </w:rPr>
            <w:fldChar w:fldCharType="separate"/>
          </w:r>
          <w:r w:rsidR="00F623D4">
            <w:rPr>
              <w:noProof/>
              <w:lang w:val="en-US"/>
            </w:rPr>
            <w:t xml:space="preserve"> (Sellnow and Seeger 2013, 171)</w:t>
          </w:r>
          <w:r>
            <w:rPr>
              <w:lang w:val="en-US"/>
            </w:rPr>
            <w:fldChar w:fldCharType="end"/>
          </w:r>
        </w:sdtContent>
      </w:sdt>
      <w:r>
        <w:rPr>
          <w:lang w:val="en-US"/>
        </w:rPr>
        <w:t>. However, the theory has been met with criticism from various scholars, who either found it too static or unclear in its presentation or too focused on the sender</w:t>
      </w:r>
      <w:sdt>
        <w:sdtPr>
          <w:rPr>
            <w:lang w:val="en-US"/>
          </w:rPr>
          <w:id w:val="465707733"/>
          <w:citation/>
        </w:sdtPr>
        <w:sdtContent>
          <w:r>
            <w:rPr>
              <w:lang w:val="en-US"/>
            </w:rPr>
            <w:fldChar w:fldCharType="begin"/>
          </w:r>
          <w:r>
            <w:rPr>
              <w:lang w:val="en-US"/>
            </w:rPr>
            <w:instrText xml:space="preserve">CITATION Fin07 \p 214-216 \t  \l 1030 </w:instrText>
          </w:r>
          <w:r>
            <w:rPr>
              <w:lang w:val="en-US"/>
            </w:rPr>
            <w:fldChar w:fldCharType="separate"/>
          </w:r>
          <w:r w:rsidR="00F623D4">
            <w:rPr>
              <w:noProof/>
              <w:lang w:val="en-US"/>
            </w:rPr>
            <w:t xml:space="preserve"> (Frandsen and Johansen 2007, 214-216)</w:t>
          </w:r>
          <w:r>
            <w:rPr>
              <w:lang w:val="en-US"/>
            </w:rPr>
            <w:fldChar w:fldCharType="end"/>
          </w:r>
        </w:sdtContent>
      </w:sdt>
      <w:r>
        <w:rPr>
          <w:lang w:val="en-US"/>
        </w:rPr>
        <w:t xml:space="preserve">. This criticism is mostly presented by Burns and Bruner </w:t>
      </w:r>
      <w:sdt>
        <w:sdtPr>
          <w:rPr>
            <w:lang w:val="en-US"/>
          </w:rPr>
          <w:id w:val="954445217"/>
          <w:citation/>
        </w:sdtPr>
        <w:sdtContent>
          <w:r>
            <w:rPr>
              <w:lang w:val="en-US"/>
            </w:rPr>
            <w:fldChar w:fldCharType="begin"/>
          </w:r>
          <w:r>
            <w:rPr>
              <w:lang w:val="en-US"/>
            </w:rPr>
            <w:instrText xml:space="preserve">CITATION Bur00 \n  \t  \l 1030 </w:instrText>
          </w:r>
          <w:r>
            <w:rPr>
              <w:lang w:val="en-US"/>
            </w:rPr>
            <w:fldChar w:fldCharType="separate"/>
          </w:r>
          <w:r w:rsidR="00F623D4">
            <w:rPr>
              <w:noProof/>
              <w:lang w:val="en-US"/>
            </w:rPr>
            <w:t>(2000)</w:t>
          </w:r>
          <w:r>
            <w:rPr>
              <w:lang w:val="en-US"/>
            </w:rPr>
            <w:fldChar w:fldCharType="end"/>
          </w:r>
        </w:sdtContent>
      </w:sdt>
      <w:r>
        <w:rPr>
          <w:lang w:val="en-US"/>
        </w:rPr>
        <w:t>, whose notions were later addressed by Benoit</w:t>
      </w:r>
      <w:sdt>
        <w:sdtPr>
          <w:rPr>
            <w:lang w:val="en-US"/>
          </w:rPr>
          <w:id w:val="-387801304"/>
          <w:citation/>
        </w:sdtPr>
        <w:sdtContent>
          <w:r>
            <w:rPr>
              <w:lang w:val="en-US"/>
            </w:rPr>
            <w:fldChar w:fldCharType="begin"/>
          </w:r>
          <w:r>
            <w:rPr>
              <w:lang w:val="en-US"/>
            </w:rPr>
            <w:instrText xml:space="preserve">CITATION Wil00 \t  \l 1030 </w:instrText>
          </w:r>
          <w:r>
            <w:rPr>
              <w:lang w:val="en-US"/>
            </w:rPr>
            <w:fldChar w:fldCharType="separate"/>
          </w:r>
          <w:r w:rsidR="00F623D4">
            <w:rPr>
              <w:noProof/>
              <w:lang w:val="en-US"/>
            </w:rPr>
            <w:t xml:space="preserve"> (W. L. Benoit 2000)</w:t>
          </w:r>
          <w:r>
            <w:rPr>
              <w:lang w:val="en-US"/>
            </w:rPr>
            <w:fldChar w:fldCharType="end"/>
          </w:r>
        </w:sdtContent>
      </w:sdt>
      <w:r>
        <w:rPr>
          <w:lang w:val="en-US"/>
        </w:rPr>
        <w:t xml:space="preserve">. Even though, Benoit acknowledges that his theory is focused on the sender, the recipients are still considered essential, as it is outlined throughout the theory (Ibid: 41). Moreover, </w:t>
      </w:r>
      <w:r>
        <w:rPr>
          <w:rFonts w:cs="Times New Roman"/>
          <w:lang w:val="en-US"/>
        </w:rPr>
        <w:t xml:space="preserve">in 1997, Benoit and Shirley Drew conducted a case study to measure the effectiveness and appropriateness of various image repair strategies in the eyes of the stakeholders. They could conclude that </w:t>
      </w:r>
      <w:r w:rsidRPr="00A5077C">
        <w:rPr>
          <w:rFonts w:cs="Times New Roman"/>
          <w:i/>
          <w:lang w:val="en-US"/>
        </w:rPr>
        <w:t>mortification</w:t>
      </w:r>
      <w:r>
        <w:rPr>
          <w:rFonts w:cs="Times New Roman"/>
          <w:lang w:val="en-US"/>
        </w:rPr>
        <w:t xml:space="preserve"> and </w:t>
      </w:r>
      <w:r w:rsidRPr="00A5077C">
        <w:rPr>
          <w:rFonts w:cs="Times New Roman"/>
          <w:i/>
          <w:lang w:val="en-US"/>
        </w:rPr>
        <w:t>corrective action</w:t>
      </w:r>
      <w:r>
        <w:rPr>
          <w:rFonts w:cs="Times New Roman"/>
          <w:lang w:val="en-US"/>
        </w:rPr>
        <w:t xml:space="preserve"> were perceived as more appropriate and effective than other strategies. On the other hand, </w:t>
      </w:r>
      <w:r w:rsidRPr="00A5077C">
        <w:rPr>
          <w:rFonts w:cs="Times New Roman"/>
          <w:i/>
          <w:lang w:val="en-US"/>
        </w:rPr>
        <w:t>bolstering,</w:t>
      </w:r>
      <w:r>
        <w:rPr>
          <w:rFonts w:cs="Times New Roman"/>
          <w:lang w:val="en-US"/>
        </w:rPr>
        <w:t xml:space="preserve"> </w:t>
      </w:r>
      <w:r w:rsidRPr="00A5077C">
        <w:rPr>
          <w:rFonts w:cs="Times New Roman"/>
          <w:i/>
          <w:lang w:val="en-US"/>
        </w:rPr>
        <w:t>provocation</w:t>
      </w:r>
      <w:r>
        <w:rPr>
          <w:rFonts w:cs="Times New Roman"/>
          <w:lang w:val="en-US"/>
        </w:rPr>
        <w:t xml:space="preserve">, </w:t>
      </w:r>
      <w:r w:rsidRPr="00A5077C">
        <w:rPr>
          <w:rFonts w:cs="Times New Roman"/>
          <w:i/>
          <w:lang w:val="en-US"/>
        </w:rPr>
        <w:t>minimization</w:t>
      </w:r>
      <w:r>
        <w:rPr>
          <w:rFonts w:cs="Times New Roman"/>
          <w:lang w:val="en-US"/>
        </w:rPr>
        <w:t xml:space="preserve"> and </w:t>
      </w:r>
      <w:r w:rsidRPr="00A5077C">
        <w:rPr>
          <w:rFonts w:cs="Times New Roman"/>
          <w:i/>
          <w:lang w:val="en-US"/>
        </w:rPr>
        <w:t>denial</w:t>
      </w:r>
      <w:r>
        <w:rPr>
          <w:rFonts w:cs="Times New Roman"/>
          <w:lang w:val="en-US"/>
        </w:rPr>
        <w:t xml:space="preserve"> were characterized as the least favorable on those terms</w:t>
      </w:r>
      <w:sdt>
        <w:sdtPr>
          <w:rPr>
            <w:rFonts w:cs="Times New Roman"/>
            <w:lang w:val="en-US"/>
          </w:rPr>
          <w:id w:val="190497712"/>
          <w:citation/>
        </w:sdtPr>
        <w:sdtContent>
          <w:r>
            <w:rPr>
              <w:rFonts w:cs="Times New Roman"/>
              <w:lang w:val="en-US"/>
            </w:rPr>
            <w:fldChar w:fldCharType="begin"/>
          </w:r>
          <w:r>
            <w:rPr>
              <w:rFonts w:cs="Times New Roman"/>
              <w:lang w:val="en-US"/>
            </w:rPr>
            <w:instrText xml:space="preserve">CITATION Wil97 \t  \l 1030 </w:instrText>
          </w:r>
          <w:r>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(Benoit and Drew 1997)</w:t>
          </w:r>
          <w:r>
            <w:rPr>
              <w:rFonts w:cs="Times New Roman"/>
              <w:lang w:val="en-US"/>
            </w:rPr>
            <w:fldChar w:fldCharType="end"/>
          </w:r>
        </w:sdtContent>
      </w:sdt>
      <w:r>
        <w:rPr>
          <w:rFonts w:cs="Times New Roman"/>
          <w:lang w:val="en-US"/>
        </w:rPr>
        <w:t>. Although these observations may not be considered conclusive, it was an attempt to apply Benoit’s typology in a more interpersonal communication context, which also highlights that there is an interest in further developing the theory</w:t>
      </w:r>
      <w:sdt>
        <w:sdtPr>
          <w:rPr>
            <w:rFonts w:cs="Times New Roman"/>
            <w:lang w:val="en-US"/>
          </w:rPr>
          <w:id w:val="-2077198413"/>
          <w:citation/>
        </w:sdtPr>
        <w:sdtContent>
          <w:r>
            <w:rPr>
              <w:rFonts w:cs="Times New Roman"/>
              <w:lang w:val="en-US"/>
            </w:rPr>
            <w:fldChar w:fldCharType="begin"/>
          </w:r>
          <w:r>
            <w:rPr>
              <w:rFonts w:cs="Times New Roman"/>
              <w:lang w:val="en-US"/>
            </w:rPr>
            <w:instrText xml:space="preserve">CITATION Ben00 \p 42 \t  \l 1030 </w:instrText>
          </w:r>
          <w:r>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(W. L. Benoit 2000, 42)</w:t>
          </w:r>
          <w:r>
            <w:rPr>
              <w:rFonts w:cs="Times New Roman"/>
              <w:lang w:val="en-US"/>
            </w:rPr>
            <w:fldChar w:fldCharType="end"/>
          </w:r>
        </w:sdtContent>
      </w:sdt>
      <w:r>
        <w:rPr>
          <w:rFonts w:cs="Times New Roman"/>
          <w:lang w:val="en-US"/>
        </w:rPr>
        <w:t>.</w:t>
      </w:r>
      <w:r>
        <w:rPr>
          <w:lang w:val="en-US"/>
        </w:rPr>
        <w:t xml:space="preserve"> Most of </w:t>
      </w:r>
      <w:r w:rsidR="0063411A">
        <w:rPr>
          <w:lang w:val="en-US"/>
        </w:rPr>
        <w:t>Burns and Bruner’s criticism is</w:t>
      </w:r>
      <w:r>
        <w:rPr>
          <w:lang w:val="en-US"/>
        </w:rPr>
        <w:t xml:space="preserve"> acknowledged by Benoit, who sees the limitations of his theory, but still points out that, </w:t>
      </w:r>
      <w:r w:rsidRPr="00390136">
        <w:rPr>
          <w:i/>
          <w:lang w:val="en-US"/>
        </w:rPr>
        <w:t>“Every study must have bounds or it cannot be completed”</w:t>
      </w:r>
      <w:r>
        <w:rPr>
          <w:lang w:val="en-US"/>
        </w:rPr>
        <w:t xml:space="preserve">(Ibid:43). Crisis communication is a complex area, deriving a plethora of different theoretical approaches, </w:t>
      </w:r>
      <w:r w:rsidR="006A6666">
        <w:rPr>
          <w:lang w:val="en-US"/>
        </w:rPr>
        <w:t>used</w:t>
      </w:r>
      <w:r>
        <w:rPr>
          <w:lang w:val="en-US"/>
        </w:rPr>
        <w:t xml:space="preserve"> to conduct studies and seek an understanding. </w:t>
      </w:r>
      <w:r w:rsidR="00990D6C">
        <w:rPr>
          <w:lang w:val="en-US"/>
        </w:rPr>
        <w:t xml:space="preserve">Accordingly, </w:t>
      </w:r>
      <w:r>
        <w:rPr>
          <w:lang w:val="en-US"/>
        </w:rPr>
        <w:t xml:space="preserve">to include all the different approaches and perspectives in a study would probably be too </w:t>
      </w:r>
      <w:proofErr w:type="spellStart"/>
      <w:r>
        <w:rPr>
          <w:lang w:val="en-US"/>
        </w:rPr>
        <w:t>extensive</w:t>
      </w:r>
      <w:proofErr w:type="spellEnd"/>
      <w:r>
        <w:rPr>
          <w:lang w:val="en-US"/>
        </w:rPr>
        <w:t xml:space="preserve"> and complicated – without any clear conclusion.  </w:t>
      </w:r>
    </w:p>
    <w:p w:rsidR="00762725" w:rsidRDefault="00762725" w:rsidP="00337119">
      <w:pPr>
        <w:spacing w:line="360" w:lineRule="auto"/>
        <w:rPr>
          <w:lang w:val="en-US"/>
        </w:rPr>
      </w:pPr>
      <w:r>
        <w:rPr>
          <w:lang w:val="en-US"/>
        </w:rPr>
        <w:t>Evaluating the theory of image repair concludes that the strategies presented are descriptive with focus on the rhetoric in a crisis. Benoit describes his theory as image repair discourse, where the rhetoric becomes a form of persuasive discourse, meaning that he does not directly acknowledge his image repair strategies as a crisis communication theory</w:t>
      </w:r>
      <w:sdt>
        <w:sdtPr>
          <w:rPr>
            <w:lang w:val="en-US"/>
          </w:rPr>
          <w:id w:val="433557791"/>
          <w:citation/>
        </w:sdtPr>
        <w:sdtContent>
          <w:r>
            <w:rPr>
              <w:lang w:val="en-US"/>
            </w:rPr>
            <w:fldChar w:fldCharType="begin"/>
          </w:r>
          <w:r>
            <w:rPr>
              <w:lang w:val="en-US"/>
            </w:rPr>
            <w:instrText xml:space="preserve">CITATION Wil971 \p 183 \t  \l 1030 </w:instrText>
          </w:r>
          <w:r>
            <w:rPr>
              <w:lang w:val="en-US"/>
            </w:rPr>
            <w:fldChar w:fldCharType="separate"/>
          </w:r>
          <w:r w:rsidR="00F623D4">
            <w:rPr>
              <w:noProof/>
              <w:lang w:val="en-US"/>
            </w:rPr>
            <w:t xml:space="preserve"> (W. L. Benoit 1997, 183)</w:t>
          </w:r>
          <w:r>
            <w:rPr>
              <w:lang w:val="en-US"/>
            </w:rPr>
            <w:fldChar w:fldCharType="end"/>
          </w:r>
        </w:sdtContent>
      </w:sdt>
      <w:r>
        <w:rPr>
          <w:lang w:val="en-US"/>
        </w:rPr>
        <w:t xml:space="preserve">. However, he does position his discourse theory in relevance to crisis communication (Ibid: 182), but considering that the theory involves guidelines for how to efficiently communicate in a crisis, it may be defined as a crisis communication theory as well. Even though, the significance of the circumstances of a crisis and perceptions of stakeholders are proclaimed, an in-depth evaluation of the context-based factors, supplementing the significance of the former, seems to be limited. This means that the application of the various image repair strategies becomes undeviating or static to some extent, as the complexity of a crisis is not fully acknowledged – focusing on a ‘standardized’ crisis communication context instead. As a result, the image restoration theory, relying on the rhetorical tradition, sets up a comprehensive typology of strategies applicable in a crisis, which shape the </w:t>
      </w:r>
      <w:r>
        <w:rPr>
          <w:lang w:val="en-US"/>
        </w:rPr>
        <w:lastRenderedPageBreak/>
        <w:t>discourse of an organization, but has little focus on the contextual, complex and dynamic parameters of the crisis. Accordingly, its purpose is more directed at describing and evaluating the discourse or strategies in use during a crisis, than providing prescriptive relevance to an organization; a purpose which can be considered valuable within crisis communication research.</w:t>
      </w:r>
    </w:p>
    <w:p w:rsidR="00762725" w:rsidRDefault="005D0951" w:rsidP="00337119">
      <w:pPr>
        <w:pStyle w:val="Overskrift2"/>
        <w:spacing w:line="360" w:lineRule="auto"/>
        <w:rPr>
          <w:lang w:val="en-US"/>
        </w:rPr>
      </w:pPr>
      <w:bookmarkStart w:id="45" w:name="_Toc420075819"/>
      <w:bookmarkStart w:id="46" w:name="_Toc420761632"/>
      <w:r>
        <w:rPr>
          <w:lang w:val="en-US"/>
        </w:rPr>
        <w:t>4</w:t>
      </w:r>
      <w:r w:rsidR="00762725">
        <w:rPr>
          <w:lang w:val="en-US"/>
        </w:rPr>
        <w:t>.4 The Situational Crisis Communication Theory by Timothy Coombs</w:t>
      </w:r>
      <w:bookmarkEnd w:id="45"/>
      <w:bookmarkEnd w:id="46"/>
    </w:p>
    <w:p w:rsidR="00762725" w:rsidRDefault="00762725" w:rsidP="00337119">
      <w:pPr>
        <w:spacing w:line="360" w:lineRule="auto"/>
        <w:rPr>
          <w:lang w:val="en-US"/>
        </w:rPr>
      </w:pPr>
      <w:r>
        <w:rPr>
          <w:lang w:val="en-US"/>
        </w:rPr>
        <w:t>In contradistinction to Benoit’s academic position within the rhetorical tradition, Coombs positions his research within crisis management and crisis communication</w:t>
      </w:r>
      <w:sdt>
        <w:sdtPr>
          <w:rPr>
            <w:lang w:val="en-US"/>
          </w:rPr>
          <w:id w:val="631827359"/>
          <w:citation/>
        </w:sdtPr>
        <w:sdtContent>
          <w:r>
            <w:rPr>
              <w:lang w:val="en-US"/>
            </w:rPr>
            <w:fldChar w:fldCharType="begin"/>
          </w:r>
          <w:r>
            <w:rPr>
              <w:lang w:val="en-US"/>
            </w:rPr>
            <w:instrText xml:space="preserve">CITATION Fin07 \p 227 \t  \l 1030 </w:instrText>
          </w:r>
          <w:r>
            <w:rPr>
              <w:lang w:val="en-US"/>
            </w:rPr>
            <w:fldChar w:fldCharType="separate"/>
          </w:r>
          <w:r w:rsidR="00F623D4">
            <w:rPr>
              <w:noProof/>
              <w:lang w:val="en-US"/>
            </w:rPr>
            <w:t xml:space="preserve"> (Frandsen and Johansen 2007, 227)</w:t>
          </w:r>
          <w:r>
            <w:rPr>
              <w:lang w:val="en-US"/>
            </w:rPr>
            <w:fldChar w:fldCharType="end"/>
          </w:r>
        </w:sdtContent>
      </w:sdt>
      <w:r>
        <w:rPr>
          <w:lang w:val="en-US"/>
        </w:rPr>
        <w:t>. The main purpose of the situational crisis communication theory (SCCT) is to maintain or recreate a favorable organizational reputation and image, which is why Coombs’s theory is widely utilized within public relations research</w:t>
      </w:r>
      <w:sdt>
        <w:sdtPr>
          <w:rPr>
            <w:lang w:val="en-US"/>
          </w:rPr>
          <w:id w:val="205154073"/>
          <w:citation/>
        </w:sdtPr>
        <w:sdtContent>
          <w:r>
            <w:rPr>
              <w:lang w:val="en-US"/>
            </w:rPr>
            <w:fldChar w:fldCharType="begin"/>
          </w:r>
          <w:r>
            <w:rPr>
              <w:lang w:val="en-US"/>
            </w:rPr>
            <w:instrText xml:space="preserve">CITATION Tim13 \p 91 \l 1030 </w:instrText>
          </w:r>
          <w:r>
            <w:rPr>
              <w:lang w:val="en-US"/>
            </w:rPr>
            <w:fldChar w:fldCharType="separate"/>
          </w:r>
          <w:r w:rsidR="00F623D4">
            <w:rPr>
              <w:noProof/>
              <w:lang w:val="en-US"/>
            </w:rPr>
            <w:t xml:space="preserve"> (Sellnow and Seeger 2013, 91)</w:t>
          </w:r>
          <w:r>
            <w:rPr>
              <w:lang w:val="en-US"/>
            </w:rPr>
            <w:fldChar w:fldCharType="end"/>
          </w:r>
        </w:sdtContent>
      </w:sdt>
      <w:r>
        <w:rPr>
          <w:lang w:val="en-US"/>
        </w:rPr>
        <w:t>. Coombs argues that the utilization of SCCT can protect the organizational reputation during a crisis, as it provides a prescriptive system for efficiently matching the response strategies with the specific situation</w:t>
      </w:r>
      <w:sdt>
        <w:sdtPr>
          <w:rPr>
            <w:lang w:val="en-US"/>
          </w:rPr>
          <w:id w:val="1004862279"/>
          <w:citation/>
        </w:sdtPr>
        <w:sdtContent>
          <w:r>
            <w:rPr>
              <w:lang w:val="en-US"/>
            </w:rPr>
            <w:fldChar w:fldCharType="begin"/>
          </w:r>
          <w:r>
            <w:rPr>
              <w:lang w:val="en-US"/>
            </w:rPr>
            <w:instrText xml:space="preserve">CITATION Tim02 \p 183 \l 1030 </w:instrText>
          </w:r>
          <w:r>
            <w:rPr>
              <w:lang w:val="en-US"/>
            </w:rPr>
            <w:fldChar w:fldCharType="separate"/>
          </w:r>
          <w:r w:rsidR="00F623D4">
            <w:rPr>
              <w:noProof/>
              <w:lang w:val="en-US"/>
            </w:rPr>
            <w:t xml:space="preserve"> (Coombs and Holladay 2002, 183)</w:t>
          </w:r>
          <w:r>
            <w:rPr>
              <w:lang w:val="en-US"/>
            </w:rPr>
            <w:fldChar w:fldCharType="end"/>
          </w:r>
        </w:sdtContent>
      </w:sdt>
      <w:r>
        <w:rPr>
          <w:lang w:val="en-US"/>
        </w:rPr>
        <w:t xml:space="preserve">. SCCT has been inspired by previous studies on crisis response strategies, where outlined strategies (Benoit et.al.) have been organized from the perspective of </w:t>
      </w:r>
      <w:r>
        <w:rPr>
          <w:i/>
          <w:lang w:val="en-US"/>
        </w:rPr>
        <w:t>attribution theory</w:t>
      </w:r>
      <w:r>
        <w:rPr>
          <w:lang w:val="en-US"/>
        </w:rPr>
        <w:t>. Generally embedded within attribution theory is the idea that stakeholders of an organization will make attributions about a crisis, based on the available information. A crisis situation varies greatly on the basis of this, as it determines the degree of perceived responsibility towards the organization or other actors</w:t>
      </w:r>
      <w:sdt>
        <w:sdtPr>
          <w:rPr>
            <w:i/>
            <w:lang w:val="en-US"/>
          </w:rPr>
          <w:id w:val="1036860861"/>
          <w:citation/>
        </w:sdtPr>
        <w:sdtContent>
          <w:r>
            <w:rPr>
              <w:i/>
              <w:lang w:val="en-US"/>
            </w:rPr>
            <w:fldChar w:fldCharType="begin"/>
          </w:r>
          <w:r>
            <w:rPr>
              <w:i/>
              <w:lang w:val="en-US"/>
            </w:rPr>
            <w:instrText xml:space="preserve">CITATION WTi09 \p 110 \t  \l 1030 </w:instrText>
          </w:r>
          <w:r>
            <w:rPr>
              <w:i/>
              <w:lang w:val="en-US"/>
            </w:rPr>
            <w:fldChar w:fldCharType="separate"/>
          </w:r>
          <w:r w:rsidR="00F623D4">
            <w:rPr>
              <w:i/>
              <w:noProof/>
              <w:lang w:val="en-US"/>
            </w:rPr>
            <w:t xml:space="preserve"> </w:t>
          </w:r>
          <w:r w:rsidR="00F623D4">
            <w:rPr>
              <w:noProof/>
              <w:lang w:val="en-US"/>
            </w:rPr>
            <w:t>(W. T. Coombs 2009, 110)</w:t>
          </w:r>
          <w:r>
            <w:rPr>
              <w:i/>
              <w:lang w:val="en-US"/>
            </w:rPr>
            <w:fldChar w:fldCharType="end"/>
          </w:r>
        </w:sdtContent>
      </w:sdt>
      <w:r>
        <w:rPr>
          <w:lang w:val="en-US"/>
        </w:rPr>
        <w:t xml:space="preserve">. Moreover, the SCCT is built on the basis of the expectation that it can either </w:t>
      </w:r>
      <w:r w:rsidRPr="005A75F0">
        <w:rPr>
          <w:i/>
          <w:lang w:val="en-US"/>
        </w:rPr>
        <w:t>“alter attributions about the crisis, or change perceptions of the organization in crisis”</w:t>
      </w:r>
      <w:r>
        <w:rPr>
          <w:lang w:val="en-US"/>
        </w:rPr>
        <w:t xml:space="preserve"> (Ibid: 110), where both of them, separately or combined, can protect the organizational reputation. With the focus at the situational aspects of a crisis, Coombs’s theory differs from Benoit’s theory, primarily, due to an endeavor to contextualize the rhetorical response strategies. The perspective of the </w:t>
      </w:r>
      <w:r w:rsidRPr="00C930BF">
        <w:rPr>
          <w:lang w:val="en-US"/>
        </w:rPr>
        <w:t>attribution t</w:t>
      </w:r>
      <w:r>
        <w:rPr>
          <w:lang w:val="en-US"/>
        </w:rPr>
        <w:t>heory, together with the public relations aspect and an organizational aspect, enable sociological/psychological context factors</w:t>
      </w:r>
      <w:r w:rsidR="00236C37">
        <w:rPr>
          <w:lang w:val="en-US"/>
        </w:rPr>
        <w:t xml:space="preserve"> – i</w:t>
      </w:r>
      <w:r>
        <w:rPr>
          <w:lang w:val="en-US"/>
        </w:rPr>
        <w:t>nfluencing the applicability and effectiveness of response strategies in a specific crisis</w:t>
      </w:r>
      <w:sdt>
        <w:sdtPr>
          <w:rPr>
            <w:lang w:val="en-US"/>
          </w:rPr>
          <w:id w:val="1383287740"/>
          <w:citation/>
        </w:sdtPr>
        <w:sdtContent>
          <w:r>
            <w:rPr>
              <w:lang w:val="en-US"/>
            </w:rPr>
            <w:fldChar w:fldCharType="begin"/>
          </w:r>
          <w:r>
            <w:rPr>
              <w:lang w:val="en-US"/>
            </w:rPr>
            <w:instrText xml:space="preserve">CITATION Fin07 \p 229 \t  \l 1030 </w:instrText>
          </w:r>
          <w:r>
            <w:rPr>
              <w:lang w:val="en-US"/>
            </w:rPr>
            <w:fldChar w:fldCharType="separate"/>
          </w:r>
          <w:r w:rsidR="00F623D4">
            <w:rPr>
              <w:noProof/>
              <w:lang w:val="en-US"/>
            </w:rPr>
            <w:t xml:space="preserve"> (Frandsen and Johansen 2007, 229)</w:t>
          </w:r>
          <w:r>
            <w:rPr>
              <w:lang w:val="en-US"/>
            </w:rPr>
            <w:fldChar w:fldCharType="end"/>
          </w:r>
        </w:sdtContent>
      </w:sdt>
      <w:r>
        <w:rPr>
          <w:lang w:val="en-US"/>
        </w:rPr>
        <w:t>.</w:t>
      </w:r>
    </w:p>
    <w:p w:rsidR="00762725" w:rsidRDefault="00762725" w:rsidP="00337119">
      <w:pPr>
        <w:spacing w:line="360" w:lineRule="auto"/>
        <w:rPr>
          <w:rFonts w:cs="Times New Roman"/>
          <w:lang w:val="en-US"/>
        </w:rPr>
      </w:pPr>
      <w:r>
        <w:rPr>
          <w:lang w:val="en-US"/>
        </w:rPr>
        <w:t xml:space="preserve">On the basis of whether crisis response strategies are used in altering attributions about a crisis or perceptions of the organization, these are organized within four presented postures or clusters. The constructed clusters of SCCT, involving strategies with similar traits, are </w:t>
      </w:r>
      <w:r>
        <w:rPr>
          <w:i/>
          <w:lang w:val="en-US"/>
        </w:rPr>
        <w:t>denial strategies, diminish strategies, rebuild strategies</w:t>
      </w:r>
      <w:r>
        <w:rPr>
          <w:lang w:val="en-US"/>
        </w:rPr>
        <w:t xml:space="preserve"> and </w:t>
      </w:r>
      <w:r>
        <w:rPr>
          <w:i/>
          <w:lang w:val="en-US"/>
        </w:rPr>
        <w:t>bolstering strategies</w:t>
      </w:r>
      <w:sdt>
        <w:sdtPr>
          <w:rPr>
            <w:i/>
            <w:lang w:val="en-US"/>
          </w:rPr>
          <w:id w:val="1788546189"/>
          <w:citation/>
        </w:sdtPr>
        <w:sdtContent>
          <w:r>
            <w:rPr>
              <w:i/>
              <w:lang w:val="en-US"/>
            </w:rPr>
            <w:fldChar w:fldCharType="begin"/>
          </w:r>
          <w:r>
            <w:rPr>
              <w:i/>
              <w:lang w:val="en-US"/>
            </w:rPr>
            <w:instrText xml:space="preserve">CITATION WTi09 \p 110 \t  \l 1030 </w:instrText>
          </w:r>
          <w:r>
            <w:rPr>
              <w:i/>
              <w:lang w:val="en-US"/>
            </w:rPr>
            <w:fldChar w:fldCharType="separate"/>
          </w:r>
          <w:r w:rsidR="00F623D4">
            <w:rPr>
              <w:i/>
              <w:noProof/>
              <w:lang w:val="en-US"/>
            </w:rPr>
            <w:t xml:space="preserve"> </w:t>
          </w:r>
          <w:r w:rsidR="00F623D4">
            <w:rPr>
              <w:noProof/>
              <w:lang w:val="en-US"/>
            </w:rPr>
            <w:t>(W. T. Coombs 2009, 110)</w:t>
          </w:r>
          <w:r>
            <w:rPr>
              <w:i/>
              <w:lang w:val="en-US"/>
            </w:rPr>
            <w:fldChar w:fldCharType="end"/>
          </w:r>
        </w:sdtContent>
      </w:sdt>
      <w:r>
        <w:rPr>
          <w:lang w:val="en-US"/>
        </w:rPr>
        <w:t>. In short, t</w:t>
      </w:r>
      <w:r>
        <w:rPr>
          <w:rFonts w:cs="Times New Roman"/>
          <w:lang w:val="en-US"/>
        </w:rPr>
        <w:t xml:space="preserve">he purpose of the first cluster of strategies is to remove any connection between the company and the </w:t>
      </w:r>
      <w:r>
        <w:rPr>
          <w:rFonts w:cs="Times New Roman"/>
          <w:lang w:val="en-US"/>
        </w:rPr>
        <w:lastRenderedPageBreak/>
        <w:t>crisis. The second cluster of strategies is designed to reduce attributions (limit degree of responsibility), where the purpose of the third cluster is to improve or repair an organization’s reputation, by accepting</w:t>
      </w:r>
      <w:r w:rsidR="00677F5D">
        <w:rPr>
          <w:rFonts w:cs="Times New Roman"/>
          <w:lang w:val="en-US"/>
        </w:rPr>
        <w:t xml:space="preserve"> full responsibility. The final strategy cluster</w:t>
      </w:r>
      <w:r>
        <w:rPr>
          <w:rFonts w:cs="Times New Roman"/>
          <w:lang w:val="en-US"/>
        </w:rPr>
        <w:t xml:space="preserve"> seeks to supplement the three other clusters, by building on a positive relationship between stakeholde</w:t>
      </w:r>
      <w:r w:rsidR="00A9181E">
        <w:rPr>
          <w:rFonts w:cs="Times New Roman"/>
          <w:lang w:val="en-US"/>
        </w:rPr>
        <w:t>rs and organization (Ibid: 110)</w:t>
      </w:r>
      <w:r>
        <w:rPr>
          <w:rFonts w:cs="Times New Roman"/>
          <w:lang w:val="en-US"/>
        </w:rPr>
        <w:t xml:space="preserve">. The specific strategies within each cluster are presented in Table 2. As mentioned earlier, the strategies in the SCCT draws on the image restoration strategies of Benoit, where Coombs’s representation functions as the foundation of SCCT, but it is not the focus of the theory, as </w:t>
      </w:r>
      <w:r>
        <w:rPr>
          <w:rFonts w:cs="Times New Roman"/>
          <w:i/>
          <w:lang w:val="en-US"/>
        </w:rPr>
        <w:t>how</w:t>
      </w:r>
      <w:r>
        <w:rPr>
          <w:rFonts w:cs="Times New Roman"/>
          <w:lang w:val="en-US"/>
        </w:rPr>
        <w:t xml:space="preserve"> to use the response strategies is more essential</w:t>
      </w:r>
      <w:sdt>
        <w:sdtPr>
          <w:rPr>
            <w:rFonts w:cs="Times New Roman"/>
            <w:lang w:val="en-US"/>
          </w:rPr>
          <w:id w:val="-2120053838"/>
          <w:citation/>
        </w:sdtPr>
        <w:sdtContent>
          <w:r>
            <w:rPr>
              <w:rFonts w:cs="Times New Roman"/>
              <w:lang w:val="en-US"/>
            </w:rPr>
            <w:fldChar w:fldCharType="begin"/>
          </w:r>
          <w:r>
            <w:rPr>
              <w:rFonts w:cs="Times New Roman"/>
              <w:lang w:val="en-US"/>
            </w:rPr>
            <w:instrText xml:space="preserve">CITATION Pro07 \p 163 \t  \l 1030 </w:instrText>
          </w:r>
          <w:r>
            <w:rPr>
              <w:rFonts w:cs="Times New Roman"/>
              <w:lang w:val="en-US"/>
            </w:rPr>
            <w:fldChar w:fldCharType="separate"/>
          </w:r>
          <w:r w:rsidR="00F623D4">
            <w:rPr>
              <w:rFonts w:cs="Times New Roman"/>
              <w:noProof/>
              <w:lang w:val="en-US"/>
            </w:rPr>
            <w:t xml:space="preserve"> </w:t>
          </w:r>
          <w:r w:rsidR="00F623D4" w:rsidRPr="00F623D4">
            <w:rPr>
              <w:rFonts w:cs="Times New Roman"/>
              <w:noProof/>
              <w:lang w:val="en-US"/>
            </w:rPr>
            <w:t>(W. T. Coombs 2007, 163)</w:t>
          </w:r>
          <w:r>
            <w:rPr>
              <w:rFonts w:cs="Times New Roman"/>
              <w:lang w:val="en-US"/>
            </w:rPr>
            <w:fldChar w:fldCharType="end"/>
          </w:r>
        </w:sdtContent>
      </w:sdt>
      <w:r>
        <w:rPr>
          <w:rFonts w:cs="Times New Roman"/>
          <w:lang w:val="en-US"/>
        </w:rPr>
        <w:t xml:space="preserve">. </w:t>
      </w:r>
    </w:p>
    <w:p w:rsidR="00762725" w:rsidRPr="00B23B99" w:rsidRDefault="002944E1" w:rsidP="00337119">
      <w:pPr>
        <w:spacing w:line="360" w:lineRule="auto"/>
        <w:rPr>
          <w:lang w:val="en-US"/>
        </w:rPr>
      </w:pPr>
      <w:r>
        <w:rPr>
          <w:rFonts w:cs="Times New Roman"/>
          <w:noProof/>
          <w:lang w:eastAsia="da-DK"/>
        </w:rPr>
        <w:drawing>
          <wp:anchor distT="0" distB="0" distL="114300" distR="114300" simplePos="0" relativeHeight="251661312" behindDoc="1" locked="0" layoutInCell="1" allowOverlap="1" wp14:anchorId="263AD65B" wp14:editId="3A3E234C">
            <wp:simplePos x="0" y="0"/>
            <wp:positionH relativeFrom="column">
              <wp:posOffset>565785</wp:posOffset>
            </wp:positionH>
            <wp:positionV relativeFrom="paragraph">
              <wp:posOffset>280670</wp:posOffset>
            </wp:positionV>
            <wp:extent cx="5067300" cy="3352800"/>
            <wp:effectExtent l="0" t="0" r="0" b="0"/>
            <wp:wrapTight wrapText="bothSides">
              <wp:wrapPolygon edited="0">
                <wp:start x="0" y="0"/>
                <wp:lineTo x="0" y="21477"/>
                <wp:lineTo x="21519" y="21477"/>
                <wp:lineTo x="21519"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mbs SCCT response strategies.jpg"/>
                    <pic:cNvPicPr/>
                  </pic:nvPicPr>
                  <pic:blipFill>
                    <a:blip r:embed="rId23">
                      <a:extLst>
                        <a:ext uri="{28A0092B-C50C-407E-A947-70E740481C1C}">
                          <a14:useLocalDpi xmlns:a14="http://schemas.microsoft.com/office/drawing/2010/main" val="0"/>
                        </a:ext>
                      </a:extLst>
                    </a:blip>
                    <a:stretch>
                      <a:fillRect/>
                    </a:stretch>
                  </pic:blipFill>
                  <pic:spPr>
                    <a:xfrm>
                      <a:off x="0" y="0"/>
                      <a:ext cx="5067300" cy="335280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62336" behindDoc="0" locked="0" layoutInCell="1" allowOverlap="1" wp14:anchorId="7CDCE3F6" wp14:editId="41224DE7">
                <wp:simplePos x="0" y="0"/>
                <wp:positionH relativeFrom="column">
                  <wp:posOffset>565785</wp:posOffset>
                </wp:positionH>
                <wp:positionV relativeFrom="paragraph">
                  <wp:posOffset>33020</wp:posOffset>
                </wp:positionV>
                <wp:extent cx="5000625" cy="200025"/>
                <wp:effectExtent l="0" t="0" r="9525" b="9525"/>
                <wp:wrapTight wrapText="bothSides">
                  <wp:wrapPolygon edited="0">
                    <wp:start x="0" y="0"/>
                    <wp:lineTo x="0" y="20571"/>
                    <wp:lineTo x="21559" y="20571"/>
                    <wp:lineTo x="21559" y="0"/>
                    <wp:lineTo x="0" y="0"/>
                  </wp:wrapPolygon>
                </wp:wrapTight>
                <wp:docPr id="8" name="Tekstboks 8"/>
                <wp:cNvGraphicFramePr/>
                <a:graphic xmlns:a="http://schemas.openxmlformats.org/drawingml/2006/main">
                  <a:graphicData uri="http://schemas.microsoft.com/office/word/2010/wordprocessingShape">
                    <wps:wsp>
                      <wps:cNvSpPr txBox="1"/>
                      <wps:spPr>
                        <a:xfrm>
                          <a:off x="0" y="0"/>
                          <a:ext cx="5000625" cy="200025"/>
                        </a:xfrm>
                        <a:prstGeom prst="rect">
                          <a:avLst/>
                        </a:prstGeom>
                        <a:solidFill>
                          <a:prstClr val="white"/>
                        </a:solidFill>
                        <a:ln>
                          <a:noFill/>
                        </a:ln>
                        <a:effectLst/>
                      </wps:spPr>
                      <wps:txbx>
                        <w:txbxContent>
                          <w:p w:rsidR="00CF205E" w:rsidRPr="002944E1" w:rsidRDefault="00CF205E" w:rsidP="00762725">
                            <w:pPr>
                              <w:pStyle w:val="Billedtekst"/>
                              <w:rPr>
                                <w:rFonts w:cs="Times New Roman"/>
                                <w:noProof/>
                                <w:color w:val="auto"/>
                                <w:sz w:val="36"/>
                                <w:lang w:val="en-US"/>
                              </w:rPr>
                            </w:pPr>
                            <w:r w:rsidRPr="002944E1">
                              <w:rPr>
                                <w:rFonts w:cs="Times New Roman"/>
                                <w:color w:val="auto"/>
                                <w:sz w:val="24"/>
                                <w:lang w:val="en-US"/>
                              </w:rPr>
                              <w:t xml:space="preserve">Table </w:t>
                            </w:r>
                            <w:r w:rsidRPr="002944E1">
                              <w:rPr>
                                <w:rFonts w:cs="Times New Roman"/>
                                <w:color w:val="auto"/>
                                <w:sz w:val="24"/>
                              </w:rPr>
                              <w:fldChar w:fldCharType="begin"/>
                            </w:r>
                            <w:r w:rsidRPr="002944E1">
                              <w:rPr>
                                <w:rFonts w:cs="Times New Roman"/>
                                <w:color w:val="auto"/>
                                <w:sz w:val="24"/>
                                <w:lang w:val="en-US"/>
                              </w:rPr>
                              <w:instrText xml:space="preserve"> SEQ Tabel \* ARABIC </w:instrText>
                            </w:r>
                            <w:r w:rsidRPr="002944E1">
                              <w:rPr>
                                <w:rFonts w:cs="Times New Roman"/>
                                <w:color w:val="auto"/>
                                <w:sz w:val="24"/>
                              </w:rPr>
                              <w:fldChar w:fldCharType="separate"/>
                            </w:r>
                            <w:r w:rsidR="00DC67EC">
                              <w:rPr>
                                <w:rFonts w:cs="Times New Roman"/>
                                <w:noProof/>
                                <w:color w:val="auto"/>
                                <w:sz w:val="24"/>
                                <w:lang w:val="en-US"/>
                              </w:rPr>
                              <w:t>2</w:t>
                            </w:r>
                            <w:r w:rsidRPr="002944E1">
                              <w:rPr>
                                <w:rFonts w:cs="Times New Roman"/>
                                <w:color w:val="auto"/>
                                <w:sz w:val="24"/>
                              </w:rPr>
                              <w:fldChar w:fldCharType="end"/>
                            </w:r>
                            <w:r w:rsidRPr="002944E1">
                              <w:rPr>
                                <w:rFonts w:cs="Times New Roman"/>
                                <w:color w:val="auto"/>
                                <w:sz w:val="24"/>
                                <w:lang w:val="en-US"/>
                              </w:rPr>
                              <w:t xml:space="preserve">: Crisis Response Strategies by Coombs </w:t>
                            </w:r>
                            <w:sdt>
                              <w:sdtPr>
                                <w:rPr>
                                  <w:rFonts w:cs="Times New Roman"/>
                                  <w:color w:val="auto"/>
                                  <w:sz w:val="24"/>
                                </w:rPr>
                                <w:id w:val="2105151094"/>
                                <w:citation/>
                              </w:sdtPr>
                              <w:sdtContent>
                                <w:r w:rsidRPr="002944E1">
                                  <w:rPr>
                                    <w:rFonts w:cs="Times New Roman"/>
                                    <w:color w:val="auto"/>
                                    <w:sz w:val="24"/>
                                  </w:rPr>
                                  <w:fldChar w:fldCharType="begin"/>
                                </w:r>
                                <w:r w:rsidRPr="002944E1">
                                  <w:rPr>
                                    <w:rFonts w:cs="Times New Roman"/>
                                    <w:color w:val="auto"/>
                                    <w:sz w:val="24"/>
                                    <w:lang w:val="en-US"/>
                                  </w:rPr>
                                  <w:instrText xml:space="preserve">CITATION Pro07 \p 170 \n  \t  \l 1030 </w:instrText>
                                </w:r>
                                <w:r w:rsidRPr="002944E1">
                                  <w:rPr>
                                    <w:rFonts w:cs="Times New Roman"/>
                                    <w:color w:val="auto"/>
                                    <w:sz w:val="24"/>
                                  </w:rPr>
                                  <w:fldChar w:fldCharType="separate"/>
                                </w:r>
                                <w:r w:rsidRPr="00F623D4">
                                  <w:rPr>
                                    <w:rFonts w:cs="Times New Roman"/>
                                    <w:noProof/>
                                    <w:color w:val="auto"/>
                                    <w:sz w:val="24"/>
                                    <w:lang w:val="en-US"/>
                                  </w:rPr>
                                  <w:t>(2007, 170)</w:t>
                                </w:r>
                                <w:r w:rsidRPr="002944E1">
                                  <w:rPr>
                                    <w:rFonts w:cs="Times New Roman"/>
                                    <w:color w:val="auto"/>
                                    <w:sz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8" o:spid="_x0000_s1027" type="#_x0000_t202" style="position:absolute;left:0;text-align:left;margin-left:44.55pt;margin-top:2.6pt;width:393.7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" stroked="f">
                <v:textbox inset="0,0,0,0">
                  <w:txbxContent>
                    <w:p w:rsidR="00CF205E" w:rsidRPr="002944E1" w:rsidRDefault="00CF205E" w:rsidP="00762725">
                      <w:pPr>
                        <w:pStyle w:val="Billedtekst"/>
                        <w:rPr>
                          <w:rFonts w:cs="Times New Roman"/>
                          <w:noProof/>
                          <w:color w:val="auto"/>
                          <w:sz w:val="36"/>
                          <w:lang w:val="en-US"/>
                        </w:rPr>
                      </w:pPr>
                      <w:r w:rsidRPr="002944E1">
                        <w:rPr>
                          <w:rFonts w:cs="Times New Roman"/>
                          <w:color w:val="auto"/>
                          <w:sz w:val="24"/>
                          <w:lang w:val="en-US"/>
                        </w:rPr>
                        <w:t xml:space="preserve">Table </w:t>
                      </w:r>
                      <w:r w:rsidRPr="002944E1">
                        <w:rPr>
                          <w:rFonts w:cs="Times New Roman"/>
                          <w:color w:val="auto"/>
                          <w:sz w:val="24"/>
                        </w:rPr>
                        <w:fldChar w:fldCharType="begin"/>
                      </w:r>
                      <w:r w:rsidRPr="002944E1">
                        <w:rPr>
                          <w:rFonts w:cs="Times New Roman"/>
                          <w:color w:val="auto"/>
                          <w:sz w:val="24"/>
                          <w:lang w:val="en-US"/>
                        </w:rPr>
                        <w:instrText xml:space="preserve"> SEQ Tabel \* ARABIC </w:instrText>
                      </w:r>
                      <w:r w:rsidRPr="002944E1">
                        <w:rPr>
                          <w:rFonts w:cs="Times New Roman"/>
                          <w:color w:val="auto"/>
                          <w:sz w:val="24"/>
                        </w:rPr>
                        <w:fldChar w:fldCharType="separate"/>
                      </w:r>
                      <w:r w:rsidR="00DC67EC">
                        <w:rPr>
                          <w:rFonts w:cs="Times New Roman"/>
                          <w:noProof/>
                          <w:color w:val="auto"/>
                          <w:sz w:val="24"/>
                          <w:lang w:val="en-US"/>
                        </w:rPr>
                        <w:t>2</w:t>
                      </w:r>
                      <w:r w:rsidRPr="002944E1">
                        <w:rPr>
                          <w:rFonts w:cs="Times New Roman"/>
                          <w:color w:val="auto"/>
                          <w:sz w:val="24"/>
                        </w:rPr>
                        <w:fldChar w:fldCharType="end"/>
                      </w:r>
                      <w:r w:rsidRPr="002944E1">
                        <w:rPr>
                          <w:rFonts w:cs="Times New Roman"/>
                          <w:color w:val="auto"/>
                          <w:sz w:val="24"/>
                          <w:lang w:val="en-US"/>
                        </w:rPr>
                        <w:t xml:space="preserve">: Crisis Response Strategies by Coombs </w:t>
                      </w:r>
                      <w:sdt>
                        <w:sdtPr>
                          <w:rPr>
                            <w:rFonts w:cs="Times New Roman"/>
                            <w:color w:val="auto"/>
                            <w:sz w:val="24"/>
                          </w:rPr>
                          <w:id w:val="2105151094"/>
                          <w:citation/>
                        </w:sdtPr>
                        <w:sdtContent>
                          <w:r w:rsidRPr="002944E1">
                            <w:rPr>
                              <w:rFonts w:cs="Times New Roman"/>
                              <w:color w:val="auto"/>
                              <w:sz w:val="24"/>
                            </w:rPr>
                            <w:fldChar w:fldCharType="begin"/>
                          </w:r>
                          <w:r w:rsidRPr="002944E1">
                            <w:rPr>
                              <w:rFonts w:cs="Times New Roman"/>
                              <w:color w:val="auto"/>
                              <w:sz w:val="24"/>
                              <w:lang w:val="en-US"/>
                            </w:rPr>
                            <w:instrText xml:space="preserve">CITATION Pro07 \p 170 \n  \t  \l 1030 </w:instrText>
                          </w:r>
                          <w:r w:rsidRPr="002944E1">
                            <w:rPr>
                              <w:rFonts w:cs="Times New Roman"/>
                              <w:color w:val="auto"/>
                              <w:sz w:val="24"/>
                            </w:rPr>
                            <w:fldChar w:fldCharType="separate"/>
                          </w:r>
                          <w:r w:rsidRPr="00F623D4">
                            <w:rPr>
                              <w:rFonts w:cs="Times New Roman"/>
                              <w:noProof/>
                              <w:color w:val="auto"/>
                              <w:sz w:val="24"/>
                              <w:lang w:val="en-US"/>
                            </w:rPr>
                            <w:t>(2007, 170)</w:t>
                          </w:r>
                          <w:r w:rsidRPr="002944E1">
                            <w:rPr>
                              <w:rFonts w:cs="Times New Roman"/>
                              <w:color w:val="auto"/>
                              <w:sz w:val="24"/>
                            </w:rPr>
                            <w:fldChar w:fldCharType="end"/>
                          </w:r>
                        </w:sdtContent>
                      </w:sdt>
                    </w:p>
                  </w:txbxContent>
                </v:textbox>
                <w10:wrap type="tight"/>
              </v:shape>
            </w:pict>
          </mc:Fallback>
        </mc:AlternateContent>
      </w:r>
      <w:r w:rsidR="00762725">
        <w:rPr>
          <w:rFonts w:cs="Times New Roman"/>
          <w:lang w:val="en-US"/>
        </w:rPr>
        <w:t xml:space="preserve"> </w:t>
      </w:r>
    </w:p>
    <w:p w:rsidR="00762725" w:rsidRDefault="00762725" w:rsidP="00337119">
      <w:pPr>
        <w:spacing w:line="360" w:lineRule="auto"/>
        <w:rPr>
          <w:lang w:val="en-US"/>
        </w:rPr>
      </w:pPr>
    </w:p>
    <w:p w:rsidR="00762725" w:rsidRPr="0004098B" w:rsidRDefault="00762725" w:rsidP="00337119">
      <w:pPr>
        <w:rPr>
          <w:lang w:val="en-US"/>
        </w:rPr>
      </w:pPr>
    </w:p>
    <w:p w:rsidR="00762725" w:rsidRPr="0004098B" w:rsidRDefault="00762725" w:rsidP="00337119">
      <w:pPr>
        <w:rPr>
          <w:lang w:val="en-US"/>
        </w:rPr>
      </w:pPr>
    </w:p>
    <w:p w:rsidR="00762725" w:rsidRPr="0004098B" w:rsidRDefault="00762725" w:rsidP="00337119">
      <w:pPr>
        <w:rPr>
          <w:lang w:val="en-US"/>
        </w:rPr>
      </w:pPr>
    </w:p>
    <w:p w:rsidR="00762725" w:rsidRPr="0004098B" w:rsidRDefault="00762725" w:rsidP="00337119">
      <w:pPr>
        <w:rPr>
          <w:lang w:val="en-US"/>
        </w:rPr>
      </w:pPr>
    </w:p>
    <w:p w:rsidR="00762725" w:rsidRPr="0004098B" w:rsidRDefault="00762725" w:rsidP="00337119">
      <w:pPr>
        <w:rPr>
          <w:lang w:val="en-US"/>
        </w:rPr>
      </w:pPr>
    </w:p>
    <w:p w:rsidR="00762725" w:rsidRPr="0004098B" w:rsidRDefault="00762725" w:rsidP="00337119">
      <w:pPr>
        <w:rPr>
          <w:lang w:val="en-US"/>
        </w:rPr>
      </w:pPr>
    </w:p>
    <w:p w:rsidR="00762725" w:rsidRPr="0004098B" w:rsidRDefault="00762725" w:rsidP="00337119">
      <w:pPr>
        <w:rPr>
          <w:lang w:val="en-US"/>
        </w:rPr>
      </w:pPr>
    </w:p>
    <w:p w:rsidR="00762725" w:rsidRPr="0004098B" w:rsidRDefault="00762725" w:rsidP="00337119">
      <w:pPr>
        <w:rPr>
          <w:lang w:val="en-US"/>
        </w:rPr>
      </w:pPr>
    </w:p>
    <w:p w:rsidR="00762725" w:rsidRDefault="00762725" w:rsidP="00337119">
      <w:pPr>
        <w:rPr>
          <w:lang w:val="en-US"/>
        </w:rPr>
      </w:pPr>
    </w:p>
    <w:p w:rsidR="00762725" w:rsidRDefault="006E57A6" w:rsidP="00337119">
      <w:pPr>
        <w:spacing w:line="360" w:lineRule="auto"/>
        <w:rPr>
          <w:lang w:val="en-US"/>
        </w:rPr>
      </w:pPr>
      <w:r>
        <w:rPr>
          <w:lang w:val="en-US"/>
        </w:rPr>
        <w:t>A key aspect of Coombs’s theory is t</w:t>
      </w:r>
      <w:r w:rsidR="00762725">
        <w:rPr>
          <w:lang w:val="en-US"/>
        </w:rPr>
        <w:t xml:space="preserve">o understand the situation, </w:t>
      </w:r>
      <w:r>
        <w:rPr>
          <w:lang w:val="en-US"/>
        </w:rPr>
        <w:t xml:space="preserve">where </w:t>
      </w:r>
      <w:r w:rsidR="00762725">
        <w:rPr>
          <w:lang w:val="en-US"/>
        </w:rPr>
        <w:t xml:space="preserve">it is important for an organization to assess the level of reputational threat, invoked by a crisis </w:t>
      </w:r>
      <w:sdt>
        <w:sdtPr>
          <w:rPr>
            <w:i/>
            <w:lang w:val="en-US"/>
          </w:rPr>
          <w:id w:val="-2087458369"/>
          <w:citation/>
        </w:sdtPr>
        <w:sdtContent>
          <w:r>
            <w:rPr>
              <w:i/>
              <w:lang w:val="en-US"/>
            </w:rPr>
            <w:fldChar w:fldCharType="begin"/>
          </w:r>
          <w:r>
            <w:rPr>
              <w:i/>
              <w:lang w:val="en-US"/>
            </w:rPr>
            <w:instrText xml:space="preserve">CITATION Pro07 \p 166 \t  \l 1030 </w:instrText>
          </w:r>
          <w:r>
            <w:rPr>
              <w:i/>
              <w:lang w:val="en-US"/>
            </w:rPr>
            <w:fldChar w:fldCharType="separate"/>
          </w:r>
          <w:r w:rsidR="00F623D4">
            <w:rPr>
              <w:noProof/>
              <w:lang w:val="en-US"/>
            </w:rPr>
            <w:t>(W. T. Coombs 2007, 166)</w:t>
          </w:r>
          <w:r>
            <w:rPr>
              <w:i/>
              <w:lang w:val="en-US"/>
            </w:rPr>
            <w:fldChar w:fldCharType="end"/>
          </w:r>
        </w:sdtContent>
      </w:sdt>
      <w:r>
        <w:rPr>
          <w:lang w:val="en-US"/>
        </w:rPr>
        <w:t xml:space="preserve">. </w:t>
      </w:r>
      <w:r w:rsidR="00762725">
        <w:rPr>
          <w:lang w:val="en-US"/>
        </w:rPr>
        <w:t xml:space="preserve">The reputational threat is shaped by the situation, where, Coombs points to three essential and influential factors. The first factor is the type or frame of the crisis, which is shaped on the basis of the attribution theoretical perspective. Consequently, embedded within this factor is the initial crisis responsibility attribution, which signifies the degree in which stakeholders believe the organization to be responsible for the offensive incident. On that account, three types have been determined in order to categorize crises, being </w:t>
      </w:r>
      <w:r w:rsidR="00762725">
        <w:rPr>
          <w:i/>
          <w:lang w:val="en-US"/>
        </w:rPr>
        <w:t xml:space="preserve">victim crises, accident crises </w:t>
      </w:r>
      <w:r w:rsidR="00762725">
        <w:rPr>
          <w:lang w:val="en-US"/>
        </w:rPr>
        <w:t xml:space="preserve">and </w:t>
      </w:r>
      <w:r w:rsidR="00762725">
        <w:rPr>
          <w:i/>
          <w:lang w:val="en-US"/>
        </w:rPr>
        <w:t>preventable crises</w:t>
      </w:r>
      <w:r w:rsidR="00762725">
        <w:rPr>
          <w:lang w:val="en-US"/>
        </w:rPr>
        <w:t xml:space="preserve"> and can be seen in Table 3</w:t>
      </w:r>
      <w:sdt>
        <w:sdtPr>
          <w:rPr>
            <w:lang w:val="en-US"/>
          </w:rPr>
          <w:id w:val="-1599173523"/>
          <w:citation/>
        </w:sdtPr>
        <w:sdtContent>
          <w:r w:rsidR="00762725">
            <w:rPr>
              <w:lang w:val="en-US"/>
            </w:rPr>
            <w:fldChar w:fldCharType="begin"/>
          </w:r>
          <w:r w:rsidR="00394E6D">
            <w:rPr>
              <w:lang w:val="en-US"/>
            </w:rPr>
            <w:instrText xml:space="preserve">CITATION WTi09 \p 111 \t  \l 1030 </w:instrText>
          </w:r>
          <w:r w:rsidR="00762725">
            <w:rPr>
              <w:lang w:val="en-US"/>
            </w:rPr>
            <w:fldChar w:fldCharType="separate"/>
          </w:r>
          <w:r w:rsidR="00F623D4">
            <w:rPr>
              <w:noProof/>
              <w:lang w:val="en-US"/>
            </w:rPr>
            <w:t xml:space="preserve"> (W. T. Coombs 2009, 111)</w:t>
          </w:r>
          <w:r w:rsidR="00762725">
            <w:rPr>
              <w:lang w:val="en-US"/>
            </w:rPr>
            <w:fldChar w:fldCharType="end"/>
          </w:r>
        </w:sdtContent>
      </w:sdt>
      <w:r w:rsidR="00762725">
        <w:rPr>
          <w:lang w:val="en-US"/>
        </w:rPr>
        <w:t xml:space="preserve">. Coombs sets up a direct linkage between attributed </w:t>
      </w:r>
      <w:r w:rsidR="00762725">
        <w:rPr>
          <w:lang w:val="en-US"/>
        </w:rPr>
        <w:lastRenderedPageBreak/>
        <w:t xml:space="preserve">responsibility and the level of reputational threat. In a </w:t>
      </w:r>
      <w:r w:rsidR="00762725">
        <w:rPr>
          <w:i/>
          <w:lang w:val="en-US"/>
        </w:rPr>
        <w:t>victim crisis</w:t>
      </w:r>
      <w:r w:rsidR="00762725">
        <w:rPr>
          <w:lang w:val="en-US"/>
        </w:rPr>
        <w:t>, a</w:t>
      </w:r>
      <w:r w:rsidR="00996110">
        <w:rPr>
          <w:lang w:val="en-US"/>
        </w:rPr>
        <w:t>n organization is</w:t>
      </w:r>
      <w:r w:rsidR="00762725">
        <w:rPr>
          <w:lang w:val="en-US"/>
        </w:rPr>
        <w:t xml:space="preserve"> perceived to be a victim of some unfortunate event, meaning that minimal responsibility will be attributed (mild reputational threat). The circumstances of an </w:t>
      </w:r>
      <w:r w:rsidR="00762725">
        <w:rPr>
          <w:i/>
          <w:lang w:val="en-US"/>
        </w:rPr>
        <w:t>accident crisis</w:t>
      </w:r>
      <w:r w:rsidR="00762725">
        <w:rPr>
          <w:lang w:val="en-US"/>
        </w:rPr>
        <w:t xml:space="preserve"> will generate a low degree of ascribed responsibility, as the circumstances of the event are perceived to have been out of control (moderate threat) – in contrary to the latter, where the organization could have prevented the event from happening. Consequently, a </w:t>
      </w:r>
      <w:r w:rsidR="00762725">
        <w:rPr>
          <w:i/>
          <w:lang w:val="en-US"/>
        </w:rPr>
        <w:t xml:space="preserve">preventable crisis </w:t>
      </w:r>
      <w:r w:rsidR="00762725">
        <w:rPr>
          <w:lang w:val="en-US"/>
        </w:rPr>
        <w:t xml:space="preserve">generates a high degree of attributed responsibility </w:t>
      </w:r>
      <w:r w:rsidR="002C1CC6">
        <w:rPr>
          <w:noProof/>
          <w:lang w:eastAsia="da-DK"/>
        </w:rPr>
        <mc:AlternateContent>
          <mc:Choice Requires="wps">
            <w:drawing>
              <wp:anchor distT="0" distB="0" distL="114300" distR="114300" simplePos="0" relativeHeight="251664384" behindDoc="0" locked="0" layoutInCell="1" allowOverlap="1" wp14:anchorId="0568B118" wp14:editId="1C5E8857">
                <wp:simplePos x="0" y="0"/>
                <wp:positionH relativeFrom="column">
                  <wp:posOffset>79375</wp:posOffset>
                </wp:positionH>
                <wp:positionV relativeFrom="paragraph">
                  <wp:posOffset>1993265</wp:posOffset>
                </wp:positionV>
                <wp:extent cx="2438400" cy="635"/>
                <wp:effectExtent l="0" t="0" r="0" b="2540"/>
                <wp:wrapTopAndBottom/>
                <wp:docPr id="4" name="Tekstboks 4"/>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CF205E" w:rsidRPr="001B52B9" w:rsidRDefault="00CF205E" w:rsidP="00762725">
                            <w:pPr>
                              <w:pStyle w:val="Billedtekst"/>
                              <w:rPr>
                                <w:noProof/>
                                <w:color w:val="auto"/>
                                <w:sz w:val="36"/>
                                <w:lang w:val="en-US"/>
                              </w:rPr>
                            </w:pPr>
                            <w:r>
                              <w:rPr>
                                <w:color w:val="auto"/>
                                <w:sz w:val="24"/>
                                <w:lang w:val="en-US"/>
                              </w:rPr>
                              <w:t>Tab</w:t>
                            </w:r>
                            <w:r w:rsidRPr="001B52B9">
                              <w:rPr>
                                <w:color w:val="auto"/>
                                <w:sz w:val="24"/>
                                <w:lang w:val="en-US"/>
                              </w:rPr>
                              <w:t>l</w:t>
                            </w:r>
                            <w:r>
                              <w:rPr>
                                <w:color w:val="auto"/>
                                <w:sz w:val="24"/>
                                <w:lang w:val="en-US"/>
                              </w:rPr>
                              <w:t>e</w:t>
                            </w:r>
                            <w:r w:rsidRPr="001B52B9">
                              <w:rPr>
                                <w:color w:val="auto"/>
                                <w:sz w:val="24"/>
                                <w:lang w:val="en-US"/>
                              </w:rPr>
                              <w:t xml:space="preserve"> </w:t>
                            </w:r>
                            <w:r w:rsidRPr="001B52B9">
                              <w:rPr>
                                <w:color w:val="auto"/>
                                <w:sz w:val="24"/>
                              </w:rPr>
                              <w:fldChar w:fldCharType="begin"/>
                            </w:r>
                            <w:r w:rsidRPr="001B52B9">
                              <w:rPr>
                                <w:color w:val="auto"/>
                                <w:sz w:val="24"/>
                                <w:lang w:val="en-US"/>
                              </w:rPr>
                              <w:instrText xml:space="preserve"> SEQ Tabel \* ARABIC </w:instrText>
                            </w:r>
                            <w:r w:rsidRPr="001B52B9">
                              <w:rPr>
                                <w:color w:val="auto"/>
                                <w:sz w:val="24"/>
                              </w:rPr>
                              <w:fldChar w:fldCharType="separate"/>
                            </w:r>
                            <w:r w:rsidR="00DC67EC">
                              <w:rPr>
                                <w:noProof/>
                                <w:color w:val="auto"/>
                                <w:sz w:val="24"/>
                                <w:lang w:val="en-US"/>
                              </w:rPr>
                              <w:t>3</w:t>
                            </w:r>
                            <w:r w:rsidRPr="001B52B9">
                              <w:rPr>
                                <w:color w:val="auto"/>
                                <w:sz w:val="24"/>
                              </w:rPr>
                              <w:fldChar w:fldCharType="end"/>
                            </w:r>
                            <w:r w:rsidRPr="001B52B9">
                              <w:rPr>
                                <w:color w:val="auto"/>
                                <w:sz w:val="24"/>
                                <w:lang w:val="en-US"/>
                              </w:rPr>
                              <w:t xml:space="preserve">: </w:t>
                            </w:r>
                            <w:sdt>
                              <w:sdtPr>
                                <w:rPr>
                                  <w:color w:val="auto"/>
                                  <w:sz w:val="24"/>
                                </w:rPr>
                                <w:id w:val="1547487607"/>
                                <w:citation/>
                              </w:sdtPr>
                              <w:sdtContent>
                                <w:r w:rsidRPr="001B52B9">
                                  <w:rPr>
                                    <w:color w:val="auto"/>
                                    <w:sz w:val="24"/>
                                  </w:rPr>
                                  <w:fldChar w:fldCharType="begin"/>
                                </w:r>
                                <w:r w:rsidRPr="001B52B9">
                                  <w:rPr>
                                    <w:color w:val="auto"/>
                                    <w:sz w:val="24"/>
                                    <w:lang w:val="en-US"/>
                                  </w:rPr>
                                  <w:instrText xml:space="preserve">CITATION WTi09 \p 111 \t  \l 1030 </w:instrText>
                                </w:r>
                                <w:r w:rsidRPr="001B52B9">
                                  <w:rPr>
                                    <w:color w:val="auto"/>
                                    <w:sz w:val="24"/>
                                  </w:rPr>
                                  <w:fldChar w:fldCharType="separate"/>
                                </w:r>
                                <w:r w:rsidRPr="00F623D4">
                                  <w:rPr>
                                    <w:noProof/>
                                    <w:color w:val="auto"/>
                                    <w:sz w:val="24"/>
                                    <w:lang w:val="en-US"/>
                                  </w:rPr>
                                  <w:t>(W. T. Coombs 2009, 111)</w:t>
                                </w:r>
                                <w:r w:rsidRPr="001B52B9">
                                  <w:rPr>
                                    <w:color w:val="auto"/>
                                    <w:sz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4" o:spid="_x0000_s1028" type="#_x0000_t202" style="position:absolute;left:0;text-align:left;margin-left:6.25pt;margin-top:156.95pt;width:192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" stroked="f">
                <v:textbox style="mso-fit-shape-to-text:t" inset="0,0,0,0">
                  <w:txbxContent>
                    <w:p w:rsidR="00CF205E" w:rsidRPr="001B52B9" w:rsidRDefault="00CF205E" w:rsidP="00762725">
                      <w:pPr>
                        <w:pStyle w:val="Billedtekst"/>
                        <w:rPr>
                          <w:noProof/>
                          <w:color w:val="auto"/>
                          <w:sz w:val="36"/>
                          <w:lang w:val="en-US"/>
                        </w:rPr>
                      </w:pPr>
                      <w:r>
                        <w:rPr>
                          <w:color w:val="auto"/>
                          <w:sz w:val="24"/>
                          <w:lang w:val="en-US"/>
                        </w:rPr>
                        <w:t>Tab</w:t>
                      </w:r>
                      <w:r w:rsidRPr="001B52B9">
                        <w:rPr>
                          <w:color w:val="auto"/>
                          <w:sz w:val="24"/>
                          <w:lang w:val="en-US"/>
                        </w:rPr>
                        <w:t>l</w:t>
                      </w:r>
                      <w:r>
                        <w:rPr>
                          <w:color w:val="auto"/>
                          <w:sz w:val="24"/>
                          <w:lang w:val="en-US"/>
                        </w:rPr>
                        <w:t>e</w:t>
                      </w:r>
                      <w:r w:rsidRPr="001B52B9">
                        <w:rPr>
                          <w:color w:val="auto"/>
                          <w:sz w:val="24"/>
                          <w:lang w:val="en-US"/>
                        </w:rPr>
                        <w:t xml:space="preserve"> </w:t>
                      </w:r>
                      <w:r w:rsidRPr="001B52B9">
                        <w:rPr>
                          <w:color w:val="auto"/>
                          <w:sz w:val="24"/>
                        </w:rPr>
                        <w:fldChar w:fldCharType="begin"/>
                      </w:r>
                      <w:r w:rsidRPr="001B52B9">
                        <w:rPr>
                          <w:color w:val="auto"/>
                          <w:sz w:val="24"/>
                          <w:lang w:val="en-US"/>
                        </w:rPr>
                        <w:instrText xml:space="preserve"> SEQ Tabel \* ARABIC </w:instrText>
                      </w:r>
                      <w:r w:rsidRPr="001B52B9">
                        <w:rPr>
                          <w:color w:val="auto"/>
                          <w:sz w:val="24"/>
                        </w:rPr>
                        <w:fldChar w:fldCharType="separate"/>
                      </w:r>
                      <w:r w:rsidR="00DC67EC">
                        <w:rPr>
                          <w:noProof/>
                          <w:color w:val="auto"/>
                          <w:sz w:val="24"/>
                          <w:lang w:val="en-US"/>
                        </w:rPr>
                        <w:t>3</w:t>
                      </w:r>
                      <w:r w:rsidRPr="001B52B9">
                        <w:rPr>
                          <w:color w:val="auto"/>
                          <w:sz w:val="24"/>
                        </w:rPr>
                        <w:fldChar w:fldCharType="end"/>
                      </w:r>
                      <w:r w:rsidRPr="001B52B9">
                        <w:rPr>
                          <w:color w:val="auto"/>
                          <w:sz w:val="24"/>
                          <w:lang w:val="en-US"/>
                        </w:rPr>
                        <w:t xml:space="preserve">: </w:t>
                      </w:r>
                      <w:sdt>
                        <w:sdtPr>
                          <w:rPr>
                            <w:color w:val="auto"/>
                            <w:sz w:val="24"/>
                          </w:rPr>
                          <w:id w:val="1547487607"/>
                          <w:citation/>
                        </w:sdtPr>
                        <w:sdtContent>
                          <w:r w:rsidRPr="001B52B9">
                            <w:rPr>
                              <w:color w:val="auto"/>
                              <w:sz w:val="24"/>
                            </w:rPr>
                            <w:fldChar w:fldCharType="begin"/>
                          </w:r>
                          <w:r w:rsidRPr="001B52B9">
                            <w:rPr>
                              <w:color w:val="auto"/>
                              <w:sz w:val="24"/>
                              <w:lang w:val="en-US"/>
                            </w:rPr>
                            <w:instrText xml:space="preserve">CITATION WTi09 \p 111 \t  \l 1030 </w:instrText>
                          </w:r>
                          <w:r w:rsidRPr="001B52B9">
                            <w:rPr>
                              <w:color w:val="auto"/>
                              <w:sz w:val="24"/>
                            </w:rPr>
                            <w:fldChar w:fldCharType="separate"/>
                          </w:r>
                          <w:r w:rsidRPr="00F623D4">
                            <w:rPr>
                              <w:noProof/>
                              <w:color w:val="auto"/>
                              <w:sz w:val="24"/>
                              <w:lang w:val="en-US"/>
                            </w:rPr>
                            <w:t>(W. T. Coombs 2009, 111)</w:t>
                          </w:r>
                          <w:r w:rsidRPr="001B52B9">
                            <w:rPr>
                              <w:color w:val="auto"/>
                              <w:sz w:val="24"/>
                            </w:rPr>
                            <w:fldChar w:fldCharType="end"/>
                          </w:r>
                        </w:sdtContent>
                      </w:sdt>
                    </w:p>
                  </w:txbxContent>
                </v:textbox>
                <w10:wrap type="topAndBottom"/>
              </v:shape>
            </w:pict>
          </mc:Fallback>
        </mc:AlternateContent>
      </w:r>
      <w:r w:rsidR="002C1CC6">
        <w:rPr>
          <w:noProof/>
          <w:lang w:eastAsia="da-DK"/>
        </w:rPr>
        <w:drawing>
          <wp:anchor distT="0" distB="0" distL="114300" distR="114300" simplePos="0" relativeHeight="251663360" behindDoc="1" locked="0" layoutInCell="1" allowOverlap="1" wp14:anchorId="51C523AA" wp14:editId="12F613F7">
            <wp:simplePos x="0" y="0"/>
            <wp:positionH relativeFrom="column">
              <wp:posOffset>-193040</wp:posOffset>
            </wp:positionH>
            <wp:positionV relativeFrom="paragraph">
              <wp:posOffset>2295525</wp:posOffset>
            </wp:positionV>
            <wp:extent cx="6638925" cy="2669540"/>
            <wp:effectExtent l="0" t="0" r="9525" b="0"/>
            <wp:wrapTight wrapText="bothSides">
              <wp:wrapPolygon edited="0">
                <wp:start x="0" y="0"/>
                <wp:lineTo x="0" y="21425"/>
                <wp:lineTo x="21569" y="21425"/>
                <wp:lineTo x="21569"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mbs crises types and level of responsbility.png"/>
                    <pic:cNvPicPr/>
                  </pic:nvPicPr>
                  <pic:blipFill>
                    <a:blip r:embed="rId24">
                      <a:extLst>
                        <a:ext uri="{28A0092B-C50C-407E-A947-70E740481C1C}">
                          <a14:useLocalDpi xmlns:a14="http://schemas.microsoft.com/office/drawing/2010/main" val="0"/>
                        </a:ext>
                      </a:extLst>
                    </a:blip>
                    <a:stretch>
                      <a:fillRect/>
                    </a:stretch>
                  </pic:blipFill>
                  <pic:spPr>
                    <a:xfrm>
                      <a:off x="0" y="0"/>
                      <a:ext cx="6638925" cy="2669540"/>
                    </a:xfrm>
                    <a:prstGeom prst="rect">
                      <a:avLst/>
                    </a:prstGeom>
                  </pic:spPr>
                </pic:pic>
              </a:graphicData>
            </a:graphic>
            <wp14:sizeRelH relativeFrom="page">
              <wp14:pctWidth>0</wp14:pctWidth>
            </wp14:sizeRelH>
            <wp14:sizeRelV relativeFrom="page">
              <wp14:pctHeight>0</wp14:pctHeight>
            </wp14:sizeRelV>
          </wp:anchor>
        </w:drawing>
      </w:r>
      <w:r w:rsidR="00762725">
        <w:rPr>
          <w:lang w:val="en-US"/>
        </w:rPr>
        <w:t xml:space="preserve">(severe threat) (Ibid: 111). </w:t>
      </w:r>
    </w:p>
    <w:p w:rsidR="00762725" w:rsidRDefault="00762725" w:rsidP="00337119">
      <w:pPr>
        <w:spacing w:line="360" w:lineRule="auto"/>
        <w:rPr>
          <w:lang w:val="en-US"/>
        </w:rPr>
      </w:pPr>
      <w:r>
        <w:rPr>
          <w:lang w:val="en-US"/>
        </w:rPr>
        <w:t xml:space="preserve">The second significant factor of reputational threat assessment relies on the crisis history of the organization. Generally, it is believed that if an organization has been through other crises, especially concerning similar issues, the reputational threat of the current crisis will be intensified. Moreover, it signifies that the organization </w:t>
      </w:r>
      <w:r w:rsidR="00996110">
        <w:rPr>
          <w:lang w:val="en-US"/>
        </w:rPr>
        <w:t>has an ongoing issue, which it has</w:t>
      </w:r>
      <w:r>
        <w:rPr>
          <w:lang w:val="en-US"/>
        </w:rPr>
        <w:t xml:space="preserve"> failed to address properly</w:t>
      </w:r>
      <w:sdt>
        <w:sdtPr>
          <w:rPr>
            <w:lang w:val="en-US"/>
          </w:rPr>
          <w:id w:val="-1697995049"/>
          <w:citation/>
        </w:sdtPr>
        <w:sdtContent>
          <w:r>
            <w:rPr>
              <w:lang w:val="en-US"/>
            </w:rPr>
            <w:fldChar w:fldCharType="begin"/>
          </w:r>
          <w:r>
            <w:rPr>
              <w:lang w:val="en-US"/>
            </w:rPr>
            <w:instrText xml:space="preserve">CITATION Pro07 \p 167 \t  \l 1030 </w:instrText>
          </w:r>
          <w:r>
            <w:rPr>
              <w:lang w:val="en-US"/>
            </w:rPr>
            <w:fldChar w:fldCharType="separate"/>
          </w:r>
          <w:r w:rsidR="00F623D4">
            <w:rPr>
              <w:noProof/>
              <w:lang w:val="en-US"/>
            </w:rPr>
            <w:t xml:space="preserve"> (W. T. Coombs 2007, 167)</w:t>
          </w:r>
          <w:r>
            <w:rPr>
              <w:lang w:val="en-US"/>
            </w:rPr>
            <w:fldChar w:fldCharType="end"/>
          </w:r>
        </w:sdtContent>
      </w:sdt>
      <w:r>
        <w:rPr>
          <w:lang w:val="en-US"/>
        </w:rPr>
        <w:t xml:space="preserve">. This applies with attribution theory, where a history of crises can invoke unreliability in the eyes of stakeholders, who, as a consequence, may treat a </w:t>
      </w:r>
      <w:r>
        <w:rPr>
          <w:i/>
          <w:lang w:val="en-US"/>
        </w:rPr>
        <w:t>victim crisis</w:t>
      </w:r>
      <w:r>
        <w:rPr>
          <w:lang w:val="en-US"/>
        </w:rPr>
        <w:t xml:space="preserve"> as an </w:t>
      </w:r>
      <w:r>
        <w:rPr>
          <w:i/>
          <w:lang w:val="en-US"/>
        </w:rPr>
        <w:t>accident crisis</w:t>
      </w:r>
      <w:r>
        <w:rPr>
          <w:lang w:val="en-US"/>
        </w:rPr>
        <w:t xml:space="preserve"> and an </w:t>
      </w:r>
      <w:r>
        <w:rPr>
          <w:i/>
          <w:lang w:val="en-US"/>
        </w:rPr>
        <w:t>accident crisis</w:t>
      </w:r>
      <w:r>
        <w:rPr>
          <w:lang w:val="en-US"/>
        </w:rPr>
        <w:t xml:space="preserve"> as a </w:t>
      </w:r>
      <w:r>
        <w:rPr>
          <w:i/>
          <w:lang w:val="en-US"/>
        </w:rPr>
        <w:t>preventable crisis</w:t>
      </w:r>
      <w:r>
        <w:rPr>
          <w:lang w:val="en-US"/>
        </w:rPr>
        <w:t xml:space="preserve">. As a result, a history of crises can affect the degree of stakeholder attributions and the intensity of reputational threat </w:t>
      </w:r>
      <w:sdt>
        <w:sdtPr>
          <w:rPr>
            <w:lang w:val="en-US"/>
          </w:rPr>
          <w:id w:val="365483726"/>
          <w:citation/>
        </w:sdtPr>
        <w:sdtContent>
          <w:r>
            <w:rPr>
              <w:lang w:val="en-US"/>
            </w:rPr>
            <w:fldChar w:fldCharType="begin"/>
          </w:r>
          <w:r>
            <w:rPr>
              <w:lang w:val="en-US"/>
            </w:rPr>
            <w:instrText xml:space="preserve">CITATION WTi09 \p 111-112 \t  \l 1030 </w:instrText>
          </w:r>
          <w:r>
            <w:rPr>
              <w:lang w:val="en-US"/>
            </w:rPr>
            <w:fldChar w:fldCharType="separate"/>
          </w:r>
          <w:r w:rsidR="00F623D4">
            <w:rPr>
              <w:noProof/>
              <w:lang w:val="en-US"/>
            </w:rPr>
            <w:t>(W. T. Coombs 2009, 111-112)</w:t>
          </w:r>
          <w:r>
            <w:rPr>
              <w:lang w:val="en-US"/>
            </w:rPr>
            <w:fldChar w:fldCharType="end"/>
          </w:r>
        </w:sdtContent>
      </w:sdt>
      <w:r>
        <w:rPr>
          <w:lang w:val="en-US"/>
        </w:rPr>
        <w:t xml:space="preserve">. This applies to the last influential factor as well, being the prior relational reputation of an organization. In short, this factor is determined on the perception of whether an organization has treated its stakeholders well or poorly in the past. In the case of the latter, it shows that an organization has shown little concern for its </w:t>
      </w:r>
      <w:r w:rsidR="00EE7150">
        <w:rPr>
          <w:lang w:val="en-US"/>
        </w:rPr>
        <w:t>stakeholders, meaning that the</w:t>
      </w:r>
      <w:r>
        <w:rPr>
          <w:lang w:val="en-US"/>
        </w:rPr>
        <w:t xml:space="preserve"> trustworthiness </w:t>
      </w:r>
      <w:r w:rsidR="00EE7150">
        <w:rPr>
          <w:lang w:val="en-US"/>
        </w:rPr>
        <w:t xml:space="preserve">of the organization </w:t>
      </w:r>
      <w:r>
        <w:rPr>
          <w:lang w:val="en-US"/>
        </w:rPr>
        <w:t>is limited in a crisis</w:t>
      </w:r>
      <w:sdt>
        <w:sdtPr>
          <w:rPr>
            <w:lang w:val="en-US"/>
          </w:rPr>
          <w:id w:val="2027210629"/>
          <w:citation/>
        </w:sdtPr>
        <w:sdtContent>
          <w:r>
            <w:rPr>
              <w:lang w:val="en-US"/>
            </w:rPr>
            <w:fldChar w:fldCharType="begin"/>
          </w:r>
          <w:r>
            <w:rPr>
              <w:lang w:val="en-US"/>
            </w:rPr>
            <w:instrText xml:space="preserve">CITATION Pro07 \p 167 \t  \l 1030 </w:instrText>
          </w:r>
          <w:r>
            <w:rPr>
              <w:lang w:val="en-US"/>
            </w:rPr>
            <w:fldChar w:fldCharType="separate"/>
          </w:r>
          <w:r w:rsidR="00F623D4">
            <w:rPr>
              <w:noProof/>
              <w:lang w:val="en-US"/>
            </w:rPr>
            <w:t xml:space="preserve"> (W. T. Coombs 2007, 167)</w:t>
          </w:r>
          <w:r>
            <w:rPr>
              <w:lang w:val="en-US"/>
            </w:rPr>
            <w:fldChar w:fldCharType="end"/>
          </w:r>
        </w:sdtContent>
      </w:sdt>
      <w:r>
        <w:rPr>
          <w:lang w:val="en-US"/>
        </w:rPr>
        <w:t xml:space="preserve">. In connection with this factor, </w:t>
      </w:r>
      <w:r>
        <w:rPr>
          <w:lang w:val="en-US"/>
        </w:rPr>
        <w:lastRenderedPageBreak/>
        <w:t xml:space="preserve">studies have been conducted on the assumption that a positive prior relational reputation might build up as </w:t>
      </w:r>
      <w:r>
        <w:rPr>
          <w:i/>
          <w:lang w:val="en-US"/>
        </w:rPr>
        <w:t>reputational capital</w:t>
      </w:r>
      <w:r>
        <w:rPr>
          <w:lang w:val="en-US"/>
        </w:rPr>
        <w:t xml:space="preserve"> and serve as a buffer in a crisis – a so called </w:t>
      </w:r>
      <w:r>
        <w:rPr>
          <w:i/>
          <w:lang w:val="en-US"/>
        </w:rPr>
        <w:t>halo effect</w:t>
      </w:r>
      <w:r>
        <w:rPr>
          <w:lang w:val="en-US"/>
        </w:rPr>
        <w:t>. However, studies could not prove this effect a reality, but it was possible to conclude the negative influential effect of a bad reputation</w:t>
      </w:r>
      <w:sdt>
        <w:sdtPr>
          <w:rPr>
            <w:lang w:val="en-US"/>
          </w:rPr>
          <w:id w:val="-2011206501"/>
          <w:citation/>
        </w:sdtPr>
        <w:sdtContent>
          <w:r>
            <w:rPr>
              <w:lang w:val="en-US"/>
            </w:rPr>
            <w:fldChar w:fldCharType="begin"/>
          </w:r>
          <w:r>
            <w:rPr>
              <w:lang w:val="en-US"/>
            </w:rPr>
            <w:instrText xml:space="preserve">CITATION WTi09 \p 112 \t  \l 1030 </w:instrText>
          </w:r>
          <w:r>
            <w:rPr>
              <w:lang w:val="en-US"/>
            </w:rPr>
            <w:fldChar w:fldCharType="separate"/>
          </w:r>
          <w:r w:rsidR="00F623D4">
            <w:rPr>
              <w:noProof/>
              <w:lang w:val="en-US"/>
            </w:rPr>
            <w:t xml:space="preserve"> (W. T. Coombs 2009, 112)</w:t>
          </w:r>
          <w:r>
            <w:rPr>
              <w:lang w:val="en-US"/>
            </w:rPr>
            <w:fldChar w:fldCharType="end"/>
          </w:r>
        </w:sdtContent>
      </w:sdt>
      <w:r>
        <w:rPr>
          <w:lang w:val="en-US"/>
        </w:rPr>
        <w:t>. The factors of crisis history and prior relational reputation can to some extent be seen as overlapping, as they both represent organizational parameters of the past, and they can influence the intensity of the reputational threat in a crisis. Additionally, as the attribution theory is ascribed as a context factor, constituting the variables of the theory, the reputational threat factors are also constituted from the perspective of public relations and the neo-institutional organization theory. The public relations aspect signifies the relation between an organization and its stakeholders and a temporal measurement thereof. The neo-institutional organization theory, on the other hand, signifies the sender’s organizational legitimacy and reputation, attached to the relational aspect regarding stakeholders</w:t>
      </w:r>
      <w:sdt>
        <w:sdtPr>
          <w:rPr>
            <w:lang w:val="en-US"/>
          </w:rPr>
          <w:id w:val="-1616593429"/>
          <w:citation/>
        </w:sdtPr>
        <w:sdtContent>
          <w:r>
            <w:rPr>
              <w:lang w:val="en-US"/>
            </w:rPr>
            <w:fldChar w:fldCharType="begin"/>
          </w:r>
          <w:r>
            <w:rPr>
              <w:lang w:val="en-US"/>
            </w:rPr>
            <w:instrText xml:space="preserve">CITATION Fin07 \p 229-233 \t  \l 1030 </w:instrText>
          </w:r>
          <w:r>
            <w:rPr>
              <w:lang w:val="en-US"/>
            </w:rPr>
            <w:fldChar w:fldCharType="separate"/>
          </w:r>
          <w:r w:rsidR="00F623D4">
            <w:rPr>
              <w:noProof/>
              <w:lang w:val="en-US"/>
            </w:rPr>
            <w:t xml:space="preserve"> (Frandsen and Johansen 2007, 229-233)</w:t>
          </w:r>
          <w:r>
            <w:rPr>
              <w:lang w:val="en-US"/>
            </w:rPr>
            <w:fldChar w:fldCharType="end"/>
          </w:r>
        </w:sdtContent>
      </w:sdt>
      <w:r>
        <w:rPr>
          <w:lang w:val="en-US"/>
        </w:rPr>
        <w:t xml:space="preserve">.        </w:t>
      </w:r>
    </w:p>
    <w:p w:rsidR="00762725" w:rsidRDefault="00762725" w:rsidP="00337119">
      <w:pPr>
        <w:spacing w:line="360" w:lineRule="auto"/>
        <w:rPr>
          <w:lang w:val="en-US"/>
        </w:rPr>
      </w:pPr>
      <w:r>
        <w:rPr>
          <w:lang w:val="en-US"/>
        </w:rPr>
        <w:t>Following the assessment of the crisis t</w:t>
      </w:r>
      <w:r w:rsidR="00C71D53">
        <w:rPr>
          <w:lang w:val="en-US"/>
        </w:rPr>
        <w:t>ype</w:t>
      </w:r>
      <w:r>
        <w:rPr>
          <w:lang w:val="en-US"/>
        </w:rPr>
        <w:t>, crisis history and prior relational reputation, Coombs has set up recommendations for effectively making use of the various response strategies. These recommendations, which can be seen in Table 4, are based on the theoretical framework of SCCT and validated through tests on stakeholders</w:t>
      </w:r>
      <w:sdt>
        <w:sdtPr>
          <w:rPr>
            <w:lang w:val="en-US"/>
          </w:rPr>
          <w:id w:val="1466542696"/>
          <w:citation/>
        </w:sdtPr>
        <w:sdtContent>
          <w:r>
            <w:rPr>
              <w:lang w:val="en-US"/>
            </w:rPr>
            <w:fldChar w:fldCharType="begin"/>
          </w:r>
          <w:r>
            <w:rPr>
              <w:lang w:val="en-US"/>
            </w:rPr>
            <w:instrText xml:space="preserve">CITATION WTi09 \p 112 \t  \l 1030 </w:instrText>
          </w:r>
          <w:r>
            <w:rPr>
              <w:lang w:val="en-US"/>
            </w:rPr>
            <w:fldChar w:fldCharType="separate"/>
          </w:r>
          <w:r w:rsidR="00F623D4">
            <w:rPr>
              <w:noProof/>
              <w:lang w:val="en-US"/>
            </w:rPr>
            <w:t xml:space="preserve"> (W. T. Coombs 2009, 112)</w:t>
          </w:r>
          <w:r>
            <w:rPr>
              <w:lang w:val="en-US"/>
            </w:rPr>
            <w:fldChar w:fldCharType="end"/>
          </w:r>
        </w:sdtContent>
      </w:sdt>
      <w:r>
        <w:rPr>
          <w:lang w:val="en-US"/>
        </w:rPr>
        <w:t xml:space="preserve">. </w:t>
      </w:r>
    </w:p>
    <w:p w:rsidR="00762725" w:rsidRDefault="00762725" w:rsidP="00337119">
      <w:pPr>
        <w:spacing w:line="360" w:lineRule="auto"/>
        <w:rPr>
          <w:lang w:val="en-US"/>
        </w:rPr>
      </w:pPr>
    </w:p>
    <w:p w:rsidR="00762725" w:rsidRDefault="00C71D53" w:rsidP="00337119">
      <w:pPr>
        <w:spacing w:line="360" w:lineRule="auto"/>
        <w:rPr>
          <w:lang w:val="en-US"/>
        </w:rPr>
      </w:pPr>
      <w:r>
        <w:rPr>
          <w:noProof/>
          <w:lang w:eastAsia="da-DK"/>
        </w:rPr>
        <w:lastRenderedPageBreak/>
        <mc:AlternateContent>
          <mc:Choice Requires="wps">
            <w:drawing>
              <wp:anchor distT="0" distB="0" distL="114300" distR="114300" simplePos="0" relativeHeight="251665408" behindDoc="0" locked="0" layoutInCell="1" allowOverlap="1" wp14:anchorId="4F32C41B" wp14:editId="699A0C75">
                <wp:simplePos x="0" y="0"/>
                <wp:positionH relativeFrom="column">
                  <wp:posOffset>2637155</wp:posOffset>
                </wp:positionH>
                <wp:positionV relativeFrom="paragraph">
                  <wp:posOffset>4149090</wp:posOffset>
                </wp:positionV>
                <wp:extent cx="3481705" cy="314325"/>
                <wp:effectExtent l="0" t="0" r="4445" b="9525"/>
                <wp:wrapTopAndBottom/>
                <wp:docPr id="6" name="Tekstboks 6"/>
                <wp:cNvGraphicFramePr/>
                <a:graphic xmlns:a="http://schemas.openxmlformats.org/drawingml/2006/main">
                  <a:graphicData uri="http://schemas.microsoft.com/office/word/2010/wordprocessingShape">
                    <wps:wsp>
                      <wps:cNvSpPr txBox="1"/>
                      <wps:spPr>
                        <a:xfrm>
                          <a:off x="0" y="0"/>
                          <a:ext cx="3481705" cy="314325"/>
                        </a:xfrm>
                        <a:prstGeom prst="rect">
                          <a:avLst/>
                        </a:prstGeom>
                        <a:solidFill>
                          <a:prstClr val="white"/>
                        </a:solidFill>
                        <a:ln>
                          <a:noFill/>
                        </a:ln>
                        <a:effectLst/>
                      </wps:spPr>
                      <wps:txbx>
                        <w:txbxContent>
                          <w:p w:rsidR="00CF205E" w:rsidRPr="00320736" w:rsidRDefault="00CF205E" w:rsidP="00762725">
                            <w:pPr>
                              <w:pStyle w:val="Billedtekst"/>
                              <w:rPr>
                                <w:noProof/>
                                <w:sz w:val="24"/>
                                <w:lang w:val="en-US"/>
                              </w:rPr>
                            </w:pPr>
                            <w:r w:rsidRPr="00DF1380">
                              <w:rPr>
                                <w:noProof/>
                                <w:color w:val="auto"/>
                                <w:sz w:val="24"/>
                                <w:lang w:val="en-US"/>
                              </w:rPr>
                              <w:t>(</w:t>
                            </w:r>
                            <w:r>
                              <w:rPr>
                                <w:noProof/>
                                <w:color w:val="auto"/>
                                <w:sz w:val="24"/>
                                <w:lang w:val="en-US"/>
                              </w:rPr>
                              <w:t xml:space="preserve">Developed by Author </w:t>
                            </w:r>
                            <w:sdt>
                              <w:sdtPr>
                                <w:rPr>
                                  <w:noProof/>
                                  <w:sz w:val="24"/>
                                  <w:lang w:val="en-US"/>
                                </w:rPr>
                                <w:id w:val="-398367692"/>
                                <w:citation/>
                              </w:sdtPr>
                              <w:sdtContent>
                                <w:r w:rsidRPr="005D203F">
                                  <w:rPr>
                                    <w:noProof/>
                                    <w:color w:val="auto"/>
                                    <w:sz w:val="24"/>
                                    <w:lang w:val="en-US"/>
                                  </w:rPr>
                                  <w:fldChar w:fldCharType="begin"/>
                                </w:r>
                                <w:r>
                                  <w:rPr>
                                    <w:noProof/>
                                    <w:color w:val="auto"/>
                                    <w:sz w:val="24"/>
                                    <w:lang w:val="en-US"/>
                                  </w:rPr>
                                  <w:instrText xml:space="preserve">CITATION WTi15 \p 152 \t  \l 1030 </w:instrText>
                                </w:r>
                                <w:r w:rsidRPr="005D203F">
                                  <w:rPr>
                                    <w:noProof/>
                                    <w:color w:val="auto"/>
                                    <w:sz w:val="24"/>
                                    <w:lang w:val="en-US"/>
                                  </w:rPr>
                                  <w:fldChar w:fldCharType="separate"/>
                                </w:r>
                                <w:r w:rsidRPr="00F623D4">
                                  <w:rPr>
                                    <w:noProof/>
                                    <w:color w:val="auto"/>
                                    <w:sz w:val="24"/>
                                    <w:lang w:val="en-US"/>
                                  </w:rPr>
                                  <w:t>(W. T. Coombs 2015, 152)</w:t>
                                </w:r>
                                <w:r w:rsidRPr="005D203F">
                                  <w:rPr>
                                    <w:noProof/>
                                    <w:color w:val="auto"/>
                                    <w:sz w:val="24"/>
                                    <w:lang w:val="en-US"/>
                                  </w:rPr>
                                  <w:fldChar w:fldCharType="end"/>
                                </w:r>
                              </w:sdtContent>
                            </w:sdt>
                            <w:r w:rsidRPr="00DF1380">
                              <w:rPr>
                                <w:noProof/>
                                <w:color w:val="auto"/>
                                <w:sz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 o:spid="_x0000_s1029" type="#_x0000_t202" style="position:absolute;left:0;text-align:left;margin-left:207.65pt;margin-top:326.7pt;width:274.1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" stroked="f">
                <v:textbox inset="0,0,0,0">
                  <w:txbxContent>
                    <w:p w:rsidR="00CF205E" w:rsidRPr="00320736" w:rsidRDefault="00CF205E" w:rsidP="00762725">
                      <w:pPr>
                        <w:pStyle w:val="Billedtekst"/>
                        <w:rPr>
                          <w:noProof/>
                          <w:sz w:val="24"/>
                          <w:lang w:val="en-US"/>
                        </w:rPr>
                      </w:pPr>
                      <w:r w:rsidRPr="00DF1380">
                        <w:rPr>
                          <w:noProof/>
                          <w:color w:val="auto"/>
                          <w:sz w:val="24"/>
                          <w:lang w:val="en-US"/>
                        </w:rPr>
                        <w:t>(</w:t>
                      </w:r>
                      <w:r>
                        <w:rPr>
                          <w:noProof/>
                          <w:color w:val="auto"/>
                          <w:sz w:val="24"/>
                          <w:lang w:val="en-US"/>
                        </w:rPr>
                        <w:t xml:space="preserve">Developed by Author </w:t>
                      </w:r>
                      <w:sdt>
                        <w:sdtPr>
                          <w:rPr>
                            <w:noProof/>
                            <w:sz w:val="24"/>
                            <w:lang w:val="en-US"/>
                          </w:rPr>
                          <w:id w:val="-398367692"/>
                          <w:citation/>
                        </w:sdtPr>
                        <w:sdtContent>
                          <w:r w:rsidRPr="005D203F">
                            <w:rPr>
                              <w:noProof/>
                              <w:color w:val="auto"/>
                              <w:sz w:val="24"/>
                              <w:lang w:val="en-US"/>
                            </w:rPr>
                            <w:fldChar w:fldCharType="begin"/>
                          </w:r>
                          <w:r>
                            <w:rPr>
                              <w:noProof/>
                              <w:color w:val="auto"/>
                              <w:sz w:val="24"/>
                              <w:lang w:val="en-US"/>
                            </w:rPr>
                            <w:instrText xml:space="preserve">CITATION WTi15 \p 152 \t  \l 1030 </w:instrText>
                          </w:r>
                          <w:r w:rsidRPr="005D203F">
                            <w:rPr>
                              <w:noProof/>
                              <w:color w:val="auto"/>
                              <w:sz w:val="24"/>
                              <w:lang w:val="en-US"/>
                            </w:rPr>
                            <w:fldChar w:fldCharType="separate"/>
                          </w:r>
                          <w:r w:rsidRPr="00F623D4">
                            <w:rPr>
                              <w:noProof/>
                              <w:color w:val="auto"/>
                              <w:sz w:val="24"/>
                              <w:lang w:val="en-US"/>
                            </w:rPr>
                            <w:t>(W. T. Coombs 2015, 152)</w:t>
                          </w:r>
                          <w:r w:rsidRPr="005D203F">
                            <w:rPr>
                              <w:noProof/>
                              <w:color w:val="auto"/>
                              <w:sz w:val="24"/>
                              <w:lang w:val="en-US"/>
                            </w:rPr>
                            <w:fldChar w:fldCharType="end"/>
                          </w:r>
                        </w:sdtContent>
                      </w:sdt>
                      <w:r w:rsidRPr="00DF1380">
                        <w:rPr>
                          <w:noProof/>
                          <w:color w:val="auto"/>
                          <w:sz w:val="24"/>
                          <w:lang w:val="en-US"/>
                        </w:rPr>
                        <w:t>)</w:t>
                      </w:r>
                    </w:p>
                  </w:txbxContent>
                </v:textbox>
                <w10:wrap type="topAndBottom"/>
              </v:shape>
            </w:pict>
          </mc:Fallback>
        </mc:AlternateContent>
      </w:r>
      <w:r>
        <w:rPr>
          <w:noProof/>
          <w:lang w:eastAsia="da-DK"/>
        </w:rPr>
        <w:drawing>
          <wp:anchor distT="0" distB="0" distL="114300" distR="114300" simplePos="0" relativeHeight="251666432" behindDoc="1" locked="0" layoutInCell="1" allowOverlap="1" wp14:anchorId="55DCDDBD" wp14:editId="15337175">
            <wp:simplePos x="0" y="0"/>
            <wp:positionH relativeFrom="column">
              <wp:posOffset>-10160</wp:posOffset>
            </wp:positionH>
            <wp:positionV relativeFrom="paragraph">
              <wp:posOffset>72390</wp:posOffset>
            </wp:positionV>
            <wp:extent cx="6120130" cy="4080510"/>
            <wp:effectExtent l="0" t="0" r="0" b="0"/>
            <wp:wrapTight wrapText="bothSides">
              <wp:wrapPolygon edited="0">
                <wp:start x="0" y="0"/>
                <wp:lineTo x="0" y="21479"/>
                <wp:lineTo x="21515" y="21479"/>
                <wp:lineTo x="21515"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is response recommendatopn.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4080510"/>
                    </a:xfrm>
                    <a:prstGeom prst="rect">
                      <a:avLst/>
                    </a:prstGeom>
                  </pic:spPr>
                </pic:pic>
              </a:graphicData>
            </a:graphic>
            <wp14:sizeRelH relativeFrom="page">
              <wp14:pctWidth>0</wp14:pctWidth>
            </wp14:sizeRelH>
            <wp14:sizeRelV relativeFrom="page">
              <wp14:pctHeight>0</wp14:pctHeight>
            </wp14:sizeRelV>
          </wp:anchor>
        </w:drawing>
      </w:r>
      <w:r w:rsidR="00762725">
        <w:rPr>
          <w:lang w:val="en-US"/>
        </w:rPr>
        <w:t>As portrayed by SCCT, the key to protect one’s organizational reputation during a crisis is to select the most appropriate and applicable response strategies. Determined by factors of reputational threat, it is argued that as the reputational threat in a crisis situation increases, an organization will have to make use of more accommodative strategies</w:t>
      </w:r>
      <w:r w:rsidR="00631CF6">
        <w:rPr>
          <w:lang w:val="en-US"/>
        </w:rPr>
        <w:t>: increasingly take more responsibility in accordance with stakeholder interests</w:t>
      </w:r>
      <w:sdt>
        <w:sdtPr>
          <w:rPr>
            <w:lang w:val="en-US"/>
          </w:rPr>
          <w:id w:val="177316771"/>
          <w:citation/>
        </w:sdtPr>
        <w:sdtContent>
          <w:r w:rsidR="00631CF6">
            <w:rPr>
              <w:lang w:val="en-US"/>
            </w:rPr>
            <w:fldChar w:fldCharType="begin"/>
          </w:r>
          <w:r w:rsidR="00631CF6">
            <w:rPr>
              <w:lang w:val="en-US"/>
            </w:rPr>
            <w:instrText xml:space="preserve">CITATION WTi09 \p 112 \t  \l 1030 </w:instrText>
          </w:r>
          <w:r w:rsidR="00631CF6">
            <w:rPr>
              <w:lang w:val="en-US"/>
            </w:rPr>
            <w:fldChar w:fldCharType="separate"/>
          </w:r>
          <w:r w:rsidR="00F623D4">
            <w:rPr>
              <w:noProof/>
              <w:lang w:val="en-US"/>
            </w:rPr>
            <w:t xml:space="preserve"> (W. T. Coombs 2009, 112)</w:t>
          </w:r>
          <w:r w:rsidR="00631CF6">
            <w:rPr>
              <w:lang w:val="en-US"/>
            </w:rPr>
            <w:fldChar w:fldCharType="end"/>
          </w:r>
        </w:sdtContent>
      </w:sdt>
      <w:r w:rsidR="00631CF6">
        <w:rPr>
          <w:lang w:val="en-US"/>
        </w:rPr>
        <w:t>.</w:t>
      </w:r>
    </w:p>
    <w:p w:rsidR="00762725" w:rsidRDefault="0020049A" w:rsidP="00337119">
      <w:pPr>
        <w:pStyle w:val="Overskrift3"/>
        <w:spacing w:line="360" w:lineRule="auto"/>
        <w:rPr>
          <w:lang w:val="en-US"/>
        </w:rPr>
      </w:pPr>
      <w:bookmarkStart w:id="47" w:name="_Toc420075820"/>
      <w:bookmarkStart w:id="48" w:name="_Toc420761633"/>
      <w:r>
        <w:rPr>
          <w:lang w:val="en-US"/>
        </w:rPr>
        <w:t>4</w:t>
      </w:r>
      <w:r w:rsidR="00762725">
        <w:rPr>
          <w:lang w:val="en-US"/>
        </w:rPr>
        <w:t>.4.1 Critical Reflections</w:t>
      </w:r>
      <w:bookmarkEnd w:id="47"/>
      <w:bookmarkEnd w:id="48"/>
    </w:p>
    <w:p w:rsidR="00762725" w:rsidRDefault="00762725" w:rsidP="00337119">
      <w:pPr>
        <w:spacing w:line="360" w:lineRule="auto"/>
        <w:rPr>
          <w:lang w:val="en-US"/>
        </w:rPr>
      </w:pPr>
      <w:r>
        <w:rPr>
          <w:lang w:val="en-US"/>
        </w:rPr>
        <w:t>Unlike the rhetorical and text-oriented approach to crisis response strategies, Coombs’s theory of situational crisis communication has a higher focus on the context, where he relies on theories and test studies rather than case studies. This is an approach valued by Coombs, as mere speculations turn into knowledge (Ibid: 113). Howev</w:t>
      </w:r>
      <w:r w:rsidR="00B95683">
        <w:rPr>
          <w:lang w:val="en-US"/>
        </w:rPr>
        <w:t>er, Frandsen and Johansen argue</w:t>
      </w:r>
      <w:r>
        <w:rPr>
          <w:lang w:val="en-US"/>
        </w:rPr>
        <w:t xml:space="preserve"> that the tests, conducted by Coombs and others to falsify or prove an hypothesis, are too simple in their construction, as they rely on static information in an constructed context and stakeholders’ causal attributions thereof. Consequently, SCCT does not fully account for the dynamics of a crisis, where the situation (information) and stakeholder attributions change during a crisis. Moreover, SCCT does not differentiate between stakeholders – other than categorizing them as primary or secondary. As a </w:t>
      </w:r>
      <w:r>
        <w:rPr>
          <w:lang w:val="en-US"/>
        </w:rPr>
        <w:lastRenderedPageBreak/>
        <w:t>result, the expectations of attributions become static as well, because it would be a plausible assessment that employees, customers or the media may perceive information differently</w:t>
      </w:r>
      <w:sdt>
        <w:sdtPr>
          <w:rPr>
            <w:lang w:val="en-US"/>
          </w:rPr>
          <w:id w:val="-2038412675"/>
          <w:citation/>
        </w:sdtPr>
        <w:sdtContent>
          <w:r>
            <w:rPr>
              <w:lang w:val="en-US"/>
            </w:rPr>
            <w:fldChar w:fldCharType="begin"/>
          </w:r>
          <w:r>
            <w:rPr>
              <w:lang w:val="en-US"/>
            </w:rPr>
            <w:instrText xml:space="preserve">CITATION Fin07 \p 245-246 \t  \l 1030 </w:instrText>
          </w:r>
          <w:r>
            <w:rPr>
              <w:lang w:val="en-US"/>
            </w:rPr>
            <w:fldChar w:fldCharType="separate"/>
          </w:r>
          <w:r w:rsidR="00F623D4">
            <w:rPr>
              <w:noProof/>
              <w:lang w:val="en-US"/>
            </w:rPr>
            <w:t xml:space="preserve"> (Frandsen and Johansen 2007, 245-246)</w:t>
          </w:r>
          <w:r>
            <w:rPr>
              <w:lang w:val="en-US"/>
            </w:rPr>
            <w:fldChar w:fldCharType="end"/>
          </w:r>
        </w:sdtContent>
      </w:sdt>
      <w:r>
        <w:rPr>
          <w:lang w:val="en-US"/>
        </w:rPr>
        <w:t xml:space="preserve">. </w:t>
      </w:r>
    </w:p>
    <w:p w:rsidR="00762725" w:rsidRDefault="00762725" w:rsidP="00337119">
      <w:pPr>
        <w:spacing w:line="360" w:lineRule="auto"/>
        <w:rPr>
          <w:lang w:val="en-US"/>
        </w:rPr>
      </w:pPr>
      <w:r>
        <w:rPr>
          <w:lang w:val="en-US"/>
        </w:rPr>
        <w:t>Despite the critical view on the method supporting SCCT, the theory still present high value within the studies of reputation, and it does provide a prescriptive approach to crisis response strategies – on the basis of contextual factors. On the other hand, it can be argued that it is too limited to studies of reputation and lacks rhetorical eloquence within each SCCT category, as it is considered secondary</w:t>
      </w:r>
      <w:sdt>
        <w:sdtPr>
          <w:rPr>
            <w:lang w:val="en-US"/>
          </w:rPr>
          <w:id w:val="-1885780681"/>
          <w:citation/>
        </w:sdtPr>
        <w:sdtContent>
          <w:r>
            <w:rPr>
              <w:lang w:val="en-US"/>
            </w:rPr>
            <w:fldChar w:fldCharType="begin"/>
          </w:r>
          <w:r>
            <w:rPr>
              <w:lang w:val="en-US"/>
            </w:rPr>
            <w:instrText xml:space="preserve">CITATION Tim13 \p 96 \m WTi09 \p 110 \t  \l 1030 </w:instrText>
          </w:r>
          <w:r>
            <w:rPr>
              <w:lang w:val="en-US"/>
            </w:rPr>
            <w:fldChar w:fldCharType="separate"/>
          </w:r>
          <w:r w:rsidR="00F623D4">
            <w:rPr>
              <w:noProof/>
              <w:lang w:val="en-US"/>
            </w:rPr>
            <w:t xml:space="preserve"> (Sellnow and Seeger 2013, 96, W. T. Coombs 2009, 110)</w:t>
          </w:r>
          <w:r>
            <w:rPr>
              <w:lang w:val="en-US"/>
            </w:rPr>
            <w:fldChar w:fldCharType="end"/>
          </w:r>
        </w:sdtContent>
      </w:sdt>
      <w:r>
        <w:rPr>
          <w:lang w:val="en-US"/>
        </w:rPr>
        <w:t>. Considering the image restoration theory’s reliance on the rhetorical tradition, it would be fair to assume that Benoit’s theory has more rhetorical value as a supplement to Coombs’s theory.</w:t>
      </w:r>
    </w:p>
    <w:p w:rsidR="00762725" w:rsidRDefault="0020049A" w:rsidP="00337119">
      <w:pPr>
        <w:pStyle w:val="Overskrift2"/>
        <w:spacing w:line="360" w:lineRule="auto"/>
        <w:rPr>
          <w:lang w:val="en-US"/>
        </w:rPr>
      </w:pPr>
      <w:bookmarkStart w:id="49" w:name="_Toc420075821"/>
      <w:bookmarkStart w:id="50" w:name="_Toc420761634"/>
      <w:r>
        <w:rPr>
          <w:lang w:val="en-US"/>
        </w:rPr>
        <w:t>4</w:t>
      </w:r>
      <w:r w:rsidR="00762725">
        <w:rPr>
          <w:lang w:val="en-US"/>
        </w:rPr>
        <w:t>.5 A Unification of the Rhetorical and Situational</w:t>
      </w:r>
      <w:bookmarkEnd w:id="49"/>
      <w:bookmarkEnd w:id="50"/>
    </w:p>
    <w:p w:rsidR="00762725" w:rsidRDefault="00BE1732" w:rsidP="00337119">
      <w:pPr>
        <w:spacing w:line="360" w:lineRule="auto"/>
        <w:rPr>
          <w:lang w:val="en-US"/>
        </w:rPr>
      </w:pPr>
      <w:r>
        <w:rPr>
          <w:lang w:val="en-US"/>
        </w:rPr>
        <w:t>To construct</w:t>
      </w:r>
      <w:r w:rsidR="00762725">
        <w:rPr>
          <w:lang w:val="en-US"/>
        </w:rPr>
        <w:t xml:space="preserve"> a theoretical framework of crisis communication for practical and discursive analytic usage, an amalgamation of the rhetorical image restoration theory and the context-oriented SCCT can be a beneficial approach. In supplement to the different theoretical backgrounds of the theories, another major difference is Benoit’s sender-oriented focus versus Coombs’s receiver-oriented focus, which would indicate that the two theories are opposites. However, they still operate within the same parameters – concentrated at the process, where an organization or individual (sender) communicates a message with strategic value to the stakeholders (receiver). Additionally, the crisis response strategies presented for each theory are similar in their symbolic construction, as Coombs used Benoit’s typology as inspiration. This fundamental alignment with two different perspectives facilitates the construction of a crisis communication tool, building on the strengths and parameters of the theories (see Model 1). </w:t>
      </w:r>
    </w:p>
    <w:p w:rsidR="00762725" w:rsidRDefault="00872AE2" w:rsidP="00337119">
      <w:pPr>
        <w:spacing w:line="360" w:lineRule="auto"/>
        <w:rPr>
          <w:lang w:val="en-US"/>
        </w:rPr>
      </w:pPr>
      <w:r>
        <w:rPr>
          <w:noProof/>
          <w:lang w:eastAsia="da-DK"/>
        </w:rPr>
        <w:lastRenderedPageBreak/>
        <w:drawing>
          <wp:anchor distT="0" distB="0" distL="114300" distR="114300" simplePos="0" relativeHeight="251702272" behindDoc="1" locked="0" layoutInCell="1" allowOverlap="1" wp14:anchorId="7D8D74F8" wp14:editId="36CD3A11">
            <wp:simplePos x="0" y="0"/>
            <wp:positionH relativeFrom="column">
              <wp:posOffset>222885</wp:posOffset>
            </wp:positionH>
            <wp:positionV relativeFrom="paragraph">
              <wp:posOffset>281940</wp:posOffset>
            </wp:positionV>
            <wp:extent cx="5516880" cy="6002655"/>
            <wp:effectExtent l="0" t="0" r="7620" b="0"/>
            <wp:wrapTight wrapText="bothSides">
              <wp:wrapPolygon edited="0">
                <wp:start x="0" y="0"/>
                <wp:lineTo x="0" y="21525"/>
                <wp:lineTo x="21555" y="21525"/>
                <wp:lineTo x="21555" y="0"/>
                <wp:lineTo x="0" y="0"/>
              </wp:wrapPolygon>
            </wp:wrapTight>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is communication matrix.png"/>
                    <pic:cNvPicPr/>
                  </pic:nvPicPr>
                  <pic:blipFill>
                    <a:blip r:embed="rId26">
                      <a:extLst>
                        <a:ext uri="{28A0092B-C50C-407E-A947-70E740481C1C}">
                          <a14:useLocalDpi xmlns:a14="http://schemas.microsoft.com/office/drawing/2010/main" val="0"/>
                        </a:ext>
                      </a:extLst>
                    </a:blip>
                    <a:stretch>
                      <a:fillRect/>
                    </a:stretch>
                  </pic:blipFill>
                  <pic:spPr>
                    <a:xfrm>
                      <a:off x="0" y="0"/>
                      <a:ext cx="5516880" cy="6002655"/>
                    </a:xfrm>
                    <a:prstGeom prst="rect">
                      <a:avLst/>
                    </a:prstGeom>
                  </pic:spPr>
                </pic:pic>
              </a:graphicData>
            </a:graphic>
            <wp14:sizeRelH relativeFrom="page">
              <wp14:pctWidth>0</wp14:pctWidth>
            </wp14:sizeRelH>
            <wp14:sizeRelV relativeFrom="page">
              <wp14:pctHeight>0</wp14:pctHeight>
            </wp14:sizeRelV>
          </wp:anchor>
        </w:drawing>
      </w:r>
      <w:r w:rsidR="00762725">
        <w:rPr>
          <w:noProof/>
          <w:lang w:eastAsia="da-DK"/>
        </w:rPr>
        <mc:AlternateContent>
          <mc:Choice Requires="wps">
            <w:drawing>
              <wp:anchor distT="0" distB="0" distL="114300" distR="114300" simplePos="0" relativeHeight="251668480" behindDoc="0" locked="0" layoutInCell="1" allowOverlap="1" wp14:anchorId="7A396E45" wp14:editId="084853F1">
                <wp:simplePos x="0" y="0"/>
                <wp:positionH relativeFrom="column">
                  <wp:posOffset>327660</wp:posOffset>
                </wp:positionH>
                <wp:positionV relativeFrom="paragraph">
                  <wp:posOffset>90170</wp:posOffset>
                </wp:positionV>
                <wp:extent cx="5515610" cy="190500"/>
                <wp:effectExtent l="0" t="0" r="8890" b="0"/>
                <wp:wrapTight wrapText="bothSides">
                  <wp:wrapPolygon edited="0">
                    <wp:start x="0" y="0"/>
                    <wp:lineTo x="0" y="19440"/>
                    <wp:lineTo x="21560" y="19440"/>
                    <wp:lineTo x="21560" y="0"/>
                    <wp:lineTo x="0" y="0"/>
                  </wp:wrapPolygon>
                </wp:wrapTight>
                <wp:docPr id="9" name="Tekstboks 9"/>
                <wp:cNvGraphicFramePr/>
                <a:graphic xmlns:a="http://schemas.openxmlformats.org/drawingml/2006/main">
                  <a:graphicData uri="http://schemas.microsoft.com/office/word/2010/wordprocessingShape">
                    <wps:wsp>
                      <wps:cNvSpPr txBox="1"/>
                      <wps:spPr>
                        <a:xfrm>
                          <a:off x="0" y="0"/>
                          <a:ext cx="5515610" cy="190500"/>
                        </a:xfrm>
                        <a:prstGeom prst="rect">
                          <a:avLst/>
                        </a:prstGeom>
                        <a:solidFill>
                          <a:prstClr val="white"/>
                        </a:solidFill>
                        <a:ln>
                          <a:noFill/>
                        </a:ln>
                        <a:effectLst/>
                      </wps:spPr>
                      <wps:txbx>
                        <w:txbxContent>
                          <w:p w:rsidR="00CF205E" w:rsidRPr="008D3F5B" w:rsidRDefault="00CF205E" w:rsidP="00762725">
                            <w:pPr>
                              <w:pStyle w:val="Billedtekst"/>
                              <w:rPr>
                                <w:noProof/>
                                <w:color w:val="auto"/>
                                <w:sz w:val="36"/>
                                <w:lang w:val="en-US"/>
                              </w:rPr>
                            </w:pPr>
                            <w:r w:rsidRPr="008D3F5B">
                              <w:rPr>
                                <w:color w:val="auto"/>
                                <w:sz w:val="24"/>
                                <w:lang w:val="en-US"/>
                              </w:rPr>
                              <w:t>Model 1: Amalgamated Framework of the Image Restoration Theory and SCCT.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9" o:spid="_x0000_s1030" type="#_x0000_t202" style="position:absolute;left:0;text-align:left;margin-left:25.8pt;margin-top:7.1pt;width:434.3pt;height: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" stroked="f">
                <v:textbox inset="0,0,0,0">
                  <w:txbxContent>
                    <w:p w:rsidR="00CF205E" w:rsidRPr="008D3F5B" w:rsidRDefault="00CF205E" w:rsidP="00762725">
                      <w:pPr>
                        <w:pStyle w:val="Billedtekst"/>
                        <w:rPr>
                          <w:noProof/>
                          <w:color w:val="auto"/>
                          <w:sz w:val="36"/>
                          <w:lang w:val="en-US"/>
                        </w:rPr>
                      </w:pPr>
                      <w:r w:rsidRPr="008D3F5B">
                        <w:rPr>
                          <w:color w:val="auto"/>
                          <w:sz w:val="24"/>
                          <w:lang w:val="en-US"/>
                        </w:rPr>
                        <w:t>Model 1: Amalgamated Framework of the Image Restoration Theory and SCCT.</w:t>
                      </w:r>
                    </w:p>
                  </w:txbxContent>
                </v:textbox>
                <w10:wrap type="tight"/>
              </v:shape>
            </w:pict>
          </mc:Fallback>
        </mc:AlternateContent>
      </w:r>
    </w:p>
    <w:p w:rsidR="00762725"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Pr="008D3F5B" w:rsidRDefault="00762725" w:rsidP="00337119">
      <w:pPr>
        <w:rPr>
          <w:lang w:val="en-US"/>
        </w:rPr>
      </w:pPr>
    </w:p>
    <w:p w:rsidR="00762725" w:rsidRDefault="00872AE2" w:rsidP="00337119">
      <w:pPr>
        <w:rPr>
          <w:lang w:val="en-US"/>
        </w:rPr>
      </w:pPr>
      <w:r>
        <w:rPr>
          <w:noProof/>
          <w:lang w:eastAsia="da-DK"/>
        </w:rPr>
        <mc:AlternateContent>
          <mc:Choice Requires="wps">
            <w:drawing>
              <wp:anchor distT="0" distB="0" distL="114300" distR="114300" simplePos="0" relativeHeight="251669504" behindDoc="0" locked="0" layoutInCell="1" allowOverlap="1" wp14:anchorId="59C8F63A" wp14:editId="0D9AF952">
                <wp:simplePos x="0" y="0"/>
                <wp:positionH relativeFrom="column">
                  <wp:posOffset>-1737360</wp:posOffset>
                </wp:positionH>
                <wp:positionV relativeFrom="paragraph">
                  <wp:posOffset>21590</wp:posOffset>
                </wp:positionV>
                <wp:extent cx="1638935" cy="224790"/>
                <wp:effectExtent l="0" t="0" r="0" b="3810"/>
                <wp:wrapTight wrapText="bothSides">
                  <wp:wrapPolygon edited="0">
                    <wp:start x="0" y="0"/>
                    <wp:lineTo x="0" y="20136"/>
                    <wp:lineTo x="21341" y="20136"/>
                    <wp:lineTo x="21341" y="0"/>
                    <wp:lineTo x="0" y="0"/>
                  </wp:wrapPolygon>
                </wp:wrapTight>
                <wp:docPr id="10" name="Tekstboks 10"/>
                <wp:cNvGraphicFramePr/>
                <a:graphic xmlns:a="http://schemas.openxmlformats.org/drawingml/2006/main">
                  <a:graphicData uri="http://schemas.microsoft.com/office/word/2010/wordprocessingShape">
                    <wps:wsp>
                      <wps:cNvSpPr txBox="1"/>
                      <wps:spPr>
                        <a:xfrm>
                          <a:off x="0" y="0"/>
                          <a:ext cx="1638935" cy="224790"/>
                        </a:xfrm>
                        <a:prstGeom prst="rect">
                          <a:avLst/>
                        </a:prstGeom>
                        <a:solidFill>
                          <a:prstClr val="white"/>
                        </a:solidFill>
                        <a:ln>
                          <a:noFill/>
                        </a:ln>
                        <a:effectLst/>
                      </wps:spPr>
                      <wps:txbx>
                        <w:txbxContent>
                          <w:p w:rsidR="00CF205E" w:rsidRPr="008D3F5B" w:rsidRDefault="00CF205E" w:rsidP="00762725">
                            <w:pPr>
                              <w:pStyle w:val="Billedtekst"/>
                              <w:rPr>
                                <w:noProof/>
                                <w:color w:val="auto"/>
                                <w:sz w:val="36"/>
                              </w:rPr>
                            </w:pPr>
                            <w:r w:rsidRPr="008D3F5B">
                              <w:rPr>
                                <w:color w:val="auto"/>
                                <w:sz w:val="24"/>
                                <w:lang w:val="en-US"/>
                              </w:rPr>
                              <w:t>(</w:t>
                            </w:r>
                            <w:r>
                              <w:rPr>
                                <w:color w:val="auto"/>
                                <w:sz w:val="24"/>
                                <w:lang w:val="en-US"/>
                              </w:rPr>
                              <w:t>Developed by Author</w:t>
                            </w:r>
                            <w:r w:rsidRPr="008D3F5B">
                              <w:rPr>
                                <w:color w:val="auto"/>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0" o:spid="_x0000_s1031" type="#_x0000_t202" style="position:absolute;left:0;text-align:left;margin-left:-136.8pt;margin-top:1.7pt;width:129.05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" stroked="f">
                <v:textbox inset="0,0,0,0">
                  <w:txbxContent>
                    <w:p w:rsidR="00CF205E" w:rsidRPr="008D3F5B" w:rsidRDefault="00CF205E" w:rsidP="00762725">
                      <w:pPr>
                        <w:pStyle w:val="Billedtekst"/>
                        <w:rPr>
                          <w:noProof/>
                          <w:color w:val="auto"/>
                          <w:sz w:val="36"/>
                        </w:rPr>
                      </w:pPr>
                      <w:r w:rsidRPr="008D3F5B">
                        <w:rPr>
                          <w:color w:val="auto"/>
                          <w:sz w:val="24"/>
                          <w:lang w:val="en-US"/>
                        </w:rPr>
                        <w:t>(</w:t>
                      </w:r>
                      <w:r>
                        <w:rPr>
                          <w:color w:val="auto"/>
                          <w:sz w:val="24"/>
                          <w:lang w:val="en-US"/>
                        </w:rPr>
                        <w:t>Developed by Author</w:t>
                      </w:r>
                      <w:r w:rsidRPr="008D3F5B">
                        <w:rPr>
                          <w:color w:val="auto"/>
                          <w:sz w:val="24"/>
                        </w:rPr>
                        <w:t>)</w:t>
                      </w:r>
                    </w:p>
                  </w:txbxContent>
                </v:textbox>
                <w10:wrap type="tight"/>
              </v:shape>
            </w:pict>
          </mc:Fallback>
        </mc:AlternateContent>
      </w:r>
    </w:p>
    <w:p w:rsidR="00762725" w:rsidRDefault="00762725" w:rsidP="00337119">
      <w:pPr>
        <w:spacing w:line="360" w:lineRule="auto"/>
        <w:rPr>
          <w:lang w:val="en-US"/>
        </w:rPr>
      </w:pPr>
      <w:r>
        <w:rPr>
          <w:lang w:val="en-US"/>
        </w:rPr>
        <w:t xml:space="preserve">The constructed typology of crisis response strategies is based on Coombs’s notion of clusters, which to a greater extent conceptualizes the differences between strategies, but the cluster of </w:t>
      </w:r>
      <w:r w:rsidRPr="004E149B">
        <w:rPr>
          <w:i/>
          <w:lang w:val="en-US"/>
        </w:rPr>
        <w:t>diminish strategies</w:t>
      </w:r>
      <w:r>
        <w:rPr>
          <w:lang w:val="en-US"/>
        </w:rPr>
        <w:t xml:space="preserve"> has been divided into two. Benoit’s terminology has been used to distinguish these two, as </w:t>
      </w:r>
      <w:r w:rsidRPr="00CF66EB">
        <w:rPr>
          <w:i/>
          <w:lang w:val="en-US"/>
        </w:rPr>
        <w:t>evasion of responsibility</w:t>
      </w:r>
      <w:r>
        <w:rPr>
          <w:lang w:val="en-US"/>
        </w:rPr>
        <w:t xml:space="preserve"> and </w:t>
      </w:r>
      <w:r w:rsidRPr="00CF66EB">
        <w:rPr>
          <w:i/>
          <w:lang w:val="en-US"/>
        </w:rPr>
        <w:t>reduction of offensiveness</w:t>
      </w:r>
      <w:r>
        <w:rPr>
          <w:lang w:val="en-US"/>
        </w:rPr>
        <w:t xml:space="preserve"> are essentially embedded within Coombs’s perception of diminish strategies – more specifically concerning </w:t>
      </w:r>
      <w:r>
        <w:rPr>
          <w:i/>
          <w:lang w:val="en-US"/>
        </w:rPr>
        <w:t xml:space="preserve">excuse </w:t>
      </w:r>
      <w:r>
        <w:rPr>
          <w:lang w:val="en-US"/>
        </w:rPr>
        <w:t xml:space="preserve">and </w:t>
      </w:r>
      <w:r>
        <w:rPr>
          <w:i/>
          <w:lang w:val="en-US"/>
        </w:rPr>
        <w:t>justification</w:t>
      </w:r>
      <w:sdt>
        <w:sdtPr>
          <w:rPr>
            <w:i/>
            <w:lang w:val="en-US"/>
          </w:rPr>
          <w:id w:val="1426766171"/>
          <w:citation/>
        </w:sdtPr>
        <w:sdtContent>
          <w:r>
            <w:rPr>
              <w:i/>
              <w:lang w:val="en-US"/>
            </w:rPr>
            <w:fldChar w:fldCharType="begin"/>
          </w:r>
          <w:r>
            <w:rPr>
              <w:lang w:val="en-US"/>
            </w:rPr>
            <w:instrText xml:space="preserve">CITATION Pro07 \p 170 \t  \l 1030 </w:instrText>
          </w:r>
          <w:r>
            <w:rPr>
              <w:i/>
              <w:lang w:val="en-US"/>
            </w:rPr>
            <w:fldChar w:fldCharType="separate"/>
          </w:r>
          <w:r w:rsidR="00F623D4">
            <w:rPr>
              <w:noProof/>
              <w:lang w:val="en-US"/>
            </w:rPr>
            <w:t xml:space="preserve"> (W. T. Coombs 2007, 170)</w:t>
          </w:r>
          <w:r>
            <w:rPr>
              <w:i/>
              <w:lang w:val="en-US"/>
            </w:rPr>
            <w:fldChar w:fldCharType="end"/>
          </w:r>
        </w:sdtContent>
      </w:sdt>
      <w:r>
        <w:rPr>
          <w:lang w:val="en-US"/>
        </w:rPr>
        <w:t xml:space="preserve">. This has been done to more sufficiently characterize the nature of the utilized response strategies in the examination of a specific case. In the cluster of </w:t>
      </w:r>
      <w:r w:rsidRPr="004E149B">
        <w:rPr>
          <w:i/>
          <w:lang w:val="en-US"/>
        </w:rPr>
        <w:lastRenderedPageBreak/>
        <w:t>denial strategies</w:t>
      </w:r>
      <w:r>
        <w:rPr>
          <w:lang w:val="en-US"/>
        </w:rPr>
        <w:t xml:space="preserve">, it has been assessed that the </w:t>
      </w:r>
      <w:r w:rsidRPr="004E149B">
        <w:rPr>
          <w:i/>
          <w:lang w:val="en-US"/>
        </w:rPr>
        <w:t>attack the accuser</w:t>
      </w:r>
      <w:r>
        <w:rPr>
          <w:lang w:val="en-US"/>
        </w:rPr>
        <w:t xml:space="preserve"> tactic is more fitted to this categorization, as this type of communication generally seeks to deny the validity of the accusations by confronting the accuser</w:t>
      </w:r>
      <w:sdt>
        <w:sdtPr>
          <w:rPr>
            <w:lang w:val="en-US"/>
          </w:rPr>
          <w:id w:val="890468795"/>
          <w:citation/>
        </w:sdtPr>
        <w:sdtContent>
          <w:r>
            <w:rPr>
              <w:lang w:val="en-US"/>
            </w:rPr>
            <w:fldChar w:fldCharType="begin"/>
          </w:r>
          <w:r>
            <w:rPr>
              <w:lang w:val="en-US"/>
            </w:rPr>
            <w:instrText xml:space="preserve">CITATION WTi09 \p 111 \t  \l 1030 </w:instrText>
          </w:r>
          <w:r>
            <w:rPr>
              <w:lang w:val="en-US"/>
            </w:rPr>
            <w:fldChar w:fldCharType="separate"/>
          </w:r>
          <w:r w:rsidR="00F623D4">
            <w:rPr>
              <w:noProof/>
              <w:lang w:val="en-US"/>
            </w:rPr>
            <w:t xml:space="preserve"> (W. T. Coombs 2009, 111)</w:t>
          </w:r>
          <w:r>
            <w:rPr>
              <w:lang w:val="en-US"/>
            </w:rPr>
            <w:fldChar w:fldCharType="end"/>
          </w:r>
        </w:sdtContent>
      </w:sdt>
      <w:r>
        <w:rPr>
          <w:lang w:val="en-US"/>
        </w:rPr>
        <w:t xml:space="preserve">. The specific crisis response strategies in the </w:t>
      </w:r>
      <w:r w:rsidRPr="000C31D6">
        <w:rPr>
          <w:i/>
          <w:lang w:val="en-US"/>
        </w:rPr>
        <w:t>evasion of responsibility</w:t>
      </w:r>
      <w:r>
        <w:rPr>
          <w:lang w:val="en-US"/>
        </w:rPr>
        <w:t xml:space="preserve"> cluster are based on Benoit’s typology. While they correspond with Coombs’s idea of an </w:t>
      </w:r>
      <w:r w:rsidRPr="000C31D6">
        <w:rPr>
          <w:i/>
          <w:lang w:val="en-US"/>
        </w:rPr>
        <w:t>excuse</w:t>
      </w:r>
      <w:r>
        <w:rPr>
          <w:lang w:val="en-US"/>
        </w:rPr>
        <w:t xml:space="preserve">, the four types defined by Benoit provide a more differentiated analysis of an organization’s applied crisis response strategies. The same evaluation applies to the </w:t>
      </w:r>
      <w:r w:rsidRPr="000C31D6">
        <w:rPr>
          <w:i/>
          <w:lang w:val="en-US"/>
        </w:rPr>
        <w:t xml:space="preserve">reduction of offensiveness </w:t>
      </w:r>
      <w:r>
        <w:rPr>
          <w:lang w:val="en-US"/>
        </w:rPr>
        <w:t xml:space="preserve">cluster, which corresponds with the </w:t>
      </w:r>
      <w:r w:rsidRPr="000C31D6">
        <w:rPr>
          <w:i/>
          <w:lang w:val="en-US"/>
        </w:rPr>
        <w:t>justification</w:t>
      </w:r>
      <w:r>
        <w:rPr>
          <w:lang w:val="en-US"/>
        </w:rPr>
        <w:t xml:space="preserve"> aspect presented by Coombs. Alterations of this cluster involves moving the </w:t>
      </w:r>
      <w:r w:rsidRPr="00B973F6">
        <w:rPr>
          <w:i/>
          <w:lang w:val="en-US"/>
        </w:rPr>
        <w:t>compensation</w:t>
      </w:r>
      <w:r>
        <w:rPr>
          <w:lang w:val="en-US"/>
        </w:rPr>
        <w:t xml:space="preserve"> tactic down to the cluster of rebuild strategies, as it is represented by Coombs, because the understanding of </w:t>
      </w:r>
      <w:r w:rsidRPr="00B973F6">
        <w:rPr>
          <w:i/>
          <w:lang w:val="en-US"/>
        </w:rPr>
        <w:t>compensation</w:t>
      </w:r>
      <w:r>
        <w:rPr>
          <w:lang w:val="en-US"/>
        </w:rPr>
        <w:t xml:space="preserve"> more naturally correlates with </w:t>
      </w:r>
      <w:r w:rsidR="008C3B34">
        <w:rPr>
          <w:i/>
          <w:lang w:val="en-US"/>
        </w:rPr>
        <w:t>corrective action</w:t>
      </w:r>
      <w:r>
        <w:rPr>
          <w:lang w:val="en-US"/>
        </w:rPr>
        <w:t xml:space="preserve"> (Ibid:111). Bolstering has become a cluster on its own and acknowledged as a supplementary strategy, because it</w:t>
      </w:r>
      <w:r w:rsidR="00B95683">
        <w:rPr>
          <w:lang w:val="en-US"/>
        </w:rPr>
        <w:t xml:space="preserve"> is usually expressed</w:t>
      </w:r>
      <w:r>
        <w:rPr>
          <w:lang w:val="en-US"/>
        </w:rPr>
        <w:t xml:space="preserve"> in connection with another strategy (Ibid: 112). Moreover, in Coombs’s outline of strategies, there are three different types of bolstering, which from an analytical perspective could prove useful. The typology of crisis types and appropriate responses is based on Coombs’s theoretical recommendations of how to use the crisis response strategies – based on reputational threat</w:t>
      </w:r>
      <w:sdt>
        <w:sdtPr>
          <w:rPr>
            <w:lang w:val="en-US"/>
          </w:rPr>
          <w:id w:val="1231726883"/>
          <w:citation/>
        </w:sdtPr>
        <w:sdtContent>
          <w:r>
            <w:rPr>
              <w:lang w:val="en-US"/>
            </w:rPr>
            <w:fldChar w:fldCharType="begin"/>
          </w:r>
          <w:r>
            <w:rPr>
              <w:lang w:val="en-US"/>
            </w:rPr>
            <w:instrText xml:space="preserve">CITATION WTi15 \p 152 \t  \l 1030 </w:instrText>
          </w:r>
          <w:r>
            <w:rPr>
              <w:lang w:val="en-US"/>
            </w:rPr>
            <w:fldChar w:fldCharType="separate"/>
          </w:r>
          <w:r w:rsidR="00F623D4">
            <w:rPr>
              <w:noProof/>
              <w:lang w:val="en-US"/>
            </w:rPr>
            <w:t xml:space="preserve"> (W. T. Coombs 2015, 152)</w:t>
          </w:r>
          <w:r>
            <w:rPr>
              <w:lang w:val="en-US"/>
            </w:rPr>
            <w:fldChar w:fldCharType="end"/>
          </w:r>
        </w:sdtContent>
      </w:sdt>
      <w:r>
        <w:rPr>
          <w:lang w:val="en-US"/>
        </w:rPr>
        <w:t>, but with necessary alterations of the terminology, in accordance with the model. Moreover, the positive and negative history depictions encapsulate, whether or not an organization has a history of crises and/or a poor prior relational reputation.</w:t>
      </w:r>
    </w:p>
    <w:p w:rsidR="00762725" w:rsidRDefault="00762725" w:rsidP="00337119">
      <w:pPr>
        <w:spacing w:line="360" w:lineRule="auto"/>
        <w:rPr>
          <w:lang w:val="en-US"/>
        </w:rPr>
      </w:pPr>
      <w:r>
        <w:rPr>
          <w:lang w:val="en-US"/>
        </w:rPr>
        <w:t xml:space="preserve">The evaluation of the two crisis communication theories, constituting the specifications of the constructed model, </w:t>
      </w:r>
      <w:r w:rsidR="00CD764A">
        <w:rPr>
          <w:lang w:val="en-US"/>
        </w:rPr>
        <w:t xml:space="preserve">accommodates </w:t>
      </w:r>
      <w:r>
        <w:rPr>
          <w:lang w:val="en-US"/>
        </w:rPr>
        <w:t>the theoretical frameworks and understandings of crisis response</w:t>
      </w:r>
      <w:r w:rsidR="00B237B6">
        <w:rPr>
          <w:lang w:val="en-US"/>
        </w:rPr>
        <w:t>s</w:t>
      </w:r>
      <w:r>
        <w:rPr>
          <w:lang w:val="en-US"/>
        </w:rPr>
        <w:t xml:space="preserve"> presented by Benoit and Coombs. Moreover, the model is structured in order to accommodate an analytical pro</w:t>
      </w:r>
      <w:r w:rsidR="00CD764A">
        <w:rPr>
          <w:lang w:val="en-US"/>
        </w:rPr>
        <w:t>cess of determining crisis type</w:t>
      </w:r>
      <w:r>
        <w:rPr>
          <w:lang w:val="en-US"/>
        </w:rPr>
        <w:t xml:space="preserve">, utilized strategies in connection with the CSR discourse in play, and supposed efficiency thereof. On the other hand, considering the critical reflections on each theory, the model can have insufficiencies in correspondence with the study (determination of efficiency on a discursive level), which may be improved through the theoretical properties of Frandsen and Johansen’s </w:t>
      </w:r>
      <w:r w:rsidR="00B237B6">
        <w:rPr>
          <w:i/>
          <w:lang w:val="en-US"/>
        </w:rPr>
        <w:t>Rhetorical A</w:t>
      </w:r>
      <w:r>
        <w:rPr>
          <w:i/>
          <w:lang w:val="en-US"/>
        </w:rPr>
        <w:t>rena theory</w:t>
      </w:r>
      <w:r>
        <w:rPr>
          <w:lang w:val="en-US"/>
        </w:rPr>
        <w:t>.</w:t>
      </w:r>
    </w:p>
    <w:p w:rsidR="00762725" w:rsidRDefault="00D65599" w:rsidP="00337119">
      <w:pPr>
        <w:pStyle w:val="Overskrift2"/>
        <w:spacing w:line="360" w:lineRule="auto"/>
        <w:rPr>
          <w:lang w:val="en-US"/>
        </w:rPr>
      </w:pPr>
      <w:bookmarkStart w:id="51" w:name="_Toc420075822"/>
      <w:bookmarkStart w:id="52" w:name="_Toc420761635"/>
      <w:r>
        <w:rPr>
          <w:lang w:val="en-US"/>
        </w:rPr>
        <w:t>4</w:t>
      </w:r>
      <w:r w:rsidR="00762725">
        <w:rPr>
          <w:lang w:val="en-US"/>
        </w:rPr>
        <w:t>.6 The Rhetorical Arena</w:t>
      </w:r>
      <w:bookmarkEnd w:id="51"/>
      <w:bookmarkEnd w:id="52"/>
      <w:r w:rsidR="00762725">
        <w:rPr>
          <w:lang w:val="en-US"/>
        </w:rPr>
        <w:t xml:space="preserve">  </w:t>
      </w:r>
    </w:p>
    <w:p w:rsidR="00762725" w:rsidRDefault="00762725" w:rsidP="00337119">
      <w:pPr>
        <w:spacing w:line="360" w:lineRule="auto"/>
        <w:rPr>
          <w:lang w:val="en-US"/>
        </w:rPr>
      </w:pPr>
      <w:r>
        <w:rPr>
          <w:lang w:val="en-US"/>
        </w:rPr>
        <w:t xml:space="preserve">The Rhetorical Arena by Finn Frandsen and </w:t>
      </w:r>
      <w:proofErr w:type="spellStart"/>
      <w:r>
        <w:rPr>
          <w:lang w:val="en-US"/>
        </w:rPr>
        <w:t>Winni</w:t>
      </w:r>
      <w:proofErr w:type="spellEnd"/>
      <w:r>
        <w:rPr>
          <w:lang w:val="en-US"/>
        </w:rPr>
        <w:t xml:space="preserve"> Johansen, constituting a dynamic crisis communication model, is both sender and receiver-oriented and directed from a multi-vocal perspective – encapsulating the contextual dynamics of a crisis. Frandsen and Johansen do not construct a typology of crisis response strategies like Benoit and Coombs, because the </w:t>
      </w:r>
      <w:r>
        <w:rPr>
          <w:lang w:val="en-US"/>
        </w:rPr>
        <w:lastRenderedPageBreak/>
        <w:t>specifications of the influential context and rhetorical factors are of greater importance.</w:t>
      </w:r>
      <w:r w:rsidR="00147FE1">
        <w:rPr>
          <w:lang w:val="en-US"/>
        </w:rPr>
        <w:t xml:space="preserve"> A</w:t>
      </w:r>
      <w:r>
        <w:rPr>
          <w:lang w:val="en-US"/>
        </w:rPr>
        <w:t xml:space="preserve">ccording to Frandsen and Johansen, The Rhetorical Arena </w:t>
      </w:r>
      <w:r w:rsidR="00147FE1">
        <w:rPr>
          <w:lang w:val="en-US"/>
        </w:rPr>
        <w:t>aims at exploring and defining the dynamic and complex processes of crisis communication – representing</w:t>
      </w:r>
      <w:r>
        <w:rPr>
          <w:lang w:val="en-US"/>
        </w:rPr>
        <w:t xml:space="preserve"> the third step o</w:t>
      </w:r>
      <w:r w:rsidR="00147FE1">
        <w:rPr>
          <w:lang w:val="en-US"/>
        </w:rPr>
        <w:t xml:space="preserve">f crisis communication research, where </w:t>
      </w:r>
      <w:r>
        <w:rPr>
          <w:lang w:val="en-US"/>
        </w:rPr>
        <w:t>Benoit and Coombs</w:t>
      </w:r>
      <w:r w:rsidR="00147FE1">
        <w:rPr>
          <w:lang w:val="en-US"/>
        </w:rPr>
        <w:t xml:space="preserve"> represent the first two</w:t>
      </w:r>
      <w:sdt>
        <w:sdtPr>
          <w:rPr>
            <w:lang w:val="en-US"/>
          </w:rPr>
          <w:id w:val="-1084989256"/>
          <w:citation/>
        </w:sdtPr>
        <w:sdtContent>
          <w:r>
            <w:rPr>
              <w:lang w:val="en-US"/>
            </w:rPr>
            <w:fldChar w:fldCharType="begin"/>
          </w:r>
          <w:r>
            <w:rPr>
              <w:lang w:val="en-US"/>
            </w:rPr>
            <w:instrText xml:space="preserve">CITATION Fin07 \p 251-252 \t  \l 1030 </w:instrText>
          </w:r>
          <w:r>
            <w:rPr>
              <w:lang w:val="en-US"/>
            </w:rPr>
            <w:fldChar w:fldCharType="separate"/>
          </w:r>
          <w:r w:rsidR="00F623D4">
            <w:rPr>
              <w:noProof/>
              <w:lang w:val="en-US"/>
            </w:rPr>
            <w:t xml:space="preserve"> (Frandsen and Johansen 2007, 251-252)</w:t>
          </w:r>
          <w:r>
            <w:rPr>
              <w:lang w:val="en-US"/>
            </w:rPr>
            <w:fldChar w:fldCharType="end"/>
          </w:r>
        </w:sdtContent>
      </w:sdt>
      <w:r>
        <w:rPr>
          <w:lang w:val="en-US"/>
        </w:rPr>
        <w:t xml:space="preserve">. </w:t>
      </w:r>
    </w:p>
    <w:p w:rsidR="00762725" w:rsidRDefault="00762725" w:rsidP="00337119">
      <w:pPr>
        <w:spacing w:line="360" w:lineRule="auto"/>
        <w:rPr>
          <w:lang w:val="en-US"/>
        </w:rPr>
      </w:pPr>
      <w:r>
        <w:rPr>
          <w:lang w:val="en-US"/>
        </w:rPr>
        <w:t xml:space="preserve">The construction of The Rhetorical Arena model relies on </w:t>
      </w:r>
      <w:r w:rsidR="00461A4C">
        <w:rPr>
          <w:lang w:val="en-US"/>
        </w:rPr>
        <w:t>t</w:t>
      </w:r>
      <w:r>
        <w:rPr>
          <w:lang w:val="en-US"/>
        </w:rPr>
        <w:t>he theories of both Benoit and Coombs</w:t>
      </w:r>
      <w:r w:rsidR="00461A4C">
        <w:rPr>
          <w:lang w:val="en-US"/>
        </w:rPr>
        <w:t>,</w:t>
      </w:r>
      <w:r>
        <w:rPr>
          <w:lang w:val="en-US"/>
        </w:rPr>
        <w:t xml:space="preserve"> but primarily </w:t>
      </w:r>
      <w:r w:rsidR="00461A4C">
        <w:rPr>
          <w:lang w:val="en-US"/>
        </w:rPr>
        <w:t xml:space="preserve">concerning </w:t>
      </w:r>
      <w:r>
        <w:rPr>
          <w:lang w:val="en-US"/>
        </w:rPr>
        <w:t>their constructed crisis re</w:t>
      </w:r>
      <w:r w:rsidR="005F7CDE">
        <w:rPr>
          <w:lang w:val="en-US"/>
        </w:rPr>
        <w:t xml:space="preserve">sponse strategies and Coombs’s </w:t>
      </w:r>
      <w:r>
        <w:rPr>
          <w:lang w:val="en-US"/>
        </w:rPr>
        <w:t>approach to context factors. In terms of the multi-vocal approach applied by Frandsen and Johansen, the theoretical perspectives of Priscilla Murphy’s</w:t>
      </w:r>
      <w:sdt>
        <w:sdtPr>
          <w:rPr>
            <w:lang w:val="en-US"/>
          </w:rPr>
          <w:id w:val="1165208987"/>
          <w:citation/>
        </w:sdtPr>
        <w:sdtContent>
          <w:r>
            <w:rPr>
              <w:lang w:val="en-US"/>
            </w:rPr>
            <w:fldChar w:fldCharType="begin"/>
          </w:r>
          <w:r>
            <w:rPr>
              <w:lang w:val="en-US"/>
            </w:rPr>
            <w:instrText xml:space="preserve">CITATION Pri89 \n  \t  \l 1030 </w:instrText>
          </w:r>
          <w:r>
            <w:rPr>
              <w:lang w:val="en-US"/>
            </w:rPr>
            <w:fldChar w:fldCharType="separate"/>
          </w:r>
          <w:r w:rsidR="00F623D4">
            <w:rPr>
              <w:noProof/>
              <w:lang w:val="en-US"/>
            </w:rPr>
            <w:t xml:space="preserve"> (1989)</w:t>
          </w:r>
          <w:r>
            <w:rPr>
              <w:lang w:val="en-US"/>
            </w:rPr>
            <w:fldChar w:fldCharType="end"/>
          </w:r>
        </w:sdtContent>
      </w:sdt>
      <w:r>
        <w:rPr>
          <w:lang w:val="en-US"/>
        </w:rPr>
        <w:t xml:space="preserve"> representation of the </w:t>
      </w:r>
      <w:r>
        <w:rPr>
          <w:i/>
          <w:lang w:val="en-US"/>
        </w:rPr>
        <w:t>game theory</w:t>
      </w:r>
      <w:r>
        <w:rPr>
          <w:lang w:val="en-US"/>
        </w:rPr>
        <w:t xml:space="preserve"> and the </w:t>
      </w:r>
      <w:r>
        <w:rPr>
          <w:i/>
          <w:lang w:val="en-US"/>
        </w:rPr>
        <w:t>chaos theory</w:t>
      </w:r>
      <w:r>
        <w:rPr>
          <w:lang w:val="en-US"/>
        </w:rPr>
        <w:t xml:space="preserve">, represented by Mathew Seeger, Timothy </w:t>
      </w:r>
      <w:proofErr w:type="spellStart"/>
      <w:r>
        <w:rPr>
          <w:lang w:val="en-US"/>
        </w:rPr>
        <w:t>Sellnow</w:t>
      </w:r>
      <w:proofErr w:type="spellEnd"/>
      <w:r>
        <w:rPr>
          <w:lang w:val="en-US"/>
        </w:rPr>
        <w:t xml:space="preserve"> and Robert Ulmer</w:t>
      </w:r>
      <w:sdt>
        <w:sdtPr>
          <w:rPr>
            <w:lang w:val="en-US"/>
          </w:rPr>
          <w:id w:val="443046076"/>
          <w:citation/>
        </w:sdtPr>
        <w:sdtContent>
          <w:r>
            <w:rPr>
              <w:lang w:val="en-US"/>
            </w:rPr>
            <w:fldChar w:fldCharType="begin"/>
          </w:r>
          <w:r>
            <w:rPr>
              <w:lang w:val="en-US"/>
            </w:rPr>
            <w:instrText xml:space="preserve">CITATION Mat03 \n  \t  \l 1030 </w:instrText>
          </w:r>
          <w:r>
            <w:rPr>
              <w:lang w:val="en-US"/>
            </w:rPr>
            <w:fldChar w:fldCharType="separate"/>
          </w:r>
          <w:r w:rsidR="00F623D4">
            <w:rPr>
              <w:noProof/>
              <w:lang w:val="en-US"/>
            </w:rPr>
            <w:t xml:space="preserve"> (2003)</w:t>
          </w:r>
          <w:r>
            <w:rPr>
              <w:lang w:val="en-US"/>
            </w:rPr>
            <w:fldChar w:fldCharType="end"/>
          </w:r>
        </w:sdtContent>
      </w:sdt>
      <w:r w:rsidR="005F7CDE">
        <w:rPr>
          <w:lang w:val="en-US"/>
        </w:rPr>
        <w:t>,</w:t>
      </w:r>
      <w:r>
        <w:rPr>
          <w:lang w:val="en-US"/>
        </w:rPr>
        <w:t xml:space="preserve"> are included as well</w:t>
      </w:r>
      <w:r w:rsidR="002C093A">
        <w:rPr>
          <w:lang w:val="en-US"/>
        </w:rPr>
        <w:t xml:space="preserve"> – encapsulating understandings of crisis dynamics and the influential nature and </w:t>
      </w:r>
      <w:r w:rsidR="00BC5AFC">
        <w:rPr>
          <w:lang w:val="en-US"/>
        </w:rPr>
        <w:t>motivational interests of different</w:t>
      </w:r>
      <w:r w:rsidR="002C093A">
        <w:rPr>
          <w:lang w:val="en-US"/>
        </w:rPr>
        <w:t xml:space="preserve"> communicating actors </w:t>
      </w:r>
      <w:r>
        <w:rPr>
          <w:lang w:val="en-US"/>
        </w:rPr>
        <w:t xml:space="preserve">(Ibid: 267). </w:t>
      </w:r>
    </w:p>
    <w:p w:rsidR="00762725" w:rsidRDefault="00762725" w:rsidP="00337119">
      <w:pPr>
        <w:spacing w:line="360" w:lineRule="auto"/>
        <w:rPr>
          <w:lang w:val="en-US"/>
        </w:rPr>
      </w:pPr>
      <w:r>
        <w:rPr>
          <w:lang w:val="en-US"/>
        </w:rPr>
        <w:t xml:space="preserve">Frandsen and Johansen’s rhetorical model is a two-layered model and consistent of two components, which represent the external and internal parameters of the crisis communication process. The first component is referred to as the </w:t>
      </w:r>
      <w:r w:rsidRPr="00890704">
        <w:rPr>
          <w:i/>
          <w:lang w:val="en-US"/>
        </w:rPr>
        <w:t>context model</w:t>
      </w:r>
      <w:r>
        <w:rPr>
          <w:lang w:val="en-US"/>
        </w:rPr>
        <w:t xml:space="preserve">, introducing the multi-vocal approach towards the communication. The second component is of a rhetorical or socio-discursive nature and is referred to as the </w:t>
      </w:r>
      <w:r>
        <w:rPr>
          <w:i/>
          <w:lang w:val="en-US"/>
        </w:rPr>
        <w:t>text model</w:t>
      </w:r>
      <w:r>
        <w:rPr>
          <w:lang w:val="en-US"/>
        </w:rPr>
        <w:t xml:space="preserve">, operating within the parameters of </w:t>
      </w:r>
      <w:r>
        <w:rPr>
          <w:i/>
          <w:lang w:val="en-US"/>
        </w:rPr>
        <w:t xml:space="preserve">context, medium, genre </w:t>
      </w:r>
      <w:r>
        <w:rPr>
          <w:lang w:val="en-US"/>
        </w:rPr>
        <w:t xml:space="preserve">and </w:t>
      </w:r>
      <w:r>
        <w:rPr>
          <w:i/>
          <w:lang w:val="en-US"/>
        </w:rPr>
        <w:t>text</w:t>
      </w:r>
      <w:r>
        <w:rPr>
          <w:lang w:val="en-US"/>
        </w:rPr>
        <w:t xml:space="preserve"> (Ibid: 252). However, in more present accounts of The Rhetorical Arena model, Frandsen and Johansen label the two components as the </w:t>
      </w:r>
      <w:r>
        <w:rPr>
          <w:i/>
          <w:lang w:val="en-US"/>
        </w:rPr>
        <w:t xml:space="preserve">macro </w:t>
      </w:r>
      <w:r>
        <w:rPr>
          <w:lang w:val="en-US"/>
        </w:rPr>
        <w:t xml:space="preserve">and </w:t>
      </w:r>
      <w:r>
        <w:rPr>
          <w:i/>
          <w:lang w:val="en-US"/>
        </w:rPr>
        <w:t>micro components</w:t>
      </w:r>
      <w:sdt>
        <w:sdtPr>
          <w:rPr>
            <w:i/>
            <w:lang w:val="en-US"/>
          </w:rPr>
          <w:id w:val="-253201468"/>
          <w:citation/>
        </w:sdtPr>
        <w:sdtContent>
          <w:r>
            <w:rPr>
              <w:i/>
              <w:lang w:val="en-US"/>
            </w:rPr>
            <w:fldChar w:fldCharType="begin"/>
          </w:r>
          <w:r>
            <w:rPr>
              <w:i/>
              <w:lang w:val="en-US"/>
            </w:rPr>
            <w:instrText xml:space="preserve">CITATION Fra12 \t  \l 1030 </w:instrText>
          </w:r>
          <w:r>
            <w:rPr>
              <w:i/>
              <w:lang w:val="en-US"/>
            </w:rPr>
            <w:fldChar w:fldCharType="separate"/>
          </w:r>
          <w:r w:rsidR="00F623D4">
            <w:rPr>
              <w:i/>
              <w:noProof/>
              <w:lang w:val="en-US"/>
            </w:rPr>
            <w:t xml:space="preserve"> </w:t>
          </w:r>
          <w:r w:rsidR="00F623D4">
            <w:rPr>
              <w:noProof/>
              <w:lang w:val="en-US"/>
            </w:rPr>
            <w:t>(Frandsen and Johansen 2012)</w:t>
          </w:r>
          <w:r>
            <w:rPr>
              <w:i/>
              <w:lang w:val="en-US"/>
            </w:rPr>
            <w:fldChar w:fldCharType="end"/>
          </w:r>
        </w:sdtContent>
      </w:sdt>
      <w:r>
        <w:rPr>
          <w:lang w:val="en-US"/>
        </w:rPr>
        <w:t xml:space="preserve">. The four represented parameters within the second component signify an overlap in the terminology of The Rhetorical Arena model (context versus context). Generally, the first matter of context depicts an overview of the communicative evolvement of the case (involvement of actors), where the other depicts the context influential to a </w:t>
      </w:r>
      <w:r w:rsidRPr="000E449B">
        <w:rPr>
          <w:i/>
          <w:lang w:val="en-US"/>
        </w:rPr>
        <w:t>specific</w:t>
      </w:r>
      <w:r>
        <w:rPr>
          <w:lang w:val="en-US"/>
        </w:rPr>
        <w:t xml:space="preserve"> communicating actor. To avoid potential challenges in the comprehension of the study, the usage of </w:t>
      </w:r>
      <w:r>
        <w:rPr>
          <w:i/>
          <w:lang w:val="en-US"/>
        </w:rPr>
        <w:t xml:space="preserve">macro </w:t>
      </w:r>
      <w:r>
        <w:rPr>
          <w:lang w:val="en-US"/>
        </w:rPr>
        <w:t xml:space="preserve">and </w:t>
      </w:r>
      <w:r>
        <w:rPr>
          <w:i/>
          <w:lang w:val="en-US"/>
        </w:rPr>
        <w:t>micro</w:t>
      </w:r>
      <w:r>
        <w:rPr>
          <w:lang w:val="en-US"/>
        </w:rPr>
        <w:t xml:space="preserve"> in the description of the two model components will </w:t>
      </w:r>
      <w:r w:rsidR="00740D9F">
        <w:rPr>
          <w:lang w:val="en-US"/>
        </w:rPr>
        <w:t xml:space="preserve">therefore </w:t>
      </w:r>
      <w:r>
        <w:rPr>
          <w:lang w:val="en-US"/>
        </w:rPr>
        <w:t>be applied.</w:t>
      </w:r>
    </w:p>
    <w:p w:rsidR="00762725" w:rsidRDefault="00D65599" w:rsidP="00337119">
      <w:pPr>
        <w:pStyle w:val="Overskrift3"/>
        <w:spacing w:line="360" w:lineRule="auto"/>
        <w:rPr>
          <w:lang w:val="en-US"/>
        </w:rPr>
      </w:pPr>
      <w:bookmarkStart w:id="53" w:name="_Toc420075823"/>
      <w:bookmarkStart w:id="54" w:name="_Toc420761636"/>
      <w:r>
        <w:rPr>
          <w:lang w:val="en-US"/>
        </w:rPr>
        <w:t>4</w:t>
      </w:r>
      <w:r w:rsidR="00762725">
        <w:rPr>
          <w:lang w:val="en-US"/>
        </w:rPr>
        <w:t>.6.1 Macro Component: The Multi-vocal Arena</w:t>
      </w:r>
      <w:bookmarkEnd w:id="53"/>
      <w:bookmarkEnd w:id="54"/>
    </w:p>
    <w:p w:rsidR="00762725" w:rsidRDefault="00762725" w:rsidP="00337119">
      <w:pPr>
        <w:spacing w:line="360" w:lineRule="auto"/>
        <w:rPr>
          <w:lang w:val="en-US"/>
        </w:rPr>
      </w:pPr>
      <w:r>
        <w:rPr>
          <w:lang w:val="en-US"/>
        </w:rPr>
        <w:t xml:space="preserve">The macro component of The Rhetorical Arena represents the figurative arena of communications, which arises in the wake of a crisis inflicting event and includes all the influenced actors – whether they are stakeholders or the organization itself. The arena is considered closed in the sense that all actors communicate and act within the parameter of the crisis situation: publicly displayed communications are directed at the specific crisis, but more actors may enter during the crisis. The key aspect of the arena is that it is not enough to understand the communication of one sender, </w:t>
      </w:r>
      <w:r>
        <w:rPr>
          <w:lang w:val="en-US"/>
        </w:rPr>
        <w:lastRenderedPageBreak/>
        <w:t>because everyone in a crisis has a voice with potential relevance, which needs to be understood</w:t>
      </w:r>
      <w:sdt>
        <w:sdtPr>
          <w:rPr>
            <w:lang w:val="en-US"/>
          </w:rPr>
          <w:id w:val="-1851402567"/>
          <w:citation/>
        </w:sdtPr>
        <w:sdtContent>
          <w:r>
            <w:rPr>
              <w:lang w:val="en-US"/>
            </w:rPr>
            <w:fldChar w:fldCharType="begin"/>
          </w:r>
          <w:r>
            <w:rPr>
              <w:lang w:val="en-US"/>
            </w:rPr>
            <w:instrText xml:space="preserve">CITATION Fin07 \p 275 \t  \l 1030 </w:instrText>
          </w:r>
          <w:r>
            <w:rPr>
              <w:lang w:val="en-US"/>
            </w:rPr>
            <w:fldChar w:fldCharType="separate"/>
          </w:r>
          <w:r w:rsidR="00F623D4">
            <w:rPr>
              <w:noProof/>
              <w:lang w:val="en-US"/>
            </w:rPr>
            <w:t xml:space="preserve"> (Frandsen and Johansen 2007, 275)</w:t>
          </w:r>
          <w:r>
            <w:rPr>
              <w:lang w:val="en-US"/>
            </w:rPr>
            <w:fldChar w:fldCharType="end"/>
          </w:r>
        </w:sdtContent>
      </w:sdt>
      <w:r>
        <w:rPr>
          <w:lang w:val="en-US"/>
        </w:rPr>
        <w:t>. Consequently, crisis communication is not limited to include the communication applied by an accused organization in a crisis, defend</w:t>
      </w:r>
      <w:r w:rsidR="008F59AE">
        <w:rPr>
          <w:lang w:val="en-US"/>
        </w:rPr>
        <w:t>ing</w:t>
      </w:r>
      <w:r w:rsidR="00ED334A">
        <w:rPr>
          <w:lang w:val="en-US"/>
        </w:rPr>
        <w:t xml:space="preserve"> its image and reputation:</w:t>
      </w:r>
      <w:r>
        <w:rPr>
          <w:lang w:val="en-US"/>
        </w:rPr>
        <w:t xml:space="preserve"> the actions and expressed accusations, rumors and anger of stakeholders towards an organization are considered crisis communication as well. The magnitude of actors within the arena varies in terms of the complexity of the situation, but all of them have both the role of a sender and a receiver (Ibid: 276). The complexity aspect of the arena revolves around the fact that the actors, with varying influential standing, can either communicate with, against, past and/or about each other, which has been illustrated in Model 2 (Ibid: 277). </w:t>
      </w:r>
    </w:p>
    <w:p w:rsidR="00762725" w:rsidRDefault="008B13A4" w:rsidP="00337119">
      <w:pPr>
        <w:spacing w:line="360" w:lineRule="auto"/>
        <w:rPr>
          <w:lang w:val="en-US"/>
        </w:rPr>
      </w:pPr>
      <w:r>
        <w:rPr>
          <w:noProof/>
          <w:lang w:eastAsia="da-DK"/>
        </w:rPr>
        <w:drawing>
          <wp:anchor distT="0" distB="0" distL="114300" distR="114300" simplePos="0" relativeHeight="251670528" behindDoc="1" locked="0" layoutInCell="1" allowOverlap="1" wp14:anchorId="27A86F40" wp14:editId="03C0C07F">
            <wp:simplePos x="0" y="0"/>
            <wp:positionH relativeFrom="column">
              <wp:posOffset>365760</wp:posOffset>
            </wp:positionH>
            <wp:positionV relativeFrom="paragraph">
              <wp:posOffset>215900</wp:posOffset>
            </wp:positionV>
            <wp:extent cx="5419725" cy="2874645"/>
            <wp:effectExtent l="0" t="0" r="9525" b="1905"/>
            <wp:wrapTight wrapText="bothSides">
              <wp:wrapPolygon edited="0">
                <wp:start x="0" y="0"/>
                <wp:lineTo x="0" y="21471"/>
                <wp:lineTo x="21562" y="21471"/>
                <wp:lineTo x="21562"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 component.png"/>
                    <pic:cNvPicPr/>
                  </pic:nvPicPr>
                  <pic:blipFill>
                    <a:blip r:embed="rId27">
                      <a:extLst>
                        <a:ext uri="{28A0092B-C50C-407E-A947-70E740481C1C}">
                          <a14:useLocalDpi xmlns:a14="http://schemas.microsoft.com/office/drawing/2010/main" val="0"/>
                        </a:ext>
                      </a:extLst>
                    </a:blip>
                    <a:stretch>
                      <a:fillRect/>
                    </a:stretch>
                  </pic:blipFill>
                  <pic:spPr>
                    <a:xfrm>
                      <a:off x="0" y="0"/>
                      <a:ext cx="5419725" cy="287464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71552" behindDoc="0" locked="0" layoutInCell="1" allowOverlap="1" wp14:anchorId="14A57E3D" wp14:editId="2BE8A32F">
                <wp:simplePos x="0" y="0"/>
                <wp:positionH relativeFrom="column">
                  <wp:posOffset>451485</wp:posOffset>
                </wp:positionH>
                <wp:positionV relativeFrom="paragraph">
                  <wp:posOffset>17145</wp:posOffset>
                </wp:positionV>
                <wp:extent cx="5419725" cy="635"/>
                <wp:effectExtent l="0" t="0" r="9525" b="2540"/>
                <wp:wrapTight wrapText="bothSides">
                  <wp:wrapPolygon edited="0">
                    <wp:start x="0" y="0"/>
                    <wp:lineTo x="0" y="20420"/>
                    <wp:lineTo x="21562" y="20420"/>
                    <wp:lineTo x="21562" y="0"/>
                    <wp:lineTo x="0" y="0"/>
                  </wp:wrapPolygon>
                </wp:wrapTight>
                <wp:docPr id="13" name="Tekstboks 13"/>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rsidR="00CF205E" w:rsidRPr="00CA14C6" w:rsidRDefault="00CF205E" w:rsidP="00762725">
                            <w:pPr>
                              <w:pStyle w:val="Billedtekst"/>
                              <w:rPr>
                                <w:noProof/>
                                <w:color w:val="auto"/>
                                <w:sz w:val="36"/>
                                <w:lang w:val="en-US"/>
                              </w:rPr>
                            </w:pPr>
                            <w:r>
                              <w:rPr>
                                <w:color w:val="auto"/>
                                <w:sz w:val="24"/>
                                <w:lang w:val="en-US"/>
                              </w:rPr>
                              <w:t>Model 2</w:t>
                            </w:r>
                            <w:r w:rsidRPr="00CA14C6">
                              <w:rPr>
                                <w:color w:val="auto"/>
                                <w:sz w:val="24"/>
                                <w:lang w:val="en-US"/>
                              </w:rPr>
                              <w:t>: The Rhetorical Arena: Macro Component</w:t>
                            </w:r>
                            <w:r>
                              <w:rPr>
                                <w:color w:val="auto"/>
                                <w:sz w:val="24"/>
                                <w:lang w:val="en-US"/>
                              </w:rPr>
                              <w:t xml:space="preserve"> </w:t>
                            </w:r>
                            <w:sdt>
                              <w:sdtPr>
                                <w:rPr>
                                  <w:color w:val="auto"/>
                                  <w:sz w:val="24"/>
                                  <w:lang w:val="en-US"/>
                                </w:rPr>
                                <w:id w:val="-2019217427"/>
                                <w:citation/>
                              </w:sdtPr>
                              <w:sdtContent>
                                <w:r>
                                  <w:rPr>
                                    <w:color w:val="auto"/>
                                    <w:sz w:val="24"/>
                                    <w:lang w:val="en-US"/>
                                  </w:rPr>
                                  <w:fldChar w:fldCharType="begin"/>
                                </w:r>
                                <w:r>
                                  <w:rPr>
                                    <w:color w:val="auto"/>
                                    <w:sz w:val="24"/>
                                    <w:lang w:val="en-US"/>
                                  </w:rPr>
                                  <w:instrText xml:space="preserve">CITATION Fra12 \t  \l 1030 </w:instrText>
                                </w:r>
                                <w:r>
                                  <w:rPr>
                                    <w:color w:val="auto"/>
                                    <w:sz w:val="24"/>
                                    <w:lang w:val="en-US"/>
                                  </w:rPr>
                                  <w:fldChar w:fldCharType="separate"/>
                                </w:r>
                                <w:r w:rsidRPr="00F623D4">
                                  <w:rPr>
                                    <w:noProof/>
                                    <w:color w:val="auto"/>
                                    <w:sz w:val="24"/>
                                    <w:lang w:val="en-US"/>
                                  </w:rPr>
                                  <w:t>(Frandsen and Johansen 2012)</w:t>
                                </w:r>
                                <w:r>
                                  <w:rPr>
                                    <w:color w:val="auto"/>
                                    <w:sz w:val="24"/>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3" o:spid="_x0000_s1032" type="#_x0000_t202" style="position:absolute;left:0;text-align:left;margin-left:35.55pt;margin-top:1.35pt;width:426.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" stroked="f">
                <v:textbox style="mso-fit-shape-to-text:t" inset="0,0,0,0">
                  <w:txbxContent>
                    <w:p w:rsidR="00CF205E" w:rsidRPr="00CA14C6" w:rsidRDefault="00CF205E" w:rsidP="00762725">
                      <w:pPr>
                        <w:pStyle w:val="Billedtekst"/>
                        <w:rPr>
                          <w:noProof/>
                          <w:color w:val="auto"/>
                          <w:sz w:val="36"/>
                          <w:lang w:val="en-US"/>
                        </w:rPr>
                      </w:pPr>
                      <w:r>
                        <w:rPr>
                          <w:color w:val="auto"/>
                          <w:sz w:val="24"/>
                          <w:lang w:val="en-US"/>
                        </w:rPr>
                        <w:t>Model 2</w:t>
                      </w:r>
                      <w:r w:rsidRPr="00CA14C6">
                        <w:rPr>
                          <w:color w:val="auto"/>
                          <w:sz w:val="24"/>
                          <w:lang w:val="en-US"/>
                        </w:rPr>
                        <w:t>: The Rhetorical Arena: Macro Component</w:t>
                      </w:r>
                      <w:r>
                        <w:rPr>
                          <w:color w:val="auto"/>
                          <w:sz w:val="24"/>
                          <w:lang w:val="en-US"/>
                        </w:rPr>
                        <w:t xml:space="preserve"> </w:t>
                      </w:r>
                      <w:sdt>
                        <w:sdtPr>
                          <w:rPr>
                            <w:color w:val="auto"/>
                            <w:sz w:val="24"/>
                            <w:lang w:val="en-US"/>
                          </w:rPr>
                          <w:id w:val="-2019217427"/>
                          <w:citation/>
                        </w:sdtPr>
                        <w:sdtContent>
                          <w:r>
                            <w:rPr>
                              <w:color w:val="auto"/>
                              <w:sz w:val="24"/>
                              <w:lang w:val="en-US"/>
                            </w:rPr>
                            <w:fldChar w:fldCharType="begin"/>
                          </w:r>
                          <w:r>
                            <w:rPr>
                              <w:color w:val="auto"/>
                              <w:sz w:val="24"/>
                              <w:lang w:val="en-US"/>
                            </w:rPr>
                            <w:instrText xml:space="preserve">CITATION Fra12 \t  \l 1030 </w:instrText>
                          </w:r>
                          <w:r>
                            <w:rPr>
                              <w:color w:val="auto"/>
                              <w:sz w:val="24"/>
                              <w:lang w:val="en-US"/>
                            </w:rPr>
                            <w:fldChar w:fldCharType="separate"/>
                          </w:r>
                          <w:r w:rsidRPr="00F623D4">
                            <w:rPr>
                              <w:noProof/>
                              <w:color w:val="auto"/>
                              <w:sz w:val="24"/>
                              <w:lang w:val="en-US"/>
                            </w:rPr>
                            <w:t>(Frandsen and Johansen 2012)</w:t>
                          </w:r>
                          <w:r>
                            <w:rPr>
                              <w:color w:val="auto"/>
                              <w:sz w:val="24"/>
                              <w:lang w:val="en-US"/>
                            </w:rPr>
                            <w:fldChar w:fldCharType="end"/>
                          </w:r>
                        </w:sdtContent>
                      </w:sdt>
                    </w:p>
                  </w:txbxContent>
                </v:textbox>
                <w10:wrap type="tight"/>
              </v:shape>
            </w:pict>
          </mc:Fallback>
        </mc:AlternateContent>
      </w:r>
      <w:r w:rsidR="00762725">
        <w:rPr>
          <w:lang w:val="en-US"/>
        </w:rPr>
        <w:t xml:space="preserve">  </w:t>
      </w:r>
    </w:p>
    <w:p w:rsidR="008C1C66" w:rsidRDefault="008C1C66" w:rsidP="00337119">
      <w:pPr>
        <w:rPr>
          <w:lang w:val="en-US"/>
        </w:rPr>
      </w:pPr>
    </w:p>
    <w:p w:rsidR="008C1C66" w:rsidRDefault="008C1C66" w:rsidP="00337119">
      <w:pPr>
        <w:rPr>
          <w:lang w:val="en-US"/>
        </w:rPr>
      </w:pPr>
    </w:p>
    <w:p w:rsidR="008C1C66" w:rsidRDefault="008C1C66" w:rsidP="00337119">
      <w:pPr>
        <w:rPr>
          <w:lang w:val="en-US"/>
        </w:rPr>
      </w:pPr>
    </w:p>
    <w:p w:rsidR="008C1C66" w:rsidRDefault="008C1C66" w:rsidP="00337119">
      <w:pPr>
        <w:rPr>
          <w:lang w:val="en-US"/>
        </w:rPr>
      </w:pPr>
    </w:p>
    <w:p w:rsidR="008C1C66" w:rsidRDefault="008C1C66" w:rsidP="00337119">
      <w:pPr>
        <w:rPr>
          <w:lang w:val="en-US"/>
        </w:rPr>
      </w:pPr>
    </w:p>
    <w:p w:rsidR="008C1C66" w:rsidRDefault="008C1C66" w:rsidP="00337119">
      <w:pPr>
        <w:rPr>
          <w:lang w:val="en-US"/>
        </w:rPr>
      </w:pPr>
    </w:p>
    <w:p w:rsidR="008C1C66" w:rsidRDefault="008C1C66" w:rsidP="00337119">
      <w:pPr>
        <w:rPr>
          <w:lang w:val="en-US"/>
        </w:rPr>
      </w:pPr>
    </w:p>
    <w:p w:rsidR="008C1C66" w:rsidRDefault="008C1C66" w:rsidP="00337119">
      <w:pPr>
        <w:rPr>
          <w:lang w:val="en-US"/>
        </w:rPr>
      </w:pPr>
    </w:p>
    <w:p w:rsidR="00762725" w:rsidRDefault="00762725" w:rsidP="00337119">
      <w:pPr>
        <w:spacing w:line="360" w:lineRule="auto"/>
        <w:rPr>
          <w:lang w:val="en-US"/>
        </w:rPr>
      </w:pPr>
      <w:r>
        <w:rPr>
          <w:lang w:val="en-US"/>
        </w:rPr>
        <w:t xml:space="preserve">The different influential standing of the many actors within the arena is determined on the basis of their degree of power, communicative access, strategic advantage and social and economic capital, which differentiates the stakeholders from each other. Based on the influential capital of each actor/stakeholder, </w:t>
      </w:r>
      <w:r w:rsidR="006F7C71">
        <w:rPr>
          <w:lang w:val="en-US"/>
        </w:rPr>
        <w:t>an organization can direct its</w:t>
      </w:r>
      <w:r>
        <w:rPr>
          <w:lang w:val="en-US"/>
        </w:rPr>
        <w:t xml:space="preserve"> crisis communication at the most prominent, arguably increasing the efficiency of the</w:t>
      </w:r>
      <w:r w:rsidR="00B370E1">
        <w:rPr>
          <w:lang w:val="en-US"/>
        </w:rPr>
        <w:t xml:space="preserve"> communication applied and its</w:t>
      </w:r>
      <w:r>
        <w:rPr>
          <w:lang w:val="en-US"/>
        </w:rPr>
        <w:t xml:space="preserve"> image and reputational defense (Ibid: 277-279).</w:t>
      </w:r>
    </w:p>
    <w:p w:rsidR="00762725" w:rsidRDefault="00D65599" w:rsidP="00337119">
      <w:pPr>
        <w:pStyle w:val="Overskrift3"/>
        <w:spacing w:line="360" w:lineRule="auto"/>
        <w:rPr>
          <w:lang w:val="en-US"/>
        </w:rPr>
      </w:pPr>
      <w:bookmarkStart w:id="55" w:name="_Toc420075824"/>
      <w:bookmarkStart w:id="56" w:name="_Toc420761637"/>
      <w:r>
        <w:rPr>
          <w:lang w:val="en-US"/>
        </w:rPr>
        <w:t>4</w:t>
      </w:r>
      <w:r w:rsidR="00762725">
        <w:rPr>
          <w:lang w:val="en-US"/>
        </w:rPr>
        <w:t>.6.2 Micro Component: Inside The Rhetorical Arena</w:t>
      </w:r>
      <w:bookmarkEnd w:id="55"/>
      <w:bookmarkEnd w:id="56"/>
    </w:p>
    <w:p w:rsidR="00762725" w:rsidRDefault="00762725" w:rsidP="00337119">
      <w:pPr>
        <w:spacing w:line="360" w:lineRule="auto"/>
        <w:rPr>
          <w:lang w:val="en-US"/>
        </w:rPr>
      </w:pPr>
      <w:r>
        <w:rPr>
          <w:lang w:val="en-US"/>
        </w:rPr>
        <w:t xml:space="preserve">The micro component of The Rhetorical Arena represents the rhetorical or socio-discursive aspects of the communication within the arena. This model component is seen as a supplement to the already existing crisis response strategies of Benoit and Coombs, where the </w:t>
      </w:r>
      <w:r>
        <w:rPr>
          <w:i/>
          <w:lang w:val="en-US"/>
        </w:rPr>
        <w:t xml:space="preserve">context, medium, genre </w:t>
      </w:r>
      <w:r>
        <w:rPr>
          <w:lang w:val="en-US"/>
        </w:rPr>
        <w:lastRenderedPageBreak/>
        <w:t xml:space="preserve">and </w:t>
      </w:r>
      <w:r>
        <w:rPr>
          <w:i/>
          <w:lang w:val="en-US"/>
        </w:rPr>
        <w:t>text</w:t>
      </w:r>
      <w:r>
        <w:rPr>
          <w:lang w:val="en-US"/>
        </w:rPr>
        <w:t xml:space="preserve"> parameters and choices influences the application of the specific strategies. The various strategies are directed by rhetorical conditions, which to some extent frame the crisis communication in place. The micro component is inspired by text and discourse theories, constituting a socio-discursive model with three entities, being </w:t>
      </w:r>
      <w:r>
        <w:rPr>
          <w:i/>
          <w:lang w:val="en-US"/>
        </w:rPr>
        <w:t>senders, receivers</w:t>
      </w:r>
      <w:r>
        <w:rPr>
          <w:lang w:val="en-US"/>
        </w:rPr>
        <w:t xml:space="preserve"> and the </w:t>
      </w:r>
      <w:r>
        <w:rPr>
          <w:i/>
          <w:lang w:val="en-US"/>
        </w:rPr>
        <w:t xml:space="preserve">crisis communication </w:t>
      </w:r>
      <w:r>
        <w:rPr>
          <w:lang w:val="en-US"/>
        </w:rPr>
        <w:t>itself – together with the four parameters represented (illustrated in Model 3)</w:t>
      </w:r>
      <w:sdt>
        <w:sdtPr>
          <w:rPr>
            <w:lang w:val="en-US"/>
          </w:rPr>
          <w:id w:val="1727567289"/>
          <w:citation/>
        </w:sdtPr>
        <w:sdtContent>
          <w:r w:rsidR="008C1C66">
            <w:rPr>
              <w:lang w:val="en-US"/>
            </w:rPr>
            <w:fldChar w:fldCharType="begin"/>
          </w:r>
          <w:r w:rsidR="008C1C66">
            <w:rPr>
              <w:lang w:val="en-US"/>
            </w:rPr>
            <w:instrText xml:space="preserve">CITATION Fin07 \p 280-281 \t  \l 1030 </w:instrText>
          </w:r>
          <w:r w:rsidR="008C1C66">
            <w:rPr>
              <w:lang w:val="en-US"/>
            </w:rPr>
            <w:fldChar w:fldCharType="separate"/>
          </w:r>
          <w:r w:rsidR="00F623D4">
            <w:rPr>
              <w:noProof/>
              <w:lang w:val="en-US"/>
            </w:rPr>
            <w:t xml:space="preserve"> (Frandsen and Johansen 2007, 280-281)</w:t>
          </w:r>
          <w:r w:rsidR="008C1C66">
            <w:rPr>
              <w:lang w:val="en-US"/>
            </w:rPr>
            <w:fldChar w:fldCharType="end"/>
          </w:r>
        </w:sdtContent>
      </w:sdt>
      <w:r>
        <w:rPr>
          <w:lang w:val="en-US"/>
        </w:rPr>
        <w:t xml:space="preserve">. The </w:t>
      </w:r>
      <w:r>
        <w:rPr>
          <w:i/>
          <w:lang w:val="en-US"/>
        </w:rPr>
        <w:t xml:space="preserve">senders </w:t>
      </w:r>
      <w:r>
        <w:rPr>
          <w:lang w:val="en-US"/>
        </w:rPr>
        <w:t xml:space="preserve">and </w:t>
      </w:r>
      <w:r>
        <w:rPr>
          <w:i/>
          <w:lang w:val="en-US"/>
        </w:rPr>
        <w:t xml:space="preserve">receivers </w:t>
      </w:r>
      <w:r>
        <w:rPr>
          <w:lang w:val="en-US"/>
        </w:rPr>
        <w:t xml:space="preserve">refer to the actors of the macro component, where they, in the communication process, attempt to create meaning towards themselves and others – defined by interests, behavior and attributions (Coombs). The </w:t>
      </w:r>
      <w:r>
        <w:rPr>
          <w:i/>
          <w:lang w:val="en-US"/>
        </w:rPr>
        <w:t xml:space="preserve">crisis communication </w:t>
      </w:r>
      <w:r>
        <w:rPr>
          <w:lang w:val="en-US"/>
        </w:rPr>
        <w:t xml:space="preserve">entity signifies the crisis response strategies available and all of the connected forms of expression, meaning the use of words, as well as pictures, actions, </w:t>
      </w:r>
      <w:r w:rsidR="00926632">
        <w:rPr>
          <w:lang w:val="en-US"/>
        </w:rPr>
        <w:t xml:space="preserve">and so on. </w:t>
      </w:r>
      <w:r>
        <w:rPr>
          <w:lang w:val="en-US"/>
        </w:rPr>
        <w:t xml:space="preserve">Consequently, Frandsen and Johansen apply a more complex and dynamic configuration of crisis communication – in order to accommodate the multi-vocal arena (Ibid: 281-282). </w:t>
      </w:r>
    </w:p>
    <w:p w:rsidR="00762725" w:rsidRDefault="002B3741" w:rsidP="00337119">
      <w:pPr>
        <w:spacing w:line="360" w:lineRule="auto"/>
        <w:rPr>
          <w:lang w:val="en-US"/>
        </w:rPr>
      </w:pPr>
      <w:r>
        <w:rPr>
          <w:noProof/>
          <w:lang w:eastAsia="da-DK"/>
        </w:rPr>
        <mc:AlternateContent>
          <mc:Choice Requires="wps">
            <w:drawing>
              <wp:anchor distT="0" distB="0" distL="114300" distR="114300" simplePos="0" relativeHeight="251673600" behindDoc="0" locked="0" layoutInCell="1" allowOverlap="1" wp14:anchorId="67B3A90D" wp14:editId="7269468A">
                <wp:simplePos x="0" y="0"/>
                <wp:positionH relativeFrom="column">
                  <wp:posOffset>203835</wp:posOffset>
                </wp:positionH>
                <wp:positionV relativeFrom="paragraph">
                  <wp:posOffset>190500</wp:posOffset>
                </wp:positionV>
                <wp:extent cx="5695950" cy="635"/>
                <wp:effectExtent l="0" t="0" r="0" b="2540"/>
                <wp:wrapTight wrapText="bothSides">
                  <wp:wrapPolygon edited="0">
                    <wp:start x="0" y="0"/>
                    <wp:lineTo x="0" y="20420"/>
                    <wp:lineTo x="21528" y="20420"/>
                    <wp:lineTo x="21528" y="0"/>
                    <wp:lineTo x="0" y="0"/>
                  </wp:wrapPolygon>
                </wp:wrapTight>
                <wp:docPr id="15" name="Tekstboks 15"/>
                <wp:cNvGraphicFramePr/>
                <a:graphic xmlns:a="http://schemas.openxmlformats.org/drawingml/2006/main">
                  <a:graphicData uri="http://schemas.microsoft.com/office/word/2010/wordprocessingShape">
                    <wps:wsp>
                      <wps:cNvSpPr txBox="1"/>
                      <wps:spPr>
                        <a:xfrm>
                          <a:off x="0" y="0"/>
                          <a:ext cx="5695950" cy="635"/>
                        </a:xfrm>
                        <a:prstGeom prst="rect">
                          <a:avLst/>
                        </a:prstGeom>
                        <a:solidFill>
                          <a:prstClr val="white"/>
                        </a:solidFill>
                        <a:ln>
                          <a:noFill/>
                        </a:ln>
                        <a:effectLst/>
                      </wps:spPr>
                      <wps:txbx>
                        <w:txbxContent>
                          <w:p w:rsidR="00CF205E" w:rsidRPr="0013374B" w:rsidRDefault="00CF205E" w:rsidP="00762725">
                            <w:pPr>
                              <w:pStyle w:val="Billedtekst"/>
                              <w:rPr>
                                <w:noProof/>
                                <w:color w:val="auto"/>
                                <w:sz w:val="36"/>
                                <w:lang w:val="en-US"/>
                              </w:rPr>
                            </w:pPr>
                            <w:r>
                              <w:rPr>
                                <w:color w:val="auto"/>
                                <w:sz w:val="24"/>
                                <w:lang w:val="en-US"/>
                              </w:rPr>
                              <w:t>Model</w:t>
                            </w:r>
                            <w:r w:rsidRPr="0013374B">
                              <w:rPr>
                                <w:color w:val="auto"/>
                                <w:sz w:val="24"/>
                                <w:lang w:val="en-US"/>
                              </w:rPr>
                              <w:t xml:space="preserve"> </w:t>
                            </w:r>
                            <w:r w:rsidRPr="003D048A">
                              <w:rPr>
                                <w:color w:val="auto"/>
                                <w:sz w:val="24"/>
                                <w:lang w:val="en-US"/>
                              </w:rPr>
                              <w:t>3</w:t>
                            </w:r>
                            <w:r w:rsidRPr="0013374B">
                              <w:rPr>
                                <w:color w:val="auto"/>
                                <w:sz w:val="24"/>
                                <w:lang w:val="en-US"/>
                              </w:rPr>
                              <w:t xml:space="preserve">: The Rhetorical Arena: Micro Component </w:t>
                            </w:r>
                            <w:sdt>
                              <w:sdtPr>
                                <w:rPr>
                                  <w:color w:val="auto"/>
                                  <w:sz w:val="24"/>
                                  <w:lang w:val="en-US"/>
                                </w:rPr>
                                <w:id w:val="588976005"/>
                                <w:citation/>
                              </w:sdtPr>
                              <w:sdtContent>
                                <w:r w:rsidRPr="0013374B">
                                  <w:rPr>
                                    <w:color w:val="auto"/>
                                    <w:sz w:val="24"/>
                                    <w:lang w:val="en-US"/>
                                  </w:rPr>
                                  <w:fldChar w:fldCharType="begin"/>
                                </w:r>
                                <w:r w:rsidRPr="0013374B">
                                  <w:rPr>
                                    <w:color w:val="auto"/>
                                    <w:sz w:val="24"/>
                                    <w:lang w:val="en-US"/>
                                  </w:rPr>
                                  <w:instrText xml:space="preserve">CITATION Fin07 \p 284 \t  \l 1030 </w:instrText>
                                </w:r>
                                <w:r w:rsidRPr="0013374B">
                                  <w:rPr>
                                    <w:color w:val="auto"/>
                                    <w:sz w:val="24"/>
                                    <w:lang w:val="en-US"/>
                                  </w:rPr>
                                  <w:fldChar w:fldCharType="separate"/>
                                </w:r>
                                <w:r w:rsidRPr="00F623D4">
                                  <w:rPr>
                                    <w:noProof/>
                                    <w:color w:val="auto"/>
                                    <w:sz w:val="24"/>
                                    <w:lang w:val="en-US"/>
                                  </w:rPr>
                                  <w:t>(Frandsen and Johansen 2007, 284)</w:t>
                                </w:r>
                                <w:r w:rsidRPr="0013374B">
                                  <w:rPr>
                                    <w:color w:val="auto"/>
                                    <w:sz w:val="24"/>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15" o:spid="_x0000_s1033" type="#_x0000_t202" style="position:absolute;left:0;text-align:left;margin-left:16.05pt;margin-top:15pt;width:448.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" stroked="f">
                <v:textbox style="mso-fit-shape-to-text:t" inset="0,0,0,0">
                  <w:txbxContent>
                    <w:p w:rsidR="00CF205E" w:rsidRPr="0013374B" w:rsidRDefault="00CF205E" w:rsidP="00762725">
                      <w:pPr>
                        <w:pStyle w:val="Billedtekst"/>
                        <w:rPr>
                          <w:noProof/>
                          <w:color w:val="auto"/>
                          <w:sz w:val="36"/>
                          <w:lang w:val="en-US"/>
                        </w:rPr>
                      </w:pPr>
                      <w:r>
                        <w:rPr>
                          <w:color w:val="auto"/>
                          <w:sz w:val="24"/>
                          <w:lang w:val="en-US"/>
                        </w:rPr>
                        <w:t>Model</w:t>
                      </w:r>
                      <w:r w:rsidRPr="0013374B">
                        <w:rPr>
                          <w:color w:val="auto"/>
                          <w:sz w:val="24"/>
                          <w:lang w:val="en-US"/>
                        </w:rPr>
                        <w:t xml:space="preserve"> </w:t>
                      </w:r>
                      <w:r w:rsidRPr="003D048A">
                        <w:rPr>
                          <w:color w:val="auto"/>
                          <w:sz w:val="24"/>
                          <w:lang w:val="en-US"/>
                        </w:rPr>
                        <w:t>3</w:t>
                      </w:r>
                      <w:r w:rsidRPr="0013374B">
                        <w:rPr>
                          <w:color w:val="auto"/>
                          <w:sz w:val="24"/>
                          <w:lang w:val="en-US"/>
                        </w:rPr>
                        <w:t xml:space="preserve">: The Rhetorical Arena: Micro Component </w:t>
                      </w:r>
                      <w:sdt>
                        <w:sdtPr>
                          <w:rPr>
                            <w:color w:val="auto"/>
                            <w:sz w:val="24"/>
                            <w:lang w:val="en-US"/>
                          </w:rPr>
                          <w:id w:val="588976005"/>
                          <w:citation/>
                        </w:sdtPr>
                        <w:sdtContent>
                          <w:r w:rsidRPr="0013374B">
                            <w:rPr>
                              <w:color w:val="auto"/>
                              <w:sz w:val="24"/>
                              <w:lang w:val="en-US"/>
                            </w:rPr>
                            <w:fldChar w:fldCharType="begin"/>
                          </w:r>
                          <w:r w:rsidRPr="0013374B">
                            <w:rPr>
                              <w:color w:val="auto"/>
                              <w:sz w:val="24"/>
                              <w:lang w:val="en-US"/>
                            </w:rPr>
                            <w:instrText xml:space="preserve">CITATION Fin07 \p 284 \t  \l 1030 </w:instrText>
                          </w:r>
                          <w:r w:rsidRPr="0013374B">
                            <w:rPr>
                              <w:color w:val="auto"/>
                              <w:sz w:val="24"/>
                              <w:lang w:val="en-US"/>
                            </w:rPr>
                            <w:fldChar w:fldCharType="separate"/>
                          </w:r>
                          <w:r w:rsidRPr="00F623D4">
                            <w:rPr>
                              <w:noProof/>
                              <w:color w:val="auto"/>
                              <w:sz w:val="24"/>
                              <w:lang w:val="en-US"/>
                            </w:rPr>
                            <w:t>(Frandsen and Johansen 2007, 284)</w:t>
                          </w:r>
                          <w:r w:rsidRPr="0013374B">
                            <w:rPr>
                              <w:color w:val="auto"/>
                              <w:sz w:val="24"/>
                              <w:lang w:val="en-US"/>
                            </w:rPr>
                            <w:fldChar w:fldCharType="end"/>
                          </w:r>
                        </w:sdtContent>
                      </w:sdt>
                    </w:p>
                  </w:txbxContent>
                </v:textbox>
                <w10:wrap type="tight"/>
              </v:shape>
            </w:pict>
          </mc:Fallback>
        </mc:AlternateContent>
      </w:r>
      <w:r w:rsidR="00762725">
        <w:rPr>
          <w:lang w:val="en-US"/>
        </w:rPr>
        <w:t xml:space="preserve">  </w:t>
      </w:r>
    </w:p>
    <w:p w:rsidR="00762725" w:rsidRDefault="002B3741" w:rsidP="00337119">
      <w:pPr>
        <w:spacing w:line="360" w:lineRule="auto"/>
        <w:rPr>
          <w:lang w:val="en-US"/>
        </w:rPr>
      </w:pPr>
      <w:r>
        <w:rPr>
          <w:noProof/>
          <w:lang w:eastAsia="da-DK"/>
        </w:rPr>
        <w:drawing>
          <wp:anchor distT="0" distB="0" distL="114300" distR="114300" simplePos="0" relativeHeight="251672576" behindDoc="1" locked="0" layoutInCell="1" allowOverlap="1" wp14:anchorId="4BC40EC6" wp14:editId="3B779879">
            <wp:simplePos x="0" y="0"/>
            <wp:positionH relativeFrom="column">
              <wp:posOffset>-5631815</wp:posOffset>
            </wp:positionH>
            <wp:positionV relativeFrom="paragraph">
              <wp:posOffset>178435</wp:posOffset>
            </wp:positionV>
            <wp:extent cx="5248275" cy="2569845"/>
            <wp:effectExtent l="0" t="0" r="9525" b="1905"/>
            <wp:wrapTight wrapText="bothSides">
              <wp:wrapPolygon edited="0">
                <wp:start x="0" y="0"/>
                <wp:lineTo x="0" y="21456"/>
                <wp:lineTo x="21561" y="21456"/>
                <wp:lineTo x="21561"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 component.png"/>
                    <pic:cNvPicPr/>
                  </pic:nvPicPr>
                  <pic:blipFill>
                    <a:blip r:embed="rId28">
                      <a:extLst>
                        <a:ext uri="{28A0092B-C50C-407E-A947-70E740481C1C}">
                          <a14:useLocalDpi xmlns:a14="http://schemas.microsoft.com/office/drawing/2010/main" val="0"/>
                        </a:ext>
                      </a:extLst>
                    </a:blip>
                    <a:stretch>
                      <a:fillRect/>
                    </a:stretch>
                  </pic:blipFill>
                  <pic:spPr>
                    <a:xfrm>
                      <a:off x="0" y="0"/>
                      <a:ext cx="5248275" cy="2569845"/>
                    </a:xfrm>
                    <a:prstGeom prst="rect">
                      <a:avLst/>
                    </a:prstGeom>
                  </pic:spPr>
                </pic:pic>
              </a:graphicData>
            </a:graphic>
            <wp14:sizeRelH relativeFrom="page">
              <wp14:pctWidth>0</wp14:pctWidth>
            </wp14:sizeRelH>
            <wp14:sizeRelV relativeFrom="page">
              <wp14:pctHeight>0</wp14:pctHeight>
            </wp14:sizeRelV>
          </wp:anchor>
        </w:drawing>
      </w:r>
      <w:r w:rsidR="00762725">
        <w:rPr>
          <w:lang w:val="en-US"/>
        </w:rPr>
        <w:br w:type="page"/>
      </w:r>
      <w:r w:rsidR="00762725">
        <w:rPr>
          <w:lang w:val="en-US"/>
        </w:rPr>
        <w:lastRenderedPageBreak/>
        <w:t xml:space="preserve">The first parameter of the model is labeled as </w:t>
      </w:r>
      <w:r w:rsidR="00762725">
        <w:rPr>
          <w:i/>
          <w:lang w:val="en-US"/>
        </w:rPr>
        <w:t>context</w:t>
      </w:r>
      <w:r w:rsidR="00762725">
        <w:rPr>
          <w:lang w:val="en-US"/>
        </w:rPr>
        <w:t>, which is the main frame of the crisis communication, and it encapsulates the external</w:t>
      </w:r>
      <w:r w:rsidR="00646E5F">
        <w:rPr>
          <w:lang w:val="en-US"/>
        </w:rPr>
        <w:t xml:space="preserve"> and</w:t>
      </w:r>
      <w:r w:rsidR="00762725">
        <w:rPr>
          <w:lang w:val="en-US"/>
        </w:rPr>
        <w:t xml:space="preserve"> </w:t>
      </w:r>
      <w:r w:rsidR="00646E5F">
        <w:rPr>
          <w:lang w:val="en-US"/>
        </w:rPr>
        <w:t xml:space="preserve">internal </w:t>
      </w:r>
      <w:r w:rsidR="00762725">
        <w:rPr>
          <w:lang w:val="en-US"/>
        </w:rPr>
        <w:t xml:space="preserve">sociological </w:t>
      </w:r>
      <w:r w:rsidR="00646E5F">
        <w:rPr>
          <w:lang w:val="en-US"/>
        </w:rPr>
        <w:t xml:space="preserve">and </w:t>
      </w:r>
      <w:r w:rsidR="00762725">
        <w:rPr>
          <w:lang w:val="en-US"/>
        </w:rPr>
        <w:t>psychological context</w:t>
      </w:r>
      <w:r w:rsidR="00646E5F">
        <w:rPr>
          <w:lang w:val="en-US"/>
        </w:rPr>
        <w:t>s</w:t>
      </w:r>
      <w:r w:rsidR="00762725">
        <w:rPr>
          <w:lang w:val="en-US"/>
        </w:rPr>
        <w:t>. The sociological context aspect can be characterized by three different sub-contexts, being the societal and cultural context (national or international communication), organizational and institutional context (type of organization) and</w:t>
      </w:r>
      <w:r w:rsidR="00646E5F">
        <w:rPr>
          <w:lang w:val="en-US"/>
        </w:rPr>
        <w:t xml:space="preserve"> the situational context, relating to </w:t>
      </w:r>
      <w:r w:rsidR="00762725">
        <w:rPr>
          <w:lang w:val="en-US"/>
        </w:rPr>
        <w:t xml:space="preserve">Coombs’s representation of the reputational threat of a crisis, based on crisis type, as well as other conditions of the situation (time, place, target) (Ibid: 285). The ways in which the communication is facilitated is a significant parameter and labeled as the </w:t>
      </w:r>
      <w:r w:rsidR="00762725">
        <w:rPr>
          <w:i/>
          <w:lang w:val="en-US"/>
        </w:rPr>
        <w:t>medium</w:t>
      </w:r>
      <w:r w:rsidR="00762725">
        <w:rPr>
          <w:lang w:val="en-US"/>
        </w:rPr>
        <w:t xml:space="preserve">. Frandsen and Johansen differentiate between three main groups of mediums, being the printed media (newspapers), the electronic media (television) and the new media (internet, social media). The choice of </w:t>
      </w:r>
      <w:r w:rsidR="00762725">
        <w:rPr>
          <w:i/>
          <w:lang w:val="en-US"/>
        </w:rPr>
        <w:t>medium</w:t>
      </w:r>
      <w:r w:rsidR="00762725">
        <w:rPr>
          <w:lang w:val="en-US"/>
        </w:rPr>
        <w:t xml:space="preserve"> depends on the method </w:t>
      </w:r>
      <w:r w:rsidR="00EC2C1A">
        <w:rPr>
          <w:lang w:val="en-US"/>
        </w:rPr>
        <w:t>of which</w:t>
      </w:r>
      <w:r w:rsidR="00762725">
        <w:rPr>
          <w:lang w:val="en-US"/>
        </w:rPr>
        <w:t xml:space="preserve"> organization</w:t>
      </w:r>
      <w:r w:rsidR="00EC2C1A">
        <w:rPr>
          <w:lang w:val="en-US"/>
        </w:rPr>
        <w:t>s wish</w:t>
      </w:r>
      <w:r w:rsidR="00762725">
        <w:rPr>
          <w:lang w:val="en-US"/>
        </w:rPr>
        <w:t xml:space="preserve"> to communicate and who</w:t>
      </w:r>
      <w:r w:rsidR="00B370E1">
        <w:rPr>
          <w:lang w:val="en-US"/>
        </w:rPr>
        <w:t xml:space="preserve"> they want to communicate with</w:t>
      </w:r>
      <w:r w:rsidR="00274AF2">
        <w:rPr>
          <w:lang w:val="en-US"/>
        </w:rPr>
        <w:t xml:space="preserve"> – for example through the internet to quickly reach stakeholders online </w:t>
      </w:r>
      <w:r w:rsidR="00762725">
        <w:rPr>
          <w:lang w:val="en-US"/>
        </w:rPr>
        <w:t>(Ibid: 291-294).</w:t>
      </w:r>
    </w:p>
    <w:p w:rsidR="00A870FA" w:rsidRDefault="00762725" w:rsidP="00337119">
      <w:pPr>
        <w:spacing w:line="360" w:lineRule="auto"/>
        <w:rPr>
          <w:lang w:val="en-US"/>
        </w:rPr>
      </w:pPr>
      <w:r>
        <w:rPr>
          <w:lang w:val="en-US"/>
        </w:rPr>
        <w:t xml:space="preserve">The </w:t>
      </w:r>
      <w:r>
        <w:rPr>
          <w:i/>
          <w:lang w:val="en-US"/>
        </w:rPr>
        <w:t xml:space="preserve">genre </w:t>
      </w:r>
      <w:r>
        <w:rPr>
          <w:lang w:val="en-US"/>
        </w:rPr>
        <w:t xml:space="preserve">parameter is an aspect, which </w:t>
      </w:r>
      <w:r w:rsidR="00305C3C">
        <w:rPr>
          <w:lang w:val="en-US"/>
        </w:rPr>
        <w:t xml:space="preserve">defines the generic nature of texts </w:t>
      </w:r>
      <w:r>
        <w:rPr>
          <w:lang w:val="en-US"/>
        </w:rPr>
        <w:t>(Ibid: 295). If a group of texts share</w:t>
      </w:r>
      <w:r w:rsidR="00C74BA6">
        <w:rPr>
          <w:lang w:val="en-US"/>
        </w:rPr>
        <w:t xml:space="preserve"> the same communicative purpose and</w:t>
      </w:r>
      <w:r>
        <w:rPr>
          <w:lang w:val="en-US"/>
        </w:rPr>
        <w:t xml:space="preserve"> are similar in their </w:t>
      </w:r>
      <w:r w:rsidR="00C74BA6">
        <w:rPr>
          <w:lang w:val="en-US"/>
        </w:rPr>
        <w:t xml:space="preserve">rhetorical </w:t>
      </w:r>
      <w:r>
        <w:rPr>
          <w:lang w:val="en-US"/>
        </w:rPr>
        <w:t>structure</w:t>
      </w:r>
      <w:r w:rsidR="00C74BA6">
        <w:rPr>
          <w:lang w:val="en-US"/>
        </w:rPr>
        <w:t xml:space="preserve"> and content</w:t>
      </w:r>
      <w:r>
        <w:rPr>
          <w:lang w:val="en-US"/>
        </w:rPr>
        <w:t xml:space="preserve">, then it will be considered a genre. When referring to </w:t>
      </w:r>
      <w:r>
        <w:rPr>
          <w:i/>
          <w:lang w:val="en-US"/>
        </w:rPr>
        <w:t>genre</w:t>
      </w:r>
      <w:r>
        <w:rPr>
          <w:lang w:val="en-US"/>
        </w:rPr>
        <w:t xml:space="preserve"> in a crisis communication context, it is determined as </w:t>
      </w:r>
      <w:r>
        <w:rPr>
          <w:i/>
          <w:lang w:val="en-US"/>
        </w:rPr>
        <w:t>communication channels</w:t>
      </w:r>
      <w:r>
        <w:rPr>
          <w:lang w:val="en-US"/>
        </w:rPr>
        <w:t xml:space="preserve">, meaning that it does not have to be an actual text; it can also be internal meetings and press conferences. In the case of </w:t>
      </w:r>
      <w:r w:rsidR="00274AF2">
        <w:rPr>
          <w:lang w:val="en-US"/>
        </w:rPr>
        <w:t>o</w:t>
      </w:r>
      <w:r>
        <w:rPr>
          <w:lang w:val="en-US"/>
        </w:rPr>
        <w:t xml:space="preserve">rganizations, </w:t>
      </w:r>
      <w:r w:rsidR="00274AF2">
        <w:rPr>
          <w:lang w:val="en-US"/>
        </w:rPr>
        <w:t>the press release genre will be the primary genre applied</w:t>
      </w:r>
      <w:r>
        <w:rPr>
          <w:lang w:val="en-US"/>
        </w:rPr>
        <w:t>, facilitating a larger amount of information, which can be framed in the right manner – based on their strategic approach. (Ibid: 296). Press releases are defined as a genre with the purpose of being ‘absorbed’ by another genre (news articles), meaning that the content is a pre-formulation of what reaches t</w:t>
      </w:r>
      <w:r w:rsidR="00A870FA">
        <w:rPr>
          <w:lang w:val="en-US"/>
        </w:rPr>
        <w:t xml:space="preserve">he larger part of the audience </w:t>
      </w:r>
      <w:r>
        <w:rPr>
          <w:lang w:val="en-US"/>
        </w:rPr>
        <w:t xml:space="preserve">(Ibid: 298). </w:t>
      </w:r>
    </w:p>
    <w:p w:rsidR="00762725" w:rsidRDefault="00762725" w:rsidP="00337119">
      <w:pPr>
        <w:spacing w:line="360" w:lineRule="auto"/>
        <w:rPr>
          <w:lang w:val="en-US"/>
        </w:rPr>
      </w:pPr>
      <w:r>
        <w:rPr>
          <w:lang w:val="en-US"/>
        </w:rPr>
        <w:t xml:space="preserve">The last parameter is </w:t>
      </w:r>
      <w:r>
        <w:rPr>
          <w:i/>
          <w:lang w:val="en-US"/>
        </w:rPr>
        <w:t>text</w:t>
      </w:r>
      <w:r>
        <w:rPr>
          <w:lang w:val="en-US"/>
        </w:rPr>
        <w:t xml:space="preserve">, which encapsulates how rhetorical tactics are actualized and expressed. This parameter signifies the specific discourse and/or actions applied, meaning that it is the most essential parameter of this study. There are many ways in which each crisis response tactic can be conveyed. Frandsen and Johansen take </w:t>
      </w:r>
      <w:r w:rsidR="004D2F4F">
        <w:rPr>
          <w:lang w:val="en-US"/>
        </w:rPr>
        <w:t>tactics of denial</w:t>
      </w:r>
      <w:r>
        <w:rPr>
          <w:lang w:val="en-US"/>
        </w:rPr>
        <w:t xml:space="preserve"> as an example. There is a difference</w:t>
      </w:r>
      <w:r w:rsidR="00C74BA6">
        <w:rPr>
          <w:lang w:val="en-US"/>
        </w:rPr>
        <w:t xml:space="preserve"> in how a denial strategy</w:t>
      </w:r>
      <w:r w:rsidR="004D2F4F">
        <w:rPr>
          <w:lang w:val="en-US"/>
        </w:rPr>
        <w:t xml:space="preserve"> is expressed: denial can be directly expressed (‘we did not poison the water’), but also indirectly (‘it is a fact that the water is clean’)</w:t>
      </w:r>
      <w:sdt>
        <w:sdtPr>
          <w:rPr>
            <w:lang w:val="en-US"/>
          </w:rPr>
          <w:id w:val="650565616"/>
          <w:citation/>
        </w:sdtPr>
        <w:sdtContent>
          <w:r w:rsidR="004D2F4F">
            <w:rPr>
              <w:lang w:val="en-US"/>
            </w:rPr>
            <w:fldChar w:fldCharType="begin"/>
          </w:r>
          <w:r w:rsidR="004D2F4F">
            <w:rPr>
              <w:lang w:val="en-US"/>
            </w:rPr>
            <w:instrText xml:space="preserve">CITATION Fin07 \p 300 \t  \l 1030 </w:instrText>
          </w:r>
          <w:r w:rsidR="004D2F4F">
            <w:rPr>
              <w:lang w:val="en-US"/>
            </w:rPr>
            <w:fldChar w:fldCharType="separate"/>
          </w:r>
          <w:r w:rsidR="00F623D4">
            <w:rPr>
              <w:noProof/>
              <w:lang w:val="en-US"/>
            </w:rPr>
            <w:t xml:space="preserve"> (Frandsen and Johansen 2007, 300)</w:t>
          </w:r>
          <w:r w:rsidR="004D2F4F">
            <w:rPr>
              <w:lang w:val="en-US"/>
            </w:rPr>
            <w:fldChar w:fldCharType="end"/>
          </w:r>
        </w:sdtContent>
      </w:sdt>
      <w:r w:rsidR="004D2F4F">
        <w:rPr>
          <w:lang w:val="en-US"/>
        </w:rPr>
        <w:t>.</w:t>
      </w:r>
      <w:r>
        <w:rPr>
          <w:lang w:val="en-US"/>
        </w:rPr>
        <w:t xml:space="preserve"> The </w:t>
      </w:r>
      <w:r>
        <w:rPr>
          <w:i/>
          <w:lang w:val="en-US"/>
        </w:rPr>
        <w:t>text</w:t>
      </w:r>
      <w:r>
        <w:rPr>
          <w:lang w:val="en-US"/>
        </w:rPr>
        <w:t xml:space="preserve"> parameter is highly influenced by the other parameters, because the language and the frame thereof changes in accordance with the situational factors (crisis type, cultural </w:t>
      </w:r>
      <w:r w:rsidR="004D2F4F">
        <w:rPr>
          <w:lang w:val="en-US"/>
        </w:rPr>
        <w:t>setting and so forth) (Ibid: 300</w:t>
      </w:r>
      <w:r>
        <w:rPr>
          <w:lang w:val="en-US"/>
        </w:rPr>
        <w:t xml:space="preserve">-301). Neglecting the various crisis situation determiners can be harmful to the crisis communication in play. One major issue can be the tactical coherence of the crisis communication, </w:t>
      </w:r>
      <w:r>
        <w:rPr>
          <w:lang w:val="en-US"/>
        </w:rPr>
        <w:lastRenderedPageBreak/>
        <w:t>where different tactics are used in supplement to each other.</w:t>
      </w:r>
      <w:r w:rsidR="00C74BA6">
        <w:rPr>
          <w:lang w:val="en-US"/>
        </w:rPr>
        <w:t xml:space="preserve"> If an organization denies its</w:t>
      </w:r>
      <w:r>
        <w:rPr>
          <w:lang w:val="en-US"/>
        </w:rPr>
        <w:t xml:space="preserve"> implication in the incident and at the same time expresses the desire to compensate the victims, then there is a tactical misalignment (Ibid: 301), which is pointed out by Coombs as well</w:t>
      </w:r>
      <w:sdt>
        <w:sdtPr>
          <w:rPr>
            <w:lang w:val="en-US"/>
          </w:rPr>
          <w:id w:val="245152302"/>
          <w:citation/>
        </w:sdtPr>
        <w:sdtContent>
          <w:r>
            <w:rPr>
              <w:lang w:val="en-US"/>
            </w:rPr>
            <w:fldChar w:fldCharType="begin"/>
          </w:r>
          <w:r>
            <w:rPr>
              <w:lang w:val="en-US"/>
            </w:rPr>
            <w:instrText xml:space="preserve">CITATION WTi15 \p 152 \t  \l 1030 </w:instrText>
          </w:r>
          <w:r>
            <w:rPr>
              <w:lang w:val="en-US"/>
            </w:rPr>
            <w:fldChar w:fldCharType="separate"/>
          </w:r>
          <w:r w:rsidR="00F623D4">
            <w:rPr>
              <w:noProof/>
              <w:lang w:val="en-US"/>
            </w:rPr>
            <w:t xml:space="preserve"> (W. T. Coombs 2015, 152)</w:t>
          </w:r>
          <w:r>
            <w:rPr>
              <w:lang w:val="en-US"/>
            </w:rPr>
            <w:fldChar w:fldCharType="end"/>
          </w:r>
        </w:sdtContent>
      </w:sdt>
      <w:r>
        <w:rPr>
          <w:lang w:val="en-US"/>
        </w:rPr>
        <w:t>. Accordingly, this can derive conflicting discourses, which can counter the communicational effect an organization wishes to achieve.</w:t>
      </w:r>
    </w:p>
    <w:p w:rsidR="00762725" w:rsidRDefault="00D65599" w:rsidP="00337119">
      <w:pPr>
        <w:pStyle w:val="Overskrift2"/>
        <w:spacing w:line="360" w:lineRule="auto"/>
        <w:rPr>
          <w:lang w:val="en-US"/>
        </w:rPr>
      </w:pPr>
      <w:bookmarkStart w:id="57" w:name="_Toc420075825"/>
      <w:bookmarkStart w:id="58" w:name="_Toc420761638"/>
      <w:r>
        <w:rPr>
          <w:lang w:val="en-US"/>
        </w:rPr>
        <w:t>4</w:t>
      </w:r>
      <w:r w:rsidR="00762725">
        <w:rPr>
          <w:lang w:val="en-US"/>
        </w:rPr>
        <w:t>.7 Reflective Deduction</w:t>
      </w:r>
      <w:bookmarkEnd w:id="57"/>
      <w:bookmarkEnd w:id="58"/>
    </w:p>
    <w:p w:rsidR="00762725" w:rsidRDefault="00762725" w:rsidP="00337119">
      <w:pPr>
        <w:spacing w:line="360" w:lineRule="auto"/>
        <w:rPr>
          <w:lang w:val="en-US"/>
        </w:rPr>
      </w:pPr>
      <w:r>
        <w:rPr>
          <w:lang w:val="en-US"/>
        </w:rPr>
        <w:t>Frandsen and Johansen’s Rhetorical Arena model does not directly apply prescriptive guidelines for how an organization should communicate in a crisis, as done by Coombs (Ibid: 159) and to some extent Benoit</w:t>
      </w:r>
      <w:sdt>
        <w:sdtPr>
          <w:rPr>
            <w:lang w:val="en-US"/>
          </w:rPr>
          <w:id w:val="-881554164"/>
          <w:citation/>
        </w:sdtPr>
        <w:sdtContent>
          <w:r>
            <w:rPr>
              <w:lang w:val="en-US"/>
            </w:rPr>
            <w:fldChar w:fldCharType="begin"/>
          </w:r>
          <w:r>
            <w:rPr>
              <w:lang w:val="en-US"/>
            </w:rPr>
            <w:instrText xml:space="preserve">CITATION Ben97 \p 182-184 \l 1030 </w:instrText>
          </w:r>
          <w:r>
            <w:rPr>
              <w:lang w:val="en-US"/>
            </w:rPr>
            <w:fldChar w:fldCharType="separate"/>
          </w:r>
          <w:r w:rsidR="00F623D4">
            <w:rPr>
              <w:noProof/>
              <w:lang w:val="en-US"/>
            </w:rPr>
            <w:t xml:space="preserve"> (W. L. Benoit 1997, 182-184)</w:t>
          </w:r>
          <w:r>
            <w:rPr>
              <w:lang w:val="en-US"/>
            </w:rPr>
            <w:fldChar w:fldCharType="end"/>
          </w:r>
        </w:sdtContent>
      </w:sdt>
      <w:r>
        <w:rPr>
          <w:lang w:val="en-US"/>
        </w:rPr>
        <w:t>. However, they provide an extensive range of parameters with direct influence to the crisis communication process, which can prove valuabl</w:t>
      </w:r>
      <w:r w:rsidR="00F93EEB">
        <w:rPr>
          <w:lang w:val="en-US"/>
        </w:rPr>
        <w:t>e in a practical sense, but more</w:t>
      </w:r>
      <w:r>
        <w:rPr>
          <w:lang w:val="en-US"/>
        </w:rPr>
        <w:t xml:space="preserve"> in terms of an evaluation and analysis of the communication in an organizational crisis. </w:t>
      </w:r>
    </w:p>
    <w:p w:rsidR="00762725" w:rsidRDefault="00762725" w:rsidP="00337119">
      <w:pPr>
        <w:spacing w:line="360" w:lineRule="auto"/>
        <w:rPr>
          <w:lang w:val="en-US"/>
        </w:rPr>
      </w:pPr>
      <w:r>
        <w:rPr>
          <w:lang w:val="en-US"/>
        </w:rPr>
        <w:t xml:space="preserve">The macro component of the two-layered model can be utilized in a preliminary evaluation of the organizational crisis of Mozilla, where the various actors and their overall communicative role can be determined. A determination of external actors, their interests in play and </w:t>
      </w:r>
      <w:r>
        <w:rPr>
          <w:i/>
          <w:lang w:val="en-US"/>
        </w:rPr>
        <w:t xml:space="preserve">what </w:t>
      </w:r>
      <w:r>
        <w:rPr>
          <w:lang w:val="en-US"/>
        </w:rPr>
        <w:t>they communicate can be valuable – so as to determine whether or not the organization, through their discourse, sufficiently addresses the perceived issue of the crisis</w:t>
      </w:r>
      <w:r w:rsidR="00283C19">
        <w:rPr>
          <w:lang w:val="en-US"/>
        </w:rPr>
        <w:t xml:space="preserve"> </w:t>
      </w:r>
      <w:r>
        <w:rPr>
          <w:lang w:val="en-US"/>
        </w:rPr>
        <w:t xml:space="preserve">– also concerning the analysis of conflicting discourses. </w:t>
      </w:r>
    </w:p>
    <w:p w:rsidR="00762725" w:rsidRDefault="00762725" w:rsidP="00337119">
      <w:pPr>
        <w:spacing w:line="360" w:lineRule="auto"/>
        <w:rPr>
          <w:lang w:val="en-US"/>
        </w:rPr>
      </w:pPr>
      <w:r>
        <w:rPr>
          <w:lang w:val="en-US"/>
        </w:rPr>
        <w:t>As mentioned in the beginning of this chapter, The Rhetorical Arena will function as the frame of this study’s theoretical framework of crisis communication. Accordingly, the socio-discursive or micro model component will represent this frame, where the established unification of Benoit and Coombs’s crisis response strategies will be the center of the model, which can be seen in Model 4.</w:t>
      </w:r>
    </w:p>
    <w:p w:rsidR="00E61E16" w:rsidRPr="004230E4" w:rsidRDefault="009B7A92" w:rsidP="00337119">
      <w:pPr>
        <w:spacing w:line="360" w:lineRule="auto"/>
        <w:rPr>
          <w:lang w:val="en-US"/>
        </w:rPr>
      </w:pPr>
      <w:r>
        <w:rPr>
          <w:noProof/>
          <w:lang w:eastAsia="da-DK"/>
        </w:rPr>
        <w:lastRenderedPageBreak/>
        <w:drawing>
          <wp:anchor distT="0" distB="0" distL="114300" distR="114300" simplePos="0" relativeHeight="251674624" behindDoc="1" locked="0" layoutInCell="1" allowOverlap="1" wp14:anchorId="369AD073" wp14:editId="6C3B99B3">
            <wp:simplePos x="0" y="0"/>
            <wp:positionH relativeFrom="column">
              <wp:posOffset>3810</wp:posOffset>
            </wp:positionH>
            <wp:positionV relativeFrom="paragraph">
              <wp:posOffset>231140</wp:posOffset>
            </wp:positionV>
            <wp:extent cx="6120130" cy="3500755"/>
            <wp:effectExtent l="0" t="0" r="0" b="4445"/>
            <wp:wrapTight wrapText="bothSides">
              <wp:wrapPolygon edited="0">
                <wp:start x="0" y="0"/>
                <wp:lineTo x="0" y="21510"/>
                <wp:lineTo x="21515" y="21510"/>
                <wp:lineTo x="21515"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is communicaiton matrix.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3500755"/>
                    </a:xfrm>
                    <a:prstGeom prst="rect">
                      <a:avLst/>
                    </a:prstGeom>
                  </pic:spPr>
                </pic:pic>
              </a:graphicData>
            </a:graphic>
            <wp14:sizeRelH relativeFrom="page">
              <wp14:pctWidth>0</wp14:pctWidth>
            </wp14:sizeRelH>
            <wp14:sizeRelV relativeFrom="page">
              <wp14:pctHeight>0</wp14:pctHeight>
            </wp14:sizeRelV>
          </wp:anchor>
        </w:drawing>
      </w:r>
      <w:r w:rsidR="00762725">
        <w:rPr>
          <w:noProof/>
          <w:lang w:eastAsia="da-DK"/>
        </w:rPr>
        <mc:AlternateContent>
          <mc:Choice Requires="wps">
            <w:drawing>
              <wp:anchor distT="0" distB="0" distL="114300" distR="114300" simplePos="0" relativeHeight="251675648" behindDoc="0" locked="0" layoutInCell="1" allowOverlap="1" wp14:anchorId="44613EA2" wp14:editId="61ACA09F">
                <wp:simplePos x="0" y="0"/>
                <wp:positionH relativeFrom="column">
                  <wp:posOffset>184785</wp:posOffset>
                </wp:positionH>
                <wp:positionV relativeFrom="paragraph">
                  <wp:posOffset>-60325</wp:posOffset>
                </wp:positionV>
                <wp:extent cx="5786755" cy="635"/>
                <wp:effectExtent l="0" t="0" r="4445" b="2540"/>
                <wp:wrapTight wrapText="bothSides">
                  <wp:wrapPolygon edited="0">
                    <wp:start x="0" y="0"/>
                    <wp:lineTo x="0" y="20420"/>
                    <wp:lineTo x="21545" y="20420"/>
                    <wp:lineTo x="21545" y="0"/>
                    <wp:lineTo x="0" y="0"/>
                  </wp:wrapPolygon>
                </wp:wrapTight>
                <wp:docPr id="18" name="Tekstboks 18"/>
                <wp:cNvGraphicFramePr/>
                <a:graphic xmlns:a="http://schemas.openxmlformats.org/drawingml/2006/main">
                  <a:graphicData uri="http://schemas.microsoft.com/office/word/2010/wordprocessingShape">
                    <wps:wsp>
                      <wps:cNvSpPr txBox="1"/>
                      <wps:spPr>
                        <a:xfrm>
                          <a:off x="0" y="0"/>
                          <a:ext cx="5786755" cy="635"/>
                        </a:xfrm>
                        <a:prstGeom prst="rect">
                          <a:avLst/>
                        </a:prstGeom>
                        <a:solidFill>
                          <a:prstClr val="white"/>
                        </a:solidFill>
                        <a:ln>
                          <a:noFill/>
                        </a:ln>
                        <a:effectLst/>
                      </wps:spPr>
                      <wps:txbx>
                        <w:txbxContent>
                          <w:p w:rsidR="00CF205E" w:rsidRPr="003D7905" w:rsidRDefault="00CF205E" w:rsidP="00762725">
                            <w:pPr>
                              <w:pStyle w:val="Billedtekst"/>
                              <w:rPr>
                                <w:noProof/>
                                <w:color w:val="auto"/>
                                <w:sz w:val="36"/>
                                <w:lang w:val="en-US"/>
                              </w:rPr>
                            </w:pPr>
                            <w:r w:rsidRPr="003D7905">
                              <w:rPr>
                                <w:color w:val="auto"/>
                                <w:sz w:val="24"/>
                                <w:lang w:val="en-US"/>
                              </w:rPr>
                              <w:t>Model 4: Crisis Communication Matrix (</w:t>
                            </w:r>
                            <w:r>
                              <w:rPr>
                                <w:color w:val="auto"/>
                                <w:sz w:val="24"/>
                                <w:lang w:val="en-US"/>
                              </w:rPr>
                              <w:t>Developed by Author</w:t>
                            </w:r>
                            <w:r w:rsidRPr="003D7905">
                              <w:rPr>
                                <w:color w:val="auto"/>
                                <w:sz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18" o:spid="_x0000_s1034" type="#_x0000_t202" style="position:absolute;left:0;text-align:left;margin-left:14.55pt;margin-top:-4.75pt;width:455.6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" stroked="f">
                <v:textbox style="mso-fit-shape-to-text:t" inset="0,0,0,0">
                  <w:txbxContent>
                    <w:p w:rsidR="00CF205E" w:rsidRPr="003D7905" w:rsidRDefault="00CF205E" w:rsidP="00762725">
                      <w:pPr>
                        <w:pStyle w:val="Billedtekst"/>
                        <w:rPr>
                          <w:noProof/>
                          <w:color w:val="auto"/>
                          <w:sz w:val="36"/>
                          <w:lang w:val="en-US"/>
                        </w:rPr>
                      </w:pPr>
                      <w:r w:rsidRPr="003D7905">
                        <w:rPr>
                          <w:color w:val="auto"/>
                          <w:sz w:val="24"/>
                          <w:lang w:val="en-US"/>
                        </w:rPr>
                        <w:t>Model 4: Crisis Communication Matrix (</w:t>
                      </w:r>
                      <w:r>
                        <w:rPr>
                          <w:color w:val="auto"/>
                          <w:sz w:val="24"/>
                          <w:lang w:val="en-US"/>
                        </w:rPr>
                        <w:t>Developed by Author</w:t>
                      </w:r>
                      <w:r w:rsidRPr="003D7905">
                        <w:rPr>
                          <w:color w:val="auto"/>
                          <w:sz w:val="24"/>
                          <w:lang w:val="en-US"/>
                        </w:rPr>
                        <w:t>)</w:t>
                      </w:r>
                    </w:p>
                  </w:txbxContent>
                </v:textbox>
                <w10:wrap type="tight"/>
              </v:shape>
            </w:pict>
          </mc:Fallback>
        </mc:AlternateContent>
      </w:r>
      <w:r w:rsidR="00762725">
        <w:rPr>
          <w:lang w:val="en-US"/>
        </w:rPr>
        <w:t xml:space="preserve">The </w:t>
      </w:r>
      <w:r w:rsidR="008F780A">
        <w:rPr>
          <w:lang w:val="en-US"/>
        </w:rPr>
        <w:t>developed</w:t>
      </w:r>
      <w:r w:rsidR="00762725">
        <w:rPr>
          <w:lang w:val="en-US"/>
        </w:rPr>
        <w:t xml:space="preserve"> model has been labeled </w:t>
      </w:r>
      <w:r w:rsidR="00762725">
        <w:rPr>
          <w:i/>
          <w:lang w:val="en-US"/>
        </w:rPr>
        <w:t>crisis communication matrix</w:t>
      </w:r>
      <w:r w:rsidR="00762725">
        <w:rPr>
          <w:lang w:val="en-US"/>
        </w:rPr>
        <w:t xml:space="preserve">, as it represents the fusion of various notions within crisis communication, which have been accounted for in this chapter. The position of the established typology of crisis response strategies does not completely replace the </w:t>
      </w:r>
      <w:r w:rsidR="00762725">
        <w:rPr>
          <w:i/>
          <w:lang w:val="en-US"/>
        </w:rPr>
        <w:t xml:space="preserve">crisis communication </w:t>
      </w:r>
      <w:r w:rsidR="00762725">
        <w:rPr>
          <w:lang w:val="en-US"/>
        </w:rPr>
        <w:t xml:space="preserve">entity of the socio-discursive model (non-verbal actions not included). Nevertheless, from a purely analytical perspective, with the focus on discursive properties, it signifies the essence of the crisis communication in use – in terms of utilized strategies. Subsequently, the external parameters have the analytical purpose of evaluating the circumstances of the crisis and the applied crisis response strategies in the Mozilla case – so as to determine the theoretical communicative efficiency. The situational aspect of Coombs’s theory (crisis type) is placed within the context parameter, where the established recommendations will be applied as well. The </w:t>
      </w:r>
      <w:r w:rsidR="00762725">
        <w:rPr>
          <w:i/>
          <w:lang w:val="en-US"/>
        </w:rPr>
        <w:t>genre</w:t>
      </w:r>
      <w:r w:rsidR="00762725">
        <w:rPr>
          <w:lang w:val="en-US"/>
        </w:rPr>
        <w:t xml:space="preserve"> and especially the </w:t>
      </w:r>
      <w:r w:rsidR="00762725">
        <w:rPr>
          <w:i/>
          <w:lang w:val="en-US"/>
        </w:rPr>
        <w:t xml:space="preserve">text </w:t>
      </w:r>
      <w:r w:rsidR="00762725">
        <w:rPr>
          <w:lang w:val="en-US"/>
        </w:rPr>
        <w:t xml:space="preserve">parameters are considered significant in the analysis of the case, as they have a direct focus on the more discursive aspects within the communication. Furthermore, </w:t>
      </w:r>
      <w:r w:rsidR="00762725">
        <w:rPr>
          <w:i/>
          <w:lang w:val="en-US"/>
        </w:rPr>
        <w:t>text</w:t>
      </w:r>
      <w:r w:rsidR="00762725">
        <w:rPr>
          <w:lang w:val="en-US"/>
        </w:rPr>
        <w:t xml:space="preserve"> is a parameter under the influence of the additional parameters. As a result, the text and genre parameters will serve as a link between the crisis communication analysis of the case and the critical discourse analysis. The link can be made due to the latter’s focus on describing, interpreting and explaining language and discourses – in terms of socio-discursive practices</w:t>
      </w:r>
      <w:r w:rsidR="00957AB7">
        <w:rPr>
          <w:lang w:val="en-US"/>
        </w:rPr>
        <w:t xml:space="preserve">, </w:t>
      </w:r>
      <w:r w:rsidR="00762725">
        <w:rPr>
          <w:lang w:val="en-US"/>
        </w:rPr>
        <w:t xml:space="preserve">where </w:t>
      </w:r>
      <w:r w:rsidR="008F780A">
        <w:rPr>
          <w:lang w:val="en-US"/>
        </w:rPr>
        <w:t>also the context factor of the micro-component can be seen as relevant</w:t>
      </w:r>
      <w:sdt>
        <w:sdtPr>
          <w:rPr>
            <w:lang w:val="en-US"/>
          </w:rPr>
          <w:id w:val="-1113741875"/>
          <w:citation/>
        </w:sdtPr>
        <w:sdtContent>
          <w:r w:rsidR="008F780A">
            <w:rPr>
              <w:lang w:val="en-US"/>
            </w:rPr>
            <w:fldChar w:fldCharType="begin"/>
          </w:r>
          <w:r w:rsidR="008F780A">
            <w:rPr>
              <w:lang w:val="en-US"/>
            </w:rPr>
            <w:instrText xml:space="preserve">CITATION Nor101 \p 132 \t  \l 1030 </w:instrText>
          </w:r>
          <w:r w:rsidR="008F780A">
            <w:rPr>
              <w:lang w:val="en-US"/>
            </w:rPr>
            <w:fldChar w:fldCharType="separate"/>
          </w:r>
          <w:r w:rsidR="00F623D4">
            <w:rPr>
              <w:noProof/>
              <w:lang w:val="en-US"/>
            </w:rPr>
            <w:t xml:space="preserve"> (Fairclough 2010, 132)</w:t>
          </w:r>
          <w:r w:rsidR="008F780A">
            <w:rPr>
              <w:lang w:val="en-US"/>
            </w:rPr>
            <w:fldChar w:fldCharType="end"/>
          </w:r>
        </w:sdtContent>
      </w:sdt>
      <w:r w:rsidR="008F780A">
        <w:rPr>
          <w:lang w:val="en-US"/>
        </w:rPr>
        <w:t xml:space="preserve">. </w:t>
      </w:r>
      <w:r w:rsidR="00762725">
        <w:rPr>
          <w:lang w:val="en-US"/>
        </w:rPr>
        <w:t xml:space="preserve">The specifications surrounding analysis and theories of discourse will be elaborated in Chapter </w:t>
      </w:r>
      <w:r w:rsidR="00CC7A6F">
        <w:rPr>
          <w:lang w:val="en-US"/>
        </w:rPr>
        <w:t>5</w:t>
      </w:r>
      <w:r w:rsidR="00762725">
        <w:rPr>
          <w:lang w:val="en-US"/>
        </w:rPr>
        <w:t xml:space="preserve">. </w:t>
      </w:r>
    </w:p>
    <w:p w:rsidR="00762725" w:rsidRDefault="00D65599" w:rsidP="00337119">
      <w:pPr>
        <w:pStyle w:val="Overskrift1"/>
        <w:pBdr>
          <w:bottom w:val="single" w:sz="4" w:space="1" w:color="auto"/>
        </w:pBdr>
        <w:spacing w:line="360" w:lineRule="auto"/>
        <w:rPr>
          <w:lang w:val="en-US"/>
        </w:rPr>
      </w:pPr>
      <w:bookmarkStart w:id="59" w:name="_Toc420075826"/>
      <w:bookmarkStart w:id="60" w:name="_Toc420761639"/>
      <w:r>
        <w:rPr>
          <w:lang w:val="en-US"/>
        </w:rPr>
        <w:lastRenderedPageBreak/>
        <w:t>5.</w:t>
      </w:r>
      <w:r w:rsidR="00762725">
        <w:rPr>
          <w:lang w:val="en-US"/>
        </w:rPr>
        <w:t xml:space="preserve"> Analytical Discourse Framework from a Critical Perspective</w:t>
      </w:r>
      <w:bookmarkEnd w:id="59"/>
      <w:bookmarkEnd w:id="60"/>
    </w:p>
    <w:p w:rsidR="00762725" w:rsidRDefault="00762725" w:rsidP="00337119">
      <w:pPr>
        <w:spacing w:line="360" w:lineRule="auto"/>
        <w:rPr>
          <w:lang w:val="en-US"/>
        </w:rPr>
      </w:pPr>
      <w:r>
        <w:rPr>
          <w:lang w:val="en-US"/>
        </w:rPr>
        <w:t xml:space="preserve">To analyze the discourse within the case – so as to determine </w:t>
      </w:r>
      <w:r w:rsidR="00323769">
        <w:rPr>
          <w:lang w:val="en-US"/>
        </w:rPr>
        <w:t xml:space="preserve">discursive misalignments (conflicting discourses) </w:t>
      </w:r>
      <w:r>
        <w:rPr>
          <w:lang w:val="en-US"/>
        </w:rPr>
        <w:t xml:space="preserve">between CSR and crisis communication, undermining the efficiency of the crisis communication – </w:t>
      </w:r>
      <w:r>
        <w:rPr>
          <w:i/>
          <w:lang w:val="en-US"/>
        </w:rPr>
        <w:t xml:space="preserve">critical discourse analysis </w:t>
      </w:r>
      <w:r w:rsidRPr="009C6794">
        <w:rPr>
          <w:lang w:val="en-US"/>
        </w:rPr>
        <w:t xml:space="preserve">(CDA) </w:t>
      </w:r>
      <w:r>
        <w:rPr>
          <w:lang w:val="en-US"/>
        </w:rPr>
        <w:t xml:space="preserve">will be the primary analytical method applied. Accordingly, a theoretical understanding of the influential nature of language and discourse must be reached, as well as a methodological understanding thereof. </w:t>
      </w:r>
    </w:p>
    <w:p w:rsidR="00762725" w:rsidRDefault="00D65599" w:rsidP="00337119">
      <w:pPr>
        <w:pStyle w:val="Overskrift2"/>
        <w:spacing w:line="360" w:lineRule="auto"/>
        <w:rPr>
          <w:lang w:val="en-US"/>
        </w:rPr>
      </w:pPr>
      <w:bookmarkStart w:id="61" w:name="_Toc420075827"/>
      <w:bookmarkStart w:id="62" w:name="_Toc420761640"/>
      <w:r>
        <w:rPr>
          <w:lang w:val="en-US"/>
        </w:rPr>
        <w:t>5</w:t>
      </w:r>
      <w:r w:rsidR="00762725">
        <w:rPr>
          <w:lang w:val="en-US"/>
        </w:rPr>
        <w:t>.1 Understanding Critical Discourse: Theory and Method</w:t>
      </w:r>
      <w:bookmarkEnd w:id="61"/>
      <w:bookmarkEnd w:id="62"/>
    </w:p>
    <w:p w:rsidR="00762725" w:rsidRDefault="00762725" w:rsidP="00337119">
      <w:pPr>
        <w:spacing w:line="360" w:lineRule="auto"/>
        <w:rPr>
          <w:lang w:val="en-US"/>
        </w:rPr>
      </w:pPr>
      <w:r>
        <w:rPr>
          <w:lang w:val="en-US"/>
        </w:rPr>
        <w:t xml:space="preserve">The notion of </w:t>
      </w:r>
      <w:r w:rsidRPr="0053264F">
        <w:rPr>
          <w:lang w:val="en-US"/>
        </w:rPr>
        <w:t>critical discourse analysis</w:t>
      </w:r>
      <w:r>
        <w:rPr>
          <w:lang w:val="en-US"/>
        </w:rPr>
        <w:t xml:space="preserve"> has its origin in what is referred to as the tradition of </w:t>
      </w:r>
      <w:r>
        <w:rPr>
          <w:i/>
          <w:lang w:val="en-US"/>
        </w:rPr>
        <w:t>critical linguistics</w:t>
      </w:r>
      <w:r>
        <w:rPr>
          <w:lang w:val="en-US"/>
        </w:rPr>
        <w:t xml:space="preserve">. This tradition is followed by linguistics like Roger Fowler, Robert Hodge, Gunter Kress and Tony </w:t>
      </w:r>
      <w:proofErr w:type="spellStart"/>
      <w:r>
        <w:rPr>
          <w:lang w:val="en-US"/>
        </w:rPr>
        <w:t>Trew</w:t>
      </w:r>
      <w:proofErr w:type="spellEnd"/>
      <w:r>
        <w:rPr>
          <w:lang w:val="en-US"/>
        </w:rPr>
        <w:t xml:space="preserve"> </w:t>
      </w:r>
      <w:sdt>
        <w:sdtPr>
          <w:rPr>
            <w:lang w:val="en-US"/>
          </w:rPr>
          <w:id w:val="1394476831"/>
          <w:citation/>
        </w:sdtPr>
        <w:sdtContent>
          <w:r>
            <w:rPr>
              <w:lang w:val="en-US"/>
            </w:rPr>
            <w:fldChar w:fldCharType="begin"/>
          </w:r>
          <w:r>
            <w:rPr>
              <w:lang w:val="en-US"/>
            </w:rPr>
            <w:instrText xml:space="preserve">CITATION Rog79 \n  \t  \l 1030 </w:instrText>
          </w:r>
          <w:r>
            <w:rPr>
              <w:lang w:val="en-US"/>
            </w:rPr>
            <w:fldChar w:fldCharType="separate"/>
          </w:r>
          <w:r w:rsidR="00F623D4">
            <w:rPr>
              <w:noProof/>
              <w:lang w:val="en-US"/>
            </w:rPr>
            <w:t>(1979)</w:t>
          </w:r>
          <w:r>
            <w:rPr>
              <w:lang w:val="en-US"/>
            </w:rPr>
            <w:fldChar w:fldCharType="end"/>
          </w:r>
        </w:sdtContent>
      </w:sdt>
      <w:r>
        <w:rPr>
          <w:lang w:val="en-US"/>
        </w:rPr>
        <w:t>, who studied the ways in which language and grammar can be used as ideological instruments in the process of creating meaning. Alterations in meanings of a text, in accordance with different discursive choices, signify the purpose of analyzing such texts – so as to reveal their underlying ideology</w:t>
      </w:r>
      <w:sdt>
        <w:sdtPr>
          <w:rPr>
            <w:lang w:val="en-US"/>
          </w:rPr>
          <w:id w:val="1097676289"/>
          <w:citation/>
        </w:sdtPr>
        <w:sdtContent>
          <w:r>
            <w:rPr>
              <w:lang w:val="en-US"/>
            </w:rPr>
            <w:fldChar w:fldCharType="begin"/>
          </w:r>
          <w:r>
            <w:rPr>
              <w:lang w:val="en-US"/>
            </w:rPr>
            <w:instrText xml:space="preserve">CITATION Dav12 \p 18 \l 1030 </w:instrText>
          </w:r>
          <w:r>
            <w:rPr>
              <w:lang w:val="en-US"/>
            </w:rPr>
            <w:fldChar w:fldCharType="separate"/>
          </w:r>
          <w:r w:rsidR="00F623D4">
            <w:rPr>
              <w:noProof/>
              <w:lang w:val="en-US"/>
            </w:rPr>
            <w:t xml:space="preserve"> (Machin and Mayr 2012, 18)</w:t>
          </w:r>
          <w:r>
            <w:rPr>
              <w:lang w:val="en-US"/>
            </w:rPr>
            <w:fldChar w:fldCharType="end"/>
          </w:r>
        </w:sdtContent>
      </w:sdt>
      <w:r>
        <w:rPr>
          <w:lang w:val="en-US"/>
        </w:rPr>
        <w:t xml:space="preserve">. In the line of </w:t>
      </w:r>
      <w:r w:rsidRPr="0053264F">
        <w:rPr>
          <w:lang w:val="en-US"/>
        </w:rPr>
        <w:t>critical linguistics</w:t>
      </w:r>
      <w:r>
        <w:rPr>
          <w:lang w:val="en-US"/>
        </w:rPr>
        <w:t xml:space="preserve"> is the understanding that our perception of our culture is inseparable from language: societal knowledge is intertwined with the perceived dissemination and regulation of the practice of language, in the sense that language is seen as a social </w:t>
      </w:r>
      <w:r w:rsidR="0009506B">
        <w:rPr>
          <w:lang w:val="en-US"/>
        </w:rPr>
        <w:t>practice (Ibid: 3-4). S</w:t>
      </w:r>
      <w:r>
        <w:rPr>
          <w:lang w:val="en-US"/>
        </w:rPr>
        <w:t>ociety is constituted by specific practices, ideas, values and identities, which are all bodies of society being promoted and naturalized through language by people, who have particular views of the world. These particular views of the world are what regulate society as well as language usage; how people use language in a text is therefore intertwined with the societal context (Ibid: 4). Consequently, analysts will focus on what is unsaid in a text, but also what is assumed as an actuality – in order to reveal the underlying ideology</w:t>
      </w:r>
      <w:r w:rsidR="00CE6957">
        <w:rPr>
          <w:lang w:val="en-US"/>
        </w:rPr>
        <w:t xml:space="preserve"> (views of the world)</w:t>
      </w:r>
      <w:r>
        <w:rPr>
          <w:lang w:val="en-US"/>
        </w:rPr>
        <w:t>.</w:t>
      </w:r>
    </w:p>
    <w:p w:rsidR="00641A70" w:rsidRDefault="00762725" w:rsidP="00337119">
      <w:pPr>
        <w:spacing w:line="360" w:lineRule="auto"/>
        <w:rPr>
          <w:lang w:val="en-US"/>
        </w:rPr>
      </w:pPr>
      <w:r>
        <w:rPr>
          <w:lang w:val="en-US"/>
        </w:rPr>
        <w:t xml:space="preserve">One of the most prominent </w:t>
      </w:r>
      <w:r w:rsidRPr="00E51BC4">
        <w:rPr>
          <w:lang w:val="en-US"/>
        </w:rPr>
        <w:t>practitioners</w:t>
      </w:r>
      <w:r>
        <w:rPr>
          <w:lang w:val="en-US"/>
        </w:rPr>
        <w:t xml:space="preserve"> of CDA is Norman </w:t>
      </w:r>
      <w:proofErr w:type="spellStart"/>
      <w:r>
        <w:rPr>
          <w:lang w:val="en-US"/>
        </w:rPr>
        <w:t>Fairclough</w:t>
      </w:r>
      <w:proofErr w:type="spellEnd"/>
      <w:r>
        <w:rPr>
          <w:lang w:val="en-US"/>
        </w:rPr>
        <w:t xml:space="preserve"> </w:t>
      </w:r>
      <w:sdt>
        <w:sdtPr>
          <w:rPr>
            <w:lang w:val="en-US"/>
          </w:rPr>
          <w:id w:val="1611244165"/>
          <w:citation/>
        </w:sdtPr>
        <w:sdtContent>
          <w:r>
            <w:rPr>
              <w:lang w:val="en-US"/>
            </w:rPr>
            <w:fldChar w:fldCharType="begin"/>
          </w:r>
          <w:r>
            <w:rPr>
              <w:lang w:val="en-US"/>
            </w:rPr>
            <w:instrText xml:space="preserve">CITATION Nor92 \n  \t  \l 1030 </w:instrText>
          </w:r>
          <w:r>
            <w:rPr>
              <w:lang w:val="en-US"/>
            </w:rPr>
            <w:fldChar w:fldCharType="separate"/>
          </w:r>
          <w:r w:rsidR="00F623D4">
            <w:rPr>
              <w:noProof/>
              <w:lang w:val="en-US"/>
            </w:rPr>
            <w:t>(1992)</w:t>
          </w:r>
          <w:r>
            <w:rPr>
              <w:lang w:val="en-US"/>
            </w:rPr>
            <w:fldChar w:fldCharType="end"/>
          </w:r>
        </w:sdtContent>
      </w:sdt>
      <w:r>
        <w:rPr>
          <w:lang w:val="en-US"/>
        </w:rPr>
        <w:t xml:space="preserve">, who has criticized the </w:t>
      </w:r>
      <w:r w:rsidRPr="0053264F">
        <w:rPr>
          <w:lang w:val="en-US"/>
        </w:rPr>
        <w:t>critical linguistics</w:t>
      </w:r>
      <w:r>
        <w:rPr>
          <w:i/>
          <w:lang w:val="en-US"/>
        </w:rPr>
        <w:t xml:space="preserve"> </w:t>
      </w:r>
      <w:r>
        <w:rPr>
          <w:lang w:val="en-US"/>
        </w:rPr>
        <w:t xml:space="preserve">tradition’s inability to address an interrelationship between language, power and ideology – an interrelationship in focus in the theoretical framework of CDA. Nevertheless, CDA shares the understanding that language both shapes and is shaped by society. Moreover, scholars </w:t>
      </w:r>
      <w:r w:rsidR="00641A70">
        <w:rPr>
          <w:lang w:val="en-US"/>
        </w:rPr>
        <w:t xml:space="preserve">like </w:t>
      </w:r>
      <w:proofErr w:type="spellStart"/>
      <w:r w:rsidR="00641A70">
        <w:rPr>
          <w:lang w:val="en-US"/>
        </w:rPr>
        <w:t>Fairclough</w:t>
      </w:r>
      <w:proofErr w:type="spellEnd"/>
      <w:r w:rsidR="00641A70">
        <w:rPr>
          <w:lang w:val="en-US"/>
        </w:rPr>
        <w:t xml:space="preserve"> </w:t>
      </w:r>
      <w:sdt>
        <w:sdtPr>
          <w:rPr>
            <w:lang w:val="en-US"/>
          </w:rPr>
          <w:id w:val="-1198231398"/>
          <w:citation/>
        </w:sdtPr>
        <w:sdtContent>
          <w:r w:rsidR="00641A70">
            <w:rPr>
              <w:lang w:val="en-US"/>
            </w:rPr>
            <w:fldChar w:fldCharType="begin"/>
          </w:r>
          <w:r w:rsidR="00641A70">
            <w:rPr>
              <w:lang w:val="en-US"/>
            </w:rPr>
            <w:instrText xml:space="preserve">CITATION Nor10 \n  \t  \l 1030 </w:instrText>
          </w:r>
          <w:r w:rsidR="00641A70">
            <w:rPr>
              <w:lang w:val="en-US"/>
            </w:rPr>
            <w:fldChar w:fldCharType="separate"/>
          </w:r>
          <w:r w:rsidR="00F623D4">
            <w:rPr>
              <w:noProof/>
              <w:lang w:val="en-US"/>
            </w:rPr>
            <w:t>(2010)</w:t>
          </w:r>
          <w:r w:rsidR="00641A70">
            <w:rPr>
              <w:lang w:val="en-US"/>
            </w:rPr>
            <w:fldChar w:fldCharType="end"/>
          </w:r>
        </w:sdtContent>
      </w:sdt>
      <w:r w:rsidR="00641A70">
        <w:rPr>
          <w:lang w:val="en-US"/>
        </w:rPr>
        <w:t xml:space="preserve"> Ruth </w:t>
      </w:r>
      <w:proofErr w:type="spellStart"/>
      <w:r w:rsidR="00641A70">
        <w:rPr>
          <w:lang w:val="en-US"/>
        </w:rPr>
        <w:t>Wodak</w:t>
      </w:r>
      <w:proofErr w:type="spellEnd"/>
      <w:sdt>
        <w:sdtPr>
          <w:rPr>
            <w:lang w:val="en-US"/>
          </w:rPr>
          <w:id w:val="-2063783725"/>
          <w:citation/>
        </w:sdtPr>
        <w:sdtContent>
          <w:r w:rsidR="00641A70">
            <w:rPr>
              <w:lang w:val="en-US"/>
            </w:rPr>
            <w:fldChar w:fldCharType="begin"/>
          </w:r>
          <w:r w:rsidR="00641A70">
            <w:rPr>
              <w:lang w:val="en-US"/>
            </w:rPr>
            <w:instrText xml:space="preserve">CITATION Rut01 \n  \t  \l 1030 </w:instrText>
          </w:r>
          <w:r w:rsidR="00641A70">
            <w:rPr>
              <w:lang w:val="en-US"/>
            </w:rPr>
            <w:fldChar w:fldCharType="separate"/>
          </w:r>
          <w:r w:rsidR="00F623D4">
            <w:rPr>
              <w:noProof/>
              <w:lang w:val="en-US"/>
            </w:rPr>
            <w:t xml:space="preserve"> (2001)</w:t>
          </w:r>
          <w:r w:rsidR="00641A70">
            <w:rPr>
              <w:lang w:val="en-US"/>
            </w:rPr>
            <w:fldChar w:fldCharType="end"/>
          </w:r>
        </w:sdtContent>
      </w:sdt>
      <w:r w:rsidR="00641A70">
        <w:rPr>
          <w:lang w:val="en-US"/>
        </w:rPr>
        <w:t xml:space="preserve"> and </w:t>
      </w:r>
      <w:proofErr w:type="spellStart"/>
      <w:r w:rsidR="00641A70">
        <w:rPr>
          <w:lang w:val="en-US"/>
        </w:rPr>
        <w:t>Teun</w:t>
      </w:r>
      <w:proofErr w:type="spellEnd"/>
      <w:r w:rsidR="00641A70">
        <w:rPr>
          <w:lang w:val="en-US"/>
        </w:rPr>
        <w:t xml:space="preserve"> Van </w:t>
      </w:r>
      <w:proofErr w:type="spellStart"/>
      <w:r w:rsidR="00641A70">
        <w:rPr>
          <w:lang w:val="en-US"/>
        </w:rPr>
        <w:t>Dijk</w:t>
      </w:r>
      <w:proofErr w:type="spellEnd"/>
      <w:sdt>
        <w:sdtPr>
          <w:rPr>
            <w:lang w:val="en-US"/>
          </w:rPr>
          <w:id w:val="793644664"/>
          <w:citation/>
        </w:sdtPr>
        <w:sdtContent>
          <w:r w:rsidR="00641A70">
            <w:rPr>
              <w:lang w:val="en-US"/>
            </w:rPr>
            <w:fldChar w:fldCharType="begin"/>
          </w:r>
          <w:r w:rsidR="00641A70">
            <w:rPr>
              <w:lang w:val="en-US"/>
            </w:rPr>
            <w:instrText xml:space="preserve">CITATION RWo01 \n  \t  \l 1030 </w:instrText>
          </w:r>
          <w:r w:rsidR="00641A70">
            <w:rPr>
              <w:lang w:val="en-US"/>
            </w:rPr>
            <w:fldChar w:fldCharType="separate"/>
          </w:r>
          <w:r w:rsidR="00F623D4">
            <w:rPr>
              <w:noProof/>
              <w:lang w:val="en-US"/>
            </w:rPr>
            <w:t xml:space="preserve"> (2001)</w:t>
          </w:r>
          <w:r w:rsidR="00641A70">
            <w:rPr>
              <w:lang w:val="en-US"/>
            </w:rPr>
            <w:fldChar w:fldCharType="end"/>
          </w:r>
        </w:sdtContent>
      </w:sdt>
      <w:r w:rsidR="00641A70">
        <w:rPr>
          <w:lang w:val="en-US"/>
        </w:rPr>
        <w:t xml:space="preserve"> </w:t>
      </w:r>
      <w:r>
        <w:rPr>
          <w:lang w:val="en-US"/>
        </w:rPr>
        <w:t xml:space="preserve">studying </w:t>
      </w:r>
      <w:r w:rsidR="00641A70">
        <w:rPr>
          <w:lang w:val="en-US"/>
        </w:rPr>
        <w:t xml:space="preserve">CDA </w:t>
      </w:r>
      <w:r>
        <w:rPr>
          <w:lang w:val="en-US"/>
        </w:rPr>
        <w:t>sees language as a means of social construction</w:t>
      </w:r>
      <w:sdt>
        <w:sdtPr>
          <w:rPr>
            <w:lang w:val="en-US"/>
          </w:rPr>
          <w:id w:val="-704794660"/>
          <w:citation/>
        </w:sdtPr>
        <w:sdtContent>
          <w:r w:rsidR="00641A70">
            <w:rPr>
              <w:lang w:val="en-US"/>
            </w:rPr>
            <w:fldChar w:fldCharType="begin"/>
          </w:r>
          <w:r w:rsidR="00641A70">
            <w:rPr>
              <w:lang w:val="en-US"/>
            </w:rPr>
            <w:instrText xml:space="preserve">CITATION Dav12 \p 4 \l 1030 </w:instrText>
          </w:r>
          <w:r w:rsidR="00641A70">
            <w:rPr>
              <w:lang w:val="en-US"/>
            </w:rPr>
            <w:fldChar w:fldCharType="separate"/>
          </w:r>
          <w:r w:rsidR="00F623D4">
            <w:rPr>
              <w:noProof/>
              <w:lang w:val="en-US"/>
            </w:rPr>
            <w:t xml:space="preserve"> (Machin and Mayr 2012, 4)</w:t>
          </w:r>
          <w:r w:rsidR="00641A70">
            <w:rPr>
              <w:lang w:val="en-US"/>
            </w:rPr>
            <w:fldChar w:fldCharType="end"/>
          </w:r>
        </w:sdtContent>
      </w:sdt>
      <w:r>
        <w:rPr>
          <w:lang w:val="en-US"/>
        </w:rPr>
        <w:t xml:space="preserve">. </w:t>
      </w:r>
    </w:p>
    <w:p w:rsidR="00762725" w:rsidRDefault="00762725" w:rsidP="00337119">
      <w:pPr>
        <w:spacing w:line="360" w:lineRule="auto"/>
        <w:rPr>
          <w:lang w:val="en-US"/>
        </w:rPr>
      </w:pPr>
      <w:r>
        <w:rPr>
          <w:lang w:val="en-US"/>
        </w:rPr>
        <w:t xml:space="preserve">In the Mozilla case, CSR discourse is prominent within the organization’s crisis </w:t>
      </w:r>
      <w:r w:rsidR="001868ED">
        <w:rPr>
          <w:lang w:val="en-US"/>
        </w:rPr>
        <w:t>communication, where</w:t>
      </w:r>
      <w:r>
        <w:rPr>
          <w:lang w:val="en-US"/>
        </w:rPr>
        <w:t xml:space="preserve"> the CDA </w:t>
      </w:r>
      <w:r w:rsidR="001868ED">
        <w:rPr>
          <w:lang w:val="en-US"/>
        </w:rPr>
        <w:t>focus on power relations can be</w:t>
      </w:r>
      <w:r>
        <w:rPr>
          <w:lang w:val="en-US"/>
        </w:rPr>
        <w:t xml:space="preserve"> recognized as a significant factor within CSR </w:t>
      </w:r>
      <w:r>
        <w:rPr>
          <w:lang w:val="en-US"/>
        </w:rPr>
        <w:lastRenderedPageBreak/>
        <w:t>discourse</w:t>
      </w:r>
      <w:sdt>
        <w:sdtPr>
          <w:rPr>
            <w:lang w:val="en-US"/>
          </w:rPr>
          <w:id w:val="-1784019387"/>
          <w:citation/>
        </w:sdtPr>
        <w:sdtContent>
          <w:r>
            <w:rPr>
              <w:lang w:val="en-US"/>
            </w:rPr>
            <w:fldChar w:fldCharType="begin"/>
          </w:r>
          <w:r w:rsidRPr="00D14890">
            <w:rPr>
              <w:lang w:val="en-US"/>
            </w:rPr>
            <w:instrText xml:space="preserve"> CITATION Mar12 \l 1030 </w:instrText>
          </w:r>
          <w:r>
            <w:rPr>
              <w:lang w:val="en-US"/>
            </w:rPr>
            <w:fldChar w:fldCharType="separate"/>
          </w:r>
          <w:r w:rsidR="00F623D4">
            <w:rPr>
              <w:noProof/>
              <w:lang w:val="en-US"/>
            </w:rPr>
            <w:t xml:space="preserve"> (Aasprong 2012)</w:t>
          </w:r>
          <w:r>
            <w:rPr>
              <w:lang w:val="en-US"/>
            </w:rPr>
            <w:fldChar w:fldCharType="end"/>
          </w:r>
        </w:sdtContent>
      </w:sdt>
      <w:r w:rsidR="007838F7">
        <w:rPr>
          <w:lang w:val="en-US"/>
        </w:rPr>
        <w:t>. Hence</w:t>
      </w:r>
      <w:r w:rsidR="001868ED">
        <w:rPr>
          <w:lang w:val="en-US"/>
        </w:rPr>
        <w:t xml:space="preserve">, </w:t>
      </w:r>
      <w:r>
        <w:rPr>
          <w:lang w:val="en-US"/>
        </w:rPr>
        <w:t>the concept itself is a product of society, which is conveyed through language/discourse and can be seen as a social construction, as well as a public relations practice</w:t>
      </w:r>
      <w:sdt>
        <w:sdtPr>
          <w:rPr>
            <w:rFonts w:cs="Times New Roman"/>
            <w:szCs w:val="24"/>
            <w:lang w:val="en-US"/>
          </w:rPr>
          <w:id w:val="24529123"/>
          <w:citation/>
        </w:sdtPr>
        <w:sdtContent>
          <w:r>
            <w:rPr>
              <w:rFonts w:cs="Times New Roman"/>
              <w:szCs w:val="24"/>
              <w:lang w:val="en-US"/>
            </w:rPr>
            <w:fldChar w:fldCharType="begin"/>
          </w:r>
          <w:r>
            <w:rPr>
              <w:rFonts w:cs="Times New Roman"/>
              <w:szCs w:val="24"/>
              <w:lang w:val="en-US"/>
            </w:rPr>
            <w:instrText xml:space="preserve">CITATION Emm08 \p 2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(Michotte 2008, 2)</w:t>
          </w:r>
          <w:r>
            <w:rPr>
              <w:rFonts w:cs="Times New Roman"/>
              <w:szCs w:val="24"/>
              <w:lang w:val="en-US"/>
            </w:rPr>
            <w:fldChar w:fldCharType="end"/>
          </w:r>
        </w:sdtContent>
      </w:sdt>
      <w:r>
        <w:rPr>
          <w:lang w:val="en-US"/>
        </w:rPr>
        <w:t xml:space="preserve">. In the representation of </w:t>
      </w:r>
      <w:r w:rsidRPr="00F732A9">
        <w:rPr>
          <w:lang w:val="en-US"/>
        </w:rPr>
        <w:t xml:space="preserve">Ernesto </w:t>
      </w:r>
      <w:proofErr w:type="spellStart"/>
      <w:r w:rsidRPr="00F732A9">
        <w:rPr>
          <w:lang w:val="en-US"/>
        </w:rPr>
        <w:t>Laclau</w:t>
      </w:r>
      <w:proofErr w:type="spellEnd"/>
      <w:r w:rsidRPr="00F732A9">
        <w:rPr>
          <w:lang w:val="en-US"/>
        </w:rPr>
        <w:t xml:space="preserve"> and Chantal </w:t>
      </w:r>
      <w:proofErr w:type="spellStart"/>
      <w:r w:rsidRPr="00F732A9">
        <w:rPr>
          <w:lang w:val="en-US"/>
        </w:rPr>
        <w:t>Mouffe’s</w:t>
      </w:r>
      <w:proofErr w:type="spellEnd"/>
      <w:r w:rsidRPr="00F732A9">
        <w:rPr>
          <w:lang w:val="en-US"/>
        </w:rPr>
        <w:t xml:space="preserve"> </w:t>
      </w:r>
      <w:r>
        <w:rPr>
          <w:lang w:val="en-US"/>
        </w:rPr>
        <w:t xml:space="preserve">Discourse Theory </w:t>
      </w:r>
      <w:sdt>
        <w:sdtPr>
          <w:rPr>
            <w:lang w:val="en-US"/>
          </w:rPr>
          <w:id w:val="-1999100596"/>
          <w:citation/>
        </w:sdtPr>
        <w:sdtContent>
          <w:r>
            <w:rPr>
              <w:lang w:val="en-US"/>
            </w:rPr>
            <w:fldChar w:fldCharType="begin"/>
          </w:r>
          <w:r>
            <w:rPr>
              <w:lang w:val="en-US"/>
            </w:rPr>
            <w:instrText xml:space="preserve">CITATION Ern85 \n  \t  \l 1030 </w:instrText>
          </w:r>
          <w:r>
            <w:rPr>
              <w:lang w:val="en-US"/>
            </w:rPr>
            <w:fldChar w:fldCharType="separate"/>
          </w:r>
          <w:r w:rsidR="00F623D4">
            <w:rPr>
              <w:noProof/>
              <w:lang w:val="en-US"/>
            </w:rPr>
            <w:t>(1985)</w:t>
          </w:r>
          <w:r>
            <w:rPr>
              <w:lang w:val="en-US"/>
            </w:rPr>
            <w:fldChar w:fldCharType="end"/>
          </w:r>
        </w:sdtContent>
      </w:sdt>
      <w:r w:rsidR="00B62451">
        <w:rPr>
          <w:lang w:val="en-US"/>
        </w:rPr>
        <w:t>:</w:t>
      </w:r>
      <w:r w:rsidRPr="0031614F">
        <w:rPr>
          <w:i/>
          <w:lang w:val="en-US"/>
        </w:rPr>
        <w:t>“A discourse is understood as the fixation of meaning within a particular domain”</w:t>
      </w:r>
      <w:sdt>
        <w:sdtPr>
          <w:rPr>
            <w:i/>
            <w:lang w:val="en-US"/>
          </w:rPr>
          <w:id w:val="-1646270621"/>
          <w:citation/>
        </w:sdtPr>
        <w:sdtContent>
          <w:r>
            <w:rPr>
              <w:i/>
              <w:lang w:val="en-US"/>
            </w:rPr>
            <w:fldChar w:fldCharType="begin"/>
          </w:r>
          <w:r>
            <w:rPr>
              <w:i/>
              <w:lang w:val="en-US"/>
            </w:rPr>
            <w:instrText xml:space="preserve">CITATION Mar02 \p 26 \l 1030 </w:instrText>
          </w:r>
          <w:r>
            <w:rPr>
              <w:i/>
              <w:lang w:val="en-US"/>
            </w:rPr>
            <w:fldChar w:fldCharType="separate"/>
          </w:r>
          <w:r w:rsidR="00F623D4">
            <w:rPr>
              <w:i/>
              <w:noProof/>
              <w:lang w:val="en-US"/>
            </w:rPr>
            <w:t xml:space="preserve"> </w:t>
          </w:r>
          <w:r w:rsidR="00F623D4">
            <w:rPr>
              <w:noProof/>
              <w:lang w:val="en-US"/>
            </w:rPr>
            <w:t>(Jørgensen and Phillips 2002, 26)</w:t>
          </w:r>
          <w:r>
            <w:rPr>
              <w:i/>
              <w:lang w:val="en-US"/>
            </w:rPr>
            <w:fldChar w:fldCharType="end"/>
          </w:r>
        </w:sdtContent>
      </w:sdt>
      <w:r>
        <w:rPr>
          <w:lang w:val="en-US"/>
        </w:rPr>
        <w:t>. Accordingly, CSR can be understood as a particular field, as it is referred to from a CDA perspective</w:t>
      </w:r>
      <w:sdt>
        <w:sdtPr>
          <w:rPr>
            <w:lang w:val="en-US"/>
          </w:rPr>
          <w:id w:val="658734636"/>
          <w:citation/>
        </w:sdtPr>
        <w:sdtContent>
          <w:r>
            <w:rPr>
              <w:lang w:val="en-US"/>
            </w:rPr>
            <w:fldChar w:fldCharType="begin"/>
          </w:r>
          <w:r>
            <w:rPr>
              <w:lang w:val="en-US"/>
            </w:rPr>
            <w:instrText xml:space="preserve">CITATION Nor101 \t  \l 1030 </w:instrText>
          </w:r>
          <w:r>
            <w:rPr>
              <w:lang w:val="en-US"/>
            </w:rPr>
            <w:fldChar w:fldCharType="separate"/>
          </w:r>
          <w:r w:rsidR="00F623D4">
            <w:rPr>
              <w:noProof/>
              <w:lang w:val="en-US"/>
            </w:rPr>
            <w:t xml:space="preserve"> (Fairclough 2010)</w:t>
          </w:r>
          <w:r>
            <w:rPr>
              <w:lang w:val="en-US"/>
            </w:rPr>
            <w:fldChar w:fldCharType="end"/>
          </w:r>
        </w:sdtContent>
      </w:sdt>
      <w:r>
        <w:rPr>
          <w:lang w:val="en-US"/>
        </w:rPr>
        <w:t xml:space="preserve"> and therefore considered more applicable to the study. The understanding of CSR as a social field derives a discursive meaning thereof – in accordance with the sender’s perception. On the other hand, crisis communication may be seen as a field as well, in which the CSR field is positioned, arguably creating a more complex communicative scenery. To efficiently understand and evaluate the discursive meanings of the case, this chapter will focus on CDA – namely represented by </w:t>
      </w:r>
      <w:proofErr w:type="spellStart"/>
      <w:r>
        <w:rPr>
          <w:lang w:val="en-US"/>
        </w:rPr>
        <w:t>Fairclough</w:t>
      </w:r>
      <w:proofErr w:type="spellEnd"/>
      <w:r>
        <w:rPr>
          <w:lang w:val="en-US"/>
        </w:rPr>
        <w:t xml:space="preserve">, as he provides a more comprehensive method (Ibid: 7). As a theoretical foundation of the social constructionist approach, </w:t>
      </w:r>
      <w:proofErr w:type="spellStart"/>
      <w:r>
        <w:rPr>
          <w:lang w:val="en-US"/>
        </w:rPr>
        <w:t>Laclau</w:t>
      </w:r>
      <w:proofErr w:type="spellEnd"/>
      <w:r>
        <w:rPr>
          <w:lang w:val="en-US"/>
        </w:rPr>
        <w:t xml:space="preserve"> and </w:t>
      </w:r>
      <w:proofErr w:type="spellStart"/>
      <w:r>
        <w:rPr>
          <w:lang w:val="en-US"/>
        </w:rPr>
        <w:t>Mouffe’s</w:t>
      </w:r>
      <w:proofErr w:type="spellEnd"/>
      <w:r>
        <w:rPr>
          <w:lang w:val="en-US"/>
        </w:rPr>
        <w:t xml:space="preserve"> Discourse Theory – represented by Marianne Jørgensen and Louise Phillips (2002) –</w:t>
      </w:r>
      <w:r w:rsidR="007838F7">
        <w:rPr>
          <w:lang w:val="en-US"/>
        </w:rPr>
        <w:t xml:space="preserve"> </w:t>
      </w:r>
      <w:r>
        <w:rPr>
          <w:lang w:val="en-US"/>
        </w:rPr>
        <w:t xml:space="preserve">will be applied as well (Ibid: 24). </w:t>
      </w:r>
    </w:p>
    <w:p w:rsidR="00762725" w:rsidRDefault="00D65599" w:rsidP="00337119">
      <w:pPr>
        <w:pStyle w:val="Overskrift2"/>
        <w:spacing w:line="360" w:lineRule="auto"/>
        <w:rPr>
          <w:lang w:val="en-US"/>
        </w:rPr>
      </w:pPr>
      <w:bookmarkStart w:id="63" w:name="_Toc420075828"/>
      <w:bookmarkStart w:id="64" w:name="_Toc420761641"/>
      <w:r>
        <w:rPr>
          <w:lang w:val="en-US"/>
        </w:rPr>
        <w:t>5</w:t>
      </w:r>
      <w:r w:rsidR="00762725">
        <w:rPr>
          <w:lang w:val="en-US"/>
        </w:rPr>
        <w:t xml:space="preserve">.2 </w:t>
      </w:r>
      <w:r w:rsidR="00762725" w:rsidRPr="00B97D79">
        <w:rPr>
          <w:lang w:val="en-US"/>
        </w:rPr>
        <w:t>Ernes</w:t>
      </w:r>
      <w:r w:rsidR="00762725">
        <w:rPr>
          <w:lang w:val="en-US"/>
        </w:rPr>
        <w:t xml:space="preserve">to </w:t>
      </w:r>
      <w:proofErr w:type="spellStart"/>
      <w:r w:rsidR="00762725">
        <w:rPr>
          <w:lang w:val="en-US"/>
        </w:rPr>
        <w:t>Laclau</w:t>
      </w:r>
      <w:proofErr w:type="spellEnd"/>
      <w:r w:rsidR="00762725">
        <w:rPr>
          <w:lang w:val="en-US"/>
        </w:rPr>
        <w:t xml:space="preserve"> and Chantal </w:t>
      </w:r>
      <w:proofErr w:type="spellStart"/>
      <w:r w:rsidR="00762725">
        <w:rPr>
          <w:lang w:val="en-US"/>
        </w:rPr>
        <w:t>Mouffe’s</w:t>
      </w:r>
      <w:proofErr w:type="spellEnd"/>
      <w:r w:rsidR="00762725">
        <w:rPr>
          <w:lang w:val="en-US"/>
        </w:rPr>
        <w:t xml:space="preserve"> Discourse T</w:t>
      </w:r>
      <w:r w:rsidR="00762725" w:rsidRPr="00B97D79">
        <w:rPr>
          <w:lang w:val="en-US"/>
        </w:rPr>
        <w:t>heory</w:t>
      </w:r>
      <w:bookmarkEnd w:id="63"/>
      <w:bookmarkEnd w:id="64"/>
    </w:p>
    <w:p w:rsidR="00762725" w:rsidRDefault="00762725" w:rsidP="00337119">
      <w:pPr>
        <w:spacing w:line="360" w:lineRule="auto"/>
        <w:rPr>
          <w:lang w:val="en-US"/>
        </w:rPr>
      </w:pPr>
      <w:r>
        <w:rPr>
          <w:lang w:val="en-US"/>
        </w:rPr>
        <w:t xml:space="preserve">To create an understanding of discourse, including the two essential aspects of </w:t>
      </w:r>
      <w:r w:rsidRPr="008C5A0A">
        <w:rPr>
          <w:i/>
          <w:lang w:val="en-US"/>
        </w:rPr>
        <w:t>social</w:t>
      </w:r>
      <w:r>
        <w:rPr>
          <w:lang w:val="en-US"/>
        </w:rPr>
        <w:t xml:space="preserve"> and </w:t>
      </w:r>
      <w:r>
        <w:rPr>
          <w:i/>
          <w:lang w:val="en-US"/>
        </w:rPr>
        <w:t>meaning</w:t>
      </w:r>
      <w:r>
        <w:rPr>
          <w:lang w:val="en-US"/>
        </w:rPr>
        <w:t xml:space="preserve">, </w:t>
      </w:r>
      <w:proofErr w:type="spellStart"/>
      <w:r>
        <w:rPr>
          <w:lang w:val="en-US"/>
        </w:rPr>
        <w:t>Laclau</w:t>
      </w:r>
      <w:proofErr w:type="spellEnd"/>
      <w:r>
        <w:rPr>
          <w:lang w:val="en-US"/>
        </w:rPr>
        <w:t xml:space="preserve"> and </w:t>
      </w:r>
      <w:proofErr w:type="spellStart"/>
      <w:r>
        <w:rPr>
          <w:lang w:val="en-US"/>
        </w:rPr>
        <w:t>Mouffe</w:t>
      </w:r>
      <w:proofErr w:type="spellEnd"/>
      <w:r>
        <w:rPr>
          <w:lang w:val="en-US"/>
        </w:rPr>
        <w:t xml:space="preserve"> fuse the two theoretical traditions of </w:t>
      </w:r>
      <w:r>
        <w:rPr>
          <w:i/>
          <w:lang w:val="en-US"/>
        </w:rPr>
        <w:t>Marxism</w:t>
      </w:r>
      <w:r>
        <w:rPr>
          <w:lang w:val="en-US"/>
        </w:rPr>
        <w:t xml:space="preserve"> and </w:t>
      </w:r>
      <w:r>
        <w:rPr>
          <w:i/>
          <w:lang w:val="en-US"/>
        </w:rPr>
        <w:t>structuralism</w:t>
      </w:r>
      <w:r>
        <w:rPr>
          <w:lang w:val="en-US"/>
        </w:rPr>
        <w:t xml:space="preserve">. With the former representing the social and the latter encapsulating discourse meaning, the two fused traditions establish the </w:t>
      </w:r>
      <w:r w:rsidRPr="00DD4086">
        <w:rPr>
          <w:i/>
          <w:lang w:val="en-US"/>
        </w:rPr>
        <w:t>poststructuralist theory</w:t>
      </w:r>
      <w:r>
        <w:rPr>
          <w:lang w:val="en-US"/>
        </w:rPr>
        <w:t>. Embedded within this theoretical per</w:t>
      </w:r>
      <w:r w:rsidR="00B62451">
        <w:rPr>
          <w:lang w:val="en-US"/>
        </w:rPr>
        <w:t>spective is the idea that</w:t>
      </w:r>
      <w:r>
        <w:rPr>
          <w:lang w:val="en-US"/>
        </w:rPr>
        <w:t xml:space="preserve"> </w:t>
      </w:r>
      <w:r w:rsidRPr="008C5A0A">
        <w:rPr>
          <w:i/>
          <w:lang w:val="en-US"/>
        </w:rPr>
        <w:t>“the whole social field is understood as a web of processes in which meaning is created”</w:t>
      </w:r>
      <w:sdt>
        <w:sdtPr>
          <w:rPr>
            <w:i/>
            <w:lang w:val="en-US"/>
          </w:rPr>
          <w:id w:val="-1088996479"/>
          <w:citation/>
        </w:sdtPr>
        <w:sdtContent>
          <w:r>
            <w:rPr>
              <w:i/>
              <w:lang w:val="en-US"/>
            </w:rPr>
            <w:fldChar w:fldCharType="begin"/>
          </w:r>
          <w:r>
            <w:rPr>
              <w:i/>
              <w:lang w:val="en-US"/>
            </w:rPr>
            <w:instrText xml:space="preserve">CITATION Mar02 \p 25 \l 1030 </w:instrText>
          </w:r>
          <w:r>
            <w:rPr>
              <w:i/>
              <w:lang w:val="en-US"/>
            </w:rPr>
            <w:fldChar w:fldCharType="separate"/>
          </w:r>
          <w:r w:rsidR="00F623D4">
            <w:rPr>
              <w:i/>
              <w:noProof/>
              <w:lang w:val="en-US"/>
            </w:rPr>
            <w:t xml:space="preserve"> </w:t>
          </w:r>
          <w:r w:rsidR="00F623D4">
            <w:rPr>
              <w:noProof/>
              <w:lang w:val="en-US"/>
            </w:rPr>
            <w:t>(Jørgensen and Phillips 2002, 25)</w:t>
          </w:r>
          <w:r>
            <w:rPr>
              <w:i/>
              <w:lang w:val="en-US"/>
            </w:rPr>
            <w:fldChar w:fldCharType="end"/>
          </w:r>
        </w:sdtContent>
      </w:sdt>
      <w:r>
        <w:rPr>
          <w:lang w:val="en-US"/>
        </w:rPr>
        <w:t xml:space="preserve">. In the understanding of </w:t>
      </w:r>
      <w:proofErr w:type="spellStart"/>
      <w:r>
        <w:rPr>
          <w:lang w:val="en-US"/>
        </w:rPr>
        <w:t>Laclau</w:t>
      </w:r>
      <w:proofErr w:type="spellEnd"/>
      <w:r>
        <w:rPr>
          <w:lang w:val="en-US"/>
        </w:rPr>
        <w:t xml:space="preserve"> and </w:t>
      </w:r>
      <w:proofErr w:type="spellStart"/>
      <w:r>
        <w:rPr>
          <w:lang w:val="en-US"/>
        </w:rPr>
        <w:t>Mouffe</w:t>
      </w:r>
      <w:proofErr w:type="spellEnd"/>
      <w:r>
        <w:rPr>
          <w:lang w:val="en-US"/>
        </w:rPr>
        <w:t xml:space="preserve">, the social and the physical reality are completely interdependent, where reality is superimposed by the social, because everything </w:t>
      </w:r>
      <w:r w:rsidR="0009506B">
        <w:rPr>
          <w:lang w:val="en-US"/>
        </w:rPr>
        <w:t>is determined through discourse</w:t>
      </w:r>
      <w:r>
        <w:rPr>
          <w:lang w:val="en-US"/>
        </w:rPr>
        <w:t xml:space="preserve">. Accordingly, social practices are understood as fully discursive, where the </w:t>
      </w:r>
      <w:r w:rsidRPr="008C4674">
        <w:rPr>
          <w:lang w:val="en-US"/>
        </w:rPr>
        <w:t xml:space="preserve">poststructuralist theory </w:t>
      </w:r>
      <w:r>
        <w:rPr>
          <w:lang w:val="en-US"/>
        </w:rPr>
        <w:t>operates within the same concepts to define and analyze the social as well as the discursive meanings</w:t>
      </w:r>
      <w:sdt>
        <w:sdtPr>
          <w:rPr>
            <w:lang w:val="en-US"/>
          </w:rPr>
          <w:id w:val="-1793823550"/>
          <w:citation/>
        </w:sdtPr>
        <w:sdtContent>
          <w:r>
            <w:rPr>
              <w:lang w:val="en-US"/>
            </w:rPr>
            <w:fldChar w:fldCharType="begin"/>
          </w:r>
          <w:r>
            <w:rPr>
              <w:lang w:val="en-US"/>
            </w:rPr>
            <w:instrText xml:space="preserve">CITATION Mar02 \p 35 \l 1030 </w:instrText>
          </w:r>
          <w:r>
            <w:rPr>
              <w:lang w:val="en-US"/>
            </w:rPr>
            <w:fldChar w:fldCharType="separate"/>
          </w:r>
          <w:r w:rsidR="00F623D4">
            <w:rPr>
              <w:noProof/>
              <w:lang w:val="en-US"/>
            </w:rPr>
            <w:t xml:space="preserve"> (Jørgensen and Phillips 2002, 35)</w:t>
          </w:r>
          <w:r>
            <w:rPr>
              <w:lang w:val="en-US"/>
            </w:rPr>
            <w:fldChar w:fldCharType="end"/>
          </w:r>
        </w:sdtContent>
      </w:sdt>
      <w:r>
        <w:rPr>
          <w:lang w:val="en-US"/>
        </w:rPr>
        <w:t>. Moreover, it is asserted that what we refer to as ‘</w:t>
      </w:r>
      <w:r w:rsidRPr="008C4674">
        <w:rPr>
          <w:lang w:val="en-US"/>
        </w:rPr>
        <w:t>society</w:t>
      </w:r>
      <w:r>
        <w:rPr>
          <w:lang w:val="en-US"/>
        </w:rPr>
        <w:t xml:space="preserve">’ is not an objectively perceived phenomenon, but a meaning of society, created in a way that it appears objective and natural (Ibid: 33-34). As a result, society (ideas, values, identities) is not fixed, but ever-changing as the result of </w:t>
      </w:r>
      <w:r w:rsidRPr="00787A3C">
        <w:rPr>
          <w:lang w:val="en-US"/>
        </w:rPr>
        <w:t>contingent, discursive processes</w:t>
      </w:r>
      <w:r>
        <w:rPr>
          <w:lang w:val="en-US"/>
        </w:rPr>
        <w:t xml:space="preserve"> (Ibid: 34). On this account, </w:t>
      </w:r>
      <w:proofErr w:type="spellStart"/>
      <w:r>
        <w:rPr>
          <w:lang w:val="en-US"/>
        </w:rPr>
        <w:t>Laclau</w:t>
      </w:r>
      <w:proofErr w:type="spellEnd"/>
      <w:r>
        <w:rPr>
          <w:lang w:val="en-US"/>
        </w:rPr>
        <w:t xml:space="preserve"> and </w:t>
      </w:r>
      <w:proofErr w:type="spellStart"/>
      <w:r>
        <w:rPr>
          <w:lang w:val="en-US"/>
        </w:rPr>
        <w:t>Mouffe</w:t>
      </w:r>
      <w:proofErr w:type="spellEnd"/>
      <w:r>
        <w:rPr>
          <w:lang w:val="en-US"/>
        </w:rPr>
        <w:t xml:space="preserve"> also represent the concept of </w:t>
      </w:r>
      <w:r w:rsidRPr="0009199B">
        <w:rPr>
          <w:i/>
          <w:lang w:val="en-US"/>
        </w:rPr>
        <w:t>hegemony</w:t>
      </w:r>
      <w:r>
        <w:rPr>
          <w:lang w:val="en-US"/>
        </w:rPr>
        <w:t xml:space="preserve">, deriving from the work of Antonio </w:t>
      </w:r>
      <w:r w:rsidRPr="002440BA">
        <w:rPr>
          <w:lang w:val="en-US"/>
        </w:rPr>
        <w:t>Gramsci</w:t>
      </w:r>
      <w:r>
        <w:rPr>
          <w:lang w:val="en-US"/>
        </w:rPr>
        <w:t xml:space="preserve"> </w:t>
      </w:r>
      <w:sdt>
        <w:sdtPr>
          <w:rPr>
            <w:lang w:val="en-US"/>
          </w:rPr>
          <w:id w:val="1702972544"/>
          <w:citation/>
        </w:sdtPr>
        <w:sdtContent>
          <w:r>
            <w:rPr>
              <w:lang w:val="en-US"/>
            </w:rPr>
            <w:fldChar w:fldCharType="begin"/>
          </w:r>
          <w:r>
            <w:rPr>
              <w:lang w:val="en-US"/>
            </w:rPr>
            <w:instrText xml:space="preserve">CITATION Ant71 \n  \t  \l 1030 </w:instrText>
          </w:r>
          <w:r>
            <w:rPr>
              <w:lang w:val="en-US"/>
            </w:rPr>
            <w:fldChar w:fldCharType="separate"/>
          </w:r>
          <w:r w:rsidR="00F623D4">
            <w:rPr>
              <w:noProof/>
              <w:lang w:val="en-US"/>
            </w:rPr>
            <w:t>(1971)</w:t>
          </w:r>
          <w:r>
            <w:rPr>
              <w:lang w:val="en-US"/>
            </w:rPr>
            <w:fldChar w:fldCharType="end"/>
          </w:r>
        </w:sdtContent>
      </w:sdt>
      <w:r>
        <w:rPr>
          <w:lang w:val="en-US"/>
        </w:rPr>
        <w:t xml:space="preserve">. As meaning is structured through discourses within a particular field, social consensus can arise in terms of those discourses, where they can become dominant in social interpretation. Hegemonic discourses will structure social </w:t>
      </w:r>
      <w:r>
        <w:rPr>
          <w:lang w:val="en-US"/>
        </w:rPr>
        <w:lastRenderedPageBreak/>
        <w:t>practices, where they will appear natural and be perceived as ‘common sense’ (objective) – also similar to the ‘</w:t>
      </w:r>
      <w:r w:rsidRPr="008C4674">
        <w:rPr>
          <w:lang w:val="en-US"/>
        </w:rPr>
        <w:t>views of the world</w:t>
      </w:r>
      <w:r>
        <w:rPr>
          <w:lang w:val="en-US"/>
        </w:rPr>
        <w:t xml:space="preserve">’ aspect of the </w:t>
      </w:r>
      <w:r w:rsidRPr="008C4674">
        <w:rPr>
          <w:lang w:val="en-US"/>
        </w:rPr>
        <w:t>critical linguistics</w:t>
      </w:r>
      <w:r>
        <w:rPr>
          <w:i/>
          <w:lang w:val="en-US"/>
        </w:rPr>
        <w:t xml:space="preserve"> </w:t>
      </w:r>
      <w:r>
        <w:rPr>
          <w:lang w:val="en-US"/>
        </w:rPr>
        <w:t>tradition</w:t>
      </w:r>
      <w:sdt>
        <w:sdtPr>
          <w:rPr>
            <w:lang w:val="en-US"/>
          </w:rPr>
          <w:id w:val="1215859383"/>
          <w:citation/>
        </w:sdtPr>
        <w:sdtContent>
          <w:r>
            <w:rPr>
              <w:lang w:val="en-US"/>
            </w:rPr>
            <w:fldChar w:fldCharType="begin"/>
          </w:r>
          <w:r>
            <w:rPr>
              <w:lang w:val="en-US"/>
            </w:rPr>
            <w:instrText xml:space="preserve">CITATION Mar02 \p 48 \l 1030 </w:instrText>
          </w:r>
          <w:r>
            <w:rPr>
              <w:lang w:val="en-US"/>
            </w:rPr>
            <w:fldChar w:fldCharType="separate"/>
          </w:r>
          <w:r w:rsidR="00F623D4">
            <w:rPr>
              <w:noProof/>
              <w:lang w:val="en-US"/>
            </w:rPr>
            <w:t xml:space="preserve"> (Jørgensen and Phillips 2002, 48)</w:t>
          </w:r>
          <w:r>
            <w:rPr>
              <w:lang w:val="en-US"/>
            </w:rPr>
            <w:fldChar w:fldCharType="end"/>
          </w:r>
        </w:sdtContent>
      </w:sdt>
      <w:r>
        <w:rPr>
          <w:lang w:val="en-US"/>
        </w:rPr>
        <w:t>. The principle of hegemonic discourses i</w:t>
      </w:r>
      <w:r w:rsidR="00B62451">
        <w:rPr>
          <w:lang w:val="en-US"/>
        </w:rPr>
        <w:t xml:space="preserve">s described by </w:t>
      </w:r>
      <w:proofErr w:type="spellStart"/>
      <w:r w:rsidR="00B62451">
        <w:rPr>
          <w:lang w:val="en-US"/>
        </w:rPr>
        <w:t>Mouffe</w:t>
      </w:r>
      <w:proofErr w:type="spellEnd"/>
      <w:r w:rsidR="00B62451">
        <w:rPr>
          <w:lang w:val="en-US"/>
        </w:rPr>
        <w:t xml:space="preserve"> (2008) as:</w:t>
      </w:r>
    </w:p>
    <w:p w:rsidR="00762725" w:rsidRDefault="00762725" w:rsidP="00337119">
      <w:pPr>
        <w:spacing w:line="360" w:lineRule="auto"/>
        <w:ind w:left="1304"/>
        <w:rPr>
          <w:i/>
          <w:sz w:val="22"/>
          <w:lang w:val="en-US"/>
        </w:rPr>
      </w:pPr>
      <w:r w:rsidRPr="002C47E8">
        <w:rPr>
          <w:i/>
          <w:sz w:val="22"/>
          <w:lang w:val="en-US"/>
        </w:rPr>
        <w:t xml:space="preserve">“The practices of articulation through which a given order is created and the meaning of social institutions is fixed, are what we call ‘hegemonic practices’…What is at a given moment accepted as the ‘natural order’, jointly with the common sense that accompanies it, is the result of </w:t>
      </w:r>
      <w:proofErr w:type="spellStart"/>
      <w:r w:rsidRPr="002C47E8">
        <w:rPr>
          <w:i/>
          <w:sz w:val="22"/>
          <w:lang w:val="en-US"/>
        </w:rPr>
        <w:t>sedimented</w:t>
      </w:r>
      <w:proofErr w:type="spellEnd"/>
      <w:r w:rsidRPr="002C47E8">
        <w:rPr>
          <w:i/>
          <w:sz w:val="22"/>
          <w:lang w:val="en-US"/>
        </w:rPr>
        <w:t xml:space="preserve"> hegemonic practices”</w:t>
      </w:r>
      <w:sdt>
        <w:sdtPr>
          <w:rPr>
            <w:i/>
            <w:sz w:val="22"/>
            <w:lang w:val="en-US"/>
          </w:rPr>
          <w:id w:val="1233429141"/>
          <w:citation/>
        </w:sdtPr>
        <w:sdtContent>
          <w:r>
            <w:rPr>
              <w:i/>
              <w:sz w:val="22"/>
              <w:lang w:val="en-US"/>
            </w:rPr>
            <w:fldChar w:fldCharType="begin"/>
          </w:r>
          <w:r>
            <w:rPr>
              <w:i/>
              <w:sz w:val="22"/>
              <w:lang w:val="en-US"/>
            </w:rPr>
            <w:instrText xml:space="preserve">CITATION Mou08 \p 4 \l 1030 </w:instrText>
          </w:r>
          <w:r>
            <w:rPr>
              <w:i/>
              <w:sz w:val="22"/>
              <w:lang w:val="en-US"/>
            </w:rPr>
            <w:fldChar w:fldCharType="separate"/>
          </w:r>
          <w:r w:rsidR="00F623D4">
            <w:rPr>
              <w:i/>
              <w:noProof/>
              <w:sz w:val="22"/>
              <w:lang w:val="en-US"/>
            </w:rPr>
            <w:t xml:space="preserve"> </w:t>
          </w:r>
          <w:r w:rsidR="00F623D4" w:rsidRPr="00F623D4">
            <w:rPr>
              <w:noProof/>
              <w:sz w:val="22"/>
              <w:lang w:val="en-US"/>
            </w:rPr>
            <w:t>(Mouffe 2008, 4)</w:t>
          </w:r>
          <w:r>
            <w:rPr>
              <w:i/>
              <w:sz w:val="22"/>
              <w:lang w:val="en-US"/>
            </w:rPr>
            <w:fldChar w:fldCharType="end"/>
          </w:r>
        </w:sdtContent>
      </w:sdt>
      <w:r w:rsidRPr="002C47E8">
        <w:rPr>
          <w:i/>
          <w:sz w:val="22"/>
          <w:lang w:val="en-US"/>
        </w:rPr>
        <w:t>.</w:t>
      </w:r>
    </w:p>
    <w:p w:rsidR="00762725" w:rsidRPr="00BD7066" w:rsidRDefault="00762725" w:rsidP="00337119">
      <w:pPr>
        <w:spacing w:line="360" w:lineRule="auto"/>
        <w:rPr>
          <w:lang w:val="en-US"/>
        </w:rPr>
      </w:pPr>
      <w:r w:rsidRPr="0047683E">
        <w:rPr>
          <w:i/>
          <w:lang w:val="en-US"/>
        </w:rPr>
        <w:t xml:space="preserve">Articulation </w:t>
      </w:r>
      <w:r w:rsidRPr="0047683E">
        <w:rPr>
          <w:lang w:val="en-US"/>
        </w:rPr>
        <w:t xml:space="preserve">is how </w:t>
      </w:r>
      <w:proofErr w:type="spellStart"/>
      <w:r w:rsidRPr="0047683E">
        <w:rPr>
          <w:lang w:val="en-US"/>
        </w:rPr>
        <w:t>Laclau</w:t>
      </w:r>
      <w:proofErr w:type="spellEnd"/>
      <w:r w:rsidRPr="0047683E">
        <w:rPr>
          <w:lang w:val="en-US"/>
        </w:rPr>
        <w:t xml:space="preserve"> and </w:t>
      </w:r>
      <w:proofErr w:type="spellStart"/>
      <w:r w:rsidRPr="0047683E">
        <w:rPr>
          <w:lang w:val="en-US"/>
        </w:rPr>
        <w:t>Mouffe</w:t>
      </w:r>
      <w:proofErr w:type="spellEnd"/>
      <w:r w:rsidRPr="0047683E">
        <w:rPr>
          <w:lang w:val="en-US"/>
        </w:rPr>
        <w:t xml:space="preserve"> portray how the structured totality of discourses generally is created, as the articulatory practice establishes a relation among </w:t>
      </w:r>
      <w:r w:rsidRPr="00BD2044">
        <w:rPr>
          <w:i/>
          <w:lang w:val="en-US"/>
        </w:rPr>
        <w:t>elements</w:t>
      </w:r>
      <w:r w:rsidRPr="0047683E">
        <w:rPr>
          <w:lang w:val="en-US"/>
        </w:rPr>
        <w:t xml:space="preserve">, </w:t>
      </w:r>
      <w:r>
        <w:rPr>
          <w:lang w:val="en-US"/>
        </w:rPr>
        <w:t>modifying and depicting their value (</w:t>
      </w:r>
      <w:r w:rsidRPr="0047683E">
        <w:rPr>
          <w:lang w:val="en-US"/>
        </w:rPr>
        <w:t>identity)</w:t>
      </w:r>
      <w:r>
        <w:rPr>
          <w:lang w:val="en-US"/>
        </w:rPr>
        <w:t xml:space="preserve"> on those terms</w:t>
      </w:r>
      <w:sdt>
        <w:sdtPr>
          <w:rPr>
            <w:lang w:val="en-US"/>
          </w:rPr>
          <w:id w:val="944267912"/>
          <w:citation/>
        </w:sdtPr>
        <w:sdtContent>
          <w:r>
            <w:rPr>
              <w:lang w:val="en-US"/>
            </w:rPr>
            <w:fldChar w:fldCharType="begin"/>
          </w:r>
          <w:r>
            <w:rPr>
              <w:lang w:val="en-US"/>
            </w:rPr>
            <w:instrText xml:space="preserve">CITATION Ern85 \p 105 \l 1030 </w:instrText>
          </w:r>
          <w:r>
            <w:rPr>
              <w:lang w:val="en-US"/>
            </w:rPr>
            <w:fldChar w:fldCharType="separate"/>
          </w:r>
          <w:r w:rsidR="00F623D4">
            <w:rPr>
              <w:noProof/>
              <w:lang w:val="en-US"/>
            </w:rPr>
            <w:t xml:space="preserve"> (Laclau and Mouffe 1985, 105)</w:t>
          </w:r>
          <w:r>
            <w:rPr>
              <w:lang w:val="en-US"/>
            </w:rPr>
            <w:fldChar w:fldCharType="end"/>
          </w:r>
        </w:sdtContent>
      </w:sdt>
      <w:r w:rsidRPr="0047683E">
        <w:rPr>
          <w:lang w:val="en-US"/>
        </w:rPr>
        <w:t>.</w:t>
      </w:r>
      <w:r>
        <w:rPr>
          <w:lang w:val="en-US"/>
        </w:rPr>
        <w:t xml:space="preserve"> Within this context, an </w:t>
      </w:r>
      <w:r w:rsidRPr="008C4674">
        <w:rPr>
          <w:lang w:val="en-US"/>
        </w:rPr>
        <w:t xml:space="preserve">element </w:t>
      </w:r>
      <w:r>
        <w:rPr>
          <w:lang w:val="en-US"/>
        </w:rPr>
        <w:t xml:space="preserve">has not yet been fixed and </w:t>
      </w:r>
      <w:r w:rsidRPr="008C4674">
        <w:rPr>
          <w:lang w:val="en-US"/>
        </w:rPr>
        <w:t>articulated</w:t>
      </w:r>
      <w:r>
        <w:rPr>
          <w:i/>
          <w:lang w:val="en-US"/>
        </w:rPr>
        <w:t xml:space="preserve"> </w:t>
      </w:r>
      <w:r>
        <w:rPr>
          <w:lang w:val="en-US"/>
        </w:rPr>
        <w:t xml:space="preserve">within a discourse, and therefore has no collective meaning. After the practice of </w:t>
      </w:r>
      <w:r w:rsidRPr="008C4674">
        <w:rPr>
          <w:lang w:val="en-US"/>
        </w:rPr>
        <w:t>articulation</w:t>
      </w:r>
      <w:r>
        <w:rPr>
          <w:lang w:val="en-US"/>
        </w:rPr>
        <w:t xml:space="preserve">, the </w:t>
      </w:r>
      <w:r w:rsidRPr="008C4674">
        <w:rPr>
          <w:lang w:val="en-US"/>
        </w:rPr>
        <w:t xml:space="preserve">element </w:t>
      </w:r>
      <w:r>
        <w:rPr>
          <w:lang w:val="en-US"/>
        </w:rPr>
        <w:t xml:space="preserve">has been articulated and has a relational meaning, where it is referred to as a </w:t>
      </w:r>
      <w:r>
        <w:rPr>
          <w:i/>
          <w:lang w:val="en-US"/>
        </w:rPr>
        <w:t>sign/moment</w:t>
      </w:r>
      <w:r>
        <w:rPr>
          <w:lang w:val="en-US"/>
        </w:rPr>
        <w:t xml:space="preserve"> (Ibid: 110).</w:t>
      </w:r>
      <w:r w:rsidRPr="0047683E">
        <w:rPr>
          <w:lang w:val="en-US"/>
        </w:rPr>
        <w:t xml:space="preserve"> </w:t>
      </w:r>
      <w:r>
        <w:rPr>
          <w:lang w:val="en-US"/>
        </w:rPr>
        <w:t xml:space="preserve">These are some of the most essential concepts in </w:t>
      </w:r>
      <w:proofErr w:type="spellStart"/>
      <w:r>
        <w:rPr>
          <w:lang w:val="en-US"/>
        </w:rPr>
        <w:t>Laclau</w:t>
      </w:r>
      <w:proofErr w:type="spellEnd"/>
      <w:r>
        <w:rPr>
          <w:lang w:val="en-US"/>
        </w:rPr>
        <w:t xml:space="preserve"> and </w:t>
      </w:r>
      <w:proofErr w:type="spellStart"/>
      <w:r>
        <w:rPr>
          <w:lang w:val="en-US"/>
        </w:rPr>
        <w:t>Mouffe’s</w:t>
      </w:r>
      <w:proofErr w:type="spellEnd"/>
      <w:r>
        <w:rPr>
          <w:lang w:val="en-US"/>
        </w:rPr>
        <w:t xml:space="preserve"> theory’s outline of the creation of meaning and definition of discourse. Jørgensen and Phillips illustrate discursive relations with the metaphor of a fishing-net: linguistic </w:t>
      </w:r>
      <w:r w:rsidRPr="008C4674">
        <w:rPr>
          <w:lang w:val="en-US"/>
        </w:rPr>
        <w:t>signs</w:t>
      </w:r>
      <w:r>
        <w:rPr>
          <w:i/>
          <w:lang w:val="en-US"/>
        </w:rPr>
        <w:t xml:space="preserve"> </w:t>
      </w:r>
      <w:r>
        <w:rPr>
          <w:lang w:val="en-US"/>
        </w:rPr>
        <w:t>are the ‘</w:t>
      </w:r>
      <w:r w:rsidRPr="008C4674">
        <w:rPr>
          <w:lang w:val="en-US"/>
        </w:rPr>
        <w:t>knots</w:t>
      </w:r>
      <w:r>
        <w:rPr>
          <w:lang w:val="en-US"/>
        </w:rPr>
        <w:t xml:space="preserve">’, having particular positions in the net and deriving meaning from their difference from one another, becoming a </w:t>
      </w:r>
      <w:r w:rsidRPr="008C4674">
        <w:rPr>
          <w:lang w:val="en-US"/>
        </w:rPr>
        <w:t>moment</w:t>
      </w:r>
      <w:r w:rsidR="00AA6388">
        <w:rPr>
          <w:lang w:val="en-US"/>
        </w:rPr>
        <w:t xml:space="preserve">. </w:t>
      </w:r>
      <w:r>
        <w:rPr>
          <w:lang w:val="en-US"/>
        </w:rPr>
        <w:t xml:space="preserve">It is the fixation of articulated </w:t>
      </w:r>
      <w:r w:rsidRPr="003724C0">
        <w:rPr>
          <w:lang w:val="en-US"/>
        </w:rPr>
        <w:t>elements</w:t>
      </w:r>
      <w:r>
        <w:rPr>
          <w:lang w:val="en-US"/>
        </w:rPr>
        <w:t xml:space="preserve"> (</w:t>
      </w:r>
      <w:r w:rsidRPr="003724C0">
        <w:rPr>
          <w:lang w:val="en-US"/>
        </w:rPr>
        <w:t>signs</w:t>
      </w:r>
      <w:r>
        <w:rPr>
          <w:lang w:val="en-US"/>
        </w:rPr>
        <w:t xml:space="preserve">) </w:t>
      </w:r>
      <w:r w:rsidRPr="001A6BDD">
        <w:rPr>
          <w:lang w:val="en-US"/>
        </w:rPr>
        <w:t>that</w:t>
      </w:r>
      <w:r>
        <w:rPr>
          <w:lang w:val="en-US"/>
        </w:rPr>
        <w:t xml:space="preserve"> creates meaning, where each </w:t>
      </w:r>
      <w:r w:rsidRPr="003724C0">
        <w:rPr>
          <w:lang w:val="en-US"/>
        </w:rPr>
        <w:t>sign</w:t>
      </w:r>
      <w:r>
        <w:rPr>
          <w:i/>
          <w:lang w:val="en-US"/>
        </w:rPr>
        <w:t xml:space="preserve"> </w:t>
      </w:r>
      <w:r>
        <w:rPr>
          <w:lang w:val="en-US"/>
        </w:rPr>
        <w:t xml:space="preserve">has its own meaning/identity, changing as it is positioned in a particular relation to other </w:t>
      </w:r>
      <w:r w:rsidRPr="003724C0">
        <w:rPr>
          <w:lang w:val="en-US"/>
        </w:rPr>
        <w:t>signs</w:t>
      </w:r>
      <w:r>
        <w:rPr>
          <w:lang w:val="en-US"/>
        </w:rPr>
        <w:t xml:space="preserve">. Nevertheless, they are </w:t>
      </w:r>
      <w:r w:rsidRPr="003724C0">
        <w:rPr>
          <w:lang w:val="en-US"/>
        </w:rPr>
        <w:t>contingent</w:t>
      </w:r>
      <w:r w:rsidR="00AA6388" w:rsidRPr="00AA6388">
        <w:rPr>
          <w:lang w:val="en-US"/>
        </w:rPr>
        <w:t xml:space="preserve"> </w:t>
      </w:r>
      <w:r w:rsidR="00AA6388">
        <w:rPr>
          <w:lang w:val="en-US"/>
        </w:rPr>
        <w:t>(fixed and challenged by negotiations, conventions and conflicts in society)</w:t>
      </w:r>
      <w:r>
        <w:rPr>
          <w:lang w:val="en-US"/>
        </w:rPr>
        <w:t xml:space="preserve">, which means that each </w:t>
      </w:r>
      <w:r w:rsidRPr="003724C0">
        <w:rPr>
          <w:lang w:val="en-US"/>
        </w:rPr>
        <w:t>sign</w:t>
      </w:r>
      <w:r>
        <w:rPr>
          <w:lang w:val="en-US"/>
        </w:rPr>
        <w:t xml:space="preserve"> and </w:t>
      </w:r>
      <w:r w:rsidRPr="003724C0">
        <w:rPr>
          <w:lang w:val="en-US"/>
        </w:rPr>
        <w:t>signs</w:t>
      </w:r>
      <w:r>
        <w:rPr>
          <w:i/>
          <w:lang w:val="en-US"/>
        </w:rPr>
        <w:t xml:space="preserve"> </w:t>
      </w:r>
      <w:r>
        <w:rPr>
          <w:lang w:val="en-US"/>
        </w:rPr>
        <w:t xml:space="preserve">in relation to </w:t>
      </w:r>
      <w:r w:rsidRPr="003724C0">
        <w:rPr>
          <w:lang w:val="en-US"/>
        </w:rPr>
        <w:t>signs</w:t>
      </w:r>
      <w:r>
        <w:rPr>
          <w:lang w:val="en-US"/>
        </w:rPr>
        <w:t xml:space="preserve"> have the potentials to create a specific and desired discursive meaning, but not necessarily</w:t>
      </w:r>
      <w:sdt>
        <w:sdtPr>
          <w:rPr>
            <w:lang w:val="en-US"/>
          </w:rPr>
          <w:id w:val="-1665382376"/>
          <w:citation/>
        </w:sdtPr>
        <w:sdtContent>
          <w:r>
            <w:rPr>
              <w:lang w:val="en-US"/>
            </w:rPr>
            <w:fldChar w:fldCharType="begin"/>
          </w:r>
          <w:r>
            <w:rPr>
              <w:lang w:val="en-US"/>
            </w:rPr>
            <w:instrText xml:space="preserve">CITATION Mar02 \p 25 \l 1030 </w:instrText>
          </w:r>
          <w:r>
            <w:rPr>
              <w:lang w:val="en-US"/>
            </w:rPr>
            <w:fldChar w:fldCharType="separate"/>
          </w:r>
          <w:r w:rsidR="00F623D4">
            <w:rPr>
              <w:noProof/>
              <w:lang w:val="en-US"/>
            </w:rPr>
            <w:t xml:space="preserve"> (Jørgensen and Phillips 2002, 25)</w:t>
          </w:r>
          <w:r>
            <w:rPr>
              <w:lang w:val="en-US"/>
            </w:rPr>
            <w:fldChar w:fldCharType="end"/>
          </w:r>
        </w:sdtContent>
      </w:sdt>
      <w:r>
        <w:rPr>
          <w:lang w:val="en-US"/>
        </w:rPr>
        <w:t>. Accordingly, creating meaning within a text can be a conscious process in the hands of the sender, who has the desire to fix a specific meaning, which accommodates the sender’s ‘</w:t>
      </w:r>
      <w:r w:rsidRPr="003724C0">
        <w:rPr>
          <w:lang w:val="en-US"/>
        </w:rPr>
        <w:t>views of the world</w:t>
      </w:r>
      <w:r>
        <w:rPr>
          <w:lang w:val="en-US"/>
        </w:rPr>
        <w:t xml:space="preserve">’ and fits a purpose. According to Jørgensen and Phillips, the contingency aspect makes this process impossible to perform with certainty, which is where discourse analysis has its entry point: the examination of which meaning was in fact created by the fixed </w:t>
      </w:r>
      <w:r w:rsidRPr="003724C0">
        <w:rPr>
          <w:lang w:val="en-US"/>
        </w:rPr>
        <w:t>signs</w:t>
      </w:r>
      <w:r>
        <w:rPr>
          <w:lang w:val="en-US"/>
        </w:rPr>
        <w:t xml:space="preserve"> (Ibid: 26). </w:t>
      </w:r>
    </w:p>
    <w:p w:rsidR="00401265" w:rsidRDefault="006E695D" w:rsidP="00337119">
      <w:pPr>
        <w:spacing w:line="360" w:lineRule="auto"/>
        <w:rPr>
          <w:lang w:val="en-US"/>
        </w:rPr>
      </w:pPr>
      <w:r>
        <w:rPr>
          <w:lang w:val="en-US"/>
        </w:rPr>
        <w:t>In close correlation with t</w:t>
      </w:r>
      <w:r w:rsidR="00762725">
        <w:rPr>
          <w:lang w:val="en-US"/>
        </w:rPr>
        <w:t>he linguistic understanding of discourses</w:t>
      </w:r>
      <w:r>
        <w:rPr>
          <w:lang w:val="en-US"/>
        </w:rPr>
        <w:t xml:space="preserve"> presented thus far are the concepts: </w:t>
      </w:r>
      <w:r w:rsidR="00762725">
        <w:rPr>
          <w:i/>
          <w:lang w:val="en-US"/>
        </w:rPr>
        <w:t>nodal points</w:t>
      </w:r>
      <w:r w:rsidR="00762725">
        <w:rPr>
          <w:lang w:val="en-US"/>
        </w:rPr>
        <w:t xml:space="preserve">, </w:t>
      </w:r>
      <w:r w:rsidR="00762725">
        <w:rPr>
          <w:i/>
          <w:lang w:val="en-US"/>
        </w:rPr>
        <w:t xml:space="preserve">closure </w:t>
      </w:r>
      <w:r w:rsidR="00762725">
        <w:rPr>
          <w:lang w:val="en-US"/>
        </w:rPr>
        <w:t>and</w:t>
      </w:r>
      <w:r w:rsidR="00762725">
        <w:rPr>
          <w:i/>
          <w:lang w:val="en-US"/>
        </w:rPr>
        <w:t xml:space="preserve"> the field of </w:t>
      </w:r>
      <w:proofErr w:type="spellStart"/>
      <w:r w:rsidR="00762725" w:rsidRPr="002C0308">
        <w:rPr>
          <w:i/>
          <w:lang w:val="en-US"/>
        </w:rPr>
        <w:t>discursivity</w:t>
      </w:r>
      <w:proofErr w:type="spellEnd"/>
      <w:r w:rsidR="00762725">
        <w:rPr>
          <w:lang w:val="en-US"/>
        </w:rPr>
        <w:t xml:space="preserve">. When a </w:t>
      </w:r>
      <w:r w:rsidR="00762725" w:rsidRPr="003724C0">
        <w:rPr>
          <w:lang w:val="en-US"/>
        </w:rPr>
        <w:t xml:space="preserve">sign </w:t>
      </w:r>
      <w:r w:rsidR="00762725">
        <w:rPr>
          <w:lang w:val="en-US"/>
        </w:rPr>
        <w:t xml:space="preserve">has a greater significance within a discursive context than others, it will be referred to as a </w:t>
      </w:r>
      <w:r w:rsidR="00762725" w:rsidRPr="003724C0">
        <w:rPr>
          <w:lang w:val="en-US"/>
        </w:rPr>
        <w:t>nodal point,</w:t>
      </w:r>
      <w:r w:rsidR="00762725">
        <w:rPr>
          <w:lang w:val="en-US"/>
        </w:rPr>
        <w:t xml:space="preserve"> signifying a center of fixation or a reference point, where the meanings of other </w:t>
      </w:r>
      <w:r w:rsidR="00762725" w:rsidRPr="003724C0">
        <w:rPr>
          <w:lang w:val="en-US"/>
        </w:rPr>
        <w:t>signs</w:t>
      </w:r>
      <w:r w:rsidR="00762725">
        <w:rPr>
          <w:lang w:val="en-US"/>
        </w:rPr>
        <w:t xml:space="preserve"> are partially ordered, based on their </w:t>
      </w:r>
      <w:r w:rsidR="00762725">
        <w:rPr>
          <w:lang w:val="en-US"/>
        </w:rPr>
        <w:lastRenderedPageBreak/>
        <w:t xml:space="preserve">relationship with the </w:t>
      </w:r>
      <w:r w:rsidR="00762725" w:rsidRPr="003724C0">
        <w:rPr>
          <w:lang w:val="en-US"/>
        </w:rPr>
        <w:t>nodal point</w:t>
      </w:r>
      <w:r w:rsidR="00762725">
        <w:rPr>
          <w:lang w:val="en-US"/>
        </w:rPr>
        <w:t>.</w:t>
      </w:r>
      <w:r w:rsidR="00762725" w:rsidRPr="004F2E7F">
        <w:rPr>
          <w:lang w:val="en-US"/>
        </w:rPr>
        <w:t xml:space="preserve"> </w:t>
      </w:r>
      <w:r w:rsidR="00762725">
        <w:rPr>
          <w:lang w:val="en-US"/>
        </w:rPr>
        <w:t xml:space="preserve">A nodal point is also referred to as a </w:t>
      </w:r>
      <w:r w:rsidR="00762725">
        <w:rPr>
          <w:i/>
          <w:lang w:val="en-US"/>
        </w:rPr>
        <w:t>floating signifier</w:t>
      </w:r>
      <w:r w:rsidR="00762725">
        <w:rPr>
          <w:lang w:val="en-US"/>
        </w:rPr>
        <w:t>, because it bears no direct meaning on its own, but it directs/signifies an order between other signs</w:t>
      </w:r>
      <w:r w:rsidR="00762725" w:rsidRPr="009A5C30">
        <w:rPr>
          <w:lang w:val="en-US"/>
        </w:rPr>
        <w:t xml:space="preserve"> </w:t>
      </w:r>
      <w:sdt>
        <w:sdtPr>
          <w:rPr>
            <w:lang w:val="en-US"/>
          </w:rPr>
          <w:id w:val="2141071461"/>
          <w:citation/>
        </w:sdtPr>
        <w:sdtContent>
          <w:r w:rsidR="00762725">
            <w:rPr>
              <w:lang w:val="en-US"/>
            </w:rPr>
            <w:fldChar w:fldCharType="begin"/>
          </w:r>
          <w:r w:rsidR="00762725">
            <w:rPr>
              <w:lang w:val="en-US"/>
            </w:rPr>
            <w:instrText xml:space="preserve">CITATION Mar02 \p 26 \l 1030 </w:instrText>
          </w:r>
          <w:r w:rsidR="00762725">
            <w:rPr>
              <w:lang w:val="en-US"/>
            </w:rPr>
            <w:fldChar w:fldCharType="separate"/>
          </w:r>
          <w:r w:rsidR="00F623D4">
            <w:rPr>
              <w:noProof/>
              <w:lang w:val="en-US"/>
            </w:rPr>
            <w:t>(Jørgensen and Phillips 2002, 26)</w:t>
          </w:r>
          <w:r w:rsidR="00762725">
            <w:rPr>
              <w:lang w:val="en-US"/>
            </w:rPr>
            <w:fldChar w:fldCharType="end"/>
          </w:r>
        </w:sdtContent>
      </w:sdt>
      <w:r w:rsidR="00762725">
        <w:rPr>
          <w:lang w:val="en-US"/>
        </w:rPr>
        <w:t xml:space="preserve">. In accordance with the study, the CSR concept itself may be seen as a </w:t>
      </w:r>
      <w:r w:rsidR="00762725" w:rsidRPr="004F2E7F">
        <w:rPr>
          <w:lang w:val="en-US"/>
        </w:rPr>
        <w:t>nodal point</w:t>
      </w:r>
      <w:r w:rsidR="00762725">
        <w:rPr>
          <w:lang w:val="en-US"/>
        </w:rPr>
        <w:t xml:space="preserve"> or floating signifier in a discursive context, where </w:t>
      </w:r>
      <w:r w:rsidR="0064041F">
        <w:rPr>
          <w:lang w:val="en-US"/>
        </w:rPr>
        <w:t xml:space="preserve">an </w:t>
      </w:r>
      <w:r w:rsidR="00762725" w:rsidRPr="003724C0">
        <w:rPr>
          <w:lang w:val="en-US"/>
        </w:rPr>
        <w:t>element</w:t>
      </w:r>
      <w:r w:rsidR="00762725">
        <w:rPr>
          <w:i/>
          <w:lang w:val="en-US"/>
        </w:rPr>
        <w:t xml:space="preserve"> </w:t>
      </w:r>
      <w:r w:rsidR="00762725">
        <w:rPr>
          <w:lang w:val="en-US"/>
        </w:rPr>
        <w:t>like ‘</w:t>
      </w:r>
      <w:r w:rsidR="00762725" w:rsidRPr="003724C0">
        <w:rPr>
          <w:lang w:val="en-US"/>
        </w:rPr>
        <w:t>justice</w:t>
      </w:r>
      <w:r w:rsidR="00762725">
        <w:rPr>
          <w:lang w:val="en-US"/>
        </w:rPr>
        <w:t>’</w:t>
      </w:r>
      <w:r w:rsidR="00762725" w:rsidRPr="002D10C2">
        <w:rPr>
          <w:i/>
          <w:lang w:val="en-US"/>
        </w:rPr>
        <w:t xml:space="preserve"> </w:t>
      </w:r>
      <w:r w:rsidR="0064041F">
        <w:rPr>
          <w:lang w:val="en-US"/>
        </w:rPr>
        <w:t>has a specific meaning due to its</w:t>
      </w:r>
      <w:r w:rsidR="00762725">
        <w:rPr>
          <w:lang w:val="en-US"/>
        </w:rPr>
        <w:t xml:space="preserve"> relationship with the CSR reference point. </w:t>
      </w:r>
      <w:r w:rsidR="0064041F">
        <w:rPr>
          <w:lang w:val="en-US"/>
        </w:rPr>
        <w:t>F</w:t>
      </w:r>
      <w:r w:rsidR="00762725">
        <w:rPr>
          <w:lang w:val="en-US"/>
        </w:rPr>
        <w:t xml:space="preserve">ixated as a </w:t>
      </w:r>
      <w:r w:rsidR="00762725" w:rsidRPr="003724C0">
        <w:rPr>
          <w:lang w:val="en-US"/>
        </w:rPr>
        <w:t>moment</w:t>
      </w:r>
      <w:r w:rsidR="00762725">
        <w:rPr>
          <w:i/>
          <w:lang w:val="en-US"/>
        </w:rPr>
        <w:t xml:space="preserve"> </w:t>
      </w:r>
      <w:r w:rsidR="00762725">
        <w:rPr>
          <w:lang w:val="en-US"/>
        </w:rPr>
        <w:t>in relation to CSR,</w:t>
      </w:r>
      <w:r w:rsidR="0064041F">
        <w:rPr>
          <w:lang w:val="en-US"/>
        </w:rPr>
        <w:t xml:space="preserve"> justice may signify</w:t>
      </w:r>
      <w:r w:rsidR="00762725">
        <w:rPr>
          <w:lang w:val="en-US"/>
        </w:rPr>
        <w:t xml:space="preserve"> ‘</w:t>
      </w:r>
      <w:r w:rsidR="00762725" w:rsidRPr="003724C0">
        <w:rPr>
          <w:lang w:val="en-US"/>
        </w:rPr>
        <w:t>human rights</w:t>
      </w:r>
      <w:r w:rsidR="00762725">
        <w:rPr>
          <w:lang w:val="en-US"/>
        </w:rPr>
        <w:t>’</w:t>
      </w:r>
      <w:r w:rsidR="00762725" w:rsidRPr="003724C0">
        <w:rPr>
          <w:lang w:val="en-US"/>
        </w:rPr>
        <w:t>,</w:t>
      </w:r>
      <w:r w:rsidR="00762725">
        <w:rPr>
          <w:lang w:val="en-US"/>
        </w:rPr>
        <w:t xml:space="preserve"> where it may signify ‘</w:t>
      </w:r>
      <w:r w:rsidR="00762725" w:rsidRPr="003724C0">
        <w:rPr>
          <w:lang w:val="en-US"/>
        </w:rPr>
        <w:t>punishment</w:t>
      </w:r>
      <w:r w:rsidR="00762725">
        <w:rPr>
          <w:lang w:val="en-US"/>
        </w:rPr>
        <w:t>’</w:t>
      </w:r>
      <w:r w:rsidR="00762725">
        <w:rPr>
          <w:i/>
          <w:lang w:val="en-US"/>
        </w:rPr>
        <w:t xml:space="preserve"> </w:t>
      </w:r>
      <w:r w:rsidR="00762725">
        <w:rPr>
          <w:lang w:val="en-US"/>
        </w:rPr>
        <w:t xml:space="preserve">in relation to </w:t>
      </w:r>
      <w:r w:rsidR="00086048">
        <w:rPr>
          <w:lang w:val="en-US"/>
        </w:rPr>
        <w:t>a reference point like</w:t>
      </w:r>
      <w:r w:rsidR="00762725" w:rsidRPr="003724C0">
        <w:rPr>
          <w:lang w:val="en-US"/>
        </w:rPr>
        <w:t xml:space="preserve"> </w:t>
      </w:r>
      <w:r w:rsidR="00762725">
        <w:rPr>
          <w:lang w:val="en-US"/>
        </w:rPr>
        <w:t>‘</w:t>
      </w:r>
      <w:r w:rsidR="00762725" w:rsidRPr="003724C0">
        <w:rPr>
          <w:lang w:val="en-US"/>
        </w:rPr>
        <w:t>law</w:t>
      </w:r>
      <w:r w:rsidR="00762725">
        <w:rPr>
          <w:lang w:val="en-US"/>
        </w:rPr>
        <w:t xml:space="preserve">’. Consequently, the establishment of discourses, in the process of </w:t>
      </w:r>
      <w:r w:rsidR="00762725" w:rsidRPr="003724C0">
        <w:rPr>
          <w:lang w:val="en-US"/>
        </w:rPr>
        <w:t>sign</w:t>
      </w:r>
      <w:r w:rsidR="00762725">
        <w:rPr>
          <w:i/>
          <w:lang w:val="en-US"/>
        </w:rPr>
        <w:t xml:space="preserve"> </w:t>
      </w:r>
      <w:r w:rsidR="00762725">
        <w:rPr>
          <w:lang w:val="en-US"/>
        </w:rPr>
        <w:t xml:space="preserve">fixation to create meaning, excludes other possible meanings </w:t>
      </w:r>
      <w:r w:rsidR="00762725" w:rsidRPr="003724C0">
        <w:rPr>
          <w:lang w:val="en-US"/>
        </w:rPr>
        <w:t>that a sign</w:t>
      </w:r>
      <w:r w:rsidR="00762725">
        <w:rPr>
          <w:i/>
          <w:lang w:val="en-US"/>
        </w:rPr>
        <w:t xml:space="preserve"> </w:t>
      </w:r>
      <w:r w:rsidR="00762725">
        <w:rPr>
          <w:lang w:val="en-US"/>
        </w:rPr>
        <w:t xml:space="preserve">could have, as to create a unified system of meaning. This is referred to as </w:t>
      </w:r>
      <w:r w:rsidR="00762725" w:rsidRPr="003724C0">
        <w:rPr>
          <w:i/>
          <w:lang w:val="en-US"/>
        </w:rPr>
        <w:t>closure</w:t>
      </w:r>
      <w:r w:rsidR="00762725">
        <w:rPr>
          <w:lang w:val="en-US"/>
        </w:rPr>
        <w:t xml:space="preserve">, signifying a temporary stop in the fluctuations of alternate meanings of </w:t>
      </w:r>
      <w:r w:rsidR="00762725" w:rsidRPr="003724C0">
        <w:rPr>
          <w:lang w:val="en-US"/>
        </w:rPr>
        <w:t>signs</w:t>
      </w:r>
      <w:r w:rsidR="00762725">
        <w:rPr>
          <w:lang w:val="en-US"/>
        </w:rPr>
        <w:t xml:space="preserve">. All the possibilities of meaning embedded within a </w:t>
      </w:r>
      <w:r w:rsidR="00762725" w:rsidRPr="003724C0">
        <w:rPr>
          <w:lang w:val="en-US"/>
        </w:rPr>
        <w:t xml:space="preserve">sign </w:t>
      </w:r>
      <w:r w:rsidR="00762725">
        <w:rPr>
          <w:lang w:val="en-US"/>
        </w:rPr>
        <w:t xml:space="preserve">and excluded by the </w:t>
      </w:r>
      <w:r w:rsidR="00762725" w:rsidRPr="003724C0">
        <w:rPr>
          <w:lang w:val="en-US"/>
        </w:rPr>
        <w:t>discourse</w:t>
      </w:r>
      <w:r w:rsidR="00762725">
        <w:rPr>
          <w:lang w:val="en-US"/>
        </w:rPr>
        <w:t xml:space="preserve"> are called the </w:t>
      </w:r>
      <w:r w:rsidR="00762725">
        <w:rPr>
          <w:i/>
          <w:lang w:val="en-US"/>
        </w:rPr>
        <w:t xml:space="preserve">field of </w:t>
      </w:r>
      <w:proofErr w:type="spellStart"/>
      <w:r w:rsidR="00762725">
        <w:rPr>
          <w:i/>
          <w:lang w:val="en-US"/>
        </w:rPr>
        <w:t>discursivity</w:t>
      </w:r>
      <w:proofErr w:type="spellEnd"/>
      <w:r w:rsidR="00762725">
        <w:rPr>
          <w:lang w:val="en-US"/>
        </w:rPr>
        <w:t>, encapsulating all meaning absent from the discourse in question. The unified system of meaning within the discourse (</w:t>
      </w:r>
      <w:r w:rsidR="00762725" w:rsidRPr="003724C0">
        <w:rPr>
          <w:lang w:val="en-US"/>
        </w:rPr>
        <w:t>closure</w:t>
      </w:r>
      <w:r w:rsidR="00762725">
        <w:rPr>
          <w:lang w:val="en-US"/>
        </w:rPr>
        <w:t xml:space="preserve">) </w:t>
      </w:r>
      <w:r w:rsidR="00762725" w:rsidRPr="004D4CEF">
        <w:rPr>
          <w:lang w:val="en-US"/>
        </w:rPr>
        <w:t>cannot</w:t>
      </w:r>
      <w:r w:rsidR="00762725">
        <w:rPr>
          <w:lang w:val="en-US"/>
        </w:rPr>
        <w:t xml:space="preserve"> be seen as constant due to this </w:t>
      </w:r>
      <w:r w:rsidR="00762725" w:rsidRPr="003724C0">
        <w:rPr>
          <w:lang w:val="en-US"/>
        </w:rPr>
        <w:t xml:space="preserve">field of </w:t>
      </w:r>
      <w:proofErr w:type="spellStart"/>
      <w:r w:rsidR="00762725" w:rsidRPr="003724C0">
        <w:rPr>
          <w:lang w:val="en-US"/>
        </w:rPr>
        <w:t>discursivity</w:t>
      </w:r>
      <w:proofErr w:type="spellEnd"/>
      <w:r w:rsidR="00762725">
        <w:rPr>
          <w:lang w:val="en-US"/>
        </w:rPr>
        <w:t xml:space="preserve">, where its range of alternative constructions of meanings or identities derives a potential to undermine and disrupt this unified system – a potential limited by the referential </w:t>
      </w:r>
      <w:r w:rsidR="00762725" w:rsidRPr="003724C0">
        <w:rPr>
          <w:lang w:val="en-US"/>
        </w:rPr>
        <w:t>nodal points</w:t>
      </w:r>
      <w:sdt>
        <w:sdtPr>
          <w:rPr>
            <w:lang w:val="en-US"/>
          </w:rPr>
          <w:id w:val="-864132965"/>
          <w:citation/>
        </w:sdtPr>
        <w:sdtContent>
          <w:r w:rsidR="00762725">
            <w:rPr>
              <w:lang w:val="en-US"/>
            </w:rPr>
            <w:fldChar w:fldCharType="begin"/>
          </w:r>
          <w:r w:rsidR="00762725">
            <w:rPr>
              <w:lang w:val="en-US"/>
            </w:rPr>
            <w:instrText xml:space="preserve">CITATION Mar02 \p 27-28 \l 1030 </w:instrText>
          </w:r>
          <w:r w:rsidR="00762725">
            <w:rPr>
              <w:lang w:val="en-US"/>
            </w:rPr>
            <w:fldChar w:fldCharType="separate"/>
          </w:r>
          <w:r w:rsidR="00F623D4">
            <w:rPr>
              <w:noProof/>
              <w:lang w:val="en-US"/>
            </w:rPr>
            <w:t xml:space="preserve"> (Jørgensen and Phillips 2002, 27-28)</w:t>
          </w:r>
          <w:r w:rsidR="00762725">
            <w:rPr>
              <w:lang w:val="en-US"/>
            </w:rPr>
            <w:fldChar w:fldCharType="end"/>
          </w:r>
        </w:sdtContent>
      </w:sdt>
      <w:r w:rsidR="00762725">
        <w:rPr>
          <w:lang w:val="en-US"/>
        </w:rPr>
        <w:t xml:space="preserve">. </w:t>
      </w:r>
    </w:p>
    <w:p w:rsidR="00762725" w:rsidRPr="007842C7" w:rsidRDefault="00401265" w:rsidP="00337119">
      <w:pPr>
        <w:spacing w:line="360" w:lineRule="auto"/>
        <w:rPr>
          <w:lang w:val="en-US"/>
        </w:rPr>
      </w:pPr>
      <w:r>
        <w:rPr>
          <w:lang w:val="en-US"/>
        </w:rPr>
        <w:t>The</w:t>
      </w:r>
      <w:r w:rsidR="00762725">
        <w:rPr>
          <w:lang w:val="en-US"/>
        </w:rPr>
        <w:t xml:space="preserve"> disruption of meaning occurs in the presence of mutually excluding identities, where they make contrasting demands within the same field. This is referred to as </w:t>
      </w:r>
      <w:r w:rsidR="00762725">
        <w:rPr>
          <w:i/>
          <w:lang w:val="en-US"/>
        </w:rPr>
        <w:t>social antagonism</w:t>
      </w:r>
      <w:r w:rsidR="00762725">
        <w:rPr>
          <w:lang w:val="en-US"/>
        </w:rPr>
        <w:t>, signifying a conflict and power struggle among discourses and identities (Ibid: 47-48).</w:t>
      </w:r>
      <w:r w:rsidR="00762725" w:rsidRPr="00383074">
        <w:rPr>
          <w:lang w:val="en-US"/>
        </w:rPr>
        <w:t xml:space="preserve"> </w:t>
      </w:r>
      <w:r w:rsidR="00762725">
        <w:rPr>
          <w:lang w:val="en-US"/>
        </w:rPr>
        <w:t xml:space="preserve">According to Jørgensen and Phillips, seeking inspiration from </w:t>
      </w:r>
      <w:proofErr w:type="spellStart"/>
      <w:r w:rsidR="00762725">
        <w:rPr>
          <w:lang w:val="en-US"/>
        </w:rPr>
        <w:t>Fairclough</w:t>
      </w:r>
      <w:proofErr w:type="spellEnd"/>
      <w:r w:rsidR="00762725">
        <w:rPr>
          <w:lang w:val="en-US"/>
        </w:rPr>
        <w:t xml:space="preserve">, </w:t>
      </w:r>
      <w:proofErr w:type="spellStart"/>
      <w:r w:rsidR="00762725">
        <w:rPr>
          <w:lang w:val="en-US"/>
        </w:rPr>
        <w:t>Laclau</w:t>
      </w:r>
      <w:proofErr w:type="spellEnd"/>
      <w:r w:rsidR="00762725">
        <w:rPr>
          <w:lang w:val="en-US"/>
        </w:rPr>
        <w:t xml:space="preserve"> and </w:t>
      </w:r>
      <w:proofErr w:type="spellStart"/>
      <w:r w:rsidR="00762725">
        <w:rPr>
          <w:lang w:val="en-US"/>
        </w:rPr>
        <w:t>Mouffe’s</w:t>
      </w:r>
      <w:proofErr w:type="spellEnd"/>
      <w:r w:rsidR="00762725">
        <w:rPr>
          <w:lang w:val="en-US"/>
        </w:rPr>
        <w:t xml:space="preserve"> conceptualization of the </w:t>
      </w:r>
      <w:r w:rsidR="00762725" w:rsidRPr="003724C0">
        <w:rPr>
          <w:lang w:val="en-US"/>
        </w:rPr>
        <w:t xml:space="preserve">field of </w:t>
      </w:r>
      <w:proofErr w:type="spellStart"/>
      <w:r w:rsidR="00762725" w:rsidRPr="003724C0">
        <w:rPr>
          <w:lang w:val="en-US"/>
        </w:rPr>
        <w:t>discursivity</w:t>
      </w:r>
      <w:proofErr w:type="spellEnd"/>
      <w:r w:rsidR="00762725">
        <w:rPr>
          <w:lang w:val="en-US"/>
        </w:rPr>
        <w:t xml:space="preserve"> may be too including, as all discourses, constituting variants of meanings/identities are of equal status, where some should be seen as more likely to invoke a discursive conflict. They point to the concept </w:t>
      </w:r>
      <w:r w:rsidR="00762725">
        <w:rPr>
          <w:i/>
          <w:lang w:val="en-US"/>
        </w:rPr>
        <w:t xml:space="preserve">order of discourse </w:t>
      </w:r>
      <w:r w:rsidR="00762725">
        <w:rPr>
          <w:lang w:val="en-US"/>
        </w:rPr>
        <w:t xml:space="preserve">instead, which is applied within critical discourse analysis theory as well, and it represents the discourses more likely to reach a state of </w:t>
      </w:r>
      <w:r w:rsidR="00762725" w:rsidRPr="003724C0">
        <w:rPr>
          <w:lang w:val="en-US"/>
        </w:rPr>
        <w:t>social antagonism</w:t>
      </w:r>
      <w:sdt>
        <w:sdtPr>
          <w:rPr>
            <w:i/>
            <w:lang w:val="en-US"/>
          </w:rPr>
          <w:id w:val="-740401179"/>
          <w:citation/>
        </w:sdtPr>
        <w:sdtContent>
          <w:r w:rsidR="00762725">
            <w:rPr>
              <w:i/>
              <w:lang w:val="en-US"/>
            </w:rPr>
            <w:fldChar w:fldCharType="begin"/>
          </w:r>
          <w:r w:rsidR="00762725">
            <w:rPr>
              <w:i/>
              <w:lang w:val="en-US"/>
            </w:rPr>
            <w:instrText xml:space="preserve">CITATION Mar02 \p 55-57 \l 1030 </w:instrText>
          </w:r>
          <w:r w:rsidR="00762725">
            <w:rPr>
              <w:i/>
              <w:lang w:val="en-US"/>
            </w:rPr>
            <w:fldChar w:fldCharType="separate"/>
          </w:r>
          <w:r w:rsidR="00F623D4">
            <w:rPr>
              <w:i/>
              <w:noProof/>
              <w:lang w:val="en-US"/>
            </w:rPr>
            <w:t xml:space="preserve"> </w:t>
          </w:r>
          <w:r w:rsidR="00F623D4">
            <w:rPr>
              <w:noProof/>
              <w:lang w:val="en-US"/>
            </w:rPr>
            <w:t>(Jørgensen and Phillips 2002, 55-57)</w:t>
          </w:r>
          <w:r w:rsidR="00762725">
            <w:rPr>
              <w:i/>
              <w:lang w:val="en-US"/>
            </w:rPr>
            <w:fldChar w:fldCharType="end"/>
          </w:r>
        </w:sdtContent>
      </w:sdt>
      <w:r w:rsidR="00762725">
        <w:rPr>
          <w:lang w:val="en-US"/>
        </w:rPr>
        <w:t xml:space="preserve">. From </w:t>
      </w:r>
      <w:proofErr w:type="spellStart"/>
      <w:r w:rsidR="00762725">
        <w:rPr>
          <w:lang w:val="en-US"/>
        </w:rPr>
        <w:t>Fairclough’s</w:t>
      </w:r>
      <w:proofErr w:type="spellEnd"/>
      <w:r w:rsidR="00762725">
        <w:rPr>
          <w:lang w:val="en-US"/>
        </w:rPr>
        <w:t xml:space="preserve"> perspective, the order of discourse concept denotes a network of social practices, in the sense of different social fields, which are consistent of discourses potentially in a hegemonic struggle with each other across fields due to social and cultural change</w:t>
      </w:r>
      <w:sdt>
        <w:sdtPr>
          <w:rPr>
            <w:lang w:val="en-US"/>
          </w:rPr>
          <w:id w:val="1489517826"/>
          <w:citation/>
        </w:sdtPr>
        <w:sdtContent>
          <w:r w:rsidR="00762725">
            <w:rPr>
              <w:lang w:val="en-US"/>
            </w:rPr>
            <w:fldChar w:fldCharType="begin"/>
          </w:r>
          <w:r w:rsidR="00762725">
            <w:rPr>
              <w:lang w:val="en-US"/>
            </w:rPr>
            <w:instrText xml:space="preserve">CITATION Nor101 \p 555 \t  \l 1030 </w:instrText>
          </w:r>
          <w:r w:rsidR="00762725">
            <w:rPr>
              <w:lang w:val="en-US"/>
            </w:rPr>
            <w:fldChar w:fldCharType="separate"/>
          </w:r>
          <w:r w:rsidR="00F623D4">
            <w:rPr>
              <w:noProof/>
              <w:lang w:val="en-US"/>
            </w:rPr>
            <w:t xml:space="preserve"> (Fairclough 2010, 555)</w:t>
          </w:r>
          <w:r w:rsidR="00762725">
            <w:rPr>
              <w:lang w:val="en-US"/>
            </w:rPr>
            <w:fldChar w:fldCharType="end"/>
          </w:r>
        </w:sdtContent>
      </w:sdt>
      <w:r w:rsidR="00762725">
        <w:rPr>
          <w:lang w:val="en-US"/>
        </w:rPr>
        <w:t xml:space="preserve">.  </w:t>
      </w:r>
    </w:p>
    <w:p w:rsidR="00762725" w:rsidRDefault="00D65599" w:rsidP="00337119">
      <w:pPr>
        <w:pStyle w:val="Overskrift3"/>
        <w:spacing w:line="360" w:lineRule="auto"/>
        <w:rPr>
          <w:lang w:val="en-US"/>
        </w:rPr>
      </w:pPr>
      <w:bookmarkStart w:id="65" w:name="_Ref416794383"/>
      <w:bookmarkStart w:id="66" w:name="_Toc420075829"/>
      <w:bookmarkStart w:id="67" w:name="_Toc420761642"/>
      <w:r>
        <w:rPr>
          <w:lang w:val="en-US"/>
        </w:rPr>
        <w:t>5</w:t>
      </w:r>
      <w:r w:rsidR="00762725">
        <w:rPr>
          <w:lang w:val="en-US"/>
        </w:rPr>
        <w:t>.2.1 Reflections</w:t>
      </w:r>
      <w:bookmarkEnd w:id="65"/>
      <w:bookmarkEnd w:id="66"/>
      <w:bookmarkEnd w:id="67"/>
    </w:p>
    <w:p w:rsidR="00762725" w:rsidRPr="00C52475" w:rsidRDefault="00762725" w:rsidP="00337119">
      <w:pPr>
        <w:spacing w:line="360" w:lineRule="auto"/>
        <w:rPr>
          <w:i/>
          <w:sz w:val="22"/>
          <w:lang w:val="en-US"/>
        </w:rPr>
      </w:pPr>
      <w:r>
        <w:rPr>
          <w:lang w:val="en-US"/>
        </w:rPr>
        <w:t xml:space="preserve">The combination of </w:t>
      </w:r>
      <w:proofErr w:type="spellStart"/>
      <w:r>
        <w:rPr>
          <w:lang w:val="en-US"/>
        </w:rPr>
        <w:t>Laclau</w:t>
      </w:r>
      <w:proofErr w:type="spellEnd"/>
      <w:r>
        <w:rPr>
          <w:lang w:val="en-US"/>
        </w:rPr>
        <w:t xml:space="preserve"> and </w:t>
      </w:r>
      <w:proofErr w:type="spellStart"/>
      <w:r>
        <w:rPr>
          <w:lang w:val="en-US"/>
        </w:rPr>
        <w:t>Mouffe’s</w:t>
      </w:r>
      <w:proofErr w:type="spellEnd"/>
      <w:r>
        <w:rPr>
          <w:lang w:val="en-US"/>
        </w:rPr>
        <w:t xml:space="preserve"> concepts represented within Discourse Theory establishes an understanding of inter-reliance between discursive meaning and the concept of </w:t>
      </w:r>
      <w:r>
        <w:rPr>
          <w:i/>
          <w:lang w:val="en-US"/>
        </w:rPr>
        <w:t>hegemony</w:t>
      </w:r>
      <w:r>
        <w:rPr>
          <w:lang w:val="en-US"/>
        </w:rPr>
        <w:t xml:space="preserve">. It has been declared that discourses are created through the </w:t>
      </w:r>
      <w:r w:rsidRPr="00E87224">
        <w:rPr>
          <w:i/>
          <w:lang w:val="en-US"/>
        </w:rPr>
        <w:t>articulation</w:t>
      </w:r>
      <w:r>
        <w:rPr>
          <w:lang w:val="en-US"/>
        </w:rPr>
        <w:t xml:space="preserve"> of </w:t>
      </w:r>
      <w:r>
        <w:rPr>
          <w:i/>
          <w:lang w:val="en-US"/>
        </w:rPr>
        <w:t>elements</w:t>
      </w:r>
      <w:r>
        <w:rPr>
          <w:lang w:val="en-US"/>
        </w:rPr>
        <w:t xml:space="preserve">, constituting </w:t>
      </w:r>
      <w:r>
        <w:rPr>
          <w:i/>
          <w:lang w:val="en-US"/>
        </w:rPr>
        <w:t>signs</w:t>
      </w:r>
      <w:r>
        <w:rPr>
          <w:lang w:val="en-US"/>
        </w:rPr>
        <w:t xml:space="preserve">, </w:t>
      </w:r>
      <w:r>
        <w:rPr>
          <w:lang w:val="en-US"/>
        </w:rPr>
        <w:lastRenderedPageBreak/>
        <w:t>where relational fixation thereof modifies meanings/identities</w:t>
      </w:r>
      <w:r w:rsidRPr="004F057B">
        <w:rPr>
          <w:i/>
          <w:lang w:val="en-US"/>
        </w:rPr>
        <w:t xml:space="preserve"> </w:t>
      </w:r>
      <w:r>
        <w:rPr>
          <w:lang w:val="en-US"/>
        </w:rPr>
        <w:t xml:space="preserve">and creates </w:t>
      </w:r>
      <w:r>
        <w:rPr>
          <w:i/>
          <w:lang w:val="en-US"/>
        </w:rPr>
        <w:t>moments</w:t>
      </w:r>
      <w:r>
        <w:rPr>
          <w:lang w:val="en-US"/>
        </w:rPr>
        <w:t xml:space="preserve">, which are unified into one discursive meaning – through the exclusion of conflicting identities. </w:t>
      </w:r>
      <w:r w:rsidR="00C52475">
        <w:rPr>
          <w:lang w:val="en-US"/>
        </w:rPr>
        <w:t xml:space="preserve">The view </w:t>
      </w:r>
      <w:r>
        <w:rPr>
          <w:lang w:val="en-US"/>
        </w:rPr>
        <w:t>of discourse theorist Michel Foucault (1969)</w:t>
      </w:r>
      <w:r w:rsidR="00C52475">
        <w:rPr>
          <w:lang w:val="en-US"/>
        </w:rPr>
        <w:t xml:space="preserve"> on the formation </w:t>
      </w:r>
      <w:r>
        <w:rPr>
          <w:lang w:val="en-US"/>
        </w:rPr>
        <w:t xml:space="preserve">of discourses can be seen as </w:t>
      </w:r>
      <w:r w:rsidR="00C52475">
        <w:rPr>
          <w:lang w:val="en-US"/>
        </w:rPr>
        <w:t>substantiation</w:t>
      </w:r>
      <w:r>
        <w:rPr>
          <w:lang w:val="en-US"/>
        </w:rPr>
        <w:t xml:space="preserve"> to Discourse Theory, as it is recognized that discourses are composed of signs in the same meaning-bearing sense. </w:t>
      </w:r>
      <w:r w:rsidR="00C52475">
        <w:rPr>
          <w:lang w:val="en-US"/>
        </w:rPr>
        <w:t>However, he also highlights</w:t>
      </w:r>
      <w:r>
        <w:rPr>
          <w:lang w:val="en-US"/>
        </w:rPr>
        <w:t xml:space="preserve"> the complexity of discourses, relating to relations between </w:t>
      </w:r>
      <w:r w:rsidRPr="00431B4D">
        <w:rPr>
          <w:lang w:val="en-US"/>
        </w:rPr>
        <w:t>institutions, behavioral patterns</w:t>
      </w:r>
      <w:r>
        <w:rPr>
          <w:lang w:val="en-US"/>
        </w:rPr>
        <w:t>,</w:t>
      </w:r>
      <w:r w:rsidRPr="00431B4D">
        <w:rPr>
          <w:lang w:val="en-US"/>
        </w:rPr>
        <w:t xml:space="preserve"> </w:t>
      </w:r>
      <w:r>
        <w:rPr>
          <w:lang w:val="en-US"/>
        </w:rPr>
        <w:t>social processes and</w:t>
      </w:r>
      <w:r w:rsidRPr="00431B4D">
        <w:rPr>
          <w:lang w:val="en-US"/>
        </w:rPr>
        <w:t xml:space="preserve"> systems of norms</w:t>
      </w:r>
      <w:r>
        <w:rPr>
          <w:lang w:val="en-US"/>
        </w:rPr>
        <w:t xml:space="preserve"> – with relevance to questions of power</w:t>
      </w:r>
      <w:sdt>
        <w:sdtPr>
          <w:rPr>
            <w:lang w:val="en-US"/>
          </w:rPr>
          <w:id w:val="981039405"/>
          <w:citation/>
        </w:sdtPr>
        <w:sdtContent>
          <w:r>
            <w:rPr>
              <w:lang w:val="en-US"/>
            </w:rPr>
            <w:fldChar w:fldCharType="begin"/>
          </w:r>
          <w:r w:rsidR="00C52475">
            <w:rPr>
              <w:lang w:val="en-US"/>
            </w:rPr>
            <w:instrText xml:space="preserve">CITATION Mic02 \p 51-54 \l 1030 </w:instrText>
          </w:r>
          <w:r>
            <w:rPr>
              <w:lang w:val="en-US"/>
            </w:rPr>
            <w:fldChar w:fldCharType="separate"/>
          </w:r>
          <w:r w:rsidR="00F623D4">
            <w:rPr>
              <w:noProof/>
              <w:lang w:val="en-US"/>
            </w:rPr>
            <w:t xml:space="preserve"> (Foucault 2002, 51-54)</w:t>
          </w:r>
          <w:r>
            <w:rPr>
              <w:lang w:val="en-US"/>
            </w:rPr>
            <w:fldChar w:fldCharType="end"/>
          </w:r>
        </w:sdtContent>
      </w:sdt>
      <w:r>
        <w:rPr>
          <w:lang w:val="en-US"/>
        </w:rPr>
        <w:t xml:space="preserve">. </w:t>
      </w:r>
      <w:r w:rsidR="0085255D">
        <w:rPr>
          <w:lang w:val="en-US"/>
        </w:rPr>
        <w:t xml:space="preserve">This notion of Foucault can be seen as a main principle within </w:t>
      </w:r>
      <w:proofErr w:type="spellStart"/>
      <w:r w:rsidR="0085255D">
        <w:rPr>
          <w:lang w:val="en-US"/>
        </w:rPr>
        <w:t>Fairclough’s</w:t>
      </w:r>
      <w:proofErr w:type="spellEnd"/>
      <w:r w:rsidR="0085255D">
        <w:rPr>
          <w:lang w:val="en-US"/>
        </w:rPr>
        <w:t xml:space="preserve"> theoretical perspective on CDA, </w:t>
      </w:r>
      <w:r>
        <w:rPr>
          <w:lang w:val="en-US"/>
        </w:rPr>
        <w:t xml:space="preserve">which will be elaborated later. </w:t>
      </w:r>
    </w:p>
    <w:p w:rsidR="00762725" w:rsidRDefault="00762725" w:rsidP="00337119">
      <w:pPr>
        <w:spacing w:line="360" w:lineRule="auto"/>
        <w:rPr>
          <w:lang w:val="en-US"/>
        </w:rPr>
      </w:pPr>
      <w:r>
        <w:rPr>
          <w:lang w:val="en-US"/>
        </w:rPr>
        <w:t xml:space="preserve">From the perspective of Discourse Theory, the process of the exclusion of conflicting identities or meanings, represented through the </w:t>
      </w:r>
      <w:r w:rsidR="006B6244">
        <w:rPr>
          <w:i/>
          <w:lang w:val="en-US"/>
        </w:rPr>
        <w:t>‘</w:t>
      </w:r>
      <w:r>
        <w:rPr>
          <w:i/>
          <w:lang w:val="en-US"/>
        </w:rPr>
        <w:t>order of discourse</w:t>
      </w:r>
      <w:r w:rsidR="006B6244">
        <w:rPr>
          <w:lang w:val="en-US"/>
        </w:rPr>
        <w:t>’</w:t>
      </w:r>
      <w:r>
        <w:rPr>
          <w:lang w:val="en-US"/>
        </w:rPr>
        <w:t xml:space="preserve">, can be seen as directly linked with the concept of </w:t>
      </w:r>
      <w:r w:rsidRPr="004E52DE">
        <w:rPr>
          <w:lang w:val="en-US"/>
        </w:rPr>
        <w:t xml:space="preserve">hegemony </w:t>
      </w:r>
      <w:r>
        <w:rPr>
          <w:lang w:val="en-US"/>
        </w:rPr>
        <w:t xml:space="preserve">(power/dominance), as unified meaning is created through both </w:t>
      </w:r>
      <w:r w:rsidRPr="004E52DE">
        <w:rPr>
          <w:lang w:val="en-US"/>
        </w:rPr>
        <w:t>articulation</w:t>
      </w:r>
      <w:r>
        <w:rPr>
          <w:i/>
          <w:lang w:val="en-US"/>
        </w:rPr>
        <w:t xml:space="preserve"> </w:t>
      </w:r>
      <w:r>
        <w:rPr>
          <w:lang w:val="en-US"/>
        </w:rPr>
        <w:t xml:space="preserve">and discursive struggles for hegemony. Moreover, on the account of </w:t>
      </w:r>
      <w:r>
        <w:rPr>
          <w:i/>
          <w:lang w:val="en-US"/>
        </w:rPr>
        <w:t>hegemonic practices</w:t>
      </w:r>
      <w:r w:rsidR="00B62451">
        <w:rPr>
          <w:lang w:val="en-US"/>
        </w:rPr>
        <w:t>:</w:t>
      </w:r>
      <w:r>
        <w:rPr>
          <w:lang w:val="en-US"/>
        </w:rPr>
        <w:t xml:space="preserve"> </w:t>
      </w:r>
      <w:r w:rsidRPr="004F057B">
        <w:rPr>
          <w:i/>
          <w:lang w:val="en-US"/>
        </w:rPr>
        <w:t>“hegemony and discourse are mutually conditioned in the sense that hegemonic practice shapes and reshapes discourse”</w:t>
      </w:r>
      <w:sdt>
        <w:sdtPr>
          <w:rPr>
            <w:i/>
            <w:lang w:val="en-US"/>
          </w:rPr>
          <w:id w:val="221264167"/>
          <w:citation/>
        </w:sdtPr>
        <w:sdtContent>
          <w:r>
            <w:rPr>
              <w:i/>
              <w:lang w:val="en-US"/>
            </w:rPr>
            <w:fldChar w:fldCharType="begin"/>
          </w:r>
          <w:r>
            <w:rPr>
              <w:lang w:val="en-US"/>
            </w:rPr>
            <w:instrText xml:space="preserve">CITATION Jac99 \p 43 \l 1030 </w:instrText>
          </w:r>
          <w:r>
            <w:rPr>
              <w:i/>
              <w:lang w:val="en-US"/>
            </w:rPr>
            <w:fldChar w:fldCharType="separate"/>
          </w:r>
          <w:r w:rsidR="00F623D4">
            <w:rPr>
              <w:noProof/>
              <w:lang w:val="en-US"/>
            </w:rPr>
            <w:t xml:space="preserve"> (Torfing 1999, 43)</w:t>
          </w:r>
          <w:r>
            <w:rPr>
              <w:i/>
              <w:lang w:val="en-US"/>
            </w:rPr>
            <w:fldChar w:fldCharType="end"/>
          </w:r>
        </w:sdtContent>
      </w:sdt>
      <w:r>
        <w:rPr>
          <w:lang w:val="en-US"/>
        </w:rPr>
        <w:t>. The contingent nature of discourses (meaning can never be ultimately fixed), together with its interconn</w:t>
      </w:r>
      <w:r w:rsidR="008371C2">
        <w:rPr>
          <w:lang w:val="en-US"/>
        </w:rPr>
        <w:t>ectedness with</w:t>
      </w:r>
      <w:r>
        <w:rPr>
          <w:lang w:val="en-US"/>
        </w:rPr>
        <w:t xml:space="preserve"> social</w:t>
      </w:r>
      <w:r w:rsidR="008371C2">
        <w:rPr>
          <w:lang w:val="en-US"/>
        </w:rPr>
        <w:t xml:space="preserve"> </w:t>
      </w:r>
      <w:r w:rsidR="006458DF">
        <w:rPr>
          <w:lang w:val="en-US"/>
        </w:rPr>
        <w:t>structures</w:t>
      </w:r>
      <w:r>
        <w:rPr>
          <w:lang w:val="en-US"/>
        </w:rPr>
        <w:t xml:space="preserve">, opens up constant social struggles to define (discursive) identities and society as a whole </w:t>
      </w:r>
      <w:sdt>
        <w:sdtPr>
          <w:rPr>
            <w:lang w:val="en-US"/>
          </w:rPr>
          <w:id w:val="-1532722635"/>
          <w:citation/>
        </w:sdtPr>
        <w:sdtContent>
          <w:r>
            <w:rPr>
              <w:lang w:val="en-US"/>
            </w:rPr>
            <w:fldChar w:fldCharType="begin"/>
          </w:r>
          <w:r>
            <w:rPr>
              <w:lang w:val="en-US"/>
            </w:rPr>
            <w:instrText xml:space="preserve">CITATION Mar02 \p 24 \l 1030 </w:instrText>
          </w:r>
          <w:r>
            <w:rPr>
              <w:lang w:val="en-US"/>
            </w:rPr>
            <w:fldChar w:fldCharType="separate"/>
          </w:r>
          <w:r w:rsidR="00F623D4">
            <w:rPr>
              <w:noProof/>
              <w:lang w:val="en-US"/>
            </w:rPr>
            <w:t>(Jørgensen and Phillips 2002, 24)</w:t>
          </w:r>
          <w:r>
            <w:rPr>
              <w:lang w:val="en-US"/>
            </w:rPr>
            <w:fldChar w:fldCharType="end"/>
          </w:r>
        </w:sdtContent>
      </w:sdt>
      <w:r w:rsidR="00EF584F">
        <w:rPr>
          <w:lang w:val="en-US"/>
        </w:rPr>
        <w:t xml:space="preserve">. </w:t>
      </w:r>
      <w:r>
        <w:rPr>
          <w:lang w:val="en-US"/>
        </w:rPr>
        <w:t xml:space="preserve">Consequently, the concept of </w:t>
      </w:r>
      <w:r w:rsidRPr="004E52DE">
        <w:rPr>
          <w:lang w:val="en-US"/>
        </w:rPr>
        <w:t xml:space="preserve">hegemony </w:t>
      </w:r>
      <w:r>
        <w:rPr>
          <w:lang w:val="en-US"/>
        </w:rPr>
        <w:t xml:space="preserve">presents </w:t>
      </w:r>
      <w:r w:rsidRPr="00C060FA">
        <w:rPr>
          <w:i/>
          <w:lang w:val="en-US"/>
        </w:rPr>
        <w:t xml:space="preserve">“General validity for analyzing processes of disarticulation and </w:t>
      </w:r>
      <w:proofErr w:type="spellStart"/>
      <w:r w:rsidRPr="00C060FA">
        <w:rPr>
          <w:i/>
          <w:lang w:val="en-US"/>
        </w:rPr>
        <w:t>rearticulation</w:t>
      </w:r>
      <w:proofErr w:type="spellEnd"/>
      <w:r w:rsidRPr="00C060FA">
        <w:rPr>
          <w:i/>
          <w:lang w:val="en-US"/>
        </w:rPr>
        <w:t xml:space="preserve"> that aim to establish and maintain political as well as moral-intellectual leadership”</w:t>
      </w:r>
      <w:sdt>
        <w:sdtPr>
          <w:rPr>
            <w:i/>
            <w:lang w:val="en-US"/>
          </w:rPr>
          <w:id w:val="-96875463"/>
          <w:citation/>
        </w:sdtPr>
        <w:sdtContent>
          <w:r>
            <w:rPr>
              <w:i/>
              <w:lang w:val="en-US"/>
            </w:rPr>
            <w:fldChar w:fldCharType="begin"/>
          </w:r>
          <w:r>
            <w:rPr>
              <w:i/>
              <w:lang w:val="en-US"/>
            </w:rPr>
            <w:instrText xml:space="preserve">CITATION Jac99 \p 101 \l 1030 </w:instrText>
          </w:r>
          <w:r>
            <w:rPr>
              <w:i/>
              <w:lang w:val="en-US"/>
            </w:rPr>
            <w:fldChar w:fldCharType="separate"/>
          </w:r>
          <w:r w:rsidR="00F623D4">
            <w:rPr>
              <w:i/>
              <w:noProof/>
              <w:lang w:val="en-US"/>
            </w:rPr>
            <w:t xml:space="preserve"> </w:t>
          </w:r>
          <w:r w:rsidR="00F623D4">
            <w:rPr>
              <w:noProof/>
              <w:lang w:val="en-US"/>
            </w:rPr>
            <w:t>(Torfing 1999, 101)</w:t>
          </w:r>
          <w:r>
            <w:rPr>
              <w:i/>
              <w:lang w:val="en-US"/>
            </w:rPr>
            <w:fldChar w:fldCharType="end"/>
          </w:r>
        </w:sdtContent>
      </w:sdt>
      <w:r>
        <w:rPr>
          <w:lang w:val="en-US"/>
        </w:rPr>
        <w:t xml:space="preserve">. This understanding of </w:t>
      </w:r>
      <w:r w:rsidRPr="004E52DE">
        <w:rPr>
          <w:lang w:val="en-US"/>
        </w:rPr>
        <w:t>hegemony</w:t>
      </w:r>
      <w:r>
        <w:rPr>
          <w:lang w:val="en-US"/>
        </w:rPr>
        <w:t xml:space="preserve"> may prove useful in the analysis of conflicting discourses within the Mozilla case, as it focuses on the </w:t>
      </w:r>
      <w:r w:rsidRPr="004E52DE">
        <w:rPr>
          <w:lang w:val="en-US"/>
        </w:rPr>
        <w:t>articulation</w:t>
      </w:r>
      <w:r>
        <w:rPr>
          <w:i/>
          <w:lang w:val="en-US"/>
        </w:rPr>
        <w:t xml:space="preserve"> </w:t>
      </w:r>
      <w:r>
        <w:rPr>
          <w:lang w:val="en-US"/>
        </w:rPr>
        <w:t>in use to establish and maintain control, which to some extent relates to the articulated CSR discourse aiming at controlling the reputational crisis situation. Supplementary, the power struggles between identities, constituted by discourses, can present lines of conflict. In order to locate these lines of conflict within a text, one can determine different understandings of reality, and where they are</w:t>
      </w:r>
      <w:r w:rsidRPr="002359AA">
        <w:rPr>
          <w:lang w:val="en-US"/>
        </w:rPr>
        <w:t xml:space="preserve"> </w:t>
      </w:r>
      <w:r>
        <w:rPr>
          <w:lang w:val="en-US"/>
        </w:rPr>
        <w:t>in antagonistic opposition to one another. Lastly, one can determine the social consequences of each prevailing reality</w:t>
      </w:r>
      <w:sdt>
        <w:sdtPr>
          <w:rPr>
            <w:lang w:val="en-US"/>
          </w:rPr>
          <w:id w:val="-161397034"/>
          <w:citation/>
        </w:sdtPr>
        <w:sdtContent>
          <w:r>
            <w:rPr>
              <w:lang w:val="en-US"/>
            </w:rPr>
            <w:fldChar w:fldCharType="begin"/>
          </w:r>
          <w:r>
            <w:rPr>
              <w:lang w:val="en-US"/>
            </w:rPr>
            <w:instrText xml:space="preserve">CITATION Mar02 \p 51 \l 1030 </w:instrText>
          </w:r>
          <w:r>
            <w:rPr>
              <w:lang w:val="en-US"/>
            </w:rPr>
            <w:fldChar w:fldCharType="separate"/>
          </w:r>
          <w:r w:rsidR="00F623D4">
            <w:rPr>
              <w:noProof/>
              <w:lang w:val="en-US"/>
            </w:rPr>
            <w:t xml:space="preserve"> (Jørgensen and Phillips 2002, 51)</w:t>
          </w:r>
          <w:r>
            <w:rPr>
              <w:lang w:val="en-US"/>
            </w:rPr>
            <w:fldChar w:fldCharType="end"/>
          </w:r>
        </w:sdtContent>
      </w:sdt>
      <w:r>
        <w:rPr>
          <w:lang w:val="en-US"/>
        </w:rPr>
        <w:t>.</w:t>
      </w:r>
    </w:p>
    <w:p w:rsidR="00762725" w:rsidRDefault="00D65599" w:rsidP="00337119">
      <w:pPr>
        <w:pStyle w:val="Overskrift2"/>
        <w:spacing w:line="360" w:lineRule="auto"/>
        <w:rPr>
          <w:lang w:val="en-US"/>
        </w:rPr>
      </w:pPr>
      <w:bookmarkStart w:id="68" w:name="_Toc420075830"/>
      <w:bookmarkStart w:id="69" w:name="_Toc420761643"/>
      <w:r>
        <w:rPr>
          <w:lang w:val="en-US"/>
        </w:rPr>
        <w:t>5</w:t>
      </w:r>
      <w:r w:rsidR="00762725">
        <w:rPr>
          <w:lang w:val="en-US"/>
        </w:rPr>
        <w:t>.3 The Theory and Method of Critical Discourse Analysis</w:t>
      </w:r>
      <w:bookmarkEnd w:id="68"/>
      <w:bookmarkEnd w:id="69"/>
    </w:p>
    <w:p w:rsidR="00762725" w:rsidRPr="00B67E25" w:rsidRDefault="00762725" w:rsidP="00337119">
      <w:pPr>
        <w:spacing w:line="360" w:lineRule="auto"/>
        <w:rPr>
          <w:i/>
          <w:lang w:val="en-US"/>
        </w:rPr>
      </w:pPr>
      <w:r>
        <w:rPr>
          <w:lang w:val="en-US"/>
        </w:rPr>
        <w:t xml:space="preserve">The main purpose of </w:t>
      </w:r>
      <w:r>
        <w:rPr>
          <w:i/>
          <w:lang w:val="en-US"/>
        </w:rPr>
        <w:t xml:space="preserve">critical </w:t>
      </w:r>
      <w:r w:rsidRPr="00D600EE">
        <w:rPr>
          <w:i/>
          <w:lang w:val="en-US"/>
        </w:rPr>
        <w:t>discourse analysis</w:t>
      </w:r>
      <w:r>
        <w:rPr>
          <w:lang w:val="en-US"/>
        </w:rPr>
        <w:t xml:space="preserve"> (CDA) can be asserted as an </w:t>
      </w:r>
      <w:r>
        <w:rPr>
          <w:i/>
          <w:lang w:val="en-US"/>
        </w:rPr>
        <w:t>explanatory critique</w:t>
      </w:r>
      <w:sdt>
        <w:sdtPr>
          <w:rPr>
            <w:lang w:val="en-US"/>
          </w:rPr>
          <w:id w:val="1719776600"/>
          <w:citation/>
        </w:sdtPr>
        <w:sdtContent>
          <w:r>
            <w:rPr>
              <w:lang w:val="en-US"/>
            </w:rPr>
            <w:fldChar w:fldCharType="begin"/>
          </w:r>
          <w:r>
            <w:rPr>
              <w:lang w:val="en-US"/>
            </w:rPr>
            <w:instrText xml:space="preserve">CITATION Nor101 \p 7 \t  \l 1030 </w:instrText>
          </w:r>
          <w:r>
            <w:rPr>
              <w:lang w:val="en-US"/>
            </w:rPr>
            <w:fldChar w:fldCharType="separate"/>
          </w:r>
          <w:r w:rsidR="00F623D4">
            <w:rPr>
              <w:noProof/>
              <w:lang w:val="en-US"/>
            </w:rPr>
            <w:t xml:space="preserve"> (Fairclough 2010, 7)</w:t>
          </w:r>
          <w:r>
            <w:rPr>
              <w:lang w:val="en-US"/>
            </w:rPr>
            <w:fldChar w:fldCharType="end"/>
          </w:r>
        </w:sdtContent>
      </w:sdt>
      <w:r w:rsidR="00BE0CDB">
        <w:rPr>
          <w:lang w:val="en-US"/>
        </w:rPr>
        <w:t>, which seek</w:t>
      </w:r>
      <w:r>
        <w:rPr>
          <w:lang w:val="en-US"/>
        </w:rPr>
        <w:t xml:space="preserve">s to produce interpretations </w:t>
      </w:r>
      <w:r w:rsidR="003B4A47">
        <w:rPr>
          <w:lang w:val="en-US"/>
        </w:rPr>
        <w:t>and explanations of social life</w:t>
      </w:r>
      <w:r>
        <w:rPr>
          <w:lang w:val="en-US"/>
        </w:rPr>
        <w:t>. Accordingly, CDA has a focus on the effects of the discursive aspects of power relations</w:t>
      </w:r>
      <w:r w:rsidR="003B4A47">
        <w:rPr>
          <w:lang w:val="en-US"/>
        </w:rPr>
        <w:t xml:space="preserve"> </w:t>
      </w:r>
      <w:r>
        <w:rPr>
          <w:lang w:val="en-US"/>
        </w:rPr>
        <w:t>– including questions of ideology in the sense of being ‘meaning’ in the service of power</w:t>
      </w:r>
      <w:r w:rsidRPr="001C465C">
        <w:rPr>
          <w:lang w:val="en-US"/>
        </w:rPr>
        <w:t xml:space="preserve"> </w:t>
      </w:r>
      <w:sdt>
        <w:sdtPr>
          <w:rPr>
            <w:lang w:val="en-US"/>
          </w:rPr>
          <w:id w:val="-1403680434"/>
          <w:citation/>
        </w:sdtPr>
        <w:sdtContent>
          <w:r>
            <w:rPr>
              <w:lang w:val="en-US"/>
            </w:rPr>
            <w:fldChar w:fldCharType="begin"/>
          </w:r>
          <w:r>
            <w:rPr>
              <w:lang w:val="en-US"/>
            </w:rPr>
            <w:instrText xml:space="preserve">CITATION Nor101 \p 8 \t  \l 1030 </w:instrText>
          </w:r>
          <w:r>
            <w:rPr>
              <w:lang w:val="en-US"/>
            </w:rPr>
            <w:fldChar w:fldCharType="separate"/>
          </w:r>
          <w:r w:rsidR="00F623D4">
            <w:rPr>
              <w:noProof/>
              <w:lang w:val="en-US"/>
            </w:rPr>
            <w:t xml:space="preserve">(Fairclough </w:t>
          </w:r>
          <w:r w:rsidR="00F623D4">
            <w:rPr>
              <w:noProof/>
              <w:lang w:val="en-US"/>
            </w:rPr>
            <w:lastRenderedPageBreak/>
            <w:t>2010, 8)</w:t>
          </w:r>
          <w:r>
            <w:rPr>
              <w:lang w:val="en-US"/>
            </w:rPr>
            <w:fldChar w:fldCharType="end"/>
          </w:r>
        </w:sdtContent>
      </w:sdt>
      <w:r>
        <w:rPr>
          <w:lang w:val="en-US"/>
        </w:rPr>
        <w:t xml:space="preserve">. Moreover, the most essential role of discourse from a social perspective is that it signifies </w:t>
      </w:r>
      <w:r>
        <w:rPr>
          <w:i/>
          <w:lang w:val="en-US"/>
        </w:rPr>
        <w:t>“</w:t>
      </w:r>
      <w:r w:rsidRPr="00B67E25">
        <w:rPr>
          <w:i/>
          <w:lang w:val="en-US"/>
        </w:rPr>
        <w:t>the speaking and writing in the exercise, reproduction and negotiation of power relations, and in ideological pro</w:t>
      </w:r>
      <w:r>
        <w:rPr>
          <w:i/>
          <w:lang w:val="en-US"/>
        </w:rPr>
        <w:t>cesses and ideological struggle”</w:t>
      </w:r>
      <w:sdt>
        <w:sdtPr>
          <w:rPr>
            <w:i/>
            <w:lang w:val="en-US"/>
          </w:rPr>
          <w:id w:val="-361827251"/>
          <w:citation/>
        </w:sdtPr>
        <w:sdtContent>
          <w:r>
            <w:rPr>
              <w:i/>
              <w:lang w:val="en-US"/>
            </w:rPr>
            <w:fldChar w:fldCharType="begin"/>
          </w:r>
          <w:r>
            <w:rPr>
              <w:i/>
              <w:lang w:val="en-US"/>
            </w:rPr>
            <w:instrText xml:space="preserve">CITATION Nor101 \p 129 \t  \l 1030 </w:instrText>
          </w:r>
          <w:r>
            <w:rPr>
              <w:i/>
              <w:lang w:val="en-US"/>
            </w:rPr>
            <w:fldChar w:fldCharType="separate"/>
          </w:r>
          <w:r w:rsidR="00F623D4">
            <w:rPr>
              <w:i/>
              <w:noProof/>
              <w:lang w:val="en-US"/>
            </w:rPr>
            <w:t xml:space="preserve"> </w:t>
          </w:r>
          <w:r w:rsidR="00F623D4">
            <w:rPr>
              <w:noProof/>
              <w:lang w:val="en-US"/>
            </w:rPr>
            <w:t>(Fairclough 2010, 129)</w:t>
          </w:r>
          <w:r>
            <w:rPr>
              <w:i/>
              <w:lang w:val="en-US"/>
            </w:rPr>
            <w:fldChar w:fldCharType="end"/>
          </w:r>
        </w:sdtContent>
      </w:sdt>
      <w:r>
        <w:rPr>
          <w:lang w:val="en-US"/>
        </w:rPr>
        <w:t>; hegemonic practice takes the form of discursive practice (Ibid: 129).</w:t>
      </w:r>
      <w:r w:rsidRPr="00B67E25">
        <w:rPr>
          <w:i/>
          <w:lang w:val="en-US"/>
        </w:rPr>
        <w:t xml:space="preserve">  </w:t>
      </w:r>
    </w:p>
    <w:p w:rsidR="00762725" w:rsidRPr="00135AF5" w:rsidRDefault="00D147F9" w:rsidP="00337119">
      <w:pPr>
        <w:spacing w:line="360" w:lineRule="auto"/>
        <w:rPr>
          <w:i/>
          <w:sz w:val="22"/>
          <w:lang w:val="en-US"/>
        </w:rPr>
      </w:pPr>
      <w:r>
        <w:rPr>
          <w:lang w:val="en-US"/>
        </w:rPr>
        <w:t xml:space="preserve">According to </w:t>
      </w:r>
      <w:proofErr w:type="spellStart"/>
      <w:r>
        <w:rPr>
          <w:lang w:val="en-US"/>
        </w:rPr>
        <w:t>Fairclough</w:t>
      </w:r>
      <w:proofErr w:type="spellEnd"/>
      <w:r>
        <w:rPr>
          <w:lang w:val="en-US"/>
        </w:rPr>
        <w:t>,</w:t>
      </w:r>
      <w:r w:rsidR="00762725">
        <w:rPr>
          <w:lang w:val="en-US"/>
        </w:rPr>
        <w:t xml:space="preserve"> three basic properties constitute CDA, being that it is </w:t>
      </w:r>
      <w:r w:rsidR="00762725" w:rsidRPr="008659E9">
        <w:rPr>
          <w:i/>
          <w:lang w:val="en-US"/>
        </w:rPr>
        <w:t>relational</w:t>
      </w:r>
      <w:r w:rsidR="00762725">
        <w:rPr>
          <w:lang w:val="en-US"/>
        </w:rPr>
        <w:t xml:space="preserve">, </w:t>
      </w:r>
      <w:r w:rsidR="00762725" w:rsidRPr="008659E9">
        <w:rPr>
          <w:i/>
          <w:lang w:val="en-US"/>
        </w:rPr>
        <w:t>dialectical</w:t>
      </w:r>
      <w:r w:rsidR="00762725">
        <w:rPr>
          <w:lang w:val="en-US"/>
        </w:rPr>
        <w:t xml:space="preserve"> and </w:t>
      </w:r>
      <w:r w:rsidR="00762725" w:rsidRPr="008659E9">
        <w:rPr>
          <w:i/>
          <w:lang w:val="en-US"/>
        </w:rPr>
        <w:t>transdisciplinary</w:t>
      </w:r>
      <w:r w:rsidR="00762725">
        <w:rPr>
          <w:lang w:val="en-US"/>
        </w:rPr>
        <w:t xml:space="preserve">. The </w:t>
      </w:r>
      <w:r w:rsidR="00762725">
        <w:rPr>
          <w:i/>
          <w:lang w:val="en-US"/>
        </w:rPr>
        <w:t xml:space="preserve">relational </w:t>
      </w:r>
      <w:r w:rsidR="00762725">
        <w:rPr>
          <w:lang w:val="en-US"/>
        </w:rPr>
        <w:t>aspect is highlighted from a perspective of</w:t>
      </w:r>
      <w:r w:rsidR="00762725" w:rsidRPr="00685EBC">
        <w:rPr>
          <w:lang w:val="en-US"/>
        </w:rPr>
        <w:t xml:space="preserve"> </w:t>
      </w:r>
      <w:r w:rsidR="00762725">
        <w:rPr>
          <w:lang w:val="en-US"/>
        </w:rPr>
        <w:t xml:space="preserve">discourse, where an understanding is that it is impossible to independently define discourse as merely an entity or object; a deeper understanding of discourse’s complexities can only be reached in the process of analyzing sets of relations. </w:t>
      </w:r>
      <w:r>
        <w:rPr>
          <w:lang w:val="en-US"/>
        </w:rPr>
        <w:t>Generally, CDA operates</w:t>
      </w:r>
      <w:r w:rsidR="00762725">
        <w:rPr>
          <w:lang w:val="en-US"/>
        </w:rPr>
        <w:t xml:space="preserve"> within the complex nature of social relations – encompassing relations between communicative processes, languages, discourses and genres</w:t>
      </w:r>
      <w:r w:rsidR="00135AF5">
        <w:rPr>
          <w:lang w:val="en-US"/>
        </w:rPr>
        <w:t>, as well as other elements seen as interconnected in social activity and praxis (persons, institutions)</w:t>
      </w:r>
      <w:sdt>
        <w:sdtPr>
          <w:rPr>
            <w:lang w:val="en-US"/>
          </w:rPr>
          <w:id w:val="502792995"/>
          <w:citation/>
        </w:sdtPr>
        <w:sdtContent>
          <w:r w:rsidR="00762725">
            <w:rPr>
              <w:lang w:val="en-US"/>
            </w:rPr>
            <w:fldChar w:fldCharType="begin"/>
          </w:r>
          <w:r w:rsidR="00762725">
            <w:rPr>
              <w:lang w:val="en-US"/>
            </w:rPr>
            <w:instrText xml:space="preserve">CITATION Nor101 \p 3 \t  \l 1030 </w:instrText>
          </w:r>
          <w:r w:rsidR="00762725">
            <w:rPr>
              <w:lang w:val="en-US"/>
            </w:rPr>
            <w:fldChar w:fldCharType="separate"/>
          </w:r>
          <w:r w:rsidR="00F623D4">
            <w:rPr>
              <w:noProof/>
              <w:lang w:val="en-US"/>
            </w:rPr>
            <w:t xml:space="preserve"> (Fairclough 2010, 3)</w:t>
          </w:r>
          <w:r w:rsidR="00762725">
            <w:rPr>
              <w:lang w:val="en-US"/>
            </w:rPr>
            <w:fldChar w:fldCharType="end"/>
          </w:r>
        </w:sdtContent>
      </w:sdt>
      <w:r w:rsidR="00762725">
        <w:rPr>
          <w:lang w:val="en-US"/>
        </w:rPr>
        <w:t xml:space="preserve">. </w:t>
      </w:r>
      <w:r w:rsidR="00135AF5">
        <w:rPr>
          <w:lang w:val="en-US"/>
        </w:rPr>
        <w:t xml:space="preserve">Consequently, </w:t>
      </w:r>
      <w:r w:rsidR="00BE0CDB">
        <w:rPr>
          <w:lang w:val="en-US"/>
        </w:rPr>
        <w:t xml:space="preserve">interconnectedness between </w:t>
      </w:r>
      <w:r w:rsidR="00762725" w:rsidRPr="009C1964">
        <w:rPr>
          <w:lang w:val="en-US"/>
        </w:rPr>
        <w:t>social</w:t>
      </w:r>
      <w:r w:rsidR="006458DF">
        <w:rPr>
          <w:lang w:val="en-US"/>
        </w:rPr>
        <w:t xml:space="preserve"> structures</w:t>
      </w:r>
      <w:r w:rsidR="00762725" w:rsidRPr="009C1964">
        <w:rPr>
          <w:lang w:val="en-US"/>
        </w:rPr>
        <w:t xml:space="preserve"> and discourse, where language is a social practice, </w:t>
      </w:r>
      <w:r w:rsidR="00135AF5">
        <w:rPr>
          <w:lang w:val="en-US"/>
        </w:rPr>
        <w:t>is</w:t>
      </w:r>
      <w:r w:rsidR="00762725" w:rsidRPr="009C1964">
        <w:rPr>
          <w:lang w:val="en-US"/>
        </w:rPr>
        <w:t xml:space="preserve"> an essential parameter of the social constructionist approach to CDA</w:t>
      </w:r>
      <w:sdt>
        <w:sdtPr>
          <w:rPr>
            <w:lang w:val="en-US"/>
          </w:rPr>
          <w:id w:val="572934056"/>
          <w:citation/>
        </w:sdtPr>
        <w:sdtContent>
          <w:r w:rsidR="00762725" w:rsidRPr="009C1964">
            <w:rPr>
              <w:lang w:val="en-US"/>
            </w:rPr>
            <w:fldChar w:fldCharType="begin"/>
          </w:r>
          <w:r w:rsidR="00762725" w:rsidRPr="009C1964">
            <w:rPr>
              <w:lang w:val="en-US"/>
            </w:rPr>
            <w:instrText xml:space="preserve">CITATION Dav12 \p 4 \l 1030 </w:instrText>
          </w:r>
          <w:r w:rsidR="00762725" w:rsidRPr="009C1964">
            <w:rPr>
              <w:lang w:val="en-US"/>
            </w:rPr>
            <w:fldChar w:fldCharType="separate"/>
          </w:r>
          <w:r w:rsidR="00F623D4">
            <w:rPr>
              <w:noProof/>
              <w:lang w:val="en-US"/>
            </w:rPr>
            <w:t xml:space="preserve"> (Machin and Mayr 2012, 4)</w:t>
          </w:r>
          <w:r w:rsidR="00762725" w:rsidRPr="009C1964">
            <w:rPr>
              <w:lang w:val="en-US"/>
            </w:rPr>
            <w:fldChar w:fldCharType="end"/>
          </w:r>
        </w:sdtContent>
      </w:sdt>
      <w:r w:rsidR="00762725" w:rsidRPr="009C1964">
        <w:rPr>
          <w:lang w:val="en-US"/>
        </w:rPr>
        <w:t xml:space="preserve">. </w:t>
      </w:r>
      <w:r w:rsidR="00135AF5">
        <w:rPr>
          <w:lang w:val="en-US"/>
        </w:rPr>
        <w:t>Furthermore</w:t>
      </w:r>
      <w:r w:rsidR="00762725" w:rsidRPr="009C1964">
        <w:rPr>
          <w:lang w:val="en-US"/>
        </w:rPr>
        <w:t xml:space="preserve">, discourse is recognized as complex and as a facilitator </w:t>
      </w:r>
      <w:r w:rsidR="00762725">
        <w:rPr>
          <w:lang w:val="en-US"/>
        </w:rPr>
        <w:t>that brings</w:t>
      </w:r>
      <w:r w:rsidR="00762725" w:rsidRPr="009C1964">
        <w:rPr>
          <w:lang w:val="en-US"/>
        </w:rPr>
        <w:t xml:space="preserve"> in complex relations, which constitute social life – in terms of both meaning and </w:t>
      </w:r>
      <w:r w:rsidR="00762725">
        <w:rPr>
          <w:lang w:val="en-US"/>
        </w:rPr>
        <w:t xml:space="preserve">creating </w:t>
      </w:r>
      <w:r w:rsidR="00762725" w:rsidRPr="009C1964">
        <w:rPr>
          <w:lang w:val="en-US"/>
        </w:rPr>
        <w:t>meaning</w:t>
      </w:r>
      <w:sdt>
        <w:sdtPr>
          <w:rPr>
            <w:lang w:val="en-US"/>
          </w:rPr>
          <w:id w:val="965930884"/>
          <w:citation/>
        </w:sdtPr>
        <w:sdtContent>
          <w:r w:rsidR="00762725" w:rsidRPr="009C1964">
            <w:rPr>
              <w:lang w:val="en-US"/>
            </w:rPr>
            <w:fldChar w:fldCharType="begin"/>
          </w:r>
          <w:r w:rsidR="00762725" w:rsidRPr="009C1964">
            <w:rPr>
              <w:lang w:val="en-US"/>
            </w:rPr>
            <w:instrText xml:space="preserve">CITATION Nor101 \p 3 \t  \l 1030 </w:instrText>
          </w:r>
          <w:r w:rsidR="00762725" w:rsidRPr="009C1964">
            <w:rPr>
              <w:lang w:val="en-US"/>
            </w:rPr>
            <w:fldChar w:fldCharType="separate"/>
          </w:r>
          <w:r w:rsidR="00F623D4">
            <w:rPr>
              <w:noProof/>
              <w:lang w:val="en-US"/>
            </w:rPr>
            <w:t xml:space="preserve"> (Fairclough 2010, 3)</w:t>
          </w:r>
          <w:r w:rsidR="00762725" w:rsidRPr="009C1964">
            <w:rPr>
              <w:lang w:val="en-US"/>
            </w:rPr>
            <w:fldChar w:fldCharType="end"/>
          </w:r>
        </w:sdtContent>
      </w:sdt>
      <w:r w:rsidR="00762725" w:rsidRPr="009C1964">
        <w:rPr>
          <w:lang w:val="en-US"/>
        </w:rPr>
        <w:t xml:space="preserve">.  </w:t>
      </w:r>
    </w:p>
    <w:p w:rsidR="00762725" w:rsidRPr="009C1964" w:rsidRDefault="00762725" w:rsidP="00337119">
      <w:pPr>
        <w:spacing w:line="360" w:lineRule="auto"/>
        <w:rPr>
          <w:lang w:val="en-US"/>
        </w:rPr>
      </w:pPr>
      <w:r w:rsidRPr="009C1964">
        <w:rPr>
          <w:lang w:val="en-US"/>
        </w:rPr>
        <w:t xml:space="preserve">From </w:t>
      </w:r>
      <w:proofErr w:type="spellStart"/>
      <w:r w:rsidRPr="009C1964">
        <w:rPr>
          <w:lang w:val="en-US"/>
        </w:rPr>
        <w:t>Fairclough</w:t>
      </w:r>
      <w:r>
        <w:rPr>
          <w:lang w:val="en-US"/>
        </w:rPr>
        <w:t>’s</w:t>
      </w:r>
      <w:proofErr w:type="spellEnd"/>
      <w:r w:rsidRPr="009C1964">
        <w:rPr>
          <w:lang w:val="en-US"/>
        </w:rPr>
        <w:t xml:space="preserve"> perspective, the </w:t>
      </w:r>
      <w:r w:rsidRPr="009C1964">
        <w:rPr>
          <w:i/>
          <w:lang w:val="en-US"/>
        </w:rPr>
        <w:t xml:space="preserve">relational </w:t>
      </w:r>
      <w:r w:rsidRPr="009C1964">
        <w:rPr>
          <w:lang w:val="en-US"/>
        </w:rPr>
        <w:t>aspect present</w:t>
      </w:r>
      <w:r>
        <w:rPr>
          <w:lang w:val="en-US"/>
        </w:rPr>
        <w:t>s</w:t>
      </w:r>
      <w:r w:rsidRPr="009C1964">
        <w:rPr>
          <w:lang w:val="en-US"/>
        </w:rPr>
        <w:t xml:space="preserve"> factors of relations within </w:t>
      </w:r>
      <w:r>
        <w:rPr>
          <w:lang w:val="en-US"/>
        </w:rPr>
        <w:t xml:space="preserve">the </w:t>
      </w:r>
      <w:r w:rsidRPr="009C1964">
        <w:rPr>
          <w:lang w:val="en-US"/>
        </w:rPr>
        <w:t>CDA</w:t>
      </w:r>
      <w:r>
        <w:rPr>
          <w:lang w:val="en-US"/>
        </w:rPr>
        <w:t xml:space="preserve"> approach</w:t>
      </w:r>
      <w:r w:rsidRPr="009C1964">
        <w:rPr>
          <w:lang w:val="en-US"/>
        </w:rPr>
        <w:t xml:space="preserve">, which are considered </w:t>
      </w:r>
      <w:r w:rsidRPr="009C1964">
        <w:rPr>
          <w:i/>
          <w:lang w:val="en-US"/>
        </w:rPr>
        <w:t>dialectical</w:t>
      </w:r>
      <w:r w:rsidRPr="009C1964">
        <w:rPr>
          <w:lang w:val="en-US"/>
        </w:rPr>
        <w:t xml:space="preserve"> in character. Relations between objects that are not excluding</w:t>
      </w:r>
      <w:r w:rsidR="00B26006">
        <w:rPr>
          <w:lang w:val="en-US"/>
        </w:rPr>
        <w:t>,</w:t>
      </w:r>
      <w:r w:rsidRPr="009C1964">
        <w:rPr>
          <w:lang w:val="en-US"/>
        </w:rPr>
        <w:t xml:space="preserve"> but still different in the social process </w:t>
      </w:r>
      <w:r>
        <w:rPr>
          <w:lang w:val="en-US"/>
        </w:rPr>
        <w:t xml:space="preserve">are termed </w:t>
      </w:r>
      <w:r w:rsidRPr="00C116C2">
        <w:rPr>
          <w:i/>
          <w:lang w:val="en-US"/>
        </w:rPr>
        <w:t>dialectical relations</w:t>
      </w:r>
      <w:r w:rsidRPr="009C1964">
        <w:rPr>
          <w:lang w:val="en-US"/>
        </w:rPr>
        <w:t xml:space="preserve">. </w:t>
      </w:r>
      <w:r w:rsidR="009277D4">
        <w:rPr>
          <w:lang w:val="en-US"/>
        </w:rPr>
        <w:t xml:space="preserve">This means that </w:t>
      </w:r>
      <w:r w:rsidRPr="009C1964">
        <w:rPr>
          <w:lang w:val="en-US"/>
        </w:rPr>
        <w:t xml:space="preserve">dialectical relations can be perceived as different </w:t>
      </w:r>
      <w:r w:rsidRPr="009C1964">
        <w:rPr>
          <w:i/>
          <w:lang w:val="en-US"/>
        </w:rPr>
        <w:t>moments</w:t>
      </w:r>
      <w:r w:rsidRPr="009C1964">
        <w:rPr>
          <w:lang w:val="en-US"/>
        </w:rPr>
        <w:t xml:space="preserve"> within the same </w:t>
      </w:r>
      <w:r w:rsidR="009277D4">
        <w:rPr>
          <w:i/>
          <w:lang w:val="en-US"/>
        </w:rPr>
        <w:t>order of discourse</w:t>
      </w:r>
      <w:r w:rsidRPr="009C1964">
        <w:rPr>
          <w:lang w:val="en-US"/>
        </w:rPr>
        <w:t xml:space="preserve">. In the relation between discourse and power, these two elements are considered different </w:t>
      </w:r>
      <w:r w:rsidRPr="00B67E25">
        <w:rPr>
          <w:lang w:val="en-US"/>
        </w:rPr>
        <w:t>moments</w:t>
      </w:r>
      <w:r w:rsidRPr="009C1964">
        <w:rPr>
          <w:lang w:val="en-US"/>
        </w:rPr>
        <w:t xml:space="preserve"> of the social process, but power is still partly or can be internalized in discourse and vice versa – in the sense that power can be achieved and maintained through discourse</w:t>
      </w:r>
      <w:r>
        <w:rPr>
          <w:lang w:val="en-US"/>
        </w:rPr>
        <w:t xml:space="preserve"> </w:t>
      </w:r>
      <w:sdt>
        <w:sdtPr>
          <w:rPr>
            <w:lang w:val="en-US"/>
          </w:rPr>
          <w:id w:val="-15772168"/>
          <w:citation/>
        </w:sdtPr>
        <w:sdtContent>
          <w:r>
            <w:rPr>
              <w:lang w:val="en-US"/>
            </w:rPr>
            <w:fldChar w:fldCharType="begin"/>
          </w:r>
          <w:r>
            <w:rPr>
              <w:lang w:val="en-US"/>
            </w:rPr>
            <w:instrText xml:space="preserve">CITATION Nor101 \p 4 \t  \l 1030 </w:instrText>
          </w:r>
          <w:r>
            <w:rPr>
              <w:lang w:val="en-US"/>
            </w:rPr>
            <w:fldChar w:fldCharType="separate"/>
          </w:r>
          <w:r w:rsidR="00F623D4">
            <w:rPr>
              <w:noProof/>
              <w:lang w:val="en-US"/>
            </w:rPr>
            <w:t>(Fairclough 2010, 4)</w:t>
          </w:r>
          <w:r>
            <w:rPr>
              <w:lang w:val="en-US"/>
            </w:rPr>
            <w:fldChar w:fldCharType="end"/>
          </w:r>
        </w:sdtContent>
      </w:sdt>
      <w:r>
        <w:rPr>
          <w:lang w:val="en-US"/>
        </w:rPr>
        <w:t xml:space="preserve">. </w:t>
      </w:r>
      <w:r w:rsidRPr="009C1964">
        <w:rPr>
          <w:lang w:val="en-US"/>
        </w:rPr>
        <w:t>In accordance wit</w:t>
      </w:r>
      <w:r w:rsidR="00B62451">
        <w:rPr>
          <w:lang w:val="en-US"/>
        </w:rPr>
        <w:t xml:space="preserve">h this, </w:t>
      </w:r>
      <w:proofErr w:type="spellStart"/>
      <w:r w:rsidR="00B62451">
        <w:rPr>
          <w:lang w:val="en-US"/>
        </w:rPr>
        <w:t>Fairclough</w:t>
      </w:r>
      <w:proofErr w:type="spellEnd"/>
      <w:r w:rsidR="00B62451">
        <w:rPr>
          <w:lang w:val="en-US"/>
        </w:rPr>
        <w:t xml:space="preserve"> asserts:</w:t>
      </w:r>
      <w:r w:rsidRPr="009C1964">
        <w:rPr>
          <w:lang w:val="en-US"/>
        </w:rPr>
        <w:t xml:space="preserve"> </w:t>
      </w:r>
    </w:p>
    <w:p w:rsidR="00762725" w:rsidRDefault="00762725" w:rsidP="00337119">
      <w:pPr>
        <w:spacing w:line="360" w:lineRule="auto"/>
        <w:ind w:left="1304"/>
        <w:rPr>
          <w:i/>
          <w:sz w:val="22"/>
          <w:lang w:val="en-US"/>
        </w:rPr>
      </w:pPr>
      <w:r w:rsidRPr="009C1964">
        <w:rPr>
          <w:i/>
          <w:sz w:val="22"/>
          <w:lang w:val="en-US"/>
        </w:rPr>
        <w:t>“Social activity or praxis consists in complex articulation of these [power and discourse] and other objects as its elements or moments; its analysis is analysis of dialectical relations between them and, and no one object or element (such as discourse) can be analyzed other than in terms of its dialectical relations with others”</w:t>
      </w:r>
      <w:sdt>
        <w:sdtPr>
          <w:rPr>
            <w:i/>
            <w:sz w:val="22"/>
            <w:lang w:val="en-US"/>
          </w:rPr>
          <w:id w:val="-1761755599"/>
          <w:citation/>
        </w:sdtPr>
        <w:sdtContent>
          <w:r>
            <w:rPr>
              <w:i/>
              <w:sz w:val="22"/>
              <w:lang w:val="en-US"/>
            </w:rPr>
            <w:fldChar w:fldCharType="begin"/>
          </w:r>
          <w:r>
            <w:rPr>
              <w:i/>
              <w:sz w:val="22"/>
              <w:lang w:val="en-US"/>
            </w:rPr>
            <w:instrText xml:space="preserve">CITATION Nor101 \p 4 \t  \l 1030 </w:instrText>
          </w:r>
          <w:r>
            <w:rPr>
              <w:i/>
              <w:sz w:val="22"/>
              <w:lang w:val="en-US"/>
            </w:rPr>
            <w:fldChar w:fldCharType="separate"/>
          </w:r>
          <w:r w:rsidR="00F623D4">
            <w:rPr>
              <w:i/>
              <w:noProof/>
              <w:sz w:val="22"/>
              <w:lang w:val="en-US"/>
            </w:rPr>
            <w:t xml:space="preserve"> </w:t>
          </w:r>
          <w:r w:rsidR="00F623D4" w:rsidRPr="00F623D4">
            <w:rPr>
              <w:noProof/>
              <w:sz w:val="22"/>
              <w:lang w:val="en-US"/>
            </w:rPr>
            <w:t>(Fairclough 2010, 4)</w:t>
          </w:r>
          <w:r>
            <w:rPr>
              <w:i/>
              <w:sz w:val="22"/>
              <w:lang w:val="en-US"/>
            </w:rPr>
            <w:fldChar w:fldCharType="end"/>
          </w:r>
        </w:sdtContent>
      </w:sdt>
      <w:r w:rsidRPr="009C1964">
        <w:rPr>
          <w:i/>
          <w:sz w:val="22"/>
          <w:lang w:val="en-US"/>
        </w:rPr>
        <w:t xml:space="preserve">. </w:t>
      </w:r>
    </w:p>
    <w:p w:rsidR="00B26006" w:rsidRDefault="00762725" w:rsidP="00337119">
      <w:pPr>
        <w:spacing w:line="360" w:lineRule="auto"/>
        <w:rPr>
          <w:lang w:val="en-US"/>
        </w:rPr>
      </w:pPr>
      <w:proofErr w:type="spellStart"/>
      <w:r>
        <w:rPr>
          <w:lang w:val="en-US"/>
        </w:rPr>
        <w:t>Fairclough</w:t>
      </w:r>
      <w:proofErr w:type="spellEnd"/>
      <w:r>
        <w:rPr>
          <w:lang w:val="en-US"/>
        </w:rPr>
        <w:t xml:space="preserve"> sees discourse as in a dialectical relationship with other social dimensions, meaning that he differentiates between the discursive and non-discursive, where </w:t>
      </w:r>
      <w:proofErr w:type="spellStart"/>
      <w:r>
        <w:rPr>
          <w:lang w:val="en-US"/>
        </w:rPr>
        <w:t>Laclau</w:t>
      </w:r>
      <w:proofErr w:type="spellEnd"/>
      <w:r>
        <w:rPr>
          <w:lang w:val="en-US"/>
        </w:rPr>
        <w:t xml:space="preserve"> and </w:t>
      </w:r>
      <w:proofErr w:type="spellStart"/>
      <w:r>
        <w:rPr>
          <w:lang w:val="en-US"/>
        </w:rPr>
        <w:t>Mouffe</w:t>
      </w:r>
      <w:proofErr w:type="spellEnd"/>
      <w:r>
        <w:rPr>
          <w:lang w:val="en-US"/>
        </w:rPr>
        <w:t xml:space="preserve"> perceive everything as discursive. This means that </w:t>
      </w:r>
      <w:proofErr w:type="spellStart"/>
      <w:r>
        <w:rPr>
          <w:lang w:val="en-US"/>
        </w:rPr>
        <w:t>Fairclough</w:t>
      </w:r>
      <w:proofErr w:type="spellEnd"/>
      <w:r>
        <w:rPr>
          <w:lang w:val="en-US"/>
        </w:rPr>
        <w:t xml:space="preserve"> does not just understand discourse as an entity </w:t>
      </w:r>
      <w:r>
        <w:rPr>
          <w:lang w:val="en-US"/>
        </w:rPr>
        <w:lastRenderedPageBreak/>
        <w:t>that shapes and reshapes social structures, but also as a social practice that reflects them</w:t>
      </w:r>
      <w:sdt>
        <w:sdtPr>
          <w:rPr>
            <w:lang w:val="en-US"/>
          </w:rPr>
          <w:id w:val="-61025932"/>
          <w:citation/>
        </w:sdtPr>
        <w:sdtContent>
          <w:r>
            <w:rPr>
              <w:lang w:val="en-US"/>
            </w:rPr>
            <w:fldChar w:fldCharType="begin"/>
          </w:r>
          <w:r>
            <w:rPr>
              <w:lang w:val="en-US"/>
            </w:rPr>
            <w:instrText xml:space="preserve">CITATION Mar02 \p 61 \l 1030 </w:instrText>
          </w:r>
          <w:r>
            <w:rPr>
              <w:lang w:val="en-US"/>
            </w:rPr>
            <w:fldChar w:fldCharType="separate"/>
          </w:r>
          <w:r w:rsidR="00F623D4">
            <w:rPr>
              <w:noProof/>
              <w:lang w:val="en-US"/>
            </w:rPr>
            <w:t xml:space="preserve"> (Jørgensen and Phillips 2002, 61)</w:t>
          </w:r>
          <w:r>
            <w:rPr>
              <w:lang w:val="en-US"/>
            </w:rPr>
            <w:fldChar w:fldCharType="end"/>
          </w:r>
        </w:sdtContent>
      </w:sdt>
      <w:r>
        <w:rPr>
          <w:lang w:val="en-US"/>
        </w:rPr>
        <w:t xml:space="preserve">. </w:t>
      </w:r>
    </w:p>
    <w:p w:rsidR="00762725" w:rsidRDefault="00B26006" w:rsidP="00337119">
      <w:pPr>
        <w:spacing w:line="360" w:lineRule="auto"/>
        <w:rPr>
          <w:lang w:val="en-US"/>
        </w:rPr>
      </w:pPr>
      <w:r>
        <w:rPr>
          <w:lang w:val="en-US"/>
        </w:rPr>
        <w:t>T</w:t>
      </w:r>
      <w:r w:rsidR="00762725">
        <w:rPr>
          <w:lang w:val="en-US"/>
        </w:rPr>
        <w:t>he analysis of the discourse itself is not in focus within CDA, but rather the analysis of dialectical relations between discourse and external elements or moments, and internal relations within the discourse as well</w:t>
      </w:r>
      <w:sdt>
        <w:sdtPr>
          <w:rPr>
            <w:lang w:val="en-US"/>
          </w:rPr>
          <w:id w:val="-1891563862"/>
          <w:citation/>
        </w:sdtPr>
        <w:sdtContent>
          <w:r w:rsidR="00762725">
            <w:rPr>
              <w:lang w:val="en-US"/>
            </w:rPr>
            <w:fldChar w:fldCharType="begin"/>
          </w:r>
          <w:r w:rsidR="00762725">
            <w:rPr>
              <w:lang w:val="en-US"/>
            </w:rPr>
            <w:instrText xml:space="preserve">CITATION Nor101 \p 4 \t  \l 1030 </w:instrText>
          </w:r>
          <w:r w:rsidR="00762725">
            <w:rPr>
              <w:lang w:val="en-US"/>
            </w:rPr>
            <w:fldChar w:fldCharType="separate"/>
          </w:r>
          <w:r w:rsidR="00F623D4">
            <w:rPr>
              <w:noProof/>
              <w:lang w:val="en-US"/>
            </w:rPr>
            <w:t xml:space="preserve"> (Fairclough 2010, 4)</w:t>
          </w:r>
          <w:r w:rsidR="00762725">
            <w:rPr>
              <w:lang w:val="en-US"/>
            </w:rPr>
            <w:fldChar w:fldCharType="end"/>
          </w:r>
        </w:sdtContent>
      </w:sdt>
      <w:r w:rsidR="00762725">
        <w:rPr>
          <w:lang w:val="en-US"/>
        </w:rPr>
        <w:t xml:space="preserve">. Where external dialectical relations are made and the boundaries between disciplines (linguistics, sociology and politics) are mitigated, the analysis form of CDA may be referred to as </w:t>
      </w:r>
      <w:r w:rsidR="00762725">
        <w:rPr>
          <w:i/>
          <w:lang w:val="en-US"/>
        </w:rPr>
        <w:t>transdisciplinary</w:t>
      </w:r>
      <w:r w:rsidR="00762725">
        <w:rPr>
          <w:lang w:val="en-US"/>
        </w:rPr>
        <w:t>. This term signifies that the analysis form of CDA entails a somewhat abstract dialogue between the theoretical and methodological parameters of each discipline</w:t>
      </w:r>
      <w:sdt>
        <w:sdtPr>
          <w:rPr>
            <w:lang w:val="en-US"/>
          </w:rPr>
          <w:id w:val="-823280223"/>
          <w:citation/>
        </w:sdtPr>
        <w:sdtContent>
          <w:r w:rsidR="00762725">
            <w:rPr>
              <w:lang w:val="en-US"/>
            </w:rPr>
            <w:fldChar w:fldCharType="begin"/>
          </w:r>
          <w:r w:rsidR="00762725">
            <w:rPr>
              <w:lang w:val="en-US"/>
            </w:rPr>
            <w:instrText xml:space="preserve">CITATION Nor101 \p 4 \t  \l 1030 </w:instrText>
          </w:r>
          <w:r w:rsidR="00762725">
            <w:rPr>
              <w:lang w:val="en-US"/>
            </w:rPr>
            <w:fldChar w:fldCharType="separate"/>
          </w:r>
          <w:r w:rsidR="00F623D4">
            <w:rPr>
              <w:noProof/>
              <w:lang w:val="en-US"/>
            </w:rPr>
            <w:t xml:space="preserve"> (Fairclough 2010, 4)</w:t>
          </w:r>
          <w:r w:rsidR="00762725">
            <w:rPr>
              <w:lang w:val="en-US"/>
            </w:rPr>
            <w:fldChar w:fldCharType="end"/>
          </w:r>
        </w:sdtContent>
      </w:sdt>
      <w:r w:rsidR="00762725">
        <w:rPr>
          <w:lang w:val="en-US"/>
        </w:rPr>
        <w:t xml:space="preserve">. In other words, the </w:t>
      </w:r>
      <w:r w:rsidR="00762725">
        <w:rPr>
          <w:i/>
          <w:lang w:val="en-US"/>
        </w:rPr>
        <w:t>transdisciplinary</w:t>
      </w:r>
      <w:r w:rsidR="00762725">
        <w:rPr>
          <w:lang w:val="en-US"/>
        </w:rPr>
        <w:t xml:space="preserve"> approach enables a theory-driven process, constituting a methodology in terms of </w:t>
      </w:r>
      <w:r w:rsidR="00762725">
        <w:rPr>
          <w:i/>
          <w:lang w:val="en-US"/>
        </w:rPr>
        <w:t>objects of research</w:t>
      </w:r>
      <w:r w:rsidR="00762725">
        <w:rPr>
          <w:lang w:val="en-US"/>
        </w:rPr>
        <w:t>,</w:t>
      </w:r>
      <w:r w:rsidR="00762725">
        <w:rPr>
          <w:i/>
          <w:lang w:val="en-US"/>
        </w:rPr>
        <w:t xml:space="preserve"> </w:t>
      </w:r>
      <w:r w:rsidR="00762725">
        <w:rPr>
          <w:lang w:val="en-US"/>
        </w:rPr>
        <w:t>which have the function of establishing ‘points of entry’ for a discourse analy</w:t>
      </w:r>
      <w:r w:rsidR="00E7187E">
        <w:rPr>
          <w:lang w:val="en-US"/>
        </w:rPr>
        <w:t xml:space="preserve">st. </w:t>
      </w:r>
      <w:proofErr w:type="spellStart"/>
      <w:r w:rsidR="00E7187E">
        <w:rPr>
          <w:lang w:val="en-US"/>
        </w:rPr>
        <w:t>Fairclough</w:t>
      </w:r>
      <w:proofErr w:type="spellEnd"/>
      <w:r w:rsidR="00E7187E">
        <w:rPr>
          <w:lang w:val="en-US"/>
        </w:rPr>
        <w:t xml:space="preserve"> argues that </w:t>
      </w:r>
      <w:r w:rsidR="00762725">
        <w:rPr>
          <w:lang w:val="en-US"/>
        </w:rPr>
        <w:t>such</w:t>
      </w:r>
      <w:r w:rsidR="00E7187E">
        <w:rPr>
          <w:lang w:val="en-US"/>
        </w:rPr>
        <w:t xml:space="preserve"> a</w:t>
      </w:r>
      <w:r w:rsidR="00762725">
        <w:rPr>
          <w:lang w:val="en-US"/>
        </w:rPr>
        <w:t xml:space="preserve"> research object could be ‘strategies for overcoming a crisis’. Hence, the theory or discipline of crisis communication and strategies involved can be seen as having a discursive character. A ‘point of entry’ can therefore be to focus on </w:t>
      </w:r>
      <w:r w:rsidR="00762725">
        <w:rPr>
          <w:i/>
          <w:lang w:val="en-US"/>
        </w:rPr>
        <w:t>“discursive features of strategies [explanations, justifications and legitimations] and how they may contribute to their success or failure”</w:t>
      </w:r>
      <w:sdt>
        <w:sdtPr>
          <w:rPr>
            <w:i/>
            <w:lang w:val="en-US"/>
          </w:rPr>
          <w:id w:val="-134809098"/>
          <w:citation/>
        </w:sdtPr>
        <w:sdtContent>
          <w:r w:rsidR="00762725">
            <w:rPr>
              <w:i/>
              <w:lang w:val="en-US"/>
            </w:rPr>
            <w:fldChar w:fldCharType="begin"/>
          </w:r>
          <w:r w:rsidR="00762725">
            <w:rPr>
              <w:i/>
              <w:lang w:val="en-US"/>
            </w:rPr>
            <w:instrText xml:space="preserve">CITATION Nor101 \p 5-6 \t  \l 1030 </w:instrText>
          </w:r>
          <w:r w:rsidR="00762725">
            <w:rPr>
              <w:i/>
              <w:lang w:val="en-US"/>
            </w:rPr>
            <w:fldChar w:fldCharType="separate"/>
          </w:r>
          <w:r w:rsidR="00F623D4">
            <w:rPr>
              <w:i/>
              <w:noProof/>
              <w:lang w:val="en-US"/>
            </w:rPr>
            <w:t xml:space="preserve"> </w:t>
          </w:r>
          <w:r w:rsidR="00F623D4">
            <w:rPr>
              <w:noProof/>
              <w:lang w:val="en-US"/>
            </w:rPr>
            <w:t>(Fairclough 2010, 5-6)</w:t>
          </w:r>
          <w:r w:rsidR="00762725">
            <w:rPr>
              <w:i/>
              <w:lang w:val="en-US"/>
            </w:rPr>
            <w:fldChar w:fldCharType="end"/>
          </w:r>
        </w:sdtContent>
      </w:sdt>
      <w:r w:rsidR="00762725">
        <w:rPr>
          <w:lang w:val="en-US"/>
        </w:rPr>
        <w:t xml:space="preserve">. </w:t>
      </w:r>
      <w:r w:rsidR="00592C4F">
        <w:rPr>
          <w:lang w:val="en-US"/>
        </w:rPr>
        <w:t>T</w:t>
      </w:r>
      <w:r w:rsidR="00762725">
        <w:rPr>
          <w:lang w:val="en-US"/>
        </w:rPr>
        <w:t>he discursive nature of the articulated explanations, justifications and legitimations</w:t>
      </w:r>
      <w:r w:rsidR="00592C4F">
        <w:rPr>
          <w:lang w:val="en-US"/>
        </w:rPr>
        <w:t xml:space="preserve"> in the Mozilla case</w:t>
      </w:r>
      <w:r w:rsidR="00762725">
        <w:rPr>
          <w:lang w:val="en-US"/>
        </w:rPr>
        <w:t xml:space="preserve"> are primarily in terms of CSR (the </w:t>
      </w:r>
      <w:r w:rsidR="00762725">
        <w:rPr>
          <w:i/>
          <w:lang w:val="en-US"/>
        </w:rPr>
        <w:t>order of discourse</w:t>
      </w:r>
      <w:r w:rsidR="00762725">
        <w:rPr>
          <w:lang w:val="en-US"/>
        </w:rPr>
        <w:t xml:space="preserve">), which directs a specific ‘point of entry’ for a critical discourse analysis. </w:t>
      </w:r>
    </w:p>
    <w:p w:rsidR="00762725" w:rsidRDefault="00B151A0" w:rsidP="00337119">
      <w:pPr>
        <w:pStyle w:val="Overskrift3"/>
        <w:spacing w:line="360" w:lineRule="auto"/>
        <w:rPr>
          <w:lang w:val="en-US"/>
        </w:rPr>
      </w:pPr>
      <w:bookmarkStart w:id="70" w:name="_Toc420075831"/>
      <w:bookmarkStart w:id="71" w:name="_Toc420761644"/>
      <w:r>
        <w:rPr>
          <w:lang w:val="en-US"/>
        </w:rPr>
        <w:t>5</w:t>
      </w:r>
      <w:r w:rsidR="00762725">
        <w:rPr>
          <w:lang w:val="en-US"/>
        </w:rPr>
        <w:t>.3.1 The Three-dimensional Framework of Critical Discourse Analysis</w:t>
      </w:r>
      <w:bookmarkEnd w:id="70"/>
      <w:bookmarkEnd w:id="71"/>
      <w:r w:rsidR="00762725">
        <w:rPr>
          <w:lang w:val="en-US"/>
        </w:rPr>
        <w:t xml:space="preserve">      </w:t>
      </w:r>
    </w:p>
    <w:p w:rsidR="00762725" w:rsidRDefault="00762725" w:rsidP="00337119">
      <w:pPr>
        <w:spacing w:line="360" w:lineRule="auto"/>
        <w:rPr>
          <w:lang w:val="en-US"/>
        </w:rPr>
      </w:pPr>
      <w:r>
        <w:rPr>
          <w:lang w:val="en-US"/>
        </w:rPr>
        <w:t xml:space="preserve">In the previous paragraph, it has been made clear from a CDA perspective that discourse can be considered both constitutive </w:t>
      </w:r>
      <w:r w:rsidR="00BD5AF6">
        <w:rPr>
          <w:lang w:val="en-US"/>
        </w:rPr>
        <w:t xml:space="preserve">and constituted in terms of </w:t>
      </w:r>
      <w:r>
        <w:rPr>
          <w:lang w:val="en-US"/>
        </w:rPr>
        <w:t>social</w:t>
      </w:r>
      <w:r w:rsidR="00CF51AA">
        <w:rPr>
          <w:lang w:val="en-US"/>
        </w:rPr>
        <w:t xml:space="preserve"> structures</w:t>
      </w:r>
      <w:r>
        <w:rPr>
          <w:lang w:val="en-US"/>
        </w:rPr>
        <w:t>, and it operates within specific fields like medical discourse, political discourse or CSR discourse. Moreover, discourse signifies a specific way of speaking, deriving a meaning from a particular perspective, which can be said to be interrelated with social relations</w:t>
      </w:r>
      <w:sdt>
        <w:sdtPr>
          <w:rPr>
            <w:lang w:val="en-US"/>
          </w:rPr>
          <w:id w:val="1629357980"/>
          <w:citation/>
        </w:sdtPr>
        <w:sdtContent>
          <w:r>
            <w:rPr>
              <w:lang w:val="en-US"/>
            </w:rPr>
            <w:fldChar w:fldCharType="begin"/>
          </w:r>
          <w:r>
            <w:rPr>
              <w:lang w:val="en-US"/>
            </w:rPr>
            <w:instrText xml:space="preserve">CITATION Mar02 \p 66-7 \l 1030 </w:instrText>
          </w:r>
          <w:r>
            <w:rPr>
              <w:lang w:val="en-US"/>
            </w:rPr>
            <w:fldChar w:fldCharType="separate"/>
          </w:r>
          <w:r w:rsidR="00F623D4">
            <w:rPr>
              <w:noProof/>
              <w:lang w:val="en-US"/>
            </w:rPr>
            <w:t xml:space="preserve"> (Jørgensen and Phillips 2002, 66-7)</w:t>
          </w:r>
          <w:r>
            <w:rPr>
              <w:lang w:val="en-US"/>
            </w:rPr>
            <w:fldChar w:fldCharType="end"/>
          </w:r>
        </w:sdtContent>
      </w:sdt>
      <w:r>
        <w:rPr>
          <w:lang w:val="en-US"/>
        </w:rPr>
        <w:t xml:space="preserve">. Of the process of dialectical relations, </w:t>
      </w:r>
      <w:proofErr w:type="spellStart"/>
      <w:r>
        <w:rPr>
          <w:lang w:val="en-US"/>
        </w:rPr>
        <w:t>Fairclough</w:t>
      </w:r>
      <w:proofErr w:type="spellEnd"/>
      <w:r>
        <w:rPr>
          <w:lang w:val="en-US"/>
        </w:rPr>
        <w:t xml:space="preserve"> represents three major ways of which discourses relate to other social elements (social practices or social events):</w:t>
      </w:r>
      <w:r w:rsidRPr="0081441A">
        <w:rPr>
          <w:lang w:val="en-US"/>
        </w:rPr>
        <w:t xml:space="preserve"> </w:t>
      </w:r>
      <w:r>
        <w:rPr>
          <w:lang w:val="en-US"/>
        </w:rPr>
        <w:t>“</w:t>
      </w:r>
      <w:r w:rsidRPr="0081441A">
        <w:rPr>
          <w:i/>
          <w:lang w:val="en-US"/>
        </w:rPr>
        <w:t>As a facet of actions; in the construal (representation) of aspects of the world; and in the constitution of identities</w:t>
      </w:r>
      <w:r>
        <w:rPr>
          <w:i/>
          <w:lang w:val="en-US"/>
        </w:rPr>
        <w:t>”</w:t>
      </w:r>
      <w:sdt>
        <w:sdtPr>
          <w:rPr>
            <w:i/>
            <w:lang w:val="en-US"/>
          </w:rPr>
          <w:id w:val="1714458848"/>
          <w:citation/>
        </w:sdtPr>
        <w:sdtContent>
          <w:r>
            <w:rPr>
              <w:i/>
              <w:lang w:val="en-US"/>
            </w:rPr>
            <w:fldChar w:fldCharType="begin"/>
          </w:r>
          <w:r>
            <w:rPr>
              <w:i/>
              <w:lang w:val="en-US"/>
            </w:rPr>
            <w:instrText xml:space="preserve">CITATION Nor101 \p 232 \t  \l 1030 </w:instrText>
          </w:r>
          <w:r>
            <w:rPr>
              <w:i/>
              <w:lang w:val="en-US"/>
            </w:rPr>
            <w:fldChar w:fldCharType="separate"/>
          </w:r>
          <w:r w:rsidR="00F623D4">
            <w:rPr>
              <w:i/>
              <w:noProof/>
              <w:lang w:val="en-US"/>
            </w:rPr>
            <w:t xml:space="preserve"> </w:t>
          </w:r>
          <w:r w:rsidR="00F623D4">
            <w:rPr>
              <w:noProof/>
              <w:lang w:val="en-US"/>
            </w:rPr>
            <w:t>(Fairclough 2010, 232)</w:t>
          </w:r>
          <w:r>
            <w:rPr>
              <w:i/>
              <w:lang w:val="en-US"/>
            </w:rPr>
            <w:fldChar w:fldCharType="end"/>
          </w:r>
        </w:sdtContent>
      </w:sdt>
      <w:r>
        <w:rPr>
          <w:lang w:val="en-US"/>
        </w:rPr>
        <w:t xml:space="preserve">. In the analytical process, corresponding to these relational ways, three discourse-analytical categories are highlighted, being </w:t>
      </w:r>
      <w:r>
        <w:rPr>
          <w:i/>
          <w:lang w:val="en-US"/>
        </w:rPr>
        <w:t xml:space="preserve">genre </w:t>
      </w:r>
      <w:r>
        <w:rPr>
          <w:lang w:val="en-US"/>
        </w:rPr>
        <w:t>(could be a news article, constituted by specific semiotic ways or relations between signs of acting and interacting)</w:t>
      </w:r>
      <w:r>
        <w:rPr>
          <w:i/>
          <w:lang w:val="en-US"/>
        </w:rPr>
        <w:t>, discourse</w:t>
      </w:r>
      <w:r>
        <w:rPr>
          <w:lang w:val="en-US"/>
        </w:rPr>
        <w:t xml:space="preserve"> (semiotic ways in which social </w:t>
      </w:r>
      <w:r>
        <w:rPr>
          <w:lang w:val="en-US"/>
        </w:rPr>
        <w:lastRenderedPageBreak/>
        <w:t xml:space="preserve">actors’ ‘views of the world’ are expressed) and </w:t>
      </w:r>
      <w:r>
        <w:rPr>
          <w:i/>
          <w:lang w:val="en-US"/>
        </w:rPr>
        <w:t>style</w:t>
      </w:r>
      <w:r>
        <w:rPr>
          <w:lang w:val="en-US"/>
        </w:rPr>
        <w:t xml:space="preserve"> (the ‘way of being’ or identity, which is expressed through semiotic ways as well) (Ibid: 232).</w:t>
      </w:r>
    </w:p>
    <w:p w:rsidR="00762725" w:rsidRDefault="00762725" w:rsidP="00337119">
      <w:pPr>
        <w:spacing w:line="360" w:lineRule="auto"/>
        <w:rPr>
          <w:lang w:val="en-US"/>
        </w:rPr>
      </w:pPr>
      <w:r>
        <w:rPr>
          <w:lang w:val="en-US"/>
        </w:rPr>
        <w:t xml:space="preserve">As represented by Jørgensen and Phillips, two dimensions of discourse are valuable to use as focal points in an analysis. These are determined by </w:t>
      </w:r>
      <w:proofErr w:type="spellStart"/>
      <w:r>
        <w:rPr>
          <w:lang w:val="en-US"/>
        </w:rPr>
        <w:t>Fairclough</w:t>
      </w:r>
      <w:proofErr w:type="spellEnd"/>
      <w:r>
        <w:rPr>
          <w:lang w:val="en-US"/>
        </w:rPr>
        <w:t xml:space="preserve"> </w:t>
      </w:r>
      <w:sdt>
        <w:sdtPr>
          <w:rPr>
            <w:lang w:val="en-US"/>
          </w:rPr>
          <w:id w:val="-10530518"/>
          <w:citation/>
        </w:sdtPr>
        <w:sdtContent>
          <w:r>
            <w:rPr>
              <w:lang w:val="en-US"/>
            </w:rPr>
            <w:fldChar w:fldCharType="begin"/>
          </w:r>
          <w:r w:rsidRPr="00F128EA">
            <w:rPr>
              <w:lang w:val="en-US"/>
            </w:rPr>
            <w:instrText xml:space="preserve">CITATION Nor5b \n  \t  \l 1030 </w:instrText>
          </w:r>
          <w:r>
            <w:rPr>
              <w:lang w:val="en-US"/>
            </w:rPr>
            <w:fldChar w:fldCharType="separate"/>
          </w:r>
          <w:r w:rsidR="00F623D4">
            <w:rPr>
              <w:noProof/>
              <w:lang w:val="en-US"/>
            </w:rPr>
            <w:t>(1995b)</w:t>
          </w:r>
          <w:r>
            <w:rPr>
              <w:lang w:val="en-US"/>
            </w:rPr>
            <w:fldChar w:fldCharType="end"/>
          </w:r>
        </w:sdtContent>
      </w:sdt>
      <w:r>
        <w:rPr>
          <w:lang w:val="en-US"/>
        </w:rPr>
        <w:t xml:space="preserve">, being </w:t>
      </w:r>
      <w:r w:rsidR="004A6C83">
        <w:rPr>
          <w:lang w:val="en-US"/>
        </w:rPr>
        <w:t xml:space="preserve">the </w:t>
      </w:r>
      <w:r>
        <w:rPr>
          <w:i/>
          <w:lang w:val="en-US"/>
        </w:rPr>
        <w:t xml:space="preserve">discursive event </w:t>
      </w:r>
      <w:r>
        <w:rPr>
          <w:lang w:val="en-US"/>
        </w:rPr>
        <w:t xml:space="preserve">(an incident where the discourse is produced) and the </w:t>
      </w:r>
      <w:r>
        <w:rPr>
          <w:i/>
          <w:lang w:val="en-US"/>
        </w:rPr>
        <w:t>orders of discourse</w:t>
      </w:r>
      <w:r>
        <w:rPr>
          <w:lang w:val="en-US"/>
        </w:rPr>
        <w:t xml:space="preserve"> (“</w:t>
      </w:r>
      <w:r w:rsidRPr="00D77B2C">
        <w:rPr>
          <w:i/>
          <w:lang w:val="en-US"/>
        </w:rPr>
        <w:t>totality of discursive practices of an institution, and relations between them</w:t>
      </w:r>
      <w:r>
        <w:rPr>
          <w:i/>
          <w:lang w:val="en-US"/>
        </w:rPr>
        <w:t>”</w:t>
      </w:r>
      <w:r>
        <w:rPr>
          <w:lang w:val="en-US"/>
        </w:rPr>
        <w:t xml:space="preserve"> </w:t>
      </w:r>
      <w:sdt>
        <w:sdtPr>
          <w:rPr>
            <w:lang w:val="en-US"/>
          </w:rPr>
          <w:id w:val="1987207288"/>
          <w:citation/>
        </w:sdtPr>
        <w:sdtContent>
          <w:r>
            <w:rPr>
              <w:lang w:val="en-US"/>
            </w:rPr>
            <w:fldChar w:fldCharType="begin"/>
          </w:r>
          <w:r>
            <w:rPr>
              <w:lang w:val="en-US"/>
            </w:rPr>
            <w:instrText xml:space="preserve">CITATION Nor101 \p 96 \t  \l 1030 </w:instrText>
          </w:r>
          <w:r>
            <w:rPr>
              <w:lang w:val="en-US"/>
            </w:rPr>
            <w:fldChar w:fldCharType="separate"/>
          </w:r>
          <w:r w:rsidR="00F623D4">
            <w:rPr>
              <w:noProof/>
              <w:lang w:val="en-US"/>
            </w:rPr>
            <w:t>(Fairclough 2010, 96)</w:t>
          </w:r>
          <w:r>
            <w:rPr>
              <w:lang w:val="en-US"/>
            </w:rPr>
            <w:fldChar w:fldCharType="end"/>
          </w:r>
        </w:sdtContent>
      </w:sdt>
      <w:r>
        <w:rPr>
          <w:lang w:val="en-US"/>
        </w:rPr>
        <w:t xml:space="preserve">), where also </w:t>
      </w:r>
      <w:r>
        <w:rPr>
          <w:i/>
          <w:lang w:val="en-US"/>
        </w:rPr>
        <w:t xml:space="preserve">genre </w:t>
      </w:r>
      <w:r>
        <w:rPr>
          <w:lang w:val="en-US"/>
        </w:rPr>
        <w:t>has its significance, because it signifies a direction of the discursive practice (production and consumption of text and talk), in combination with discourses within the order of discourse</w:t>
      </w:r>
      <w:sdt>
        <w:sdtPr>
          <w:rPr>
            <w:lang w:val="en-US"/>
          </w:rPr>
          <w:id w:val="1947345250"/>
          <w:citation/>
        </w:sdtPr>
        <w:sdtContent>
          <w:r>
            <w:rPr>
              <w:lang w:val="en-US"/>
            </w:rPr>
            <w:fldChar w:fldCharType="begin"/>
          </w:r>
          <w:r>
            <w:rPr>
              <w:lang w:val="en-US"/>
            </w:rPr>
            <w:instrText xml:space="preserve">CITATION Mar02 \p 67 \l 1030 </w:instrText>
          </w:r>
          <w:r>
            <w:rPr>
              <w:lang w:val="en-US"/>
            </w:rPr>
            <w:fldChar w:fldCharType="separate"/>
          </w:r>
          <w:r w:rsidR="00F623D4">
            <w:rPr>
              <w:noProof/>
              <w:lang w:val="en-US"/>
            </w:rPr>
            <w:t xml:space="preserve"> (Jørgensen and Phillips 2002, 67)</w:t>
          </w:r>
          <w:r>
            <w:rPr>
              <w:lang w:val="en-US"/>
            </w:rPr>
            <w:fldChar w:fldCharType="end"/>
          </w:r>
        </w:sdtContent>
      </w:sdt>
      <w:r>
        <w:rPr>
          <w:lang w:val="en-US"/>
        </w:rPr>
        <w:t>. The order of discourse depicts a system of a type of discourse in a specific social field (CSR, political, sociological), where the discursive event can be seen as a reproduction of this system – denoting a dialectical relationship between those two</w:t>
      </w:r>
      <w:sdt>
        <w:sdtPr>
          <w:rPr>
            <w:lang w:val="en-US"/>
          </w:rPr>
          <w:id w:val="1845904422"/>
          <w:citation/>
        </w:sdtPr>
        <w:sdtContent>
          <w:r>
            <w:rPr>
              <w:lang w:val="en-US"/>
            </w:rPr>
            <w:fldChar w:fldCharType="begin"/>
          </w:r>
          <w:r>
            <w:rPr>
              <w:lang w:val="en-US"/>
            </w:rPr>
            <w:instrText xml:space="preserve">CITATION Mar02 \p 71 \l 1030 </w:instrText>
          </w:r>
          <w:r>
            <w:rPr>
              <w:lang w:val="en-US"/>
            </w:rPr>
            <w:fldChar w:fldCharType="separate"/>
          </w:r>
          <w:r w:rsidR="00F623D4">
            <w:rPr>
              <w:noProof/>
              <w:lang w:val="en-US"/>
            </w:rPr>
            <w:t xml:space="preserve"> (Jørgensen and Phillips 2002, 71)</w:t>
          </w:r>
          <w:r>
            <w:rPr>
              <w:lang w:val="en-US"/>
            </w:rPr>
            <w:fldChar w:fldCharType="end"/>
          </w:r>
        </w:sdtContent>
      </w:sdt>
      <w:r>
        <w:rPr>
          <w:lang w:val="en-US"/>
        </w:rPr>
        <w:t xml:space="preserve">. </w:t>
      </w:r>
    </w:p>
    <w:p w:rsidR="00762725" w:rsidRDefault="009B7A92" w:rsidP="00337119">
      <w:pPr>
        <w:spacing w:line="360" w:lineRule="auto"/>
        <w:rPr>
          <w:lang w:val="en-US"/>
        </w:rPr>
      </w:pPr>
      <w:r>
        <w:rPr>
          <w:noProof/>
          <w:lang w:eastAsia="da-DK"/>
        </w:rPr>
        <w:drawing>
          <wp:anchor distT="0" distB="0" distL="114300" distR="114300" simplePos="0" relativeHeight="251677696" behindDoc="1" locked="0" layoutInCell="1" allowOverlap="1" wp14:anchorId="37E994A6" wp14:editId="16F8851D">
            <wp:simplePos x="0" y="0"/>
            <wp:positionH relativeFrom="column">
              <wp:posOffset>615315</wp:posOffset>
            </wp:positionH>
            <wp:positionV relativeFrom="paragraph">
              <wp:posOffset>1704340</wp:posOffset>
            </wp:positionV>
            <wp:extent cx="5210810" cy="3429000"/>
            <wp:effectExtent l="0" t="0" r="8890" b="0"/>
            <wp:wrapTight wrapText="bothSides">
              <wp:wrapPolygon edited="0">
                <wp:start x="0" y="0"/>
                <wp:lineTo x="0" y="21480"/>
                <wp:lineTo x="21558" y="21480"/>
                <wp:lineTo x="21558"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dimensional framework.png"/>
                    <pic:cNvPicPr/>
                  </pic:nvPicPr>
                  <pic:blipFill>
                    <a:blip r:embed="rId30">
                      <a:extLst>
                        <a:ext uri="{28A0092B-C50C-407E-A947-70E740481C1C}">
                          <a14:useLocalDpi xmlns:a14="http://schemas.microsoft.com/office/drawing/2010/main" val="0"/>
                        </a:ext>
                      </a:extLst>
                    </a:blip>
                    <a:stretch>
                      <a:fillRect/>
                    </a:stretch>
                  </pic:blipFill>
                  <pic:spPr>
                    <a:xfrm>
                      <a:off x="0" y="0"/>
                      <a:ext cx="5210810" cy="342900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78720" behindDoc="0" locked="0" layoutInCell="1" allowOverlap="1" wp14:anchorId="707E4E31" wp14:editId="388A97AD">
                <wp:simplePos x="0" y="0"/>
                <wp:positionH relativeFrom="column">
                  <wp:posOffset>752475</wp:posOffset>
                </wp:positionH>
                <wp:positionV relativeFrom="paragraph">
                  <wp:posOffset>1584325</wp:posOffset>
                </wp:positionV>
                <wp:extent cx="4057650" cy="200025"/>
                <wp:effectExtent l="0" t="0" r="0" b="9525"/>
                <wp:wrapTight wrapText="bothSides">
                  <wp:wrapPolygon edited="0">
                    <wp:start x="0" y="0"/>
                    <wp:lineTo x="0" y="20571"/>
                    <wp:lineTo x="21499" y="20571"/>
                    <wp:lineTo x="21499" y="0"/>
                    <wp:lineTo x="0" y="0"/>
                  </wp:wrapPolygon>
                </wp:wrapTight>
                <wp:docPr id="16" name="Tekstboks 16"/>
                <wp:cNvGraphicFramePr/>
                <a:graphic xmlns:a="http://schemas.openxmlformats.org/drawingml/2006/main">
                  <a:graphicData uri="http://schemas.microsoft.com/office/word/2010/wordprocessingShape">
                    <wps:wsp>
                      <wps:cNvSpPr txBox="1"/>
                      <wps:spPr>
                        <a:xfrm>
                          <a:off x="0" y="0"/>
                          <a:ext cx="4057650" cy="200025"/>
                        </a:xfrm>
                        <a:prstGeom prst="rect">
                          <a:avLst/>
                        </a:prstGeom>
                        <a:solidFill>
                          <a:prstClr val="white"/>
                        </a:solidFill>
                        <a:ln>
                          <a:noFill/>
                        </a:ln>
                        <a:effectLst/>
                      </wps:spPr>
                      <wps:txbx>
                        <w:txbxContent>
                          <w:p w:rsidR="00CF205E" w:rsidRPr="000B4EF6" w:rsidRDefault="00CF205E" w:rsidP="00762725">
                            <w:pPr>
                              <w:pStyle w:val="Billedtekst"/>
                              <w:rPr>
                                <w:b w:val="0"/>
                                <w:color w:val="auto"/>
                                <w:sz w:val="24"/>
                                <w:lang w:val="en-US"/>
                              </w:rPr>
                            </w:pPr>
                            <w:r w:rsidRPr="000B4EF6">
                              <w:rPr>
                                <w:color w:val="auto"/>
                                <w:sz w:val="24"/>
                                <w:lang w:val="en-US"/>
                              </w:rPr>
                              <w:t xml:space="preserve">Figure </w:t>
                            </w:r>
                            <w:r>
                              <w:rPr>
                                <w:color w:val="auto"/>
                                <w:sz w:val="24"/>
                                <w:lang w:val="en-US"/>
                              </w:rPr>
                              <w:fldChar w:fldCharType="begin"/>
                            </w:r>
                            <w:r>
                              <w:rPr>
                                <w:color w:val="auto"/>
                                <w:sz w:val="24"/>
                                <w:lang w:val="en-US"/>
                              </w:rPr>
                              <w:instrText xml:space="preserve"> SEQ Figur \* ARABIC </w:instrText>
                            </w:r>
                            <w:r>
                              <w:rPr>
                                <w:color w:val="auto"/>
                                <w:sz w:val="24"/>
                                <w:lang w:val="en-US"/>
                              </w:rPr>
                              <w:fldChar w:fldCharType="separate"/>
                            </w:r>
                            <w:r w:rsidR="00DC67EC">
                              <w:rPr>
                                <w:noProof/>
                                <w:color w:val="auto"/>
                                <w:sz w:val="24"/>
                                <w:lang w:val="en-US"/>
                              </w:rPr>
                              <w:t>1</w:t>
                            </w:r>
                            <w:r>
                              <w:rPr>
                                <w:color w:val="auto"/>
                                <w:sz w:val="24"/>
                                <w:lang w:val="en-US"/>
                              </w:rPr>
                              <w:fldChar w:fldCharType="end"/>
                            </w:r>
                            <w:r w:rsidRPr="000B4EF6">
                              <w:rPr>
                                <w:color w:val="auto"/>
                                <w:sz w:val="24"/>
                                <w:lang w:val="en-US"/>
                              </w:rPr>
                              <w:t xml:space="preserve">: </w:t>
                            </w:r>
                            <w:r w:rsidRPr="00907AEF">
                              <w:rPr>
                                <w:color w:val="auto"/>
                                <w:sz w:val="24"/>
                                <w:lang w:val="en-US"/>
                              </w:rPr>
                              <w:t xml:space="preserve">Three-dimensional Framework </w:t>
                            </w:r>
                            <w:sdt>
                              <w:sdtPr>
                                <w:rPr>
                                  <w:color w:val="auto"/>
                                  <w:sz w:val="24"/>
                                  <w:lang w:val="en-US"/>
                                </w:rPr>
                                <w:id w:val="-1863966972"/>
                                <w:citation/>
                              </w:sdtPr>
                              <w:sdtContent>
                                <w:r w:rsidRPr="00907AEF">
                                  <w:rPr>
                                    <w:color w:val="auto"/>
                                    <w:sz w:val="24"/>
                                    <w:lang w:val="en-US"/>
                                  </w:rPr>
                                  <w:fldChar w:fldCharType="begin"/>
                                </w:r>
                                <w:r w:rsidRPr="00907AEF">
                                  <w:rPr>
                                    <w:color w:val="auto"/>
                                    <w:sz w:val="24"/>
                                    <w:lang w:val="en-US"/>
                                  </w:rPr>
                                  <w:instrText xml:space="preserve">CITATION Nor101 \p 133 \t  \l 1030 </w:instrText>
                                </w:r>
                                <w:r w:rsidRPr="00907AEF">
                                  <w:rPr>
                                    <w:color w:val="auto"/>
                                    <w:sz w:val="24"/>
                                    <w:lang w:val="en-US"/>
                                  </w:rPr>
                                  <w:fldChar w:fldCharType="separate"/>
                                </w:r>
                                <w:r w:rsidRPr="00F623D4">
                                  <w:rPr>
                                    <w:noProof/>
                                    <w:color w:val="auto"/>
                                    <w:sz w:val="24"/>
                                    <w:lang w:val="en-US"/>
                                  </w:rPr>
                                  <w:t>(Fairclough 2010, 133)</w:t>
                                </w:r>
                                <w:r w:rsidRPr="00907AEF">
                                  <w:rPr>
                                    <w:color w:val="auto"/>
                                    <w:sz w:val="24"/>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6" o:spid="_x0000_s1035" type="#_x0000_t202" style="position:absolute;left:0;text-align:left;margin-left:59.25pt;margin-top:124.75pt;width:319.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" stroked="f">
                <v:textbox inset="0,0,0,0">
                  <w:txbxContent>
                    <w:p w:rsidR="00CF205E" w:rsidRPr="000B4EF6" w:rsidRDefault="00CF205E" w:rsidP="00762725">
                      <w:pPr>
                        <w:pStyle w:val="Billedtekst"/>
                        <w:rPr>
                          <w:b w:val="0"/>
                          <w:color w:val="auto"/>
                          <w:sz w:val="24"/>
                          <w:lang w:val="en-US"/>
                        </w:rPr>
                      </w:pPr>
                      <w:r w:rsidRPr="000B4EF6">
                        <w:rPr>
                          <w:color w:val="auto"/>
                          <w:sz w:val="24"/>
                          <w:lang w:val="en-US"/>
                        </w:rPr>
                        <w:t xml:space="preserve">Figure </w:t>
                      </w:r>
                      <w:r>
                        <w:rPr>
                          <w:color w:val="auto"/>
                          <w:sz w:val="24"/>
                          <w:lang w:val="en-US"/>
                        </w:rPr>
                        <w:fldChar w:fldCharType="begin"/>
                      </w:r>
                      <w:r>
                        <w:rPr>
                          <w:color w:val="auto"/>
                          <w:sz w:val="24"/>
                          <w:lang w:val="en-US"/>
                        </w:rPr>
                        <w:instrText xml:space="preserve"> SEQ Figur \* ARABIC </w:instrText>
                      </w:r>
                      <w:r>
                        <w:rPr>
                          <w:color w:val="auto"/>
                          <w:sz w:val="24"/>
                          <w:lang w:val="en-US"/>
                        </w:rPr>
                        <w:fldChar w:fldCharType="separate"/>
                      </w:r>
                      <w:r w:rsidR="00DC67EC">
                        <w:rPr>
                          <w:noProof/>
                          <w:color w:val="auto"/>
                          <w:sz w:val="24"/>
                          <w:lang w:val="en-US"/>
                        </w:rPr>
                        <w:t>1</w:t>
                      </w:r>
                      <w:r>
                        <w:rPr>
                          <w:color w:val="auto"/>
                          <w:sz w:val="24"/>
                          <w:lang w:val="en-US"/>
                        </w:rPr>
                        <w:fldChar w:fldCharType="end"/>
                      </w:r>
                      <w:r w:rsidRPr="000B4EF6">
                        <w:rPr>
                          <w:color w:val="auto"/>
                          <w:sz w:val="24"/>
                          <w:lang w:val="en-US"/>
                        </w:rPr>
                        <w:t xml:space="preserve">: </w:t>
                      </w:r>
                      <w:r w:rsidRPr="00907AEF">
                        <w:rPr>
                          <w:color w:val="auto"/>
                          <w:sz w:val="24"/>
                          <w:lang w:val="en-US"/>
                        </w:rPr>
                        <w:t xml:space="preserve">Three-dimensional Framework </w:t>
                      </w:r>
                      <w:sdt>
                        <w:sdtPr>
                          <w:rPr>
                            <w:color w:val="auto"/>
                            <w:sz w:val="24"/>
                            <w:lang w:val="en-US"/>
                          </w:rPr>
                          <w:id w:val="-1863966972"/>
                          <w:citation/>
                        </w:sdtPr>
                        <w:sdtContent>
                          <w:r w:rsidRPr="00907AEF">
                            <w:rPr>
                              <w:color w:val="auto"/>
                              <w:sz w:val="24"/>
                              <w:lang w:val="en-US"/>
                            </w:rPr>
                            <w:fldChar w:fldCharType="begin"/>
                          </w:r>
                          <w:r w:rsidRPr="00907AEF">
                            <w:rPr>
                              <w:color w:val="auto"/>
                              <w:sz w:val="24"/>
                              <w:lang w:val="en-US"/>
                            </w:rPr>
                            <w:instrText xml:space="preserve">CITATION Nor101 \p 133 \t  \l 1030 </w:instrText>
                          </w:r>
                          <w:r w:rsidRPr="00907AEF">
                            <w:rPr>
                              <w:color w:val="auto"/>
                              <w:sz w:val="24"/>
                              <w:lang w:val="en-US"/>
                            </w:rPr>
                            <w:fldChar w:fldCharType="separate"/>
                          </w:r>
                          <w:r w:rsidRPr="00F623D4">
                            <w:rPr>
                              <w:noProof/>
                              <w:color w:val="auto"/>
                              <w:sz w:val="24"/>
                              <w:lang w:val="en-US"/>
                            </w:rPr>
                            <w:t>(Fairclough 2010, 133)</w:t>
                          </w:r>
                          <w:r w:rsidRPr="00907AEF">
                            <w:rPr>
                              <w:color w:val="auto"/>
                              <w:sz w:val="24"/>
                              <w:lang w:val="en-US"/>
                            </w:rPr>
                            <w:fldChar w:fldCharType="end"/>
                          </w:r>
                        </w:sdtContent>
                      </w:sdt>
                    </w:p>
                  </w:txbxContent>
                </v:textbox>
                <w10:wrap type="tight"/>
              </v:shape>
            </w:pict>
          </mc:Fallback>
        </mc:AlternateContent>
      </w:r>
      <w:r w:rsidR="00762725">
        <w:rPr>
          <w:lang w:val="en-US"/>
        </w:rPr>
        <w:t xml:space="preserve">Discourse analysis from a critical perspective enables the process of both interpreting and criticizing produced texts – more specifically connections between properties of these texts, the social processes supporting the production and relations in the sense of ideologies and power relations. To illustrate this in a more structured form, </w:t>
      </w:r>
      <w:proofErr w:type="spellStart"/>
      <w:r w:rsidR="00762725">
        <w:rPr>
          <w:lang w:val="en-US"/>
        </w:rPr>
        <w:t>Fairclough</w:t>
      </w:r>
      <w:proofErr w:type="spellEnd"/>
      <w:r w:rsidR="00762725">
        <w:rPr>
          <w:lang w:val="en-US"/>
        </w:rPr>
        <w:t xml:space="preserve"> has constructed a three-dimensional framework (see Figure 1), which encapsulates both a three-dimensional conception of discourse as well as a three-dimensional method of discourse analysis</w:t>
      </w:r>
      <w:sdt>
        <w:sdtPr>
          <w:rPr>
            <w:lang w:val="en-US"/>
          </w:rPr>
          <w:id w:val="-25944596"/>
          <w:citation/>
        </w:sdtPr>
        <w:sdtContent>
          <w:r w:rsidR="00762725">
            <w:rPr>
              <w:lang w:val="en-US"/>
            </w:rPr>
            <w:fldChar w:fldCharType="begin"/>
          </w:r>
          <w:r w:rsidR="00762725">
            <w:rPr>
              <w:lang w:val="en-US"/>
            </w:rPr>
            <w:instrText xml:space="preserve">CITATION Nor101 \p 132 \t  \l 1030 </w:instrText>
          </w:r>
          <w:r w:rsidR="00762725">
            <w:rPr>
              <w:lang w:val="en-US"/>
            </w:rPr>
            <w:fldChar w:fldCharType="separate"/>
          </w:r>
          <w:r w:rsidR="00F623D4">
            <w:rPr>
              <w:noProof/>
              <w:lang w:val="en-US"/>
            </w:rPr>
            <w:t xml:space="preserve"> (Fairclough 2010, 132)</w:t>
          </w:r>
          <w:r w:rsidR="00762725">
            <w:rPr>
              <w:lang w:val="en-US"/>
            </w:rPr>
            <w:fldChar w:fldCharType="end"/>
          </w:r>
        </w:sdtContent>
      </w:sdt>
      <w:r w:rsidR="00762725">
        <w:rPr>
          <w:lang w:val="en-US"/>
        </w:rPr>
        <w:t xml:space="preserve">.     </w:t>
      </w:r>
    </w:p>
    <w:p w:rsidR="00762725" w:rsidRDefault="00762725" w:rsidP="00337119">
      <w:pPr>
        <w:spacing w:line="360" w:lineRule="auto"/>
        <w:rPr>
          <w:lang w:val="en-US"/>
        </w:rPr>
      </w:pPr>
    </w:p>
    <w:p w:rsidR="00762725" w:rsidRPr="00C81E13" w:rsidRDefault="00762725" w:rsidP="00337119">
      <w:pPr>
        <w:rPr>
          <w:lang w:val="en-US"/>
        </w:rPr>
      </w:pPr>
    </w:p>
    <w:p w:rsidR="00762725" w:rsidRPr="00C81E13" w:rsidRDefault="00762725" w:rsidP="00337119">
      <w:pPr>
        <w:rPr>
          <w:lang w:val="en-US"/>
        </w:rPr>
      </w:pPr>
    </w:p>
    <w:p w:rsidR="00762725" w:rsidRPr="00C81E13" w:rsidRDefault="00762725" w:rsidP="00337119">
      <w:pPr>
        <w:rPr>
          <w:lang w:val="en-US"/>
        </w:rPr>
      </w:pPr>
    </w:p>
    <w:p w:rsidR="00762725" w:rsidRPr="00C81E13" w:rsidRDefault="00762725" w:rsidP="00337119">
      <w:pPr>
        <w:rPr>
          <w:lang w:val="en-US"/>
        </w:rPr>
      </w:pPr>
    </w:p>
    <w:p w:rsidR="00762725" w:rsidRPr="00C81E13" w:rsidRDefault="00762725" w:rsidP="00337119">
      <w:pPr>
        <w:rPr>
          <w:lang w:val="en-US"/>
        </w:rPr>
      </w:pPr>
    </w:p>
    <w:p w:rsidR="00762725" w:rsidRPr="00C81E13" w:rsidRDefault="00762725" w:rsidP="00337119">
      <w:pPr>
        <w:rPr>
          <w:lang w:val="en-US"/>
        </w:rPr>
      </w:pPr>
    </w:p>
    <w:p w:rsidR="00762725" w:rsidRPr="00C81E13" w:rsidRDefault="00762725" w:rsidP="00337119">
      <w:pPr>
        <w:rPr>
          <w:lang w:val="en-US"/>
        </w:rPr>
      </w:pPr>
    </w:p>
    <w:p w:rsidR="00762725" w:rsidRPr="00C81E13" w:rsidRDefault="00762725" w:rsidP="00337119">
      <w:pPr>
        <w:rPr>
          <w:lang w:val="en-US"/>
        </w:rPr>
      </w:pPr>
    </w:p>
    <w:p w:rsidR="00762725" w:rsidRDefault="00762725" w:rsidP="00337119">
      <w:pPr>
        <w:rPr>
          <w:lang w:val="en-US"/>
        </w:rPr>
      </w:pPr>
    </w:p>
    <w:p w:rsidR="00762725" w:rsidRDefault="00762725" w:rsidP="00337119">
      <w:pPr>
        <w:spacing w:line="360" w:lineRule="auto"/>
        <w:rPr>
          <w:lang w:val="en-US"/>
        </w:rPr>
      </w:pPr>
      <w:r>
        <w:rPr>
          <w:lang w:val="en-US"/>
        </w:rPr>
        <w:t xml:space="preserve">Embedded within Figure 1 are the three discourse dimensions: </w:t>
      </w:r>
      <w:r>
        <w:rPr>
          <w:i/>
          <w:lang w:val="en-US"/>
        </w:rPr>
        <w:t xml:space="preserve">text, discourse practice </w:t>
      </w:r>
      <w:r>
        <w:rPr>
          <w:lang w:val="en-US"/>
        </w:rPr>
        <w:t xml:space="preserve">and </w:t>
      </w:r>
      <w:r>
        <w:rPr>
          <w:i/>
          <w:lang w:val="en-US"/>
        </w:rPr>
        <w:t xml:space="preserve">sociocultural practice </w:t>
      </w:r>
      <w:r>
        <w:rPr>
          <w:lang w:val="en-US"/>
        </w:rPr>
        <w:t xml:space="preserve">(a later conceptualization of social practice). In accordance with these discourse dimensions, general methods of analysis are applied as well, illustrating levels of analysis in terms of the </w:t>
      </w:r>
      <w:r>
        <w:rPr>
          <w:i/>
          <w:lang w:val="en-US"/>
        </w:rPr>
        <w:t xml:space="preserve">description </w:t>
      </w:r>
      <w:r>
        <w:rPr>
          <w:lang w:val="en-US"/>
        </w:rPr>
        <w:t xml:space="preserve">of the text, the </w:t>
      </w:r>
      <w:r>
        <w:rPr>
          <w:i/>
          <w:lang w:val="en-US"/>
        </w:rPr>
        <w:t xml:space="preserve">interpretation </w:t>
      </w:r>
      <w:r>
        <w:rPr>
          <w:lang w:val="en-US"/>
        </w:rPr>
        <w:t xml:space="preserve">of the relationship between the discursive processes and the text, and an </w:t>
      </w:r>
      <w:r>
        <w:rPr>
          <w:i/>
          <w:lang w:val="en-US"/>
        </w:rPr>
        <w:t xml:space="preserve">explanation </w:t>
      </w:r>
      <w:r>
        <w:rPr>
          <w:lang w:val="en-US"/>
        </w:rPr>
        <w:t>of the relations between discourse practice and social processes. The three dimensions are not seen as independent occurrences of a process, but seen as simultaneous, consistent of a spoken or written language text, signifying text production and interpretation – in the sense of discourse practice, and interrelated with sociocultural practice. The dimension of discourse practice (how a text is produced and interpreted) can be seen as a mediator of the link between a text and sociocultural practice: How a text is produced and interpreted is determined by which order(s) of discourse applies, facilitating particular discursive practices and conventions (system of genres and discourses), which are articulated together on the basis of the nature of the sociocultural practice (social field)</w:t>
      </w:r>
      <w:sdt>
        <w:sdtPr>
          <w:rPr>
            <w:lang w:val="en-US"/>
          </w:rPr>
          <w:id w:val="427393826"/>
          <w:citation/>
        </w:sdtPr>
        <w:sdtContent>
          <w:r>
            <w:rPr>
              <w:lang w:val="en-US"/>
            </w:rPr>
            <w:fldChar w:fldCharType="begin"/>
          </w:r>
          <w:r>
            <w:rPr>
              <w:lang w:val="en-US"/>
            </w:rPr>
            <w:instrText xml:space="preserve">CITATION Nor101 \p 132 \t  \l 1030 </w:instrText>
          </w:r>
          <w:r>
            <w:rPr>
              <w:lang w:val="en-US"/>
            </w:rPr>
            <w:fldChar w:fldCharType="separate"/>
          </w:r>
          <w:r w:rsidR="00F623D4">
            <w:rPr>
              <w:noProof/>
              <w:lang w:val="en-US"/>
            </w:rPr>
            <w:t xml:space="preserve"> (Fairclough 2010, 132)</w:t>
          </w:r>
          <w:r>
            <w:rPr>
              <w:lang w:val="en-US"/>
            </w:rPr>
            <w:fldChar w:fldCharType="end"/>
          </w:r>
        </w:sdtContent>
      </w:sdt>
      <w:r>
        <w:rPr>
          <w:lang w:val="en-US"/>
        </w:rPr>
        <w:t xml:space="preserve">. According to </w:t>
      </w:r>
      <w:proofErr w:type="spellStart"/>
      <w:r>
        <w:rPr>
          <w:lang w:val="en-US"/>
        </w:rPr>
        <w:t>Fairclough</w:t>
      </w:r>
      <w:proofErr w:type="spellEnd"/>
      <w:r>
        <w:rPr>
          <w:lang w:val="en-US"/>
        </w:rPr>
        <w:t xml:space="preserve">, this process is an essential parameter in a discourse analysis, which is conceptualized as </w:t>
      </w:r>
      <w:proofErr w:type="spellStart"/>
      <w:r>
        <w:rPr>
          <w:i/>
          <w:lang w:val="en-US"/>
        </w:rPr>
        <w:t>interdiscursivity</w:t>
      </w:r>
      <w:proofErr w:type="spellEnd"/>
      <w:r>
        <w:rPr>
          <w:lang w:val="en-US"/>
        </w:rPr>
        <w:t xml:space="preserve"> (modelled upon </w:t>
      </w:r>
      <w:r>
        <w:rPr>
          <w:i/>
          <w:lang w:val="en-US"/>
        </w:rPr>
        <w:t xml:space="preserve">intertextuality </w:t>
      </w:r>
      <w:r>
        <w:rPr>
          <w:lang w:val="en-US"/>
        </w:rPr>
        <w:t>– building on the idea that elements of an already exciting text have been reproduced into another text</w:t>
      </w:r>
      <w:sdt>
        <w:sdtPr>
          <w:rPr>
            <w:lang w:val="en-US"/>
          </w:rPr>
          <w:id w:val="348453935"/>
          <w:citation/>
        </w:sdtPr>
        <w:sdtContent>
          <w:r>
            <w:rPr>
              <w:lang w:val="en-US"/>
            </w:rPr>
            <w:fldChar w:fldCharType="begin"/>
          </w:r>
          <w:r>
            <w:rPr>
              <w:lang w:val="en-US"/>
            </w:rPr>
            <w:instrText xml:space="preserve">CITATION Pau11 \p 62 \l 1030 </w:instrText>
          </w:r>
          <w:r>
            <w:rPr>
              <w:lang w:val="en-US"/>
            </w:rPr>
            <w:fldChar w:fldCharType="separate"/>
          </w:r>
          <w:r w:rsidR="00F623D4">
            <w:rPr>
              <w:noProof/>
              <w:lang w:val="en-US"/>
            </w:rPr>
            <w:t xml:space="preserve"> (Baker and Ellege 2011, 62)</w:t>
          </w:r>
          <w:r>
            <w:rPr>
              <w:lang w:val="en-US"/>
            </w:rPr>
            <w:fldChar w:fldCharType="end"/>
          </w:r>
        </w:sdtContent>
      </w:sdt>
      <w:r>
        <w:rPr>
          <w:lang w:val="en-US"/>
        </w:rPr>
        <w:t>). The normal heterogeneity of texts is emphasized by this concept – in the sense that combinations of diverse genres and discourses constitute them, which “</w:t>
      </w:r>
      <w:r w:rsidRPr="00613E3B">
        <w:rPr>
          <w:i/>
          <w:lang w:val="en-US"/>
        </w:rPr>
        <w:t>highlights a historical view of texts as transforming the past – existing conventions, or prior text – into the present”</w:t>
      </w:r>
      <w:sdt>
        <w:sdtPr>
          <w:rPr>
            <w:i/>
            <w:lang w:val="en-US"/>
          </w:rPr>
          <w:id w:val="-864202809"/>
          <w:citation/>
        </w:sdtPr>
        <w:sdtContent>
          <w:r>
            <w:rPr>
              <w:i/>
              <w:lang w:val="en-US"/>
            </w:rPr>
            <w:fldChar w:fldCharType="begin"/>
          </w:r>
          <w:r>
            <w:rPr>
              <w:i/>
              <w:lang w:val="en-US"/>
            </w:rPr>
            <w:instrText xml:space="preserve">CITATION Nor101 \p 95 \t  \l 1030 </w:instrText>
          </w:r>
          <w:r>
            <w:rPr>
              <w:i/>
              <w:lang w:val="en-US"/>
            </w:rPr>
            <w:fldChar w:fldCharType="separate"/>
          </w:r>
          <w:r w:rsidR="00F623D4">
            <w:rPr>
              <w:i/>
              <w:noProof/>
              <w:lang w:val="en-US"/>
            </w:rPr>
            <w:t xml:space="preserve"> </w:t>
          </w:r>
          <w:r w:rsidR="00F623D4">
            <w:rPr>
              <w:noProof/>
              <w:lang w:val="en-US"/>
            </w:rPr>
            <w:t>(Fairclough 2010, 95)</w:t>
          </w:r>
          <w:r>
            <w:rPr>
              <w:i/>
              <w:lang w:val="en-US"/>
            </w:rPr>
            <w:fldChar w:fldCharType="end"/>
          </w:r>
        </w:sdtContent>
      </w:sdt>
      <w:r w:rsidRPr="00613E3B">
        <w:rPr>
          <w:i/>
          <w:lang w:val="en-US"/>
        </w:rPr>
        <w:t>.</w:t>
      </w:r>
      <w:r>
        <w:rPr>
          <w:lang w:val="en-US"/>
        </w:rPr>
        <w:t xml:space="preserve"> Suggested by the concept of </w:t>
      </w:r>
      <w:proofErr w:type="spellStart"/>
      <w:r>
        <w:rPr>
          <w:lang w:val="en-US"/>
        </w:rPr>
        <w:t>interdiscursivity</w:t>
      </w:r>
      <w:proofErr w:type="spellEnd"/>
      <w:r>
        <w:rPr>
          <w:lang w:val="en-US"/>
        </w:rPr>
        <w:t xml:space="preserve">, possibilities of creativity in discourse – in the sense of a plethora of combinations of genres and discourses – are seemingly endless, but the actuality of hegemonic relations and struggle, encompassing the questions of power of ideology, limit and constrain these combination possibilities (Ibid: 95). Within </w:t>
      </w:r>
      <w:proofErr w:type="spellStart"/>
      <w:r>
        <w:rPr>
          <w:lang w:val="en-US"/>
        </w:rPr>
        <w:t>Fairclough’s</w:t>
      </w:r>
      <w:proofErr w:type="spellEnd"/>
      <w:r>
        <w:rPr>
          <w:lang w:val="en-US"/>
        </w:rPr>
        <w:t xml:space="preserve"> framework (Figure 1), three contextual parameters are portrayed, referring to different levels of social organization when analyzing the discursive event as social practice. The three levels are categorized as </w:t>
      </w:r>
      <w:r w:rsidRPr="00030AFE">
        <w:rPr>
          <w:i/>
          <w:lang w:val="en-US"/>
        </w:rPr>
        <w:t>situational</w:t>
      </w:r>
      <w:r>
        <w:rPr>
          <w:lang w:val="en-US"/>
        </w:rPr>
        <w:t xml:space="preserve">, </w:t>
      </w:r>
      <w:r w:rsidRPr="00030AFE">
        <w:rPr>
          <w:i/>
          <w:lang w:val="en-US"/>
        </w:rPr>
        <w:t>institutional</w:t>
      </w:r>
      <w:r>
        <w:rPr>
          <w:lang w:val="en-US"/>
        </w:rPr>
        <w:t xml:space="preserve"> and </w:t>
      </w:r>
      <w:r>
        <w:rPr>
          <w:i/>
          <w:lang w:val="en-US"/>
        </w:rPr>
        <w:t>societal</w:t>
      </w:r>
      <w:r>
        <w:rPr>
          <w:lang w:val="en-US"/>
        </w:rPr>
        <w:t>, where aspects of power and ideology may arise at each level, stressing their importance within the sociocultural practice dimension</w:t>
      </w:r>
      <w:sdt>
        <w:sdtPr>
          <w:rPr>
            <w:lang w:val="en-US"/>
          </w:rPr>
          <w:id w:val="469870924"/>
          <w:citation/>
        </w:sdtPr>
        <w:sdtContent>
          <w:r>
            <w:rPr>
              <w:lang w:val="en-US"/>
            </w:rPr>
            <w:fldChar w:fldCharType="begin"/>
          </w:r>
          <w:r>
            <w:rPr>
              <w:lang w:val="en-US"/>
            </w:rPr>
            <w:instrText xml:space="preserve">CITATION Nor101 \p 95 \t  \l 1030 </w:instrText>
          </w:r>
          <w:r>
            <w:rPr>
              <w:lang w:val="en-US"/>
            </w:rPr>
            <w:fldChar w:fldCharType="separate"/>
          </w:r>
          <w:r w:rsidR="00F623D4">
            <w:rPr>
              <w:noProof/>
              <w:lang w:val="en-US"/>
            </w:rPr>
            <w:t xml:space="preserve"> (Fairclough 2010, 95)</w:t>
          </w:r>
          <w:r>
            <w:rPr>
              <w:lang w:val="en-US"/>
            </w:rPr>
            <w:fldChar w:fldCharType="end"/>
          </w:r>
        </w:sdtContent>
      </w:sdt>
      <w:r>
        <w:rPr>
          <w:lang w:val="en-US"/>
        </w:rPr>
        <w:t xml:space="preserve">.  </w:t>
      </w:r>
      <w:r w:rsidRPr="00030AFE">
        <w:rPr>
          <w:i/>
          <w:lang w:val="en-US"/>
        </w:rPr>
        <w:t xml:space="preserve">  </w:t>
      </w:r>
    </w:p>
    <w:p w:rsidR="00762725" w:rsidRDefault="00FB3218" w:rsidP="00337119">
      <w:pPr>
        <w:spacing w:line="360" w:lineRule="auto"/>
        <w:rPr>
          <w:lang w:val="en-US"/>
        </w:rPr>
      </w:pPr>
      <w:r>
        <w:rPr>
          <w:lang w:val="en-US"/>
        </w:rPr>
        <w:t>T</w:t>
      </w:r>
      <w:r w:rsidR="00762725">
        <w:rPr>
          <w:lang w:val="en-US"/>
        </w:rPr>
        <w:t>he surface features of a text are shaped by the pertinent and socially defined discourse practice of text production. Subsequently, how these surface features of the given text are to be interpreted is determined by the similar nature of the discourse practice of text interpretation</w:t>
      </w:r>
      <w:sdt>
        <w:sdtPr>
          <w:rPr>
            <w:lang w:val="en-US"/>
          </w:rPr>
          <w:id w:val="-121228013"/>
          <w:citation/>
        </w:sdtPr>
        <w:sdtContent>
          <w:r w:rsidR="00762725">
            <w:rPr>
              <w:lang w:val="en-US"/>
            </w:rPr>
            <w:fldChar w:fldCharType="begin"/>
          </w:r>
          <w:r w:rsidR="00762725">
            <w:rPr>
              <w:lang w:val="en-US"/>
            </w:rPr>
            <w:instrText xml:space="preserve">CITATION Nor101 \p 132 \t  \l 1030 </w:instrText>
          </w:r>
          <w:r w:rsidR="00762725">
            <w:rPr>
              <w:lang w:val="en-US"/>
            </w:rPr>
            <w:fldChar w:fldCharType="separate"/>
          </w:r>
          <w:r w:rsidR="00F623D4">
            <w:rPr>
              <w:noProof/>
              <w:lang w:val="en-US"/>
            </w:rPr>
            <w:t xml:space="preserve"> (Fairclough 2010, 132)</w:t>
          </w:r>
          <w:r w:rsidR="00762725">
            <w:rPr>
              <w:lang w:val="en-US"/>
            </w:rPr>
            <w:fldChar w:fldCharType="end"/>
          </w:r>
        </w:sdtContent>
      </w:sdt>
      <w:r w:rsidR="00762725">
        <w:rPr>
          <w:lang w:val="en-US"/>
        </w:rPr>
        <w:t xml:space="preserve">. </w:t>
      </w:r>
    </w:p>
    <w:p w:rsidR="00762725" w:rsidRDefault="00D60EC3" w:rsidP="00337119">
      <w:pPr>
        <w:pStyle w:val="Overskrift4"/>
        <w:spacing w:line="360" w:lineRule="auto"/>
        <w:rPr>
          <w:lang w:val="en-US"/>
        </w:rPr>
      </w:pPr>
      <w:bookmarkStart w:id="72" w:name="_Ref417032631"/>
      <w:bookmarkStart w:id="73" w:name="_Toc420761645"/>
      <w:r>
        <w:rPr>
          <w:lang w:val="en-US"/>
        </w:rPr>
        <w:lastRenderedPageBreak/>
        <w:t>5</w:t>
      </w:r>
      <w:r w:rsidR="00762725">
        <w:rPr>
          <w:lang w:val="en-US"/>
        </w:rPr>
        <w:t>.3.1.1 Text Analysis</w:t>
      </w:r>
      <w:bookmarkEnd w:id="72"/>
      <w:bookmarkEnd w:id="73"/>
    </w:p>
    <w:p w:rsidR="00762725" w:rsidRDefault="00762725" w:rsidP="00337119">
      <w:pPr>
        <w:spacing w:line="360" w:lineRule="auto"/>
        <w:rPr>
          <w:lang w:val="en-US"/>
        </w:rPr>
      </w:pPr>
      <w:r>
        <w:rPr>
          <w:lang w:val="en-US"/>
        </w:rPr>
        <w:t xml:space="preserve">In the wake of a discursive event, a spoken or written text is presented, which undeniable is the center of attention in a discourse analysis – in order to interpret and explain meaning and relations or </w:t>
      </w:r>
      <w:proofErr w:type="spellStart"/>
      <w:r>
        <w:rPr>
          <w:lang w:val="en-US"/>
        </w:rPr>
        <w:t>backgrounded</w:t>
      </w:r>
      <w:proofErr w:type="spellEnd"/>
      <w:r>
        <w:rPr>
          <w:lang w:val="en-US"/>
        </w:rPr>
        <w:t xml:space="preserve"> information of a text. It is the foregrounded information or surface features of a text (signs/moments) that commences an analytical process and determines the discourse practice and so forth. </w:t>
      </w:r>
      <w:r w:rsidR="00306991">
        <w:rPr>
          <w:lang w:val="en-US"/>
        </w:rPr>
        <w:t>I</w:t>
      </w:r>
      <w:r>
        <w:rPr>
          <w:lang w:val="en-US"/>
        </w:rPr>
        <w:t>mportant considerations of texts include</w:t>
      </w:r>
      <w:r w:rsidR="00306991">
        <w:rPr>
          <w:lang w:val="en-US"/>
        </w:rPr>
        <w:t xml:space="preserve"> their generic forms </w:t>
      </w:r>
      <w:r w:rsidR="003276FC">
        <w:rPr>
          <w:lang w:val="en-US"/>
        </w:rPr>
        <w:t>(e.g. a narrative structure), as well as:</w:t>
      </w:r>
    </w:p>
    <w:p w:rsidR="00762725" w:rsidRPr="002B7EE8" w:rsidRDefault="00762725" w:rsidP="00337119">
      <w:pPr>
        <w:spacing w:line="360" w:lineRule="auto"/>
        <w:ind w:left="1304"/>
        <w:rPr>
          <w:i/>
          <w:sz w:val="22"/>
          <w:lang w:val="en-US"/>
        </w:rPr>
      </w:pPr>
      <w:r w:rsidRPr="005C77BB">
        <w:rPr>
          <w:i/>
          <w:sz w:val="22"/>
          <w:lang w:val="en-US"/>
        </w:rPr>
        <w:t>“Their dialogic organization (turn-taking), cohesive relations between sentences and relations between clauses in complex sentences, the grammar of the clause (transitivity, mood, modality) and vocabulary”</w:t>
      </w:r>
      <w:sdt>
        <w:sdtPr>
          <w:rPr>
            <w:i/>
            <w:sz w:val="22"/>
            <w:lang w:val="en-US"/>
          </w:rPr>
          <w:id w:val="155124432"/>
          <w:citation/>
        </w:sdtPr>
        <w:sdtContent>
          <w:r w:rsidRPr="005C77BB">
            <w:rPr>
              <w:i/>
              <w:sz w:val="22"/>
              <w:lang w:val="en-US"/>
            </w:rPr>
            <w:fldChar w:fldCharType="begin"/>
          </w:r>
          <w:r w:rsidRPr="005C77BB">
            <w:rPr>
              <w:i/>
              <w:sz w:val="22"/>
              <w:lang w:val="en-US"/>
            </w:rPr>
            <w:instrText xml:space="preserve">CITATION Nor101 \p 94 \t  \l 1030 </w:instrText>
          </w:r>
          <w:r w:rsidRPr="005C77BB">
            <w:rPr>
              <w:i/>
              <w:sz w:val="22"/>
              <w:lang w:val="en-US"/>
            </w:rPr>
            <w:fldChar w:fldCharType="separate"/>
          </w:r>
          <w:r w:rsidR="00F623D4">
            <w:rPr>
              <w:i/>
              <w:noProof/>
              <w:sz w:val="22"/>
              <w:lang w:val="en-US"/>
            </w:rPr>
            <w:t xml:space="preserve"> </w:t>
          </w:r>
          <w:r w:rsidR="00F623D4" w:rsidRPr="00F623D4">
            <w:rPr>
              <w:noProof/>
              <w:sz w:val="22"/>
              <w:lang w:val="en-US"/>
            </w:rPr>
            <w:t>(Fairclough 2010, 94)</w:t>
          </w:r>
          <w:r w:rsidRPr="005C77BB">
            <w:rPr>
              <w:i/>
              <w:sz w:val="22"/>
              <w:lang w:val="en-US"/>
            </w:rPr>
            <w:fldChar w:fldCharType="end"/>
          </w:r>
        </w:sdtContent>
      </w:sdt>
      <w:r w:rsidRPr="005C77BB">
        <w:rPr>
          <w:i/>
          <w:sz w:val="22"/>
          <w:lang w:val="en-US"/>
        </w:rPr>
        <w:t>.</w:t>
      </w:r>
    </w:p>
    <w:p w:rsidR="00762725" w:rsidRDefault="002B7EE8" w:rsidP="00337119">
      <w:pPr>
        <w:spacing w:line="360" w:lineRule="auto"/>
        <w:rPr>
          <w:lang w:val="en-US"/>
        </w:rPr>
      </w:pPr>
      <w:r>
        <w:rPr>
          <w:noProof/>
          <w:lang w:eastAsia="da-DK"/>
        </w:rPr>
        <mc:AlternateContent>
          <mc:Choice Requires="wps">
            <w:drawing>
              <wp:anchor distT="0" distB="0" distL="114300" distR="114300" simplePos="0" relativeHeight="251680768" behindDoc="0" locked="0" layoutInCell="1" allowOverlap="1" wp14:anchorId="655E8E0D" wp14:editId="777C7D02">
                <wp:simplePos x="0" y="0"/>
                <wp:positionH relativeFrom="column">
                  <wp:posOffset>203835</wp:posOffset>
                </wp:positionH>
                <wp:positionV relativeFrom="paragraph">
                  <wp:posOffset>1815465</wp:posOffset>
                </wp:positionV>
                <wp:extent cx="5524500" cy="209550"/>
                <wp:effectExtent l="0" t="0" r="0" b="0"/>
                <wp:wrapTopAndBottom/>
                <wp:docPr id="19" name="Tekstboks 19"/>
                <wp:cNvGraphicFramePr/>
                <a:graphic xmlns:a="http://schemas.openxmlformats.org/drawingml/2006/main">
                  <a:graphicData uri="http://schemas.microsoft.com/office/word/2010/wordprocessingShape">
                    <wps:wsp>
                      <wps:cNvSpPr txBox="1"/>
                      <wps:spPr>
                        <a:xfrm>
                          <a:off x="0" y="0"/>
                          <a:ext cx="5524500" cy="209550"/>
                        </a:xfrm>
                        <a:prstGeom prst="rect">
                          <a:avLst/>
                        </a:prstGeom>
                        <a:solidFill>
                          <a:prstClr val="white"/>
                        </a:solidFill>
                        <a:ln>
                          <a:noFill/>
                        </a:ln>
                        <a:effectLst/>
                      </wps:spPr>
                      <wps:txbx>
                        <w:txbxContent>
                          <w:p w:rsidR="00CF205E" w:rsidRPr="000F170B" w:rsidRDefault="00CF205E" w:rsidP="00762725">
                            <w:pPr>
                              <w:pStyle w:val="Billedtekst"/>
                              <w:rPr>
                                <w:color w:val="auto"/>
                                <w:sz w:val="36"/>
                                <w:lang w:val="en-US"/>
                              </w:rPr>
                            </w:pPr>
                            <w:r w:rsidRPr="000F170B">
                              <w:rPr>
                                <w:color w:val="auto"/>
                                <w:sz w:val="24"/>
                                <w:lang w:val="en-US"/>
                              </w:rPr>
                              <w:t>Model 5: Analytical Model for Text Analysis</w:t>
                            </w:r>
                            <w:r>
                              <w:rPr>
                                <w:color w:val="auto"/>
                                <w:sz w:val="24"/>
                                <w:lang w:val="en-US"/>
                              </w:rPr>
                              <w:t xml:space="preserve"> (Inspired by </w:t>
                            </w:r>
                            <w:sdt>
                              <w:sdtPr>
                                <w:rPr>
                                  <w:color w:val="auto"/>
                                  <w:sz w:val="24"/>
                                  <w:lang w:val="en-US"/>
                                </w:rPr>
                                <w:id w:val="1033081834"/>
                                <w:citation/>
                              </w:sdtPr>
                              <w:sdtContent>
                                <w:r>
                                  <w:rPr>
                                    <w:color w:val="auto"/>
                                    <w:sz w:val="24"/>
                                    <w:lang w:val="en-US"/>
                                  </w:rPr>
                                  <w:fldChar w:fldCharType="begin"/>
                                </w:r>
                                <w:r w:rsidRPr="000F170B">
                                  <w:rPr>
                                    <w:color w:val="auto"/>
                                    <w:sz w:val="24"/>
                                    <w:lang w:val="en-US"/>
                                  </w:rPr>
                                  <w:instrText xml:space="preserve"> CITATION Dav12 \l 1030 </w:instrText>
                                </w:r>
                                <w:r>
                                  <w:rPr>
                                    <w:color w:val="auto"/>
                                    <w:sz w:val="24"/>
                                    <w:lang w:val="en-US"/>
                                  </w:rPr>
                                  <w:fldChar w:fldCharType="separate"/>
                                </w:r>
                                <w:r w:rsidRPr="00F623D4">
                                  <w:rPr>
                                    <w:noProof/>
                                    <w:color w:val="auto"/>
                                    <w:sz w:val="24"/>
                                    <w:lang w:val="en-US"/>
                                  </w:rPr>
                                  <w:t>(Machin and Mayr 2012)</w:t>
                                </w:r>
                                <w:r>
                                  <w:rPr>
                                    <w:color w:val="auto"/>
                                    <w:sz w:val="24"/>
                                    <w:lang w:val="en-US"/>
                                  </w:rPr>
                                  <w:fldChar w:fldCharType="end"/>
                                </w:r>
                              </w:sdtContent>
                            </w:sdt>
                            <w:r>
                              <w:rPr>
                                <w:color w:val="auto"/>
                                <w:sz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9" o:spid="_x0000_s1036" type="#_x0000_t202" style="position:absolute;left:0;text-align:left;margin-left:16.05pt;margin-top:142.95pt;width:435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" stroked="f">
                <v:textbox inset="0,0,0,0">
                  <w:txbxContent>
                    <w:p w:rsidR="00CF205E" w:rsidRPr="000F170B" w:rsidRDefault="00CF205E" w:rsidP="00762725">
                      <w:pPr>
                        <w:pStyle w:val="Billedtekst"/>
                        <w:rPr>
                          <w:color w:val="auto"/>
                          <w:sz w:val="36"/>
                          <w:lang w:val="en-US"/>
                        </w:rPr>
                      </w:pPr>
                      <w:r w:rsidRPr="000F170B">
                        <w:rPr>
                          <w:color w:val="auto"/>
                          <w:sz w:val="24"/>
                          <w:lang w:val="en-US"/>
                        </w:rPr>
                        <w:t>Model 5: Analytical Model for Text Analysis</w:t>
                      </w:r>
                      <w:r>
                        <w:rPr>
                          <w:color w:val="auto"/>
                          <w:sz w:val="24"/>
                          <w:lang w:val="en-US"/>
                        </w:rPr>
                        <w:t xml:space="preserve"> (Inspired by </w:t>
                      </w:r>
                      <w:sdt>
                        <w:sdtPr>
                          <w:rPr>
                            <w:color w:val="auto"/>
                            <w:sz w:val="24"/>
                            <w:lang w:val="en-US"/>
                          </w:rPr>
                          <w:id w:val="1033081834"/>
                          <w:citation/>
                        </w:sdtPr>
                        <w:sdtContent>
                          <w:r>
                            <w:rPr>
                              <w:color w:val="auto"/>
                              <w:sz w:val="24"/>
                              <w:lang w:val="en-US"/>
                            </w:rPr>
                            <w:fldChar w:fldCharType="begin"/>
                          </w:r>
                          <w:r w:rsidRPr="000F170B">
                            <w:rPr>
                              <w:color w:val="auto"/>
                              <w:sz w:val="24"/>
                              <w:lang w:val="en-US"/>
                            </w:rPr>
                            <w:instrText xml:space="preserve"> CITATION Dav12 \l 1030 </w:instrText>
                          </w:r>
                          <w:r>
                            <w:rPr>
                              <w:color w:val="auto"/>
                              <w:sz w:val="24"/>
                              <w:lang w:val="en-US"/>
                            </w:rPr>
                            <w:fldChar w:fldCharType="separate"/>
                          </w:r>
                          <w:r w:rsidRPr="00F623D4">
                            <w:rPr>
                              <w:noProof/>
                              <w:color w:val="auto"/>
                              <w:sz w:val="24"/>
                              <w:lang w:val="en-US"/>
                            </w:rPr>
                            <w:t>(Machin and Mayr 2012)</w:t>
                          </w:r>
                          <w:r>
                            <w:rPr>
                              <w:color w:val="auto"/>
                              <w:sz w:val="24"/>
                              <w:lang w:val="en-US"/>
                            </w:rPr>
                            <w:fldChar w:fldCharType="end"/>
                          </w:r>
                        </w:sdtContent>
                      </w:sdt>
                      <w:r>
                        <w:rPr>
                          <w:color w:val="auto"/>
                          <w:sz w:val="24"/>
                          <w:lang w:val="en-US"/>
                        </w:rPr>
                        <w:t>)</w:t>
                      </w:r>
                    </w:p>
                  </w:txbxContent>
                </v:textbox>
                <w10:wrap type="topAndBottom"/>
              </v:shape>
            </w:pict>
          </mc:Fallback>
        </mc:AlternateContent>
      </w:r>
      <w:r>
        <w:rPr>
          <w:noProof/>
          <w:lang w:eastAsia="da-DK"/>
        </w:rPr>
        <w:drawing>
          <wp:anchor distT="0" distB="0" distL="114300" distR="114300" simplePos="0" relativeHeight="251682816" behindDoc="1" locked="0" layoutInCell="1" allowOverlap="1" wp14:anchorId="7DD4B254" wp14:editId="63CA436A">
            <wp:simplePos x="0" y="0"/>
            <wp:positionH relativeFrom="column">
              <wp:posOffset>203835</wp:posOffset>
            </wp:positionH>
            <wp:positionV relativeFrom="paragraph">
              <wp:posOffset>2025015</wp:posOffset>
            </wp:positionV>
            <wp:extent cx="5657215" cy="3364865"/>
            <wp:effectExtent l="0" t="0" r="635" b="6985"/>
            <wp:wrapTight wrapText="bothSides">
              <wp:wrapPolygon edited="0">
                <wp:start x="0" y="0"/>
                <wp:lineTo x="0" y="21523"/>
                <wp:lineTo x="21530" y="21523"/>
                <wp:lineTo x="21530" y="0"/>
                <wp:lineTo x="0" y="0"/>
              </wp:wrapPolygon>
            </wp:wrapTight>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analysis.png"/>
                    <pic:cNvPicPr/>
                  </pic:nvPicPr>
                  <pic:blipFill>
                    <a:blip r:embed="rId31">
                      <a:extLst>
                        <a:ext uri="{28A0092B-C50C-407E-A947-70E740481C1C}">
                          <a14:useLocalDpi xmlns:a14="http://schemas.microsoft.com/office/drawing/2010/main" val="0"/>
                        </a:ext>
                      </a:extLst>
                    </a:blip>
                    <a:stretch>
                      <a:fillRect/>
                    </a:stretch>
                  </pic:blipFill>
                  <pic:spPr>
                    <a:xfrm>
                      <a:off x="0" y="0"/>
                      <a:ext cx="5657215" cy="3364865"/>
                    </a:xfrm>
                    <a:prstGeom prst="rect">
                      <a:avLst/>
                    </a:prstGeom>
                  </pic:spPr>
                </pic:pic>
              </a:graphicData>
            </a:graphic>
            <wp14:sizeRelH relativeFrom="page">
              <wp14:pctWidth>0</wp14:pctWidth>
            </wp14:sizeRelH>
            <wp14:sizeRelV relativeFrom="page">
              <wp14:pctHeight>0</wp14:pctHeight>
            </wp14:sizeRelV>
          </wp:anchor>
        </w:drawing>
      </w:r>
      <w:r w:rsidR="00762725">
        <w:rPr>
          <w:lang w:val="en-US"/>
        </w:rPr>
        <w:t xml:space="preserve">The textual considerations portrayed by </w:t>
      </w:r>
      <w:proofErr w:type="spellStart"/>
      <w:r w:rsidR="00762725">
        <w:rPr>
          <w:lang w:val="en-US"/>
        </w:rPr>
        <w:t>Fairclough</w:t>
      </w:r>
      <w:proofErr w:type="spellEnd"/>
      <w:r w:rsidR="00762725">
        <w:rPr>
          <w:lang w:val="en-US"/>
        </w:rPr>
        <w:t xml:space="preserve"> generally outline the linguistic aspects within a text. However, from a CDA perspective, David Machin and Andrea </w:t>
      </w:r>
      <w:proofErr w:type="spellStart"/>
      <w:r w:rsidR="00762725">
        <w:rPr>
          <w:lang w:val="en-US"/>
        </w:rPr>
        <w:t>Mayr</w:t>
      </w:r>
      <w:proofErr w:type="spellEnd"/>
      <w:r w:rsidR="00762725">
        <w:rPr>
          <w:lang w:val="en-US"/>
        </w:rPr>
        <w:t xml:space="preserve"> </w:t>
      </w:r>
      <w:sdt>
        <w:sdtPr>
          <w:rPr>
            <w:lang w:val="en-US"/>
          </w:rPr>
          <w:id w:val="-48071899"/>
          <w:citation/>
        </w:sdtPr>
        <w:sdtContent>
          <w:r w:rsidR="00762725">
            <w:rPr>
              <w:lang w:val="en-US"/>
            </w:rPr>
            <w:fldChar w:fldCharType="begin"/>
          </w:r>
          <w:r w:rsidR="00762725">
            <w:rPr>
              <w:lang w:val="en-US"/>
            </w:rPr>
            <w:instrText xml:space="preserve">CITATION Dav12 \n  \t  \l 1030 </w:instrText>
          </w:r>
          <w:r w:rsidR="00762725">
            <w:rPr>
              <w:lang w:val="en-US"/>
            </w:rPr>
            <w:fldChar w:fldCharType="separate"/>
          </w:r>
          <w:r w:rsidR="00F623D4">
            <w:rPr>
              <w:noProof/>
              <w:lang w:val="en-US"/>
            </w:rPr>
            <w:t>(2012)</w:t>
          </w:r>
          <w:r w:rsidR="00762725">
            <w:rPr>
              <w:lang w:val="en-US"/>
            </w:rPr>
            <w:fldChar w:fldCharType="end"/>
          </w:r>
        </w:sdtContent>
      </w:sdt>
      <w:r w:rsidR="00762725">
        <w:rPr>
          <w:lang w:val="en-US"/>
        </w:rPr>
        <w:t xml:space="preserve"> represent a wide range of linguistic or lexical </w:t>
      </w:r>
      <w:r w:rsidR="00306991">
        <w:rPr>
          <w:lang w:val="en-US"/>
        </w:rPr>
        <w:t xml:space="preserve">surface </w:t>
      </w:r>
      <w:r w:rsidR="00762725">
        <w:rPr>
          <w:lang w:val="en-US"/>
        </w:rPr>
        <w:t>features</w:t>
      </w:r>
      <w:r w:rsidR="00306991">
        <w:rPr>
          <w:lang w:val="en-US"/>
        </w:rPr>
        <w:t>,</w:t>
      </w:r>
      <w:r w:rsidR="00762725">
        <w:rPr>
          <w:lang w:val="en-US"/>
        </w:rPr>
        <w:t xml:space="preserve"> from which a text analysis (description) can be approached. These </w:t>
      </w:r>
      <w:r w:rsidR="00306991">
        <w:rPr>
          <w:lang w:val="en-US"/>
        </w:rPr>
        <w:t>features or linguistic terms</w:t>
      </w:r>
      <w:r w:rsidR="00762725">
        <w:rPr>
          <w:lang w:val="en-US"/>
        </w:rPr>
        <w:t xml:space="preserve"> can be seen as elaborations of </w:t>
      </w:r>
      <w:proofErr w:type="spellStart"/>
      <w:r w:rsidR="00762725">
        <w:rPr>
          <w:lang w:val="en-US"/>
        </w:rPr>
        <w:t>Fairclough’s</w:t>
      </w:r>
      <w:proofErr w:type="spellEnd"/>
      <w:r w:rsidR="00762725">
        <w:rPr>
          <w:lang w:val="en-US"/>
        </w:rPr>
        <w:t xml:space="preserve"> linguistic aspects, which may be categorized to accommodate an analytical model for a text analysis (Model </w:t>
      </w:r>
      <w:r w:rsidR="00427CF4">
        <w:rPr>
          <w:lang w:val="en-US"/>
        </w:rPr>
        <w:t>5).</w:t>
      </w:r>
    </w:p>
    <w:p w:rsidR="00762725" w:rsidRDefault="00762725" w:rsidP="00337119">
      <w:pPr>
        <w:spacing w:line="360" w:lineRule="auto"/>
        <w:rPr>
          <w:lang w:val="en-US"/>
        </w:rPr>
      </w:pPr>
      <w:r>
        <w:rPr>
          <w:lang w:val="en-US"/>
        </w:rPr>
        <w:lastRenderedPageBreak/>
        <w:t xml:space="preserve">The depicted model encapsulates the lexical features (through constructed categories) embedded within a text analysis from a CDA perspective – as represented by Machin and </w:t>
      </w:r>
      <w:proofErr w:type="spellStart"/>
      <w:r>
        <w:rPr>
          <w:lang w:val="en-US"/>
        </w:rPr>
        <w:t>Mayr</w:t>
      </w:r>
      <w:proofErr w:type="spellEnd"/>
      <w:r>
        <w:rPr>
          <w:lang w:val="en-US"/>
        </w:rPr>
        <w:t xml:space="preserve"> </w:t>
      </w:r>
      <w:sdt>
        <w:sdtPr>
          <w:rPr>
            <w:lang w:val="en-US"/>
          </w:rPr>
          <w:id w:val="-916708661"/>
          <w:citation/>
        </w:sdtPr>
        <w:sdtContent>
          <w:r>
            <w:rPr>
              <w:lang w:val="en-US"/>
            </w:rPr>
            <w:fldChar w:fldCharType="begin"/>
          </w:r>
          <w:r>
            <w:rPr>
              <w:lang w:val="en-US"/>
            </w:rPr>
            <w:instrText xml:space="preserve">CITATION Dav12 \p "p. 32-165" \n  \y  \t  \l 1030 </w:instrText>
          </w:r>
          <w:r>
            <w:rPr>
              <w:lang w:val="en-US"/>
            </w:rPr>
            <w:fldChar w:fldCharType="separate"/>
          </w:r>
          <w:r w:rsidR="00F623D4">
            <w:rPr>
              <w:noProof/>
              <w:lang w:val="en-US"/>
            </w:rPr>
            <w:t>(p. 32-165)</w:t>
          </w:r>
          <w:r>
            <w:rPr>
              <w:lang w:val="en-US"/>
            </w:rPr>
            <w:fldChar w:fldCharType="end"/>
          </w:r>
        </w:sdtContent>
      </w:sdt>
      <w:r>
        <w:rPr>
          <w:lang w:val="en-US"/>
        </w:rPr>
        <w:t xml:space="preserve">. Furthermore, it is possible to draw some parallels with </w:t>
      </w:r>
      <w:proofErr w:type="spellStart"/>
      <w:r>
        <w:rPr>
          <w:lang w:val="en-US"/>
        </w:rPr>
        <w:t>Laclau</w:t>
      </w:r>
      <w:proofErr w:type="spellEnd"/>
      <w:r>
        <w:rPr>
          <w:lang w:val="en-US"/>
        </w:rPr>
        <w:t xml:space="preserve"> and </w:t>
      </w:r>
      <w:proofErr w:type="spellStart"/>
      <w:r>
        <w:rPr>
          <w:lang w:val="en-US"/>
        </w:rPr>
        <w:t>Mouffe’s</w:t>
      </w:r>
      <w:proofErr w:type="spellEnd"/>
      <w:r>
        <w:rPr>
          <w:lang w:val="en-US"/>
        </w:rPr>
        <w:t xml:space="preserve"> Discourse Theory, complementing the constructed model, in terms of clarifying the ‘nature’ of its components/categories and applying an additional text component, which may be of relevance in the analysis. First of all, the categories of Model 5 may be understood as signs (textual elements with individual meaning) and/or moments (fixated signs in relation to other signs, creating meaning). Secondly, the textual component </w:t>
      </w:r>
      <w:r w:rsidRPr="006A0F93">
        <w:rPr>
          <w:i/>
          <w:lang w:val="en-US"/>
        </w:rPr>
        <w:t xml:space="preserve">floating signifiers </w:t>
      </w:r>
      <w:r>
        <w:rPr>
          <w:lang w:val="en-US"/>
        </w:rPr>
        <w:t xml:space="preserve">can be seen as a supplement to the category of </w:t>
      </w:r>
      <w:r>
        <w:rPr>
          <w:i/>
          <w:lang w:val="en-US"/>
        </w:rPr>
        <w:t>lexical choices</w:t>
      </w:r>
      <w:r>
        <w:rPr>
          <w:lang w:val="en-US"/>
        </w:rPr>
        <w:t xml:space="preserve">, as it represents signs (e.g. words) with no clear meaning, directing the meaning of other signs </w:t>
      </w:r>
      <w:sdt>
        <w:sdtPr>
          <w:rPr>
            <w:lang w:val="en-US"/>
          </w:rPr>
          <w:id w:val="-524786964"/>
          <w:citation/>
        </w:sdtPr>
        <w:sdtContent>
          <w:r>
            <w:rPr>
              <w:lang w:val="en-US"/>
            </w:rPr>
            <w:fldChar w:fldCharType="begin"/>
          </w:r>
          <w:r>
            <w:rPr>
              <w:lang w:val="en-US"/>
            </w:rPr>
            <w:instrText xml:space="preserve">CITATION Mar02 \p 26 \l 1030 </w:instrText>
          </w:r>
          <w:r>
            <w:rPr>
              <w:lang w:val="en-US"/>
            </w:rPr>
            <w:fldChar w:fldCharType="separate"/>
          </w:r>
          <w:r w:rsidR="00F623D4">
            <w:rPr>
              <w:noProof/>
              <w:lang w:val="en-US"/>
            </w:rPr>
            <w:t>(Jørgensen and Phillips 2002, 26)</w:t>
          </w:r>
          <w:r>
            <w:rPr>
              <w:lang w:val="en-US"/>
            </w:rPr>
            <w:fldChar w:fldCharType="end"/>
          </w:r>
        </w:sdtContent>
      </w:sdt>
      <w:r>
        <w:rPr>
          <w:lang w:val="en-US"/>
        </w:rPr>
        <w:t xml:space="preserve">. </w:t>
      </w:r>
    </w:p>
    <w:p w:rsidR="00762725" w:rsidRDefault="00762725" w:rsidP="00337119">
      <w:pPr>
        <w:spacing w:line="360" w:lineRule="auto"/>
        <w:rPr>
          <w:lang w:val="en-US"/>
        </w:rPr>
      </w:pPr>
      <w:r>
        <w:rPr>
          <w:lang w:val="en-US"/>
        </w:rPr>
        <w:t xml:space="preserve">The specifications of lexical features within each category are not of any significance at this point, but they are represented in Appendix 1 for clarification, where relevant features will be addressed in the analysis as well. All in all, Model 5 illustrates an analytical approach to any given text produced (discursive event), where signs/moments (lexical surface features) will be embedded and can be revealed through a descriptive analysis, which leads to an interpretation (process of analysis).  </w:t>
      </w:r>
    </w:p>
    <w:p w:rsidR="00762725" w:rsidRDefault="00D60EC3" w:rsidP="00337119">
      <w:pPr>
        <w:pStyle w:val="Overskrift2"/>
        <w:spacing w:line="360" w:lineRule="auto"/>
        <w:rPr>
          <w:lang w:val="en-US"/>
        </w:rPr>
      </w:pPr>
      <w:bookmarkStart w:id="74" w:name="_Toc420075832"/>
      <w:bookmarkStart w:id="75" w:name="_Toc420761646"/>
      <w:r>
        <w:rPr>
          <w:lang w:val="en-US"/>
        </w:rPr>
        <w:t>5</w:t>
      </w:r>
      <w:r w:rsidR="00762725">
        <w:rPr>
          <w:lang w:val="en-US"/>
        </w:rPr>
        <w:t>.4 Corporate Social Responsibility: Concept and Discourse</w:t>
      </w:r>
      <w:bookmarkEnd w:id="74"/>
      <w:bookmarkEnd w:id="75"/>
    </w:p>
    <w:p w:rsidR="00762725" w:rsidRDefault="00762725" w:rsidP="00337119">
      <w:pPr>
        <w:spacing w:line="360" w:lineRule="auto"/>
        <w:rPr>
          <w:lang w:val="en-US"/>
        </w:rPr>
      </w:pPr>
      <w:r>
        <w:rPr>
          <w:lang w:val="en-US"/>
        </w:rPr>
        <w:t xml:space="preserve">CSR is currently a well-used concept within the corporate world, where an understanding of this concept can be necessary in order to comprehend the discourse ‘framing’ it. Nevertheless, as the concept to some extent has been addressed in the </w:t>
      </w:r>
      <w:r w:rsidR="005D02DE">
        <w:rPr>
          <w:lang w:val="en-US"/>
        </w:rPr>
        <w:t>literature review (3</w:t>
      </w:r>
      <w:r w:rsidR="00CF51AA">
        <w:rPr>
          <w:lang w:val="en-US"/>
        </w:rPr>
        <w:t>.</w:t>
      </w:r>
      <w:r w:rsidR="00B51712">
        <w:rPr>
          <w:lang w:val="en-US"/>
        </w:rPr>
        <w:t>2</w:t>
      </w:r>
      <w:r w:rsidR="00E75C87">
        <w:rPr>
          <w:lang w:val="en-US"/>
        </w:rPr>
        <w:t>)</w:t>
      </w:r>
      <w:r>
        <w:rPr>
          <w:lang w:val="en-US"/>
        </w:rPr>
        <w:t xml:space="preserve">, it will </w:t>
      </w:r>
      <w:r w:rsidR="00E75C87">
        <w:rPr>
          <w:lang w:val="en-US"/>
        </w:rPr>
        <w:t xml:space="preserve">only </w:t>
      </w:r>
      <w:r>
        <w:rPr>
          <w:lang w:val="en-US"/>
        </w:rPr>
        <w:t>be briefly addressed, followed by its discursive aspects.</w:t>
      </w:r>
    </w:p>
    <w:p w:rsidR="00762725" w:rsidRDefault="00D60EC3" w:rsidP="00337119">
      <w:pPr>
        <w:pStyle w:val="Overskrift3"/>
        <w:spacing w:line="360" w:lineRule="auto"/>
        <w:rPr>
          <w:lang w:val="en-US"/>
        </w:rPr>
      </w:pPr>
      <w:bookmarkStart w:id="76" w:name="_Toc420075833"/>
      <w:bookmarkStart w:id="77" w:name="_Toc420761647"/>
      <w:r>
        <w:rPr>
          <w:lang w:val="en-US"/>
        </w:rPr>
        <w:t>5</w:t>
      </w:r>
      <w:r w:rsidR="00762725">
        <w:rPr>
          <w:lang w:val="en-US"/>
        </w:rPr>
        <w:t>.4.1 Corporate Social Responsibility</w:t>
      </w:r>
      <w:bookmarkEnd w:id="76"/>
      <w:bookmarkEnd w:id="77"/>
    </w:p>
    <w:p w:rsidR="00762725" w:rsidRPr="004D2C0E" w:rsidRDefault="00762725" w:rsidP="00337119">
      <w:pPr>
        <w:spacing w:line="360" w:lineRule="auto"/>
        <w:rPr>
          <w:rFonts w:ascii="TimesNewRoman" w:hAnsi="TimesNewRoman" w:cs="TimesNewRoman"/>
          <w:szCs w:val="24"/>
          <w:lang w:val="en-US"/>
        </w:rPr>
      </w:pPr>
      <w:r>
        <w:rPr>
          <w:lang w:val="en-US"/>
        </w:rPr>
        <w:t xml:space="preserve">The concept of </w:t>
      </w:r>
      <w:r w:rsidR="00D10EB3">
        <w:rPr>
          <w:lang w:val="en-US"/>
        </w:rPr>
        <w:t>CSR</w:t>
      </w:r>
      <w:r>
        <w:rPr>
          <w:lang w:val="en-US"/>
        </w:rPr>
        <w:t xml:space="preserve"> has undergone a massive development process, originating from research studies concerning social responsibility from a corporate standpoint, where the most prominent have been presented by Howard Bowen </w:t>
      </w:r>
      <w:sdt>
        <w:sdtPr>
          <w:rPr>
            <w:i/>
          </w:rPr>
          <w:id w:val="1292715914"/>
          <w:citation/>
        </w:sdtPr>
        <w:sdtContent>
          <w:r>
            <w:rPr>
              <w:i/>
            </w:rPr>
            <w:fldChar w:fldCharType="begin"/>
          </w:r>
          <w:r>
            <w:rPr>
              <w:i/>
              <w:lang w:val="en-US"/>
            </w:rPr>
            <w:instrText xml:space="preserve">CITATION Bow53 \n  \t  \l 1030 </w:instrText>
          </w:r>
          <w:r>
            <w:rPr>
              <w:i/>
            </w:rPr>
            <w:fldChar w:fldCharType="separate"/>
          </w:r>
          <w:r w:rsidR="00F623D4">
            <w:rPr>
              <w:noProof/>
              <w:lang w:val="en-US"/>
            </w:rPr>
            <w:t>(1953)</w:t>
          </w:r>
          <w:r>
            <w:rPr>
              <w:i/>
            </w:rPr>
            <w:fldChar w:fldCharType="end"/>
          </w:r>
        </w:sdtContent>
      </w:sdt>
      <w:r w:rsidRPr="007674C2">
        <w:rPr>
          <w:lang w:val="en-US"/>
        </w:rPr>
        <w:t>,</w:t>
      </w:r>
      <w:r>
        <w:rPr>
          <w:lang w:val="en-US"/>
        </w:rPr>
        <w:t xml:space="preserve"> </w:t>
      </w:r>
      <w:r w:rsidRPr="007674C2">
        <w:rPr>
          <w:lang w:val="en-US"/>
        </w:rPr>
        <w:t xml:space="preserve">Keith Davis </w:t>
      </w:r>
      <w:sdt>
        <w:sdtPr>
          <w:rPr>
            <w:i/>
          </w:rPr>
          <w:id w:val="-1451004405"/>
          <w:citation/>
        </w:sdtPr>
        <w:sdtContent>
          <w:r>
            <w:rPr>
              <w:i/>
            </w:rPr>
            <w:fldChar w:fldCharType="begin"/>
          </w:r>
          <w:r>
            <w:rPr>
              <w:i/>
              <w:lang w:val="en-US"/>
            </w:rPr>
            <w:instrText xml:space="preserve">CITATION Dav60 \n  \t  \l 1030 </w:instrText>
          </w:r>
          <w:r>
            <w:rPr>
              <w:i/>
            </w:rPr>
            <w:fldChar w:fldCharType="separate"/>
          </w:r>
          <w:r w:rsidR="00F623D4">
            <w:rPr>
              <w:noProof/>
              <w:lang w:val="en-US"/>
            </w:rPr>
            <w:t>(1960)</w:t>
          </w:r>
          <w:r>
            <w:rPr>
              <w:i/>
            </w:rPr>
            <w:fldChar w:fldCharType="end"/>
          </w:r>
        </w:sdtContent>
      </w:sdt>
      <w:r w:rsidRPr="007674C2">
        <w:rPr>
          <w:lang w:val="en-US"/>
        </w:rPr>
        <w:t xml:space="preserve">, Harold Johnson </w:t>
      </w:r>
      <w:sdt>
        <w:sdtPr>
          <w:id w:val="245153242"/>
          <w:citation/>
        </w:sdtPr>
        <w:sdtContent>
          <w:r>
            <w:fldChar w:fldCharType="begin"/>
          </w:r>
          <w:r>
            <w:rPr>
              <w:lang w:val="en-US"/>
            </w:rPr>
            <w:instrText xml:space="preserve">CITATION Joh71 \n  \t  \l 1030 </w:instrText>
          </w:r>
          <w:r>
            <w:fldChar w:fldCharType="separate"/>
          </w:r>
          <w:r w:rsidR="00F623D4">
            <w:rPr>
              <w:noProof/>
              <w:lang w:val="en-US"/>
            </w:rPr>
            <w:t>(1971)</w:t>
          </w:r>
          <w:r>
            <w:fldChar w:fldCharType="end"/>
          </w:r>
        </w:sdtContent>
      </w:sdt>
      <w:r w:rsidRPr="00FF7B15">
        <w:rPr>
          <w:lang w:val="en-US"/>
        </w:rPr>
        <w:t xml:space="preserve"> and Milton Friedman </w:t>
      </w:r>
      <w:sdt>
        <w:sdtPr>
          <w:rPr>
            <w:rFonts w:ascii="TimesNewRoman" w:hAnsi="TimesNewRoman" w:cs="TimesNewRoman"/>
            <w:i/>
            <w:szCs w:val="24"/>
          </w:rPr>
          <w:id w:val="322935289"/>
          <w:citation/>
        </w:sdtPr>
        <w:sdtContent>
          <w:r>
            <w:rPr>
              <w:rFonts w:ascii="TimesNewRoman" w:hAnsi="TimesNewRoman" w:cs="TimesNewRoman"/>
              <w:i/>
              <w:szCs w:val="24"/>
            </w:rPr>
            <w:fldChar w:fldCharType="begin"/>
          </w:r>
          <w:r>
            <w:rPr>
              <w:rFonts w:ascii="TimesNewRoman" w:hAnsi="TimesNewRoman" w:cs="TimesNewRoman"/>
              <w:i/>
              <w:szCs w:val="24"/>
              <w:lang w:val="en-US"/>
            </w:rPr>
            <w:instrText xml:space="preserve">CITATION Fri70 \n  \t  \l 1030 </w:instrText>
          </w:r>
          <w:r>
            <w:rPr>
              <w:rFonts w:ascii="TimesNewRoman" w:hAnsi="TimesNewRoman" w:cs="TimesNewRoman"/>
              <w:i/>
              <w:szCs w:val="24"/>
            </w:rPr>
            <w:fldChar w:fldCharType="separate"/>
          </w:r>
          <w:r w:rsidR="00F623D4" w:rsidRPr="00F623D4">
            <w:rPr>
              <w:rFonts w:ascii="TimesNewRoman" w:hAnsi="TimesNewRoman" w:cs="TimesNewRoman"/>
              <w:noProof/>
              <w:szCs w:val="24"/>
              <w:lang w:val="en-US"/>
            </w:rPr>
            <w:t>(1970)</w:t>
          </w:r>
          <w:r>
            <w:rPr>
              <w:rFonts w:ascii="TimesNewRoman" w:hAnsi="TimesNewRoman" w:cs="TimesNewRoman"/>
              <w:i/>
              <w:szCs w:val="24"/>
            </w:rPr>
            <w:fldChar w:fldCharType="end"/>
          </w:r>
        </w:sdtContent>
      </w:sdt>
      <w:r w:rsidRPr="007674C2">
        <w:rPr>
          <w:lang w:val="en-US"/>
        </w:rPr>
        <w:t>.</w:t>
      </w:r>
      <w:r>
        <w:rPr>
          <w:lang w:val="en-US"/>
        </w:rPr>
        <w:t xml:space="preserve"> These theorists can be said to have been the main inspiration for CSR, as we know it today – even though it is not a completely determined concept. In a more general overview, it can be argued that the current status of the CSR concept is developed through a perceptual struggle between the perception of CSR as a means of profit maximization (</w:t>
      </w:r>
      <w:r w:rsidRPr="0081729E">
        <w:rPr>
          <w:lang w:val="en-US"/>
        </w:rPr>
        <w:t>social obligations are sufficiently met through keeping shareholders financially satisfied</w:t>
      </w:r>
      <w:r>
        <w:rPr>
          <w:lang w:val="en-US"/>
        </w:rPr>
        <w:t>) and the perception of CSR as a facilitator for organizations to become ‘citizens’ of a society (</w:t>
      </w:r>
      <w:r>
        <w:rPr>
          <w:rFonts w:ascii="TimesNewRoman" w:hAnsi="TimesNewRoman" w:cs="TimesNewRoman"/>
          <w:szCs w:val="24"/>
          <w:lang w:val="en-US"/>
        </w:rPr>
        <w:t>an organization</w:t>
      </w:r>
      <w:r w:rsidRPr="00956103">
        <w:rPr>
          <w:rFonts w:ascii="TimesNewRoman" w:hAnsi="TimesNewRoman" w:cs="TimesNewRoman"/>
          <w:szCs w:val="24"/>
          <w:lang w:val="en-US"/>
        </w:rPr>
        <w:t xml:space="preserve"> has the social duties of that of a citizen</w:t>
      </w:r>
      <w:r>
        <w:rPr>
          <w:rFonts w:ascii="TimesNewRoman" w:hAnsi="TimesNewRoman" w:cs="TimesNewRoman"/>
          <w:szCs w:val="24"/>
          <w:lang w:val="en-US"/>
        </w:rPr>
        <w:t xml:space="preserve">). Subsequently, an understanding of balancing </w:t>
      </w:r>
      <w:r>
        <w:rPr>
          <w:rFonts w:ascii="TimesNewRoman" w:hAnsi="TimesNewRoman" w:cs="TimesNewRoman"/>
          <w:szCs w:val="24"/>
          <w:lang w:val="en-US"/>
        </w:rPr>
        <w:lastRenderedPageBreak/>
        <w:t>the economic, social and environmental aspects has been reached (</w:t>
      </w:r>
      <w:r w:rsidRPr="00DA1A61">
        <w:rPr>
          <w:rFonts w:ascii="TimesNewRoman" w:hAnsi="TimesNewRoman" w:cs="TimesNewRoman"/>
          <w:i/>
          <w:szCs w:val="24"/>
          <w:lang w:val="en-US"/>
        </w:rPr>
        <w:t>triple bottom line</w:t>
      </w:r>
      <w:r>
        <w:rPr>
          <w:rFonts w:ascii="TimesNewRoman" w:hAnsi="TimesNewRoman" w:cs="TimesNewRoman"/>
          <w:szCs w:val="24"/>
          <w:lang w:val="en-US"/>
        </w:rPr>
        <w:t xml:space="preserve">), creating a more streamlined perception of CSR – more accommodating towards the needs and preferences of various stakeholders </w:t>
      </w:r>
      <w:sdt>
        <w:sdtPr>
          <w:rPr>
            <w:rFonts w:ascii="TimesNewRoman" w:hAnsi="TimesNewRoman" w:cs="TimesNewRoman"/>
            <w:szCs w:val="24"/>
          </w:rPr>
          <w:id w:val="854848379"/>
          <w:citation/>
        </w:sdtPr>
        <w:sdtContent>
          <w:r>
            <w:rPr>
              <w:rFonts w:ascii="TimesNewRoman" w:hAnsi="TimesNewRoman" w:cs="TimesNewRoman"/>
              <w:szCs w:val="24"/>
            </w:rPr>
            <w:fldChar w:fldCharType="begin"/>
          </w:r>
          <w:r>
            <w:rPr>
              <w:rFonts w:ascii="TimesNewRoman" w:hAnsi="TimesNewRoman" w:cs="TimesNewRoman"/>
              <w:szCs w:val="24"/>
              <w:lang w:val="en-US"/>
            </w:rPr>
            <w:instrText xml:space="preserve">CITATION Set75 \m Fai \m Joh71 \m Fri70 \p 211 \l 1030 </w:instrText>
          </w:r>
          <w:r>
            <w:rPr>
              <w:rFonts w:ascii="TimesNewRoman" w:hAnsi="TimesNewRoman" w:cs="TimesNewRoman"/>
              <w:szCs w:val="24"/>
            </w:rPr>
            <w:fldChar w:fldCharType="separate"/>
          </w:r>
          <w:r w:rsidR="00F623D4" w:rsidRPr="00F623D4">
            <w:rPr>
              <w:rFonts w:ascii="TimesNewRoman" w:hAnsi="TimesNewRoman" w:cs="TimesNewRoman"/>
              <w:noProof/>
              <w:szCs w:val="24"/>
              <w:lang w:val="en-US"/>
            </w:rPr>
            <w:t>(Sethi 1975, Fairbrass, O’Riordan and Mirza 2005, Johnson 1971, Friedman 1970, 211)</w:t>
          </w:r>
          <w:r>
            <w:rPr>
              <w:rFonts w:ascii="TimesNewRoman" w:hAnsi="TimesNewRoman" w:cs="TimesNewRoman"/>
              <w:szCs w:val="24"/>
            </w:rPr>
            <w:fldChar w:fldCharType="end"/>
          </w:r>
        </w:sdtContent>
      </w:sdt>
      <w:r>
        <w:rPr>
          <w:lang w:val="en-US"/>
        </w:rPr>
        <w:t xml:space="preserve">. </w:t>
      </w:r>
    </w:p>
    <w:p w:rsidR="00762725" w:rsidRPr="00B33498" w:rsidRDefault="00EE24BD" w:rsidP="00337119">
      <w:pPr>
        <w:spacing w:line="360" w:lineRule="auto"/>
        <w:rPr>
          <w:rFonts w:cs="Times New Roman"/>
          <w:szCs w:val="24"/>
          <w:lang w:val="en-US"/>
        </w:rPr>
      </w:pPr>
      <w:r>
        <w:rPr>
          <w:rFonts w:ascii="TimesNewRoman" w:hAnsi="TimesNewRoman" w:cs="TimesNewRoman"/>
          <w:szCs w:val="24"/>
          <w:lang w:val="en-US"/>
        </w:rPr>
        <w:t>T</w:t>
      </w:r>
      <w:r w:rsidR="00762725">
        <w:rPr>
          <w:rFonts w:ascii="TimesNewRoman" w:hAnsi="TimesNewRoman" w:cs="TimesNewRoman"/>
          <w:szCs w:val="24"/>
          <w:lang w:val="en-US"/>
        </w:rPr>
        <w:t xml:space="preserve">he practice of CSR has also been perceived as voluntary – in the sense that it is a practice not governed by law, where </w:t>
      </w:r>
      <w:r w:rsidR="00762725" w:rsidRPr="00D905F2">
        <w:rPr>
          <w:rFonts w:ascii="TimesNewRoman" w:hAnsi="TimesNewRoman" w:cs="TimesNewRoman"/>
          <w:szCs w:val="24"/>
          <w:lang w:val="en-US"/>
        </w:rPr>
        <w:t xml:space="preserve">organizations are </w:t>
      </w:r>
      <w:r w:rsidR="00762725" w:rsidRPr="00D905F2">
        <w:rPr>
          <w:rFonts w:ascii="TimesNewRoman" w:hAnsi="TimesNewRoman" w:cs="TimesNewRoman"/>
          <w:i/>
          <w:szCs w:val="24"/>
          <w:lang w:val="en-US"/>
        </w:rPr>
        <w:t>‘</w:t>
      </w:r>
      <w:r w:rsidR="00762725" w:rsidRPr="00D905F2">
        <w:rPr>
          <w:rFonts w:ascii="TimesNewRoman" w:hAnsi="TimesNewRoman" w:cs="TimesNewRoman"/>
          <w:szCs w:val="24"/>
          <w:lang w:val="en-US"/>
        </w:rPr>
        <w:t>free</w:t>
      </w:r>
      <w:r w:rsidR="00762725" w:rsidRPr="00D905F2">
        <w:rPr>
          <w:rFonts w:ascii="TimesNewRoman" w:hAnsi="TimesNewRoman" w:cs="TimesNewRoman"/>
          <w:i/>
          <w:szCs w:val="24"/>
          <w:lang w:val="en-US"/>
        </w:rPr>
        <w:t xml:space="preserve">’ </w:t>
      </w:r>
      <w:r w:rsidR="00762725" w:rsidRPr="00D905F2">
        <w:rPr>
          <w:rFonts w:ascii="TimesNewRoman" w:hAnsi="TimesNewRoman" w:cs="TimesNewRoman"/>
          <w:szCs w:val="24"/>
          <w:lang w:val="en-US"/>
        </w:rPr>
        <w:t>to live up to the expectations of being socially responsible</w:t>
      </w:r>
      <w:r w:rsidR="00762725">
        <w:rPr>
          <w:rFonts w:ascii="TimesNewRoman" w:hAnsi="TimesNewRoman" w:cs="TimesNewRoman"/>
          <w:szCs w:val="24"/>
          <w:lang w:val="en-US"/>
        </w:rPr>
        <w:t xml:space="preserve"> </w:t>
      </w:r>
      <w:sdt>
        <w:sdtPr>
          <w:rPr>
            <w:rFonts w:ascii="TimesNewRoman" w:hAnsi="TimesNewRoman" w:cs="TimesNewRoman"/>
            <w:i/>
            <w:szCs w:val="24"/>
          </w:rPr>
          <w:id w:val="-1785721388"/>
          <w:citation/>
        </w:sdtPr>
        <w:sdtContent>
          <w:r w:rsidR="00762725">
            <w:rPr>
              <w:rFonts w:ascii="TimesNewRoman" w:hAnsi="TimesNewRoman" w:cs="TimesNewRoman"/>
              <w:i/>
              <w:szCs w:val="24"/>
            </w:rPr>
            <w:fldChar w:fldCharType="begin"/>
          </w:r>
          <w:r w:rsidR="00D116BE">
            <w:rPr>
              <w:rFonts w:ascii="TimesNewRoman" w:hAnsi="TimesNewRoman" w:cs="TimesNewRoman"/>
              <w:i/>
              <w:szCs w:val="24"/>
              <w:lang w:val="en-US"/>
            </w:rPr>
            <w:instrText xml:space="preserve">CITATION Eur11 \l 1030 </w:instrText>
          </w:r>
          <w:r w:rsidR="00762725">
            <w:rPr>
              <w:rFonts w:ascii="TimesNewRoman" w:hAnsi="TimesNewRoman" w:cs="TimesNewRoman"/>
              <w:i/>
              <w:szCs w:val="24"/>
            </w:rPr>
            <w:fldChar w:fldCharType="separate"/>
          </w:r>
          <w:r w:rsidR="00F623D4" w:rsidRPr="00F623D4">
            <w:rPr>
              <w:rFonts w:ascii="TimesNewRoman" w:hAnsi="TimesNewRoman" w:cs="TimesNewRoman"/>
              <w:noProof/>
              <w:szCs w:val="24"/>
              <w:lang w:val="en-US"/>
            </w:rPr>
            <w:t>(European Commission 2011)</w:t>
          </w:r>
          <w:r w:rsidR="00762725">
            <w:rPr>
              <w:rFonts w:ascii="TimesNewRoman" w:hAnsi="TimesNewRoman" w:cs="TimesNewRoman"/>
              <w:i/>
              <w:szCs w:val="24"/>
            </w:rPr>
            <w:fldChar w:fldCharType="end"/>
          </w:r>
        </w:sdtContent>
      </w:sdt>
      <w:r w:rsidR="00762725">
        <w:rPr>
          <w:rFonts w:ascii="TimesNewRoman" w:hAnsi="TimesNewRoman" w:cs="TimesNewRoman"/>
          <w:szCs w:val="24"/>
          <w:lang w:val="en-US"/>
        </w:rPr>
        <w:t xml:space="preserve">. All in all, the essence of CSR can be seen as, </w:t>
      </w:r>
      <w:r w:rsidR="00762725">
        <w:rPr>
          <w:rFonts w:ascii="TimesNewRoman" w:hAnsi="TimesNewRoman" w:cs="TimesNewRoman"/>
          <w:i/>
          <w:szCs w:val="24"/>
          <w:lang w:val="en-US"/>
        </w:rPr>
        <w:t>“</w:t>
      </w:r>
      <w:r w:rsidR="00762725" w:rsidRPr="001B5F59">
        <w:rPr>
          <w:rFonts w:cs="Times New Roman"/>
          <w:i/>
          <w:szCs w:val="24"/>
          <w:lang w:val="en-US"/>
        </w:rPr>
        <w:t>voluntary actions that a corporation implements as it pursues its mission and fulfills its perceived obligations</w:t>
      </w:r>
      <w:r w:rsidR="00762725">
        <w:rPr>
          <w:rFonts w:cs="Times New Roman"/>
          <w:i/>
          <w:szCs w:val="24"/>
          <w:lang w:val="en-US"/>
        </w:rPr>
        <w:t>”</w:t>
      </w:r>
      <w:r w:rsidR="00762725" w:rsidRPr="001B5F59">
        <w:rPr>
          <w:rFonts w:cs="Times New Roman"/>
          <w:i/>
          <w:sz w:val="20"/>
          <w:szCs w:val="24"/>
          <w:lang w:val="en-US"/>
        </w:rPr>
        <w:t xml:space="preserve"> </w:t>
      </w:r>
      <w:sdt>
        <w:sdtPr>
          <w:rPr>
            <w:rFonts w:cs="Times New Roman"/>
            <w:szCs w:val="24"/>
            <w:lang w:val="en-US"/>
          </w:rPr>
          <w:id w:val="1236513833"/>
          <w:citation/>
        </w:sdtPr>
        <w:sdtContent>
          <w:r w:rsidR="00762725" w:rsidRPr="001B5F59">
            <w:rPr>
              <w:rFonts w:cs="Times New Roman"/>
              <w:szCs w:val="24"/>
              <w:lang w:val="en-US"/>
            </w:rPr>
            <w:fldChar w:fldCharType="begin"/>
          </w:r>
          <w:r w:rsidR="00762725" w:rsidRPr="001B5F59">
            <w:rPr>
              <w:rFonts w:cs="Times New Roman"/>
              <w:szCs w:val="24"/>
              <w:lang w:val="en-US"/>
            </w:rPr>
            <w:instrText xml:space="preserve">CITATION WTi121 \p 8 \t  \l 1030 </w:instrText>
          </w:r>
          <w:r w:rsidR="00762725" w:rsidRPr="001B5F59">
            <w:rPr>
              <w:rFonts w:cs="Times New Roman"/>
              <w:szCs w:val="24"/>
              <w:lang w:val="en-US"/>
            </w:rPr>
            <w:fldChar w:fldCharType="separate"/>
          </w:r>
          <w:r w:rsidR="00F623D4" w:rsidRPr="00F623D4">
            <w:rPr>
              <w:rFonts w:cs="Times New Roman"/>
              <w:noProof/>
              <w:szCs w:val="24"/>
              <w:lang w:val="en-US"/>
            </w:rPr>
            <w:t>(Coombs and Holladay 2012, 8)</w:t>
          </w:r>
          <w:r w:rsidR="00762725" w:rsidRPr="001B5F59">
            <w:rPr>
              <w:rFonts w:cs="Times New Roman"/>
              <w:szCs w:val="24"/>
              <w:lang w:val="en-US"/>
            </w:rPr>
            <w:fldChar w:fldCharType="end"/>
          </w:r>
        </w:sdtContent>
      </w:sdt>
      <w:r w:rsidR="00762725">
        <w:rPr>
          <w:rFonts w:cs="Times New Roman"/>
          <w:szCs w:val="24"/>
          <w:lang w:val="en-US"/>
        </w:rPr>
        <w:t xml:space="preserve"> – obligations directed at all stakeholders of an organization, as well as the environment and the society as a whole (Ibid: 8). </w:t>
      </w:r>
    </w:p>
    <w:p w:rsidR="00762725" w:rsidRDefault="00D60EC3" w:rsidP="00337119">
      <w:pPr>
        <w:pStyle w:val="Overskrift3"/>
        <w:spacing w:line="360" w:lineRule="auto"/>
        <w:rPr>
          <w:lang w:val="en-US"/>
        </w:rPr>
      </w:pPr>
      <w:bookmarkStart w:id="78" w:name="_Toc420075834"/>
      <w:bookmarkStart w:id="79" w:name="_Toc420761648"/>
      <w:r>
        <w:rPr>
          <w:lang w:val="en-US"/>
        </w:rPr>
        <w:t>5</w:t>
      </w:r>
      <w:r w:rsidR="00762725">
        <w:rPr>
          <w:lang w:val="en-US"/>
        </w:rPr>
        <w:t>.4.2 CSR Discourse</w:t>
      </w:r>
      <w:bookmarkEnd w:id="78"/>
      <w:bookmarkEnd w:id="79"/>
    </w:p>
    <w:p w:rsidR="00762725" w:rsidRPr="00877B0B" w:rsidRDefault="00762725" w:rsidP="00337119">
      <w:pPr>
        <w:spacing w:line="360" w:lineRule="auto"/>
        <w:rPr>
          <w:rFonts w:cs="Times New Roman"/>
          <w:b/>
          <w:szCs w:val="24"/>
          <w:lang w:val="en-US"/>
        </w:rPr>
      </w:pPr>
      <w:r>
        <w:rPr>
          <w:rFonts w:cs="Times New Roman"/>
          <w:szCs w:val="24"/>
          <w:lang w:val="en-US"/>
        </w:rPr>
        <w:t>It is not possible to provide a clear account of CSR discourse as a particular and determined term, as literature and research does not facilitate such a term. However, the conceptualization of discourse and various research studies connecting CSR and discourse can provide valid insights. From the perspective of constructionism, CSR can be seen as a social construction – as previously asserted and supported through research of the matter</w:t>
      </w:r>
      <w:sdt>
        <w:sdtPr>
          <w:rPr>
            <w:rFonts w:cs="Times New Roman"/>
            <w:szCs w:val="24"/>
            <w:lang w:val="en-US"/>
          </w:rPr>
          <w:id w:val="1035545265"/>
          <w:citation/>
        </w:sdtPr>
        <w:sdtContent>
          <w:r>
            <w:rPr>
              <w:rFonts w:cs="Times New Roman"/>
              <w:szCs w:val="24"/>
              <w:lang w:val="en-US"/>
            </w:rPr>
            <w:fldChar w:fldCharType="begin"/>
          </w:r>
          <w:r>
            <w:rPr>
              <w:rFonts w:cs="Times New Roman"/>
              <w:szCs w:val="24"/>
              <w:lang w:val="en-US"/>
            </w:rPr>
            <w:instrText xml:space="preserve">CITATION Emm08 \p 2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(Michotte 2008, 2)</w:t>
          </w:r>
          <w:r>
            <w:rPr>
              <w:rFonts w:cs="Times New Roman"/>
              <w:szCs w:val="24"/>
              <w:lang w:val="en-US"/>
            </w:rPr>
            <w:fldChar w:fldCharType="end"/>
          </w:r>
        </w:sdtContent>
      </w:sdt>
      <w:r>
        <w:rPr>
          <w:rFonts w:cs="Times New Roman"/>
          <w:szCs w:val="24"/>
          <w:lang w:val="en-US"/>
        </w:rPr>
        <w:t>. This is a social construction being shaped, reshaped and reflected through discourse, as discourse is a social practice</w:t>
      </w:r>
      <w:sdt>
        <w:sdtPr>
          <w:rPr>
            <w:rFonts w:cs="Times New Roman"/>
            <w:szCs w:val="24"/>
            <w:lang w:val="en-US"/>
          </w:rPr>
          <w:id w:val="-2084055064"/>
          <w:citation/>
        </w:sdtPr>
        <w:sdtContent>
          <w:r>
            <w:rPr>
              <w:rFonts w:cs="Times New Roman"/>
              <w:szCs w:val="24"/>
              <w:lang w:val="en-US"/>
            </w:rPr>
            <w:fldChar w:fldCharType="begin"/>
          </w:r>
          <w:r>
            <w:rPr>
              <w:rFonts w:cs="Times New Roman"/>
              <w:szCs w:val="24"/>
              <w:lang w:val="en-US"/>
            </w:rPr>
            <w:instrText xml:space="preserve">CITATION Mar02 \p 61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(Jørgensen and Phillips 2002, 61)</w:t>
          </w:r>
          <w:r>
            <w:rPr>
              <w:rFonts w:cs="Times New Roman"/>
              <w:szCs w:val="24"/>
              <w:lang w:val="en-US"/>
            </w:rPr>
            <w:fldChar w:fldCharType="end"/>
          </w:r>
        </w:sdtContent>
      </w:sdt>
      <w:r>
        <w:rPr>
          <w:rFonts w:cs="Times New Roman"/>
          <w:szCs w:val="24"/>
          <w:lang w:val="en-US"/>
        </w:rPr>
        <w:t>, where CSR generally has been positioned in a business context, meaning that businesses are the ones producing the discourse on CSR – by communicating it on the basis of their understanding of the concept. On the other hand, other actors with different perceptions of what the construction is can produce it as well. Consequently, the discourse embedded within the concept can be seen as contingent, corresponding with the theoretical underst</w:t>
      </w:r>
      <w:r w:rsidR="00B51712">
        <w:rPr>
          <w:rFonts w:cs="Times New Roman"/>
          <w:szCs w:val="24"/>
          <w:lang w:val="en-US"/>
        </w:rPr>
        <w:t>anding of discourse portrayed (5</w:t>
      </w:r>
      <w:r w:rsidR="00AC7C09">
        <w:rPr>
          <w:rFonts w:cs="Times New Roman"/>
          <w:szCs w:val="24"/>
          <w:lang w:val="en-US"/>
        </w:rPr>
        <w:t>.2.1</w:t>
      </w:r>
      <w:r>
        <w:rPr>
          <w:rFonts w:cs="Times New Roman"/>
          <w:szCs w:val="24"/>
          <w:lang w:val="en-US"/>
        </w:rPr>
        <w:t xml:space="preserve">). In a research study by </w:t>
      </w:r>
      <w:r w:rsidRPr="00DC3C00">
        <w:rPr>
          <w:rFonts w:cs="Times New Roman"/>
          <w:szCs w:val="24"/>
          <w:lang w:val="en-US"/>
        </w:rPr>
        <w:t xml:space="preserve">Jon </w:t>
      </w:r>
      <w:proofErr w:type="spellStart"/>
      <w:r w:rsidRPr="00DC3C00">
        <w:rPr>
          <w:rFonts w:cs="Times New Roman"/>
          <w:szCs w:val="24"/>
          <w:lang w:val="en-US"/>
        </w:rPr>
        <w:t>Burchell</w:t>
      </w:r>
      <w:proofErr w:type="spellEnd"/>
      <w:r>
        <w:rPr>
          <w:rFonts w:cs="Times New Roman"/>
          <w:szCs w:val="24"/>
          <w:lang w:val="en-US"/>
        </w:rPr>
        <w:t xml:space="preserve"> and </w:t>
      </w:r>
      <w:r w:rsidRPr="00DC3C00">
        <w:rPr>
          <w:rFonts w:cs="Times New Roman"/>
          <w:szCs w:val="24"/>
          <w:lang w:val="en-US"/>
        </w:rPr>
        <w:t>Joanne Cook</w:t>
      </w:r>
      <w:r>
        <w:rPr>
          <w:rFonts w:cs="Times New Roman"/>
          <w:szCs w:val="24"/>
          <w:lang w:val="en-US"/>
        </w:rPr>
        <w:t xml:space="preserve">, this has been elaborated from the perspective of </w:t>
      </w:r>
      <w:proofErr w:type="spellStart"/>
      <w:r>
        <w:rPr>
          <w:rFonts w:cs="Times New Roman"/>
          <w:szCs w:val="24"/>
          <w:lang w:val="en-US"/>
        </w:rPr>
        <w:t>Fairclough’s</w:t>
      </w:r>
      <w:proofErr w:type="spellEnd"/>
      <w:r>
        <w:rPr>
          <w:rFonts w:cs="Times New Roman"/>
          <w:szCs w:val="24"/>
          <w:lang w:val="en-US"/>
        </w:rPr>
        <w:t xml:space="preserve"> views on the constant mixing of social fields, genres an</w:t>
      </w:r>
      <w:r w:rsidR="003276FC">
        <w:rPr>
          <w:rFonts w:cs="Times New Roman"/>
          <w:szCs w:val="24"/>
          <w:lang w:val="en-US"/>
        </w:rPr>
        <w:t>d discourses, where they deduce:</w:t>
      </w:r>
    </w:p>
    <w:p w:rsidR="00762725" w:rsidRDefault="00762725" w:rsidP="00337119">
      <w:pPr>
        <w:spacing w:line="360" w:lineRule="auto"/>
        <w:ind w:left="1304"/>
        <w:rPr>
          <w:rFonts w:cs="Times New Roman"/>
          <w:i/>
          <w:sz w:val="22"/>
          <w:szCs w:val="24"/>
          <w:lang w:val="en-US"/>
        </w:rPr>
      </w:pPr>
      <w:r w:rsidRPr="00E54E07">
        <w:rPr>
          <w:rFonts w:cs="Times New Roman"/>
          <w:i/>
          <w:sz w:val="22"/>
          <w:szCs w:val="24"/>
          <w:lang w:val="en-US"/>
        </w:rPr>
        <w:t>“</w:t>
      </w:r>
      <w:r w:rsidR="00AC7C09">
        <w:rPr>
          <w:rFonts w:cs="Times New Roman"/>
          <w:i/>
          <w:sz w:val="20"/>
          <w:szCs w:val="24"/>
          <w:lang w:val="en-US"/>
        </w:rPr>
        <w:t xml:space="preserve">[…] </w:t>
      </w:r>
      <w:r w:rsidRPr="00E54E07">
        <w:rPr>
          <w:rFonts w:cs="Times New Roman"/>
          <w:i/>
          <w:sz w:val="22"/>
          <w:szCs w:val="24"/>
          <w:lang w:val="en-US"/>
        </w:rPr>
        <w:t xml:space="preserve">both the discourses of sustainable development and CSR are reflective of </w:t>
      </w:r>
      <w:proofErr w:type="spellStart"/>
      <w:r w:rsidRPr="00E54E07">
        <w:rPr>
          <w:rFonts w:cs="Times New Roman"/>
          <w:i/>
          <w:sz w:val="22"/>
          <w:szCs w:val="24"/>
          <w:lang w:val="en-US"/>
        </w:rPr>
        <w:t>Fairclough's</w:t>
      </w:r>
      <w:proofErr w:type="spellEnd"/>
      <w:r w:rsidRPr="00E54E07">
        <w:rPr>
          <w:rFonts w:cs="Times New Roman"/>
          <w:i/>
          <w:sz w:val="22"/>
          <w:szCs w:val="24"/>
          <w:lang w:val="en-US"/>
        </w:rPr>
        <w:t xml:space="preserve"> arguments. Both reflect a process of transition within which social, ethical and environmental concerns have become central aspects in debates regarding the role of business in society,</w:t>
      </w:r>
      <w:r w:rsidR="00A935F1">
        <w:rPr>
          <w:rFonts w:cs="Times New Roman"/>
          <w:i/>
          <w:sz w:val="22"/>
          <w:szCs w:val="24"/>
          <w:lang w:val="en-US"/>
        </w:rPr>
        <w:t xml:space="preserve"> no longer easily dismissed as ‘</w:t>
      </w:r>
      <w:r w:rsidRPr="00E54E07">
        <w:rPr>
          <w:rFonts w:cs="Times New Roman"/>
          <w:i/>
          <w:sz w:val="22"/>
          <w:szCs w:val="24"/>
          <w:lang w:val="en-US"/>
        </w:rPr>
        <w:t>externalities</w:t>
      </w:r>
      <w:r w:rsidR="00A935F1">
        <w:rPr>
          <w:rFonts w:cs="Times New Roman"/>
          <w:i/>
          <w:sz w:val="22"/>
          <w:szCs w:val="24"/>
          <w:lang w:val="en-US"/>
        </w:rPr>
        <w:t>’</w:t>
      </w:r>
      <w:r w:rsidRPr="00E54E07">
        <w:rPr>
          <w:rFonts w:cs="Times New Roman"/>
          <w:i/>
          <w:sz w:val="22"/>
          <w:szCs w:val="24"/>
          <w:lang w:val="en-US"/>
        </w:rPr>
        <w:t xml:space="preserve"> with no direct bearing on business performance”</w:t>
      </w:r>
      <w:sdt>
        <w:sdtPr>
          <w:rPr>
            <w:rFonts w:cs="Times New Roman"/>
            <w:i/>
            <w:sz w:val="22"/>
            <w:szCs w:val="24"/>
            <w:lang w:val="en-US"/>
          </w:rPr>
          <w:id w:val="-142432812"/>
          <w:citation/>
        </w:sdtPr>
        <w:sdtContent>
          <w:r>
            <w:rPr>
              <w:rFonts w:cs="Times New Roman"/>
              <w:i/>
              <w:sz w:val="22"/>
              <w:szCs w:val="24"/>
              <w:lang w:val="en-US"/>
            </w:rPr>
            <w:fldChar w:fldCharType="begin"/>
          </w:r>
          <w:r>
            <w:rPr>
              <w:rFonts w:cs="Times New Roman"/>
              <w:i/>
              <w:sz w:val="22"/>
              <w:szCs w:val="24"/>
              <w:lang w:val="en-US"/>
            </w:rPr>
            <w:instrText xml:space="preserve">CITATION Jon06 \p 124 \l 1030 </w:instrText>
          </w:r>
          <w:r>
            <w:rPr>
              <w:rFonts w:cs="Times New Roman"/>
              <w:i/>
              <w:sz w:val="22"/>
              <w:szCs w:val="24"/>
              <w:lang w:val="en-US"/>
            </w:rPr>
            <w:fldChar w:fldCharType="separate"/>
          </w:r>
          <w:r w:rsidR="00F623D4">
            <w:rPr>
              <w:rFonts w:cs="Times New Roman"/>
              <w:i/>
              <w:noProof/>
              <w:sz w:val="22"/>
              <w:szCs w:val="24"/>
              <w:lang w:val="en-US"/>
            </w:rPr>
            <w:t xml:space="preserve"> </w:t>
          </w:r>
          <w:r w:rsidR="00F623D4" w:rsidRPr="00F623D4">
            <w:rPr>
              <w:rFonts w:cs="Times New Roman"/>
              <w:noProof/>
              <w:sz w:val="22"/>
              <w:szCs w:val="24"/>
              <w:lang w:val="en-US"/>
            </w:rPr>
            <w:t>(Burchell and Cook 2006, 124)</w:t>
          </w:r>
          <w:r>
            <w:rPr>
              <w:rFonts w:cs="Times New Roman"/>
              <w:i/>
              <w:sz w:val="22"/>
              <w:szCs w:val="24"/>
              <w:lang w:val="en-US"/>
            </w:rPr>
            <w:fldChar w:fldCharType="end"/>
          </w:r>
        </w:sdtContent>
      </w:sdt>
      <w:r w:rsidRPr="00E54E07">
        <w:rPr>
          <w:rFonts w:cs="Times New Roman"/>
          <w:i/>
          <w:sz w:val="22"/>
          <w:szCs w:val="24"/>
          <w:lang w:val="en-US"/>
        </w:rPr>
        <w:t>.</w:t>
      </w:r>
    </w:p>
    <w:p w:rsidR="00762725" w:rsidRDefault="00762725" w:rsidP="00337119">
      <w:pPr>
        <w:spacing w:line="360" w:lineRule="auto"/>
        <w:rPr>
          <w:rFonts w:cs="Times New Roman"/>
          <w:szCs w:val="24"/>
          <w:lang w:val="en-US"/>
        </w:rPr>
      </w:pPr>
      <w:r w:rsidRPr="00B464FB">
        <w:rPr>
          <w:rFonts w:cs="Times New Roman"/>
          <w:szCs w:val="24"/>
          <w:lang w:val="en-US"/>
        </w:rPr>
        <w:lastRenderedPageBreak/>
        <w:t xml:space="preserve">Based on this quote, it can be reasoned that </w:t>
      </w:r>
      <w:proofErr w:type="spellStart"/>
      <w:r w:rsidRPr="00B464FB">
        <w:rPr>
          <w:rFonts w:cs="Times New Roman"/>
          <w:szCs w:val="24"/>
          <w:lang w:val="en-US"/>
        </w:rPr>
        <w:t>Burchell</w:t>
      </w:r>
      <w:proofErr w:type="spellEnd"/>
      <w:r w:rsidRPr="00B464FB">
        <w:rPr>
          <w:rFonts w:cs="Times New Roman"/>
          <w:szCs w:val="24"/>
          <w:lang w:val="en-US"/>
        </w:rPr>
        <w:t xml:space="preserve"> and Cook</w:t>
      </w:r>
      <w:r>
        <w:rPr>
          <w:rFonts w:cs="Times New Roman"/>
          <w:szCs w:val="24"/>
          <w:lang w:val="en-US"/>
        </w:rPr>
        <w:t xml:space="preserve"> represent</w:t>
      </w:r>
      <w:r w:rsidRPr="00B464FB">
        <w:rPr>
          <w:rFonts w:cs="Times New Roman"/>
          <w:szCs w:val="24"/>
          <w:lang w:val="en-US"/>
        </w:rPr>
        <w:t xml:space="preserve"> the discourse of CSR as a sort of ‘hybrid’ between various social fields, which have constituted the role of businesse</w:t>
      </w:r>
      <w:r w:rsidR="0064590C">
        <w:rPr>
          <w:rFonts w:cs="Times New Roman"/>
          <w:szCs w:val="24"/>
          <w:lang w:val="en-US"/>
        </w:rPr>
        <w:t>s in society</w:t>
      </w:r>
      <w:r w:rsidRPr="00B464FB">
        <w:rPr>
          <w:rFonts w:cs="Times New Roman"/>
          <w:szCs w:val="24"/>
          <w:lang w:val="en-US"/>
        </w:rPr>
        <w:t>. The social, ethical and environmental concerns can all represent a different social field, which are combined within discourses of sustainable development and CSR</w:t>
      </w:r>
      <w:r>
        <w:rPr>
          <w:rFonts w:cs="Times New Roman"/>
          <w:szCs w:val="24"/>
          <w:lang w:val="en-US"/>
        </w:rPr>
        <w:t xml:space="preserve"> (considered to be connected due to shared normative goals</w:t>
      </w:r>
      <w:sdt>
        <w:sdtPr>
          <w:rPr>
            <w:rFonts w:cs="Times New Roman"/>
            <w:szCs w:val="24"/>
            <w:lang w:val="en-US"/>
          </w:rPr>
          <w:id w:val="1349443532"/>
          <w:citation/>
        </w:sdtPr>
        <w:sdtContent>
          <w:r>
            <w:rPr>
              <w:rFonts w:cs="Times New Roman"/>
              <w:szCs w:val="24"/>
              <w:lang w:val="en-US"/>
            </w:rPr>
            <w:fldChar w:fldCharType="begin"/>
          </w:r>
          <w:r>
            <w:rPr>
              <w:rFonts w:cs="Times New Roman"/>
              <w:szCs w:val="24"/>
              <w:lang w:val="en-US"/>
            </w:rPr>
            <w:instrText xml:space="preserve">CITATION Pet10 \p 63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(Dobers and Springett 2010, 63)</w:t>
          </w:r>
          <w:r>
            <w:rPr>
              <w:rFonts w:cs="Times New Roman"/>
              <w:szCs w:val="24"/>
              <w:lang w:val="en-US"/>
            </w:rPr>
            <w:fldChar w:fldCharType="end"/>
          </w:r>
        </w:sdtContent>
      </w:sdt>
      <w:r>
        <w:rPr>
          <w:rFonts w:cs="Times New Roman"/>
          <w:szCs w:val="24"/>
          <w:lang w:val="en-US"/>
        </w:rPr>
        <w:t>)</w:t>
      </w:r>
      <w:r w:rsidRPr="00B464FB">
        <w:rPr>
          <w:rFonts w:cs="Times New Roman"/>
          <w:szCs w:val="24"/>
          <w:lang w:val="en-US"/>
        </w:rPr>
        <w:t xml:space="preserve">. Moreover, businesses or organizations in general are still the main reference point for CSR discourse, which may be considered a field as well, incorporating a type of </w:t>
      </w:r>
      <w:r>
        <w:rPr>
          <w:rFonts w:cs="Times New Roman"/>
          <w:szCs w:val="24"/>
          <w:lang w:val="en-US"/>
        </w:rPr>
        <w:t xml:space="preserve">business </w:t>
      </w:r>
      <w:r w:rsidRPr="00B464FB">
        <w:rPr>
          <w:rFonts w:cs="Times New Roman"/>
          <w:szCs w:val="24"/>
          <w:lang w:val="en-US"/>
        </w:rPr>
        <w:t>or organizational discourse. To substantiate this</w:t>
      </w:r>
      <w:r>
        <w:rPr>
          <w:rFonts w:cs="Times New Roman"/>
          <w:szCs w:val="24"/>
          <w:lang w:val="en-US"/>
        </w:rPr>
        <w:t xml:space="preserve">, it can be related to a research study of the discourse of multinational corporations’ annual CSR reports by </w:t>
      </w:r>
      <w:proofErr w:type="spellStart"/>
      <w:r w:rsidRPr="00B464FB">
        <w:rPr>
          <w:rFonts w:cs="Times New Roman"/>
          <w:szCs w:val="24"/>
          <w:lang w:val="en-US"/>
        </w:rPr>
        <w:t>Miia</w:t>
      </w:r>
      <w:proofErr w:type="spellEnd"/>
      <w:r w:rsidRPr="00B464FB">
        <w:rPr>
          <w:rFonts w:cs="Times New Roman"/>
          <w:szCs w:val="24"/>
          <w:lang w:val="en-US"/>
        </w:rPr>
        <w:t xml:space="preserve">-Emilia </w:t>
      </w:r>
      <w:proofErr w:type="spellStart"/>
      <w:r w:rsidRPr="00B464FB">
        <w:rPr>
          <w:rFonts w:cs="Times New Roman"/>
          <w:szCs w:val="24"/>
          <w:lang w:val="en-US"/>
        </w:rPr>
        <w:t>Itänen</w:t>
      </w:r>
      <w:proofErr w:type="spellEnd"/>
      <w:r>
        <w:rPr>
          <w:rFonts w:cs="Times New Roman"/>
          <w:szCs w:val="24"/>
          <w:lang w:val="en-US"/>
        </w:rPr>
        <w:t>. In the findings of this study, three categories of discourses were evident, being ‘business discourse’ (discourse relating CSR to business goals concerning profitability, growth and competiveness), ‘caring discourse’ (positioning the corporation as an engaged actor within society, ensuring social development) and ‘sharing discourse’ (the corporation positions itself as an engaged actor seeking to participate in the collaborative resolution of global and shared issues)</w:t>
      </w:r>
      <w:sdt>
        <w:sdtPr>
          <w:rPr>
            <w:rFonts w:cs="Times New Roman"/>
            <w:szCs w:val="24"/>
            <w:lang w:val="en-US"/>
          </w:rPr>
          <w:id w:val="-1644271671"/>
          <w:citation/>
        </w:sdtPr>
        <w:sdtContent>
          <w:r>
            <w:rPr>
              <w:rFonts w:cs="Times New Roman"/>
              <w:szCs w:val="24"/>
              <w:lang w:val="en-US"/>
            </w:rPr>
            <w:fldChar w:fldCharType="begin"/>
          </w:r>
          <w:r>
            <w:rPr>
              <w:rFonts w:cs="Times New Roman"/>
              <w:szCs w:val="24"/>
              <w:lang w:val="en-US"/>
            </w:rPr>
            <w:instrText xml:space="preserve">CITATION Mii11 \p 110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(Itänen 2011, 110)</w:t>
          </w:r>
          <w:r>
            <w:rPr>
              <w:rFonts w:cs="Times New Roman"/>
              <w:szCs w:val="24"/>
              <w:lang w:val="en-US"/>
            </w:rPr>
            <w:fldChar w:fldCharType="end"/>
          </w:r>
        </w:sdtContent>
      </w:sdt>
      <w:r>
        <w:rPr>
          <w:rFonts w:cs="Times New Roman"/>
          <w:szCs w:val="24"/>
          <w:lang w:val="en-US"/>
        </w:rPr>
        <w:t xml:space="preserve">. Considering the perspective of non-governmental organizations, it may be likely that the type of business discourse described would have been presented to a lesser extent. However, the three discourse types presented with direct linkage to CSR, signifies the discursive complexity and </w:t>
      </w:r>
      <w:proofErr w:type="spellStart"/>
      <w:r w:rsidRPr="007D5C17">
        <w:rPr>
          <w:lang w:val="en-US"/>
        </w:rPr>
        <w:t>interdiscursivity</w:t>
      </w:r>
      <w:proofErr w:type="spellEnd"/>
      <w:r>
        <w:rPr>
          <w:lang w:val="en-US"/>
        </w:rPr>
        <w:t xml:space="preserve"> of CSR discourse.</w:t>
      </w:r>
      <w:r w:rsidRPr="007D5C17">
        <w:rPr>
          <w:rFonts w:cs="Times New Roman"/>
          <w:szCs w:val="24"/>
          <w:lang w:val="en-US"/>
        </w:rPr>
        <w:t xml:space="preserve">  </w:t>
      </w:r>
    </w:p>
    <w:p w:rsidR="00762725" w:rsidRPr="00346880" w:rsidRDefault="00762725" w:rsidP="00337119">
      <w:pPr>
        <w:spacing w:line="360" w:lineRule="auto"/>
        <w:rPr>
          <w:rFonts w:cs="Times New Roman"/>
          <w:szCs w:val="24"/>
          <w:lang w:val="en-US"/>
        </w:rPr>
      </w:pPr>
      <w:r>
        <w:rPr>
          <w:rFonts w:cs="Times New Roman"/>
          <w:szCs w:val="24"/>
          <w:lang w:val="en-US"/>
        </w:rPr>
        <w:t>Three basic principles can be attached to the purpose of communicating CSR and the discourse thereof, being: the desire to satisfy the expectations of stakeholders and society through a legitimization on an institutional level; expressing a legitimate application</w:t>
      </w:r>
      <w:r w:rsidR="0018673C">
        <w:rPr>
          <w:rFonts w:cs="Times New Roman"/>
          <w:szCs w:val="24"/>
          <w:lang w:val="en-US"/>
        </w:rPr>
        <w:t xml:space="preserve"> of corporate responsibility, </w:t>
      </w:r>
      <w:r>
        <w:rPr>
          <w:rFonts w:cs="Times New Roman"/>
          <w:szCs w:val="24"/>
          <w:lang w:val="en-US"/>
        </w:rPr>
        <w:t>depict</w:t>
      </w:r>
      <w:r w:rsidR="0018673C">
        <w:rPr>
          <w:rFonts w:cs="Times New Roman"/>
          <w:szCs w:val="24"/>
          <w:lang w:val="en-US"/>
        </w:rPr>
        <w:t>ing</w:t>
      </w:r>
      <w:r>
        <w:rPr>
          <w:rFonts w:cs="Times New Roman"/>
          <w:szCs w:val="24"/>
          <w:lang w:val="en-US"/>
        </w:rPr>
        <w:t xml:space="preserve"> public responsibility on an organizational level; and on an individual level, </w:t>
      </w:r>
      <w:r w:rsidRPr="003D0159">
        <w:rPr>
          <w:rFonts w:cs="Times New Roman"/>
          <w:szCs w:val="24"/>
          <w:lang w:val="en-US"/>
        </w:rPr>
        <w:t>managerial discretion</w:t>
      </w:r>
      <w:r>
        <w:rPr>
          <w:rFonts w:cs="Times New Roman"/>
          <w:szCs w:val="24"/>
          <w:lang w:val="en-US"/>
        </w:rPr>
        <w:t xml:space="preserve"> is to do ‘what is perceived as right’</w:t>
      </w:r>
      <w:sdt>
        <w:sdtPr>
          <w:rPr>
            <w:rFonts w:cs="Times New Roman"/>
            <w:szCs w:val="24"/>
            <w:lang w:val="en-US"/>
          </w:rPr>
          <w:id w:val="102700395"/>
          <w:citation/>
        </w:sdtPr>
        <w:sdtContent>
          <w:r>
            <w:rPr>
              <w:rFonts w:cs="Times New Roman"/>
              <w:szCs w:val="24"/>
              <w:lang w:val="en-US"/>
            </w:rPr>
            <w:fldChar w:fldCharType="begin"/>
          </w:r>
          <w:r w:rsidRPr="003C090F">
            <w:rPr>
              <w:rFonts w:cs="Times New Roman"/>
              <w:szCs w:val="24"/>
              <w:lang w:val="en-US"/>
            </w:rPr>
            <w:instrText xml:space="preserve"> CITATION Bjø10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(Blindheim and Langhelle 2010)</w:t>
          </w:r>
          <w:r>
            <w:rPr>
              <w:rFonts w:cs="Times New Roman"/>
              <w:szCs w:val="24"/>
              <w:lang w:val="en-US"/>
            </w:rPr>
            <w:fldChar w:fldCharType="end"/>
          </w:r>
        </w:sdtContent>
      </w:sdt>
      <w:r>
        <w:rPr>
          <w:rFonts w:cs="Times New Roman"/>
          <w:szCs w:val="24"/>
          <w:lang w:val="en-US"/>
        </w:rPr>
        <w:t>. The legitimization process within these principles may be an essential parameter, which points to aspects of power within CSR discourse</w:t>
      </w:r>
      <w:sdt>
        <w:sdtPr>
          <w:rPr>
            <w:rFonts w:cs="Times New Roman"/>
            <w:i/>
            <w:szCs w:val="24"/>
            <w:lang w:val="en-US"/>
          </w:rPr>
          <w:id w:val="553741258"/>
          <w:citation/>
        </w:sdtPr>
        <w:sdtContent>
          <w:r>
            <w:rPr>
              <w:rFonts w:cs="Times New Roman"/>
              <w:i/>
              <w:szCs w:val="24"/>
              <w:lang w:val="en-US"/>
            </w:rPr>
            <w:fldChar w:fldCharType="begin"/>
          </w:r>
          <w:r>
            <w:rPr>
              <w:rFonts w:cs="Times New Roman"/>
              <w:i/>
              <w:szCs w:val="24"/>
              <w:lang w:val="en-US"/>
            </w:rPr>
            <w:instrText xml:space="preserve">CITATION Mar12 \p 76 \l 1030 </w:instrText>
          </w:r>
          <w:r>
            <w:rPr>
              <w:rFonts w:cs="Times New Roman"/>
              <w:i/>
              <w:szCs w:val="24"/>
              <w:lang w:val="en-US"/>
            </w:rPr>
            <w:fldChar w:fldCharType="separate"/>
          </w:r>
          <w:r w:rsidR="00F623D4">
            <w:rPr>
              <w:rFonts w:cs="Times New Roman"/>
              <w:i/>
              <w:noProof/>
              <w:szCs w:val="24"/>
              <w:lang w:val="en-US"/>
            </w:rPr>
            <w:t xml:space="preserve"> </w:t>
          </w:r>
          <w:r w:rsidR="00F623D4" w:rsidRPr="00F623D4">
            <w:rPr>
              <w:rFonts w:cs="Times New Roman"/>
              <w:noProof/>
              <w:szCs w:val="24"/>
              <w:lang w:val="en-US"/>
            </w:rPr>
            <w:t>(Aasprong 2012, 76)</w:t>
          </w:r>
          <w:r>
            <w:rPr>
              <w:rFonts w:cs="Times New Roman"/>
              <w:i/>
              <w:szCs w:val="24"/>
              <w:lang w:val="en-US"/>
            </w:rPr>
            <w:fldChar w:fldCharType="end"/>
          </w:r>
        </w:sdtContent>
      </w:sdt>
      <w:r>
        <w:rPr>
          <w:rFonts w:cs="Times New Roman"/>
          <w:szCs w:val="24"/>
          <w:lang w:val="en-US"/>
        </w:rPr>
        <w:t>. From an overall perspective, the communication of the CSR discourse on an institutional level, organizational level and individual level can be seen as in the</w:t>
      </w:r>
      <w:r w:rsidR="005F11CE">
        <w:rPr>
          <w:rFonts w:cs="Times New Roman"/>
          <w:szCs w:val="24"/>
          <w:lang w:val="en-US"/>
        </w:rPr>
        <w:t xml:space="preserve"> generic</w:t>
      </w:r>
      <w:r>
        <w:rPr>
          <w:rFonts w:cs="Times New Roman"/>
          <w:szCs w:val="24"/>
          <w:lang w:val="en-US"/>
        </w:rPr>
        <w:t xml:space="preserve"> form of a narrative, which is a shared description of how CSR</w:t>
      </w:r>
      <w:r w:rsidR="00C147D0">
        <w:rPr>
          <w:rFonts w:cs="Times New Roman"/>
          <w:szCs w:val="24"/>
          <w:lang w:val="en-US"/>
        </w:rPr>
        <w:t xml:space="preserve"> generally</w:t>
      </w:r>
      <w:r>
        <w:rPr>
          <w:rFonts w:cs="Times New Roman"/>
          <w:szCs w:val="24"/>
          <w:lang w:val="en-US"/>
        </w:rPr>
        <w:t xml:space="preserve"> is communicated</w:t>
      </w:r>
      <w:sdt>
        <w:sdtPr>
          <w:rPr>
            <w:rFonts w:cs="Times New Roman"/>
            <w:szCs w:val="24"/>
            <w:lang w:val="en-US"/>
          </w:rPr>
          <w:id w:val="-1440055313"/>
          <w:citation/>
        </w:sdtPr>
        <w:sdtContent>
          <w:r>
            <w:rPr>
              <w:rFonts w:cs="Times New Roman"/>
              <w:szCs w:val="24"/>
              <w:lang w:val="en-US"/>
            </w:rPr>
            <w:fldChar w:fldCharType="begin"/>
          </w:r>
          <w:r>
            <w:rPr>
              <w:rFonts w:cs="Times New Roman"/>
              <w:szCs w:val="24"/>
              <w:lang w:val="en-US"/>
            </w:rPr>
            <w:instrText xml:space="preserve">CITATION Pet10 \p 66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(Dobers and Springett 2010, 66)</w:t>
          </w:r>
          <w:r>
            <w:rPr>
              <w:rFonts w:cs="Times New Roman"/>
              <w:szCs w:val="24"/>
              <w:lang w:val="en-US"/>
            </w:rPr>
            <w:fldChar w:fldCharType="end"/>
          </w:r>
        </w:sdtContent>
      </w:sdt>
      <w:r>
        <w:rPr>
          <w:rFonts w:cs="Times New Roman"/>
          <w:szCs w:val="24"/>
          <w:lang w:val="en-US"/>
        </w:rPr>
        <w:t>. A narrative can be considered the form in which constructed discourses are conveyed, as to generate the social reality of what and who an organization is. Through the discursively determined narrative form, the production of one’s ‘views of the world’ (</w:t>
      </w:r>
      <w:proofErr w:type="spellStart"/>
      <w:r>
        <w:rPr>
          <w:rFonts w:cs="Times New Roman"/>
          <w:szCs w:val="24"/>
          <w:lang w:val="en-US"/>
        </w:rPr>
        <w:t>sensemaking</w:t>
      </w:r>
      <w:proofErr w:type="spellEnd"/>
      <w:r>
        <w:rPr>
          <w:rFonts w:cs="Times New Roman"/>
          <w:szCs w:val="24"/>
          <w:lang w:val="en-US"/>
        </w:rPr>
        <w:t>) and individual and collective identity constitutions are facilitated and revealed – in terms of language and discourse being the primary medium</w:t>
      </w:r>
      <w:sdt>
        <w:sdtPr>
          <w:rPr>
            <w:rFonts w:cs="Times New Roman"/>
            <w:szCs w:val="24"/>
            <w:lang w:val="en-US"/>
          </w:rPr>
          <w:id w:val="1807358723"/>
          <w:citation/>
        </w:sdtPr>
        <w:sdtContent>
          <w:r>
            <w:rPr>
              <w:rFonts w:cs="Times New Roman"/>
              <w:szCs w:val="24"/>
              <w:lang w:val="en-US"/>
            </w:rPr>
            <w:fldChar w:fldCharType="begin"/>
          </w:r>
          <w:r>
            <w:rPr>
              <w:rFonts w:cs="Times New Roman"/>
              <w:szCs w:val="24"/>
              <w:lang w:val="en-US"/>
            </w:rPr>
            <w:instrText xml:space="preserve">CITATION Mic \p 405-6 \l 1030 </w:instrText>
          </w:r>
          <w:r>
            <w:rPr>
              <w:rFonts w:cs="Times New Roman"/>
              <w:szCs w:val="24"/>
              <w:lang w:val="en-US"/>
            </w:rPr>
            <w:fldChar w:fldCharType="separate"/>
          </w:r>
          <w:r w:rsidR="00F623D4">
            <w:rPr>
              <w:rFonts w:cs="Times New Roman"/>
              <w:noProof/>
              <w:szCs w:val="24"/>
              <w:lang w:val="en-US"/>
            </w:rPr>
            <w:t xml:space="preserve"> </w:t>
          </w:r>
          <w:r w:rsidR="00F623D4" w:rsidRPr="00F623D4">
            <w:rPr>
              <w:rFonts w:cs="Times New Roman"/>
              <w:noProof/>
              <w:szCs w:val="24"/>
              <w:lang w:val="en-US"/>
            </w:rPr>
            <w:t>(Humphreys and Brown 2007, 405-6)</w:t>
          </w:r>
          <w:r>
            <w:rPr>
              <w:rFonts w:cs="Times New Roman"/>
              <w:szCs w:val="24"/>
              <w:lang w:val="en-US"/>
            </w:rPr>
            <w:fldChar w:fldCharType="end"/>
          </w:r>
        </w:sdtContent>
      </w:sdt>
      <w:r>
        <w:rPr>
          <w:rFonts w:cs="Times New Roman"/>
          <w:szCs w:val="24"/>
          <w:lang w:val="en-US"/>
        </w:rPr>
        <w:t xml:space="preserve">. </w:t>
      </w:r>
    </w:p>
    <w:p w:rsidR="00762725" w:rsidRPr="001A19F9" w:rsidRDefault="001A1A72" w:rsidP="00337119">
      <w:pPr>
        <w:pStyle w:val="Overskrift2"/>
        <w:spacing w:line="360" w:lineRule="auto"/>
        <w:rPr>
          <w:lang w:val="en-US"/>
        </w:rPr>
      </w:pPr>
      <w:bookmarkStart w:id="80" w:name="_Toc420075835"/>
      <w:bookmarkStart w:id="81" w:name="_Toc420761649"/>
      <w:r>
        <w:rPr>
          <w:lang w:val="en-US"/>
        </w:rPr>
        <w:lastRenderedPageBreak/>
        <w:t>5</w:t>
      </w:r>
      <w:r w:rsidR="00762725">
        <w:rPr>
          <w:lang w:val="en-US"/>
        </w:rPr>
        <w:t>.5 Setting up an Analytical Framework for Discourse Analysis</w:t>
      </w:r>
      <w:bookmarkEnd w:id="80"/>
      <w:bookmarkEnd w:id="81"/>
    </w:p>
    <w:p w:rsidR="003A641F" w:rsidRDefault="00762725" w:rsidP="00337119">
      <w:pPr>
        <w:spacing w:line="360" w:lineRule="auto"/>
        <w:rPr>
          <w:lang w:val="en-US"/>
        </w:rPr>
      </w:pPr>
      <w:r>
        <w:rPr>
          <w:lang w:val="en-US"/>
        </w:rPr>
        <w:t xml:space="preserve">Following the </w:t>
      </w:r>
      <w:r w:rsidR="00857991">
        <w:rPr>
          <w:lang w:val="en-US"/>
        </w:rPr>
        <w:t xml:space="preserve">theories of discourse, </w:t>
      </w:r>
      <w:r>
        <w:rPr>
          <w:lang w:val="en-US"/>
        </w:rPr>
        <w:t xml:space="preserve">misalignments between discourses </w:t>
      </w:r>
      <w:r w:rsidR="00857991">
        <w:rPr>
          <w:lang w:val="en-US"/>
        </w:rPr>
        <w:t xml:space="preserve">(conflicting discourses) </w:t>
      </w:r>
      <w:r>
        <w:rPr>
          <w:lang w:val="en-US"/>
        </w:rPr>
        <w:t>may be found within questions of ideology, power and identity, constituted by discursive properties</w:t>
      </w:r>
      <w:r w:rsidR="00857991">
        <w:rPr>
          <w:lang w:val="en-US"/>
        </w:rPr>
        <w:t xml:space="preserve"> (signs/moments)</w:t>
      </w:r>
      <w:r>
        <w:rPr>
          <w:lang w:val="en-US"/>
        </w:rPr>
        <w:t>.</w:t>
      </w:r>
      <w:r w:rsidR="00857991">
        <w:rPr>
          <w:lang w:val="en-US"/>
        </w:rPr>
        <w:t xml:space="preserve"> In order to set up an efficient approach to the </w:t>
      </w:r>
      <w:r w:rsidR="00F20AAD">
        <w:rPr>
          <w:lang w:val="en-US"/>
        </w:rPr>
        <w:t xml:space="preserve">critical </w:t>
      </w:r>
      <w:r w:rsidR="00857991">
        <w:rPr>
          <w:lang w:val="en-US"/>
        </w:rPr>
        <w:t>discourse analysis of the Mozilla case</w:t>
      </w:r>
      <w:r>
        <w:rPr>
          <w:lang w:val="en-US"/>
        </w:rPr>
        <w:t>, the overall contextual circumstances of the ca</w:t>
      </w:r>
      <w:r w:rsidR="00600D2E">
        <w:rPr>
          <w:lang w:val="en-US"/>
        </w:rPr>
        <w:t xml:space="preserve">se must be considered as well. </w:t>
      </w:r>
    </w:p>
    <w:p w:rsidR="001E1344" w:rsidRDefault="00762725" w:rsidP="00337119">
      <w:pPr>
        <w:spacing w:line="360" w:lineRule="auto"/>
        <w:rPr>
          <w:lang w:val="en-US"/>
        </w:rPr>
      </w:pPr>
      <w:r>
        <w:rPr>
          <w:lang w:val="en-US"/>
        </w:rPr>
        <w:t xml:space="preserve">The case involves different active participants, being Mitchel Baker (executive Chairwoman of Mozilla), the Mozilla Foundation, stakeholders (interest groups, community and individuals) and Brendan </w:t>
      </w:r>
      <w:proofErr w:type="spellStart"/>
      <w:r>
        <w:rPr>
          <w:lang w:val="en-US"/>
        </w:rPr>
        <w:t>Eich</w:t>
      </w:r>
      <w:proofErr w:type="spellEnd"/>
      <w:r>
        <w:rPr>
          <w:lang w:val="en-US"/>
        </w:rPr>
        <w:t xml:space="preserve"> (CEO and ‘reason’ for crisis outbreak). As the crisis depicts a focus on </w:t>
      </w:r>
      <w:proofErr w:type="spellStart"/>
      <w:r>
        <w:rPr>
          <w:lang w:val="en-US"/>
        </w:rPr>
        <w:t>Eich</w:t>
      </w:r>
      <w:proofErr w:type="spellEnd"/>
      <w:r>
        <w:rPr>
          <w:lang w:val="en-US"/>
        </w:rPr>
        <w:t xml:space="preserve">, his communicative handling and discursive properties thereof may be of greater importance. It has been portrayed that CSR discourse has the form of a narrative, which facilitates both ideology (views of the world) and identity constitution, where </w:t>
      </w:r>
      <w:proofErr w:type="spellStart"/>
      <w:r>
        <w:rPr>
          <w:lang w:val="en-US"/>
        </w:rPr>
        <w:t>Eich’s</w:t>
      </w:r>
      <w:proofErr w:type="spellEnd"/>
      <w:r>
        <w:rPr>
          <w:lang w:val="en-US"/>
        </w:rPr>
        <w:t xml:space="preserve"> and Baker’s statements can be expected to include discourses from both their own perspective and Mozilla’s perspective, concentrated around CSR aspects. Consequently, it can be argued that two ‘processes’ of identity constitutions are at play (their own and Mozilla’s identity), </w:t>
      </w:r>
      <w:r w:rsidR="00F20AAD">
        <w:rPr>
          <w:lang w:val="en-US"/>
        </w:rPr>
        <w:t>possibly</w:t>
      </w:r>
      <w:r>
        <w:rPr>
          <w:lang w:val="en-US"/>
        </w:rPr>
        <w:t xml:space="preserve"> opening up a specific ‘point of entry’ to analyze and reveal conflicting discourses thereof. Moreover, the expected different constitutions of identities can point to the question of ideology. The question of ideology becomes essential in the view of the official voice of Mozilla (the Mozilla Press Center) versus the voice of </w:t>
      </w:r>
      <w:proofErr w:type="spellStart"/>
      <w:r>
        <w:rPr>
          <w:lang w:val="en-US"/>
        </w:rPr>
        <w:t>Eich</w:t>
      </w:r>
      <w:proofErr w:type="spellEnd"/>
      <w:r>
        <w:rPr>
          <w:lang w:val="en-US"/>
        </w:rPr>
        <w:t xml:space="preserve"> and Baker, possibly conveying a specific ‘CSR’ message or ideology (and identity) – in terms of displayed crisis communication strategies, which may have the function of another discursive frame (than that of CSR). As a result, conflicting discourses may be revealed between and within the expressed ideology and identity in Mitchel Baker’s, Brendan </w:t>
      </w:r>
      <w:proofErr w:type="spellStart"/>
      <w:r>
        <w:rPr>
          <w:lang w:val="en-US"/>
        </w:rPr>
        <w:t>Eich’s</w:t>
      </w:r>
      <w:proofErr w:type="spellEnd"/>
      <w:r>
        <w:rPr>
          <w:lang w:val="en-US"/>
        </w:rPr>
        <w:t xml:space="preserve"> and Mozilla’s statements (in terms of ‘applied’ crisis communication strategies) – all expressed through discourses with CSR aspects. These relations portrayed are to some extent illustrated in Model 6 – including possible relations of which confl</w:t>
      </w:r>
      <w:r w:rsidR="00600D2E">
        <w:rPr>
          <w:lang w:val="en-US"/>
        </w:rPr>
        <w:t xml:space="preserve">icting discourses may arise.  </w:t>
      </w:r>
    </w:p>
    <w:p w:rsidR="001E1344" w:rsidRDefault="001E1344">
      <w:pPr>
        <w:jc w:val="left"/>
        <w:rPr>
          <w:lang w:val="en-US"/>
        </w:rPr>
      </w:pPr>
      <w:r>
        <w:rPr>
          <w:lang w:val="en-US"/>
        </w:rPr>
        <w:br w:type="page"/>
      </w:r>
    </w:p>
    <w:p w:rsidR="00283C8B" w:rsidRDefault="001E1344" w:rsidP="00337119">
      <w:pPr>
        <w:spacing w:line="360" w:lineRule="auto"/>
        <w:rPr>
          <w:lang w:val="en-US"/>
        </w:rPr>
      </w:pPr>
      <w:r>
        <w:rPr>
          <w:noProof/>
          <w:lang w:eastAsia="da-DK"/>
        </w:rPr>
        <w:lastRenderedPageBreak/>
        <mc:AlternateContent>
          <mc:Choice Requires="wps">
            <w:drawing>
              <wp:anchor distT="0" distB="0" distL="114300" distR="114300" simplePos="0" relativeHeight="251679744" behindDoc="0" locked="0" layoutInCell="1" allowOverlap="1" wp14:anchorId="46B2F785" wp14:editId="5ACE7A76">
                <wp:simplePos x="0" y="0"/>
                <wp:positionH relativeFrom="column">
                  <wp:posOffset>-122555</wp:posOffset>
                </wp:positionH>
                <wp:positionV relativeFrom="paragraph">
                  <wp:posOffset>-20955</wp:posOffset>
                </wp:positionV>
                <wp:extent cx="6120130" cy="457200"/>
                <wp:effectExtent l="0" t="0" r="0" b="0"/>
                <wp:wrapTight wrapText="bothSides">
                  <wp:wrapPolygon edited="0">
                    <wp:start x="0" y="0"/>
                    <wp:lineTo x="0" y="20700"/>
                    <wp:lineTo x="21515" y="20700"/>
                    <wp:lineTo x="21515" y="0"/>
                    <wp:lineTo x="0" y="0"/>
                  </wp:wrapPolygon>
                </wp:wrapTight>
                <wp:docPr id="20" name="Tekstboks 20"/>
                <wp:cNvGraphicFramePr/>
                <a:graphic xmlns:a="http://schemas.openxmlformats.org/drawingml/2006/main">
                  <a:graphicData uri="http://schemas.microsoft.com/office/word/2010/wordprocessingShape">
                    <wps:wsp>
                      <wps:cNvSpPr txBox="1"/>
                      <wps:spPr>
                        <a:xfrm>
                          <a:off x="0" y="0"/>
                          <a:ext cx="6120130" cy="457200"/>
                        </a:xfrm>
                        <a:prstGeom prst="rect">
                          <a:avLst/>
                        </a:prstGeom>
                        <a:solidFill>
                          <a:prstClr val="white"/>
                        </a:solidFill>
                        <a:ln>
                          <a:noFill/>
                        </a:ln>
                        <a:effectLst/>
                      </wps:spPr>
                      <wps:txbx>
                        <w:txbxContent>
                          <w:p w:rsidR="00CF205E" w:rsidRPr="00480FB8" w:rsidRDefault="00CF205E" w:rsidP="00762725">
                            <w:pPr>
                              <w:pStyle w:val="Billedtekst"/>
                              <w:rPr>
                                <w:noProof/>
                                <w:color w:val="auto"/>
                                <w:sz w:val="36"/>
                                <w:lang w:val="en-US"/>
                              </w:rPr>
                            </w:pPr>
                            <w:r>
                              <w:rPr>
                                <w:color w:val="auto"/>
                                <w:sz w:val="24"/>
                                <w:lang w:val="en-US"/>
                              </w:rPr>
                              <w:t>Model 6: Outline of R</w:t>
                            </w:r>
                            <w:r w:rsidRPr="00480FB8">
                              <w:rPr>
                                <w:color w:val="auto"/>
                                <w:sz w:val="24"/>
                                <w:lang w:val="en-US"/>
                              </w:rPr>
                              <w:t>elatio</w:t>
                            </w:r>
                            <w:r>
                              <w:rPr>
                                <w:color w:val="auto"/>
                                <w:sz w:val="24"/>
                                <w:lang w:val="en-US"/>
                              </w:rPr>
                              <w:t>ns between Primary Elements of C</w:t>
                            </w:r>
                            <w:r w:rsidRPr="00480FB8">
                              <w:rPr>
                                <w:color w:val="auto"/>
                                <w:sz w:val="24"/>
                                <w:lang w:val="en-US"/>
                              </w:rPr>
                              <w:t>ommunicatio</w:t>
                            </w:r>
                            <w:r>
                              <w:rPr>
                                <w:color w:val="auto"/>
                                <w:sz w:val="24"/>
                                <w:lang w:val="en-US"/>
                              </w:rPr>
                              <w:t>n</w:t>
                            </w:r>
                            <w:r w:rsidRPr="00480FB8">
                              <w:rPr>
                                <w:color w:val="auto"/>
                                <w:sz w:val="24"/>
                                <w:lang w:val="en-US"/>
                              </w:rPr>
                              <w:t xml:space="preserve"> (</w:t>
                            </w:r>
                            <w:r w:rsidR="00A75453">
                              <w:rPr>
                                <w:color w:val="auto"/>
                                <w:sz w:val="24"/>
                                <w:lang w:val="en-US"/>
                              </w:rPr>
                              <w:t>Developed by A</w:t>
                            </w:r>
                            <w:r>
                              <w:rPr>
                                <w:color w:val="auto"/>
                                <w:sz w:val="24"/>
                                <w:lang w:val="en-US"/>
                              </w:rPr>
                              <w:t>uthor</w:t>
                            </w:r>
                            <w:r w:rsidRPr="00480FB8">
                              <w:rPr>
                                <w:color w:val="auto"/>
                                <w:sz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kstboks 20" o:spid="_x0000_s1037" type="#_x0000_t202" style="position:absolute;left:0;text-align:left;margin-left:-9.65pt;margin-top:-1.65pt;width:481.9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" stroked="f">
                <v:textbox inset="0,0,0,0">
                  <w:txbxContent>
                    <w:p w:rsidR="00CF205E" w:rsidRPr="00480FB8" w:rsidRDefault="00CF205E" w:rsidP="00762725">
                      <w:pPr>
                        <w:pStyle w:val="Billedtekst"/>
                        <w:rPr>
                          <w:noProof/>
                          <w:color w:val="auto"/>
                          <w:sz w:val="36"/>
                          <w:lang w:val="en-US"/>
                        </w:rPr>
                      </w:pPr>
                      <w:r>
                        <w:rPr>
                          <w:color w:val="auto"/>
                          <w:sz w:val="24"/>
                          <w:lang w:val="en-US"/>
                        </w:rPr>
                        <w:t>Model 6: Outline of R</w:t>
                      </w:r>
                      <w:r w:rsidRPr="00480FB8">
                        <w:rPr>
                          <w:color w:val="auto"/>
                          <w:sz w:val="24"/>
                          <w:lang w:val="en-US"/>
                        </w:rPr>
                        <w:t>elatio</w:t>
                      </w:r>
                      <w:r>
                        <w:rPr>
                          <w:color w:val="auto"/>
                          <w:sz w:val="24"/>
                          <w:lang w:val="en-US"/>
                        </w:rPr>
                        <w:t>ns between Primary Elements of C</w:t>
                      </w:r>
                      <w:r w:rsidRPr="00480FB8">
                        <w:rPr>
                          <w:color w:val="auto"/>
                          <w:sz w:val="24"/>
                          <w:lang w:val="en-US"/>
                        </w:rPr>
                        <w:t>ommunicatio</w:t>
                      </w:r>
                      <w:r>
                        <w:rPr>
                          <w:color w:val="auto"/>
                          <w:sz w:val="24"/>
                          <w:lang w:val="en-US"/>
                        </w:rPr>
                        <w:t>n</w:t>
                      </w:r>
                      <w:r w:rsidRPr="00480FB8">
                        <w:rPr>
                          <w:color w:val="auto"/>
                          <w:sz w:val="24"/>
                          <w:lang w:val="en-US"/>
                        </w:rPr>
                        <w:t xml:space="preserve"> (</w:t>
                      </w:r>
                      <w:r w:rsidR="00A75453">
                        <w:rPr>
                          <w:color w:val="auto"/>
                          <w:sz w:val="24"/>
                          <w:lang w:val="en-US"/>
                        </w:rPr>
                        <w:t>Developed by A</w:t>
                      </w:r>
                      <w:r>
                        <w:rPr>
                          <w:color w:val="auto"/>
                          <w:sz w:val="24"/>
                          <w:lang w:val="en-US"/>
                        </w:rPr>
                        <w:t>uthor</w:t>
                      </w:r>
                      <w:r w:rsidRPr="00480FB8">
                        <w:rPr>
                          <w:color w:val="auto"/>
                          <w:sz w:val="24"/>
                          <w:lang w:val="en-US"/>
                        </w:rPr>
                        <w:t>).</w:t>
                      </w:r>
                    </w:p>
                  </w:txbxContent>
                </v:textbox>
                <w10:wrap type="tight"/>
              </v:shape>
            </w:pict>
          </mc:Fallback>
        </mc:AlternateContent>
      </w:r>
      <w:r w:rsidR="00600D2E">
        <w:rPr>
          <w:lang w:val="en-US"/>
        </w:rPr>
        <w:t xml:space="preserve"> </w:t>
      </w:r>
      <w:r>
        <w:rPr>
          <w:noProof/>
          <w:lang w:eastAsia="da-DK"/>
        </w:rPr>
        <w:drawing>
          <wp:inline distT="0" distB="0" distL="0" distR="0">
            <wp:extent cx="6120130" cy="3346450"/>
            <wp:effectExtent l="0" t="0" r="0" b="635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6.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3346450"/>
                    </a:xfrm>
                    <a:prstGeom prst="rect">
                      <a:avLst/>
                    </a:prstGeom>
                  </pic:spPr>
                </pic:pic>
              </a:graphicData>
            </a:graphic>
          </wp:inline>
        </w:drawing>
      </w:r>
    </w:p>
    <w:p w:rsidR="00F20AAD" w:rsidRDefault="00762725" w:rsidP="00337119">
      <w:pPr>
        <w:spacing w:line="360" w:lineRule="auto"/>
        <w:rPr>
          <w:lang w:val="en-US"/>
        </w:rPr>
      </w:pPr>
      <w:r>
        <w:rPr>
          <w:lang w:val="en-US"/>
        </w:rPr>
        <w:t xml:space="preserve">In short, the constructed figure illustrates where misalignments between discourses (conflicting discourses) may arise, depicted by the red-colored arrows – as a result of communicative and discursive relations between the elements portrayed. </w:t>
      </w:r>
    </w:p>
    <w:p w:rsidR="00762725" w:rsidRDefault="00762725" w:rsidP="00337119">
      <w:pPr>
        <w:spacing w:line="360" w:lineRule="auto"/>
        <w:rPr>
          <w:lang w:val="en-US"/>
        </w:rPr>
      </w:pPr>
      <w:r>
        <w:rPr>
          <w:lang w:val="en-US"/>
        </w:rPr>
        <w:t xml:space="preserve">Statements of Mozilla and Mitchel Baker are positioned in the same box, as the last official Mozilla statement is written by Baker (Appendix 15), leaving a question about the author of the preceding Mozilla statements. Two ‘categories’ of conflicting </w:t>
      </w:r>
      <w:r w:rsidR="00F20AAD">
        <w:rPr>
          <w:lang w:val="en-US"/>
        </w:rPr>
        <w:t>discourses may be expected in</w:t>
      </w:r>
      <w:r>
        <w:rPr>
          <w:lang w:val="en-US"/>
        </w:rPr>
        <w:t xml:space="preserve"> the view of the specific case. First of all, the active presence of three</w:t>
      </w:r>
      <w:r w:rsidR="00F20AAD">
        <w:rPr>
          <w:lang w:val="en-US"/>
        </w:rPr>
        <w:t xml:space="preserve"> communicating voices </w:t>
      </w:r>
      <w:r>
        <w:rPr>
          <w:lang w:val="en-US"/>
        </w:rPr>
        <w:t>facilitates potential discursive misalignments in their (constructed discourses) relationship to each other – as well as potential misalignment between discourses within each statement. This is an expectation arising from the consideration that t</w:t>
      </w:r>
      <w:r w:rsidR="00F20AAD">
        <w:rPr>
          <w:lang w:val="en-US"/>
        </w:rPr>
        <w:t xml:space="preserve">hree </w:t>
      </w:r>
      <w:r>
        <w:rPr>
          <w:lang w:val="en-US"/>
        </w:rPr>
        <w:t xml:space="preserve">authors are set to communicate, expectably, the somewhat same information with the same discursive frames (crisis response strategies and CSR), but with different stakes (Mozilla is in a crisis because of </w:t>
      </w:r>
      <w:proofErr w:type="spellStart"/>
      <w:r>
        <w:rPr>
          <w:lang w:val="en-US"/>
        </w:rPr>
        <w:t>Eich</w:t>
      </w:r>
      <w:proofErr w:type="spellEnd"/>
      <w:r>
        <w:rPr>
          <w:lang w:val="en-US"/>
        </w:rPr>
        <w:t xml:space="preserve">). The second category concerns the discursive relationship between the constructed discourses (CSR) and the crisis communication strategies in use, which can be said to direct the main discursive frame. Moreover (illustrated with the two-ended arrow in the middle of the model), it can be assumed that the conflicting discourses arising within </w:t>
      </w:r>
      <w:r>
        <w:rPr>
          <w:lang w:val="en-US"/>
        </w:rPr>
        <w:lastRenderedPageBreak/>
        <w:t xml:space="preserve">the first category may overlap with the second – in the sense that the conflicting discourses between the ‘two’ statements may be in conflict with the crisis communication’s discursive aspect as well. </w:t>
      </w:r>
      <w:r w:rsidR="00D40D28">
        <w:rPr>
          <w:lang w:val="en-US"/>
        </w:rPr>
        <w:t>T</w:t>
      </w:r>
      <w:r>
        <w:rPr>
          <w:lang w:val="en-US"/>
        </w:rPr>
        <w:t>he element of ‘stakeholder statements’ represents the occurrence of the crisis, providing the basis for producing the responsive statements. The ‘ideology’ and ‘identity’ arrows signify the terms or ‘explanation’ in which the discourses (and the potential conflicting di</w:t>
      </w:r>
      <w:r w:rsidR="00D40D28">
        <w:rPr>
          <w:lang w:val="en-US"/>
        </w:rPr>
        <w:t>scourses) are created, which may</w:t>
      </w:r>
      <w:r>
        <w:rPr>
          <w:lang w:val="en-US"/>
        </w:rPr>
        <w:t xml:space="preserve"> be determined through the critical discourse analysis.</w:t>
      </w:r>
    </w:p>
    <w:p w:rsidR="00F958BA" w:rsidRPr="00DB4F92" w:rsidRDefault="00762725" w:rsidP="00337119">
      <w:pPr>
        <w:spacing w:line="360" w:lineRule="auto"/>
        <w:rPr>
          <w:lang w:val="en-US"/>
        </w:rPr>
      </w:pPr>
      <w:r>
        <w:rPr>
          <w:lang w:val="en-US"/>
        </w:rPr>
        <w:t xml:space="preserve">To accommodate the expectations/presumptions presented through Model 6, the analytical approach will be based upon </w:t>
      </w:r>
      <w:proofErr w:type="spellStart"/>
      <w:r>
        <w:rPr>
          <w:lang w:val="en-US"/>
        </w:rPr>
        <w:t>Fairclough’s</w:t>
      </w:r>
      <w:proofErr w:type="spellEnd"/>
      <w:r>
        <w:rPr>
          <w:lang w:val="en-US"/>
        </w:rPr>
        <w:t xml:space="preserve"> three-dimensional fram</w:t>
      </w:r>
      <w:r w:rsidR="00BA0BEA">
        <w:rPr>
          <w:lang w:val="en-US"/>
        </w:rPr>
        <w:t>ework. The text description/</w:t>
      </w:r>
      <w:r>
        <w:rPr>
          <w:lang w:val="en-US"/>
        </w:rPr>
        <w:t>analysis will be conducted on the basis of the rep</w:t>
      </w:r>
      <w:r w:rsidR="00F20AAD">
        <w:rPr>
          <w:lang w:val="en-US"/>
        </w:rPr>
        <w:t>resented analytical model (see 5</w:t>
      </w:r>
      <w:r>
        <w:rPr>
          <w:lang w:val="en-US"/>
        </w:rPr>
        <w:t>.3.1.1 – Model 5), focusing on the most prominent lexical surface features</w:t>
      </w:r>
      <w:r w:rsidR="00F958BA" w:rsidRPr="00F958BA">
        <w:rPr>
          <w:lang w:val="en-US"/>
        </w:rPr>
        <w:t xml:space="preserve"> </w:t>
      </w:r>
      <w:r w:rsidR="00F958BA">
        <w:rPr>
          <w:lang w:val="en-US"/>
        </w:rPr>
        <w:t>(</w:t>
      </w:r>
      <w:r w:rsidR="00F958BA" w:rsidRPr="00F20AAD">
        <w:rPr>
          <w:lang w:val="en-US"/>
        </w:rPr>
        <w:t>signs/moments</w:t>
      </w:r>
      <w:r w:rsidR="00F958BA">
        <w:rPr>
          <w:lang w:val="en-US"/>
        </w:rPr>
        <w:t>)</w:t>
      </w:r>
      <w:r>
        <w:rPr>
          <w:lang w:val="en-US"/>
        </w:rPr>
        <w:t xml:space="preserve">. </w:t>
      </w:r>
      <w:r w:rsidR="00F958BA">
        <w:rPr>
          <w:lang w:val="en-US"/>
        </w:rPr>
        <w:t xml:space="preserve">The model </w:t>
      </w:r>
      <w:r>
        <w:rPr>
          <w:lang w:val="en-US"/>
        </w:rPr>
        <w:t>will be the foundation of an interpretation of the texts and embedded discourses</w:t>
      </w:r>
      <w:r w:rsidR="00B821C1">
        <w:rPr>
          <w:lang w:val="en-US"/>
        </w:rPr>
        <w:t xml:space="preserve"> of CSR</w:t>
      </w:r>
      <w:r>
        <w:rPr>
          <w:lang w:val="en-US"/>
        </w:rPr>
        <w:t>, where a determination of conf</w:t>
      </w:r>
      <w:r w:rsidR="00F20AAD">
        <w:rPr>
          <w:lang w:val="en-US"/>
        </w:rPr>
        <w:t>licting discourses may be made.</w:t>
      </w:r>
    </w:p>
    <w:p w:rsidR="001E1344" w:rsidRDefault="001E1344">
      <w:pPr>
        <w:jc w:val="left"/>
        <w:rPr>
          <w:rFonts w:eastAsiaTheme="majorEastAsia" w:cstheme="majorBidi"/>
          <w:b/>
          <w:bCs/>
          <w:color w:val="000000" w:themeColor="text1"/>
          <w:spacing w:val="5"/>
          <w:kern w:val="28"/>
          <w:sz w:val="32"/>
          <w:szCs w:val="28"/>
          <w:lang w:val="en-US"/>
        </w:rPr>
      </w:pPr>
      <w:bookmarkStart w:id="82" w:name="_Toc420075836"/>
      <w:r>
        <w:rPr>
          <w:lang w:val="en-US"/>
        </w:rPr>
        <w:br w:type="page"/>
      </w:r>
    </w:p>
    <w:p w:rsidR="00762725" w:rsidRDefault="004B375D" w:rsidP="00337119">
      <w:pPr>
        <w:pStyle w:val="Overskrift1"/>
        <w:pBdr>
          <w:bottom w:val="single" w:sz="4" w:space="1" w:color="auto"/>
        </w:pBdr>
        <w:spacing w:line="360" w:lineRule="auto"/>
        <w:rPr>
          <w:lang w:val="en-US"/>
        </w:rPr>
      </w:pPr>
      <w:bookmarkStart w:id="83" w:name="_Toc420761650"/>
      <w:r>
        <w:rPr>
          <w:lang w:val="en-US"/>
        </w:rPr>
        <w:lastRenderedPageBreak/>
        <w:t>6.</w:t>
      </w:r>
      <w:r w:rsidR="00762725">
        <w:rPr>
          <w:lang w:val="en-US"/>
        </w:rPr>
        <w:t xml:space="preserve"> </w:t>
      </w:r>
      <w:r w:rsidR="00762725" w:rsidRPr="00112372">
        <w:rPr>
          <w:lang w:val="en-US"/>
        </w:rPr>
        <w:t>Empirical Data</w:t>
      </w:r>
      <w:bookmarkEnd w:id="82"/>
      <w:bookmarkEnd w:id="83"/>
    </w:p>
    <w:p w:rsidR="00762725" w:rsidRDefault="00B17159" w:rsidP="00337119">
      <w:pPr>
        <w:spacing w:line="360" w:lineRule="auto"/>
        <w:rPr>
          <w:lang w:val="en-US"/>
        </w:rPr>
      </w:pPr>
      <w:r>
        <w:rPr>
          <w:lang w:val="en-US"/>
        </w:rPr>
        <w:t>Through a representation of the development of the Mozilla crisis situation, this chapter w</w:t>
      </w:r>
      <w:r w:rsidR="00762725">
        <w:rPr>
          <w:lang w:val="en-US"/>
        </w:rPr>
        <w:t>ill</w:t>
      </w:r>
      <w:r>
        <w:rPr>
          <w:lang w:val="en-US"/>
        </w:rPr>
        <w:t>, chronologically, present</w:t>
      </w:r>
      <w:r w:rsidR="00762725">
        <w:rPr>
          <w:lang w:val="en-US"/>
        </w:rPr>
        <w:t xml:space="preserve"> the empirical data in use wi</w:t>
      </w:r>
      <w:r>
        <w:rPr>
          <w:lang w:val="en-US"/>
        </w:rPr>
        <w:t xml:space="preserve">thin the analytical part of the study. </w:t>
      </w:r>
      <w:r w:rsidR="00F543B3">
        <w:rPr>
          <w:lang w:val="en-US"/>
        </w:rPr>
        <w:t>T</w:t>
      </w:r>
      <w:r w:rsidR="00762725">
        <w:rPr>
          <w:lang w:val="en-US"/>
        </w:rPr>
        <w:t>o more comprehensively address the specifications of the case</w:t>
      </w:r>
      <w:r>
        <w:rPr>
          <w:lang w:val="en-US"/>
        </w:rPr>
        <w:t>,</w:t>
      </w:r>
      <w:r w:rsidR="00762725">
        <w:rPr>
          <w:lang w:val="en-US"/>
        </w:rPr>
        <w:t xml:space="preserve"> the empirical data will be </w:t>
      </w:r>
      <w:r w:rsidR="00BA4173">
        <w:rPr>
          <w:lang w:val="en-US"/>
        </w:rPr>
        <w:t xml:space="preserve">narratively </w:t>
      </w:r>
      <w:r w:rsidR="00762725">
        <w:rPr>
          <w:lang w:val="en-US"/>
        </w:rPr>
        <w:t>presented in correlation</w:t>
      </w:r>
      <w:r w:rsidR="00BA4173">
        <w:rPr>
          <w:lang w:val="en-US"/>
        </w:rPr>
        <w:t xml:space="preserve"> with text material (statements</w:t>
      </w:r>
      <w:r w:rsidR="00762725">
        <w:rPr>
          <w:lang w:val="en-US"/>
        </w:rPr>
        <w:t xml:space="preserve">) from external actors with plausible relevance in an analytical discussion. </w:t>
      </w:r>
    </w:p>
    <w:p w:rsidR="00762725" w:rsidRDefault="004B375D" w:rsidP="00337119">
      <w:pPr>
        <w:pStyle w:val="Overskrift2"/>
        <w:spacing w:line="360" w:lineRule="auto"/>
        <w:rPr>
          <w:lang w:val="en-US"/>
        </w:rPr>
      </w:pPr>
      <w:bookmarkStart w:id="84" w:name="_Toc420075837"/>
      <w:bookmarkStart w:id="85" w:name="_Toc420761651"/>
      <w:r>
        <w:rPr>
          <w:lang w:val="en-US"/>
        </w:rPr>
        <w:t>6</w:t>
      </w:r>
      <w:r w:rsidR="00762725">
        <w:rPr>
          <w:lang w:val="en-US"/>
        </w:rPr>
        <w:t>.1 Case</w:t>
      </w:r>
      <w:bookmarkEnd w:id="84"/>
      <w:bookmarkEnd w:id="85"/>
    </w:p>
    <w:p w:rsidR="003208D3" w:rsidRDefault="00603CC5" w:rsidP="00337119">
      <w:pPr>
        <w:spacing w:line="360" w:lineRule="auto"/>
        <w:rPr>
          <w:szCs w:val="24"/>
          <w:lang w:val="en-US"/>
        </w:rPr>
      </w:pPr>
      <w:r>
        <w:rPr>
          <w:lang w:val="en-US"/>
        </w:rPr>
        <w:t xml:space="preserve">In April 2012, when the incident of Brendan </w:t>
      </w:r>
      <w:proofErr w:type="spellStart"/>
      <w:r>
        <w:rPr>
          <w:lang w:val="en-US"/>
        </w:rPr>
        <w:t>Eich’s</w:t>
      </w:r>
      <w:proofErr w:type="spellEnd"/>
      <w:r>
        <w:rPr>
          <w:lang w:val="en-US"/>
        </w:rPr>
        <w:t xml:space="preserve"> anti same-sex marriage d</w:t>
      </w:r>
      <w:r w:rsidR="00BF2485">
        <w:rPr>
          <w:lang w:val="en-US"/>
        </w:rPr>
        <w:t>onation in 2008 (Proposition 8)</w:t>
      </w:r>
      <w:r>
        <w:rPr>
          <w:lang w:val="en-US"/>
        </w:rPr>
        <w:t xml:space="preserve"> became </w:t>
      </w:r>
      <w:r w:rsidR="008059F3">
        <w:rPr>
          <w:lang w:val="en-US"/>
        </w:rPr>
        <w:t xml:space="preserve">known to the </w:t>
      </w:r>
      <w:r>
        <w:rPr>
          <w:lang w:val="en-US"/>
        </w:rPr>
        <w:t>public</w:t>
      </w:r>
      <w:sdt>
        <w:sdtPr>
          <w:rPr>
            <w:lang w:val="en-US"/>
          </w:rPr>
          <w:id w:val="-1694068723"/>
          <w:citation/>
        </w:sdtPr>
        <w:sdtContent>
          <w:r>
            <w:rPr>
              <w:lang w:val="en-US"/>
            </w:rPr>
            <w:fldChar w:fldCharType="begin"/>
          </w:r>
          <w:r w:rsidRPr="004C0DB2">
            <w:rPr>
              <w:lang w:val="en-US"/>
            </w:rPr>
            <w:instrText xml:space="preserve"> CITATION Jes08 \l 1030 </w:instrText>
          </w:r>
          <w:r>
            <w:rPr>
              <w:lang w:val="en-US"/>
            </w:rPr>
            <w:fldChar w:fldCharType="separate"/>
          </w:r>
          <w:r w:rsidR="00F623D4">
            <w:rPr>
              <w:noProof/>
              <w:lang w:val="en-US"/>
            </w:rPr>
            <w:t xml:space="preserve"> (McKinley 2008)</w:t>
          </w:r>
          <w:r>
            <w:rPr>
              <w:lang w:val="en-US"/>
            </w:rPr>
            <w:fldChar w:fldCharType="end"/>
          </w:r>
        </w:sdtContent>
      </w:sdt>
      <w:r>
        <w:rPr>
          <w:lang w:val="en-US"/>
        </w:rPr>
        <w:t>, discontent</w:t>
      </w:r>
      <w:r w:rsidR="00762725">
        <w:rPr>
          <w:lang w:val="en-US"/>
        </w:rPr>
        <w:t xml:space="preserve"> quickly disseminated across the media landscape – especially on Twitter with over 5.000 comments </w:t>
      </w:r>
      <w:r w:rsidR="00F93CCE">
        <w:rPr>
          <w:lang w:val="en-US"/>
        </w:rPr>
        <w:t xml:space="preserve">criticizing </w:t>
      </w:r>
      <w:proofErr w:type="spellStart"/>
      <w:r w:rsidR="00F93CCE">
        <w:rPr>
          <w:lang w:val="en-US"/>
        </w:rPr>
        <w:t>Eich</w:t>
      </w:r>
      <w:proofErr w:type="spellEnd"/>
      <w:sdt>
        <w:sdtPr>
          <w:rPr>
            <w:i/>
            <w:lang w:val="en-US"/>
          </w:rPr>
          <w:id w:val="-708338712"/>
          <w:citation/>
        </w:sdtPr>
        <w:sdtContent>
          <w:r w:rsidR="00762725">
            <w:rPr>
              <w:i/>
              <w:lang w:val="en-US"/>
            </w:rPr>
            <w:fldChar w:fldCharType="begin"/>
          </w:r>
          <w:r w:rsidR="00762725" w:rsidRPr="006627FD">
            <w:rPr>
              <w:i/>
              <w:lang w:val="en-US"/>
            </w:rPr>
            <w:instrText xml:space="preserve"> CITATION Deb12 \l 1030 </w:instrText>
          </w:r>
          <w:r w:rsidR="00762725">
            <w:rPr>
              <w:i/>
              <w:lang w:val="en-US"/>
            </w:rPr>
            <w:fldChar w:fldCharType="separate"/>
          </w:r>
          <w:r w:rsidR="00F623D4">
            <w:rPr>
              <w:i/>
              <w:noProof/>
              <w:lang w:val="en-US"/>
            </w:rPr>
            <w:t xml:space="preserve"> </w:t>
          </w:r>
          <w:r w:rsidR="00F623D4">
            <w:rPr>
              <w:noProof/>
              <w:lang w:val="en-US"/>
            </w:rPr>
            <w:t>(Netburn 2012)</w:t>
          </w:r>
          <w:r w:rsidR="00762725">
            <w:rPr>
              <w:i/>
              <w:lang w:val="en-US"/>
            </w:rPr>
            <w:fldChar w:fldCharType="end"/>
          </w:r>
        </w:sdtContent>
      </w:sdt>
      <w:r w:rsidR="00762725">
        <w:rPr>
          <w:lang w:val="en-US"/>
        </w:rPr>
        <w:t xml:space="preserve">. The community surrounding Mozilla was enraged by this discovery, but the organization itself did not act on it. On the other hand, </w:t>
      </w:r>
      <w:proofErr w:type="spellStart"/>
      <w:r w:rsidR="00762725">
        <w:rPr>
          <w:lang w:val="en-US"/>
        </w:rPr>
        <w:t>Eich</w:t>
      </w:r>
      <w:proofErr w:type="spellEnd"/>
      <w:r w:rsidR="00762725">
        <w:rPr>
          <w:lang w:val="en-US"/>
        </w:rPr>
        <w:t xml:space="preserve"> himself made a statement to address the anger towards his person and organization</w:t>
      </w:r>
      <w:r w:rsidR="00F93CCE">
        <w:rPr>
          <w:lang w:val="en-US"/>
        </w:rPr>
        <w:t xml:space="preserve"> (Appendix 2)</w:t>
      </w:r>
      <w:r w:rsidR="00762725">
        <w:rPr>
          <w:lang w:val="en-US"/>
        </w:rPr>
        <w:t xml:space="preserve">. </w:t>
      </w:r>
      <w:r w:rsidR="00762725" w:rsidRPr="00F506BA">
        <w:rPr>
          <w:szCs w:val="24"/>
          <w:lang w:val="en-US"/>
        </w:rPr>
        <w:t>The controversy was not resolved in the wake of this statement, but the situation abated eventually</w:t>
      </w:r>
      <w:sdt>
        <w:sdtPr>
          <w:rPr>
            <w:szCs w:val="24"/>
            <w:lang w:val="en-US"/>
          </w:rPr>
          <w:id w:val="960144830"/>
          <w:citation/>
        </w:sdtPr>
        <w:sdtContent>
          <w:r w:rsidR="00762725" w:rsidRPr="00F506BA">
            <w:rPr>
              <w:szCs w:val="24"/>
              <w:lang w:val="en-US"/>
            </w:rPr>
            <w:fldChar w:fldCharType="begin"/>
          </w:r>
          <w:r w:rsidR="00BD0F93">
            <w:rPr>
              <w:szCs w:val="24"/>
              <w:lang w:val="en-US"/>
            </w:rPr>
            <w:instrText xml:space="preserve">CITATION Kel121 \t  \l 1030 </w:instrText>
          </w:r>
          <w:r w:rsidR="00762725" w:rsidRPr="00F506BA">
            <w:rPr>
              <w:szCs w:val="24"/>
              <w:lang w:val="en-US"/>
            </w:rPr>
            <w:fldChar w:fldCharType="separate"/>
          </w:r>
          <w:r w:rsidR="00F623D4">
            <w:rPr>
              <w:noProof/>
              <w:szCs w:val="24"/>
              <w:lang w:val="en-US"/>
            </w:rPr>
            <w:t xml:space="preserve"> </w:t>
          </w:r>
          <w:r w:rsidR="00F623D4" w:rsidRPr="00F623D4">
            <w:rPr>
              <w:noProof/>
              <w:szCs w:val="24"/>
              <w:lang w:val="en-US"/>
            </w:rPr>
            <w:t>(Faircloth 2012)</w:t>
          </w:r>
          <w:r w:rsidR="00762725" w:rsidRPr="00F506BA">
            <w:rPr>
              <w:szCs w:val="24"/>
              <w:lang w:val="en-US"/>
            </w:rPr>
            <w:fldChar w:fldCharType="end"/>
          </w:r>
        </w:sdtContent>
      </w:sdt>
      <w:r w:rsidR="00762725" w:rsidRPr="00F506BA">
        <w:rPr>
          <w:szCs w:val="24"/>
          <w:lang w:val="en-US"/>
        </w:rPr>
        <w:t xml:space="preserve">. </w:t>
      </w:r>
    </w:p>
    <w:p w:rsidR="00D97A82" w:rsidRDefault="00762725" w:rsidP="00337119">
      <w:pPr>
        <w:spacing w:line="360" w:lineRule="auto"/>
        <w:rPr>
          <w:szCs w:val="24"/>
          <w:lang w:val="en-US"/>
        </w:rPr>
      </w:pPr>
      <w:r w:rsidRPr="00F506BA">
        <w:rPr>
          <w:szCs w:val="24"/>
          <w:lang w:val="en-US"/>
        </w:rPr>
        <w:t>On March 24, an official statement from Mozilla announced that</w:t>
      </w:r>
      <w:r>
        <w:rPr>
          <w:szCs w:val="24"/>
          <w:lang w:val="en-US"/>
        </w:rPr>
        <w:t xml:space="preserve"> the new </w:t>
      </w:r>
      <w:r w:rsidR="00DF21BF">
        <w:rPr>
          <w:szCs w:val="24"/>
          <w:lang w:val="en-US"/>
        </w:rPr>
        <w:t xml:space="preserve">CEO of Mozilla was Brendan </w:t>
      </w:r>
      <w:proofErr w:type="spellStart"/>
      <w:r w:rsidR="00DF21BF">
        <w:rPr>
          <w:szCs w:val="24"/>
          <w:lang w:val="en-US"/>
        </w:rPr>
        <w:t>Eich</w:t>
      </w:r>
      <w:proofErr w:type="spellEnd"/>
      <w:sdt>
        <w:sdtPr>
          <w:rPr>
            <w:szCs w:val="24"/>
            <w:lang w:val="en-US"/>
          </w:rPr>
          <w:id w:val="-802539606"/>
          <w:citation/>
        </w:sdtPr>
        <w:sdtContent>
          <w:r w:rsidRPr="00F506BA">
            <w:rPr>
              <w:szCs w:val="24"/>
              <w:lang w:val="en-US"/>
            </w:rPr>
            <w:fldChar w:fldCharType="begin"/>
          </w:r>
          <w:r w:rsidRPr="00F506BA">
            <w:rPr>
              <w:szCs w:val="24"/>
              <w:lang w:val="en-US"/>
            </w:rPr>
            <w:instrText xml:space="preserve"> CITATION Moz14 \l 1030 </w:instrText>
          </w:r>
          <w:r w:rsidRPr="00F506BA">
            <w:rPr>
              <w:szCs w:val="24"/>
              <w:lang w:val="en-US"/>
            </w:rPr>
            <w:fldChar w:fldCharType="separate"/>
          </w:r>
          <w:r w:rsidR="00F623D4">
            <w:rPr>
              <w:noProof/>
              <w:szCs w:val="24"/>
              <w:lang w:val="en-US"/>
            </w:rPr>
            <w:t xml:space="preserve"> </w:t>
          </w:r>
          <w:r w:rsidR="00F623D4" w:rsidRPr="00F623D4">
            <w:rPr>
              <w:noProof/>
              <w:szCs w:val="24"/>
              <w:lang w:val="en-US"/>
            </w:rPr>
            <w:t>(Mozilla 2014)</w:t>
          </w:r>
          <w:r w:rsidRPr="00F506BA">
            <w:rPr>
              <w:szCs w:val="24"/>
              <w:lang w:val="en-US"/>
            </w:rPr>
            <w:fldChar w:fldCharType="end"/>
          </w:r>
        </w:sdtContent>
      </w:sdt>
      <w:r>
        <w:rPr>
          <w:szCs w:val="24"/>
          <w:lang w:val="en-US"/>
        </w:rPr>
        <w:t>.</w:t>
      </w:r>
      <w:r w:rsidRPr="00F506BA">
        <w:rPr>
          <w:szCs w:val="24"/>
          <w:lang w:val="en-US"/>
        </w:rPr>
        <w:t xml:space="preserve"> </w:t>
      </w:r>
      <w:r w:rsidR="00135250">
        <w:rPr>
          <w:szCs w:val="24"/>
          <w:lang w:val="en-US"/>
        </w:rPr>
        <w:t>The day after the announcement,</w:t>
      </w:r>
      <w:r w:rsidRPr="00F506BA">
        <w:rPr>
          <w:szCs w:val="24"/>
          <w:lang w:val="en-US"/>
        </w:rPr>
        <w:t xml:space="preserve"> media stories started to emerge with mentions of the personal past of </w:t>
      </w:r>
      <w:proofErr w:type="spellStart"/>
      <w:r w:rsidRPr="00F506BA">
        <w:rPr>
          <w:szCs w:val="24"/>
          <w:lang w:val="en-US"/>
        </w:rPr>
        <w:t>Eich</w:t>
      </w:r>
      <w:proofErr w:type="spellEnd"/>
      <w:sdt>
        <w:sdtPr>
          <w:rPr>
            <w:szCs w:val="24"/>
            <w:lang w:val="en-US"/>
          </w:rPr>
          <w:id w:val="-6762978"/>
          <w:citation/>
        </w:sdtPr>
        <w:sdtContent>
          <w:r w:rsidR="00DF21BF" w:rsidRPr="00F506BA">
            <w:rPr>
              <w:szCs w:val="24"/>
              <w:lang w:val="en-US"/>
            </w:rPr>
            <w:fldChar w:fldCharType="begin"/>
          </w:r>
          <w:r w:rsidR="00DF21BF" w:rsidRPr="00F506BA">
            <w:rPr>
              <w:szCs w:val="24"/>
              <w:lang w:val="en-US"/>
            </w:rPr>
            <w:instrText xml:space="preserve"> CITATION Moz141 \l 1030 </w:instrText>
          </w:r>
          <w:r w:rsidR="00DF21BF" w:rsidRPr="00F506BA">
            <w:rPr>
              <w:szCs w:val="24"/>
              <w:lang w:val="en-US"/>
            </w:rPr>
            <w:fldChar w:fldCharType="separate"/>
          </w:r>
          <w:r w:rsidR="00F623D4">
            <w:rPr>
              <w:noProof/>
              <w:szCs w:val="24"/>
              <w:lang w:val="en-US"/>
            </w:rPr>
            <w:t xml:space="preserve"> </w:t>
          </w:r>
          <w:r w:rsidR="00F623D4" w:rsidRPr="00F623D4">
            <w:rPr>
              <w:noProof/>
              <w:szCs w:val="24"/>
              <w:lang w:val="en-US"/>
            </w:rPr>
            <w:t>(Mozilla 2014)</w:t>
          </w:r>
          <w:r w:rsidR="00DF21BF" w:rsidRPr="00F506BA">
            <w:rPr>
              <w:szCs w:val="24"/>
              <w:lang w:val="en-US"/>
            </w:rPr>
            <w:fldChar w:fldCharType="end"/>
          </w:r>
        </w:sdtContent>
      </w:sdt>
      <w:r w:rsidR="00135250">
        <w:rPr>
          <w:szCs w:val="24"/>
          <w:lang w:val="en-US"/>
        </w:rPr>
        <w:t xml:space="preserve">. </w:t>
      </w:r>
      <w:r w:rsidR="00DF21BF">
        <w:rPr>
          <w:szCs w:val="24"/>
          <w:lang w:val="en-US"/>
        </w:rPr>
        <w:t>At this point</w:t>
      </w:r>
      <w:r w:rsidRPr="00F506BA">
        <w:rPr>
          <w:szCs w:val="24"/>
          <w:lang w:val="en-US"/>
        </w:rPr>
        <w:t xml:space="preserve">, the app developer Rarebit announced that they would remove their apps from the Mozilla Firefox marketplace, </w:t>
      </w:r>
      <w:r w:rsidR="00507759">
        <w:rPr>
          <w:szCs w:val="24"/>
          <w:lang w:val="en-US"/>
        </w:rPr>
        <w:t>because they had no desire of supporting a foundation, endorsing a person with hateful views</w:t>
      </w:r>
      <w:sdt>
        <w:sdtPr>
          <w:rPr>
            <w:szCs w:val="24"/>
            <w:lang w:val="en-US"/>
          </w:rPr>
          <w:id w:val="-963582195"/>
          <w:citation/>
        </w:sdtPr>
        <w:sdtContent>
          <w:r w:rsidRPr="00F506BA">
            <w:rPr>
              <w:szCs w:val="24"/>
              <w:lang w:val="en-US"/>
            </w:rPr>
            <w:fldChar w:fldCharType="begin"/>
          </w:r>
          <w:r w:rsidR="00BD0F93">
            <w:rPr>
              <w:szCs w:val="24"/>
              <w:lang w:val="en-US"/>
            </w:rPr>
            <w:instrText xml:space="preserve">CITATION Sam14 \t  \l 1030 </w:instrText>
          </w:r>
          <w:r w:rsidRPr="00F506BA">
            <w:rPr>
              <w:szCs w:val="24"/>
              <w:lang w:val="en-US"/>
            </w:rPr>
            <w:fldChar w:fldCharType="separate"/>
          </w:r>
          <w:r w:rsidR="00F623D4">
            <w:rPr>
              <w:noProof/>
              <w:szCs w:val="24"/>
              <w:lang w:val="en-US"/>
            </w:rPr>
            <w:t xml:space="preserve"> </w:t>
          </w:r>
          <w:r w:rsidR="00F623D4" w:rsidRPr="00F623D4">
            <w:rPr>
              <w:noProof/>
              <w:szCs w:val="24"/>
              <w:lang w:val="en-US"/>
            </w:rPr>
            <w:t>(Machkovech 2014)</w:t>
          </w:r>
          <w:r w:rsidRPr="00F506BA">
            <w:rPr>
              <w:szCs w:val="24"/>
              <w:lang w:val="en-US"/>
            </w:rPr>
            <w:fldChar w:fldCharType="end"/>
          </w:r>
        </w:sdtContent>
      </w:sdt>
      <w:r w:rsidRPr="00F506BA">
        <w:rPr>
          <w:szCs w:val="24"/>
          <w:lang w:val="en-US"/>
        </w:rPr>
        <w:t xml:space="preserve">. </w:t>
      </w:r>
      <w:r w:rsidR="00135250">
        <w:rPr>
          <w:szCs w:val="24"/>
          <w:lang w:val="en-US"/>
        </w:rPr>
        <w:t>Moreover, blog post</w:t>
      </w:r>
      <w:r w:rsidR="00D97A82">
        <w:rPr>
          <w:szCs w:val="24"/>
          <w:lang w:val="en-US"/>
        </w:rPr>
        <w:t>s</w:t>
      </w:r>
      <w:r w:rsidR="00135250">
        <w:rPr>
          <w:szCs w:val="24"/>
          <w:lang w:val="en-US"/>
        </w:rPr>
        <w:t xml:space="preserve"> </w:t>
      </w:r>
      <w:r w:rsidR="00D97A82">
        <w:rPr>
          <w:szCs w:val="24"/>
          <w:lang w:val="en-US"/>
        </w:rPr>
        <w:t xml:space="preserve">and social media comments from angered stakeholders emerged – for example </w:t>
      </w:r>
      <w:r w:rsidR="00135250">
        <w:rPr>
          <w:szCs w:val="24"/>
          <w:lang w:val="en-US"/>
        </w:rPr>
        <w:t>in connection with an image on the</w:t>
      </w:r>
      <w:r w:rsidRPr="00F52C43">
        <w:rPr>
          <w:szCs w:val="24"/>
          <w:lang w:val="en-US"/>
        </w:rPr>
        <w:t xml:space="preserve"> Mozilla Firefox Facebook page </w:t>
      </w:r>
      <w:r w:rsidR="00135250" w:rsidRPr="00F52C43">
        <w:rPr>
          <w:szCs w:val="24"/>
          <w:lang w:val="en-US"/>
        </w:rPr>
        <w:t xml:space="preserve">(Appendix </w:t>
      </w:r>
      <w:r w:rsidR="00135250">
        <w:rPr>
          <w:szCs w:val="24"/>
          <w:lang w:val="en-US"/>
        </w:rPr>
        <w:t>3</w:t>
      </w:r>
      <w:r w:rsidR="00135250" w:rsidRPr="00F52C43">
        <w:rPr>
          <w:szCs w:val="24"/>
          <w:lang w:val="en-US"/>
        </w:rPr>
        <w:t>)</w:t>
      </w:r>
      <w:r w:rsidR="00135250">
        <w:rPr>
          <w:szCs w:val="24"/>
          <w:lang w:val="en-US"/>
        </w:rPr>
        <w:t xml:space="preserve">, </w:t>
      </w:r>
      <w:r w:rsidR="00D97A82">
        <w:rPr>
          <w:szCs w:val="24"/>
          <w:lang w:val="en-US"/>
        </w:rPr>
        <w:t xml:space="preserve">where stakeholders expressed </w:t>
      </w:r>
      <w:r>
        <w:rPr>
          <w:szCs w:val="24"/>
          <w:lang w:val="en-US"/>
        </w:rPr>
        <w:t>an intention</w:t>
      </w:r>
      <w:r w:rsidRPr="00F52C43">
        <w:rPr>
          <w:szCs w:val="24"/>
          <w:lang w:val="en-US"/>
        </w:rPr>
        <w:t xml:space="preserve"> to</w:t>
      </w:r>
      <w:r w:rsidR="006136B5">
        <w:rPr>
          <w:szCs w:val="24"/>
          <w:lang w:val="en-US"/>
        </w:rPr>
        <w:t xml:space="preserve"> </w:t>
      </w:r>
      <w:r w:rsidRPr="00F52C43">
        <w:rPr>
          <w:szCs w:val="24"/>
          <w:lang w:val="en-US"/>
        </w:rPr>
        <w:t xml:space="preserve">boycott Mozilla products until </w:t>
      </w:r>
      <w:proofErr w:type="spellStart"/>
      <w:r w:rsidRPr="00F52C43">
        <w:rPr>
          <w:szCs w:val="24"/>
          <w:lang w:val="en-US"/>
        </w:rPr>
        <w:t>Eich</w:t>
      </w:r>
      <w:proofErr w:type="spellEnd"/>
      <w:r w:rsidRPr="00F52C43">
        <w:rPr>
          <w:szCs w:val="24"/>
          <w:lang w:val="en-US"/>
        </w:rPr>
        <w:t xml:space="preserve"> was ‘shown the door’ (</w:t>
      </w:r>
      <w:r>
        <w:rPr>
          <w:szCs w:val="24"/>
          <w:lang w:val="en-US"/>
        </w:rPr>
        <w:t>Appendix 4</w:t>
      </w:r>
      <w:r w:rsidRPr="00F52C43">
        <w:rPr>
          <w:szCs w:val="24"/>
          <w:lang w:val="en-US"/>
        </w:rPr>
        <w:t xml:space="preserve">). </w:t>
      </w:r>
    </w:p>
    <w:p w:rsidR="00762725" w:rsidRPr="00F52C43" w:rsidRDefault="00762725" w:rsidP="00337119">
      <w:pPr>
        <w:spacing w:line="360" w:lineRule="auto"/>
        <w:rPr>
          <w:szCs w:val="24"/>
          <w:lang w:val="en-US"/>
        </w:rPr>
      </w:pPr>
      <w:r w:rsidRPr="00F52C43">
        <w:rPr>
          <w:szCs w:val="24"/>
          <w:lang w:val="en-US"/>
        </w:rPr>
        <w:t xml:space="preserve">On March 26, Mozilla Firefox responded to the comments on Facebook by referring </w:t>
      </w:r>
      <w:r>
        <w:rPr>
          <w:szCs w:val="24"/>
          <w:lang w:val="en-US"/>
        </w:rPr>
        <w:t>stakeholders</w:t>
      </w:r>
      <w:r w:rsidRPr="00F52C43">
        <w:rPr>
          <w:szCs w:val="24"/>
          <w:lang w:val="en-US"/>
        </w:rPr>
        <w:t xml:space="preserve"> to two explanatory statements concerning the matter, being blog posts by Brendan </w:t>
      </w:r>
      <w:proofErr w:type="spellStart"/>
      <w:r w:rsidRPr="00F52C43">
        <w:rPr>
          <w:szCs w:val="24"/>
          <w:lang w:val="en-US"/>
        </w:rPr>
        <w:t>Eich</w:t>
      </w:r>
      <w:proofErr w:type="spellEnd"/>
      <w:r w:rsidRPr="00F52C43">
        <w:rPr>
          <w:szCs w:val="24"/>
          <w:lang w:val="en-US"/>
        </w:rPr>
        <w:t xml:space="preserve"> (Appendi</w:t>
      </w:r>
      <w:r>
        <w:rPr>
          <w:szCs w:val="24"/>
          <w:lang w:val="en-US"/>
        </w:rPr>
        <w:t>x 7</w:t>
      </w:r>
      <w:r w:rsidRPr="00F52C43">
        <w:rPr>
          <w:szCs w:val="24"/>
          <w:lang w:val="en-US"/>
        </w:rPr>
        <w:t>) and Chairwoman Mitchell Baker</w:t>
      </w:r>
      <w:r>
        <w:rPr>
          <w:szCs w:val="24"/>
          <w:lang w:val="en-US"/>
        </w:rPr>
        <w:t xml:space="preserve"> (Appendix 8</w:t>
      </w:r>
      <w:r w:rsidRPr="00F52C43">
        <w:rPr>
          <w:szCs w:val="24"/>
          <w:lang w:val="en-US"/>
        </w:rPr>
        <w:t xml:space="preserve">) on their private Mozilla blog channels. These blog posts were also officially referred to in a smaller Mozilla statement on March 25 (Appendix </w:t>
      </w:r>
      <w:r>
        <w:rPr>
          <w:szCs w:val="24"/>
          <w:lang w:val="en-US"/>
        </w:rPr>
        <w:t>5</w:t>
      </w:r>
      <w:r w:rsidRPr="00F52C43">
        <w:rPr>
          <w:szCs w:val="24"/>
          <w:lang w:val="en-US"/>
        </w:rPr>
        <w:t>) through the official Mozilla Press Center</w:t>
      </w:r>
      <w:sdt>
        <w:sdtPr>
          <w:rPr>
            <w:szCs w:val="24"/>
            <w:lang w:val="en-US"/>
          </w:rPr>
          <w:id w:val="-511922559"/>
          <w:citation/>
        </w:sdtPr>
        <w:sdtContent>
          <w:r w:rsidRPr="00F52C43">
            <w:rPr>
              <w:szCs w:val="24"/>
              <w:lang w:val="en-US"/>
            </w:rPr>
            <w:fldChar w:fldCharType="begin"/>
          </w:r>
          <w:r w:rsidRPr="00F52C43">
            <w:rPr>
              <w:szCs w:val="24"/>
              <w:lang w:val="en-US"/>
            </w:rPr>
            <w:instrText xml:space="preserve"> CITATION Moz142 \l 1030 </w:instrText>
          </w:r>
          <w:r w:rsidRPr="00F52C43">
            <w:rPr>
              <w:szCs w:val="24"/>
              <w:lang w:val="en-US"/>
            </w:rPr>
            <w:fldChar w:fldCharType="separate"/>
          </w:r>
          <w:r w:rsidR="00F623D4">
            <w:rPr>
              <w:noProof/>
              <w:szCs w:val="24"/>
              <w:lang w:val="en-US"/>
            </w:rPr>
            <w:t xml:space="preserve"> </w:t>
          </w:r>
          <w:r w:rsidR="00F623D4" w:rsidRPr="00F623D4">
            <w:rPr>
              <w:noProof/>
              <w:szCs w:val="24"/>
              <w:lang w:val="en-US"/>
            </w:rPr>
            <w:t>(Mozilla Foundation 2014)</w:t>
          </w:r>
          <w:r w:rsidRPr="00F52C43">
            <w:rPr>
              <w:szCs w:val="24"/>
              <w:lang w:val="en-US"/>
            </w:rPr>
            <w:fldChar w:fldCharType="end"/>
          </w:r>
        </w:sdtContent>
      </w:sdt>
      <w:r w:rsidRPr="00F52C43">
        <w:rPr>
          <w:szCs w:val="24"/>
          <w:lang w:val="en-US"/>
        </w:rPr>
        <w:t xml:space="preserve">. Moreover, the Firefox and Mozilla Twitter accounts also referred followers to the two blog posts (Appendix </w:t>
      </w:r>
      <w:r>
        <w:rPr>
          <w:szCs w:val="24"/>
          <w:lang w:val="en-US"/>
        </w:rPr>
        <w:t>6</w:t>
      </w:r>
      <w:r w:rsidRPr="00F52C43">
        <w:rPr>
          <w:szCs w:val="24"/>
          <w:lang w:val="en-US"/>
        </w:rPr>
        <w:t xml:space="preserve">) – stating that </w:t>
      </w:r>
      <w:r w:rsidRPr="00F52C43">
        <w:rPr>
          <w:i/>
          <w:szCs w:val="24"/>
          <w:lang w:val="en-US"/>
        </w:rPr>
        <w:t xml:space="preserve">“inclusiveness is essential to who Mozilla is. Read more </w:t>
      </w:r>
      <w:r w:rsidR="00514A6F">
        <w:rPr>
          <w:i/>
          <w:szCs w:val="24"/>
          <w:lang w:val="en-US"/>
        </w:rPr>
        <w:t>[…]”</w:t>
      </w:r>
      <w:sdt>
        <w:sdtPr>
          <w:rPr>
            <w:i/>
            <w:szCs w:val="24"/>
            <w:lang w:val="en-US"/>
          </w:rPr>
          <w:id w:val="-125393303"/>
          <w:citation/>
        </w:sdtPr>
        <w:sdtContent>
          <w:r w:rsidRPr="00F52C43">
            <w:rPr>
              <w:i/>
              <w:szCs w:val="24"/>
              <w:lang w:val="en-US"/>
            </w:rPr>
            <w:fldChar w:fldCharType="begin"/>
          </w:r>
          <w:r w:rsidRPr="00F52C43">
            <w:rPr>
              <w:i/>
              <w:szCs w:val="24"/>
              <w:lang w:val="en-US"/>
            </w:rPr>
            <w:instrText xml:space="preserve">CITATION Obe14 \p 7-8 \l 1030 </w:instrText>
          </w:r>
          <w:r w:rsidRPr="00F52C43">
            <w:rPr>
              <w:i/>
              <w:szCs w:val="24"/>
              <w:lang w:val="en-US"/>
            </w:rPr>
            <w:fldChar w:fldCharType="separate"/>
          </w:r>
          <w:r w:rsidR="00F623D4">
            <w:rPr>
              <w:i/>
              <w:noProof/>
              <w:szCs w:val="24"/>
              <w:lang w:val="en-US"/>
            </w:rPr>
            <w:t xml:space="preserve"> </w:t>
          </w:r>
          <w:r w:rsidR="00F623D4" w:rsidRPr="00F623D4">
            <w:rPr>
              <w:noProof/>
              <w:szCs w:val="24"/>
              <w:lang w:val="en-US"/>
            </w:rPr>
            <w:t>(Oberlander 2014, 7-8)</w:t>
          </w:r>
          <w:r w:rsidRPr="00F52C43">
            <w:rPr>
              <w:i/>
              <w:szCs w:val="24"/>
              <w:lang w:val="en-US"/>
            </w:rPr>
            <w:fldChar w:fldCharType="end"/>
          </w:r>
        </w:sdtContent>
      </w:sdt>
      <w:r w:rsidRPr="00F52C43">
        <w:rPr>
          <w:szCs w:val="24"/>
          <w:lang w:val="en-US"/>
        </w:rPr>
        <w:t xml:space="preserve">. </w:t>
      </w:r>
    </w:p>
    <w:p w:rsidR="00762725" w:rsidRPr="00F52C43" w:rsidRDefault="00762725" w:rsidP="00337119">
      <w:pPr>
        <w:spacing w:line="360" w:lineRule="auto"/>
        <w:rPr>
          <w:szCs w:val="24"/>
          <w:lang w:val="en-US"/>
        </w:rPr>
      </w:pPr>
      <w:r w:rsidRPr="00F52C43">
        <w:rPr>
          <w:szCs w:val="24"/>
          <w:lang w:val="en-US"/>
        </w:rPr>
        <w:lastRenderedPageBreak/>
        <w:t xml:space="preserve">On March 27, after the release of the Mozilla statements with the primary voice of Baker and </w:t>
      </w:r>
      <w:proofErr w:type="spellStart"/>
      <w:r w:rsidRPr="00F52C43">
        <w:rPr>
          <w:szCs w:val="24"/>
          <w:lang w:val="en-US"/>
        </w:rPr>
        <w:t>Eich</w:t>
      </w:r>
      <w:proofErr w:type="spellEnd"/>
      <w:r w:rsidRPr="00F52C43">
        <w:rPr>
          <w:szCs w:val="24"/>
          <w:lang w:val="en-US"/>
        </w:rPr>
        <w:t>, employees at the Mozilla Foundation expressed their anger on Twitter towards the appoin</w:t>
      </w:r>
      <w:r>
        <w:rPr>
          <w:szCs w:val="24"/>
          <w:lang w:val="en-US"/>
        </w:rPr>
        <w:t xml:space="preserve">tment of </w:t>
      </w:r>
      <w:proofErr w:type="spellStart"/>
      <w:r>
        <w:rPr>
          <w:szCs w:val="24"/>
          <w:lang w:val="en-US"/>
        </w:rPr>
        <w:t>Eich</w:t>
      </w:r>
      <w:proofErr w:type="spellEnd"/>
      <w:r>
        <w:rPr>
          <w:szCs w:val="24"/>
          <w:lang w:val="en-US"/>
        </w:rPr>
        <w:t xml:space="preserve"> as CEO (Appendix 9</w:t>
      </w:r>
      <w:r w:rsidRPr="00F52C43">
        <w:rPr>
          <w:szCs w:val="24"/>
          <w:lang w:val="en-US"/>
        </w:rPr>
        <w:t xml:space="preserve">). Several employees shared the same message across the social media platform, being, </w:t>
      </w:r>
      <w:r w:rsidRPr="00F52C43">
        <w:rPr>
          <w:i/>
          <w:szCs w:val="24"/>
          <w:lang w:val="en-US"/>
        </w:rPr>
        <w:t>”I’m an employee of @</w:t>
      </w:r>
      <w:proofErr w:type="spellStart"/>
      <w:r w:rsidRPr="00F52C43">
        <w:rPr>
          <w:i/>
          <w:szCs w:val="24"/>
          <w:lang w:val="en-US"/>
        </w:rPr>
        <w:t>mozilla</w:t>
      </w:r>
      <w:proofErr w:type="spellEnd"/>
      <w:r w:rsidRPr="00F52C43">
        <w:rPr>
          <w:i/>
          <w:szCs w:val="24"/>
          <w:lang w:val="en-US"/>
        </w:rPr>
        <w:t xml:space="preserve"> and </w:t>
      </w:r>
      <w:proofErr w:type="spellStart"/>
      <w:r w:rsidRPr="00F52C43">
        <w:rPr>
          <w:i/>
          <w:szCs w:val="24"/>
          <w:lang w:val="en-US"/>
        </w:rPr>
        <w:t>I’am</w:t>
      </w:r>
      <w:proofErr w:type="spellEnd"/>
      <w:r w:rsidRPr="00F52C43">
        <w:rPr>
          <w:i/>
          <w:szCs w:val="24"/>
          <w:lang w:val="en-US"/>
        </w:rPr>
        <w:t xml:space="preserve"> asking @</w:t>
      </w:r>
      <w:proofErr w:type="spellStart"/>
      <w:r w:rsidRPr="00F52C43">
        <w:rPr>
          <w:i/>
          <w:szCs w:val="24"/>
          <w:lang w:val="en-US"/>
        </w:rPr>
        <w:t>brendaneich</w:t>
      </w:r>
      <w:proofErr w:type="spellEnd"/>
      <w:r w:rsidRPr="00F52C43">
        <w:rPr>
          <w:i/>
          <w:szCs w:val="24"/>
          <w:lang w:val="en-US"/>
        </w:rPr>
        <w:t xml:space="preserve"> to step down as CEO”</w:t>
      </w:r>
      <w:sdt>
        <w:sdtPr>
          <w:rPr>
            <w:i/>
            <w:szCs w:val="24"/>
            <w:lang w:val="en-US"/>
          </w:rPr>
          <w:id w:val="-1552451695"/>
          <w:citation/>
        </w:sdtPr>
        <w:sdtContent>
          <w:r w:rsidRPr="00F52C43">
            <w:rPr>
              <w:i/>
              <w:szCs w:val="24"/>
              <w:lang w:val="en-US"/>
            </w:rPr>
            <w:fldChar w:fldCharType="begin"/>
          </w:r>
          <w:r w:rsidRPr="00F52C43">
            <w:rPr>
              <w:i/>
              <w:szCs w:val="24"/>
              <w:lang w:val="en-US"/>
            </w:rPr>
            <w:instrText xml:space="preserve">CITATION Sam141 \t  \l 1030 </w:instrText>
          </w:r>
          <w:r w:rsidRPr="00F52C43">
            <w:rPr>
              <w:i/>
              <w:szCs w:val="24"/>
              <w:lang w:val="en-US"/>
            </w:rPr>
            <w:fldChar w:fldCharType="separate"/>
          </w:r>
          <w:r w:rsidR="00F623D4">
            <w:rPr>
              <w:i/>
              <w:noProof/>
              <w:szCs w:val="24"/>
              <w:lang w:val="en-US"/>
            </w:rPr>
            <w:t xml:space="preserve"> </w:t>
          </w:r>
          <w:r w:rsidR="00F623D4" w:rsidRPr="00F623D4">
            <w:rPr>
              <w:noProof/>
              <w:szCs w:val="24"/>
              <w:lang w:val="en-US"/>
            </w:rPr>
            <w:t>(Machkovech 2014)</w:t>
          </w:r>
          <w:r w:rsidRPr="00F52C43">
            <w:rPr>
              <w:i/>
              <w:szCs w:val="24"/>
              <w:lang w:val="en-US"/>
            </w:rPr>
            <w:fldChar w:fldCharType="end"/>
          </w:r>
        </w:sdtContent>
      </w:sdt>
      <w:r w:rsidRPr="00F52C43">
        <w:rPr>
          <w:szCs w:val="24"/>
          <w:lang w:val="en-US"/>
        </w:rPr>
        <w:t xml:space="preserve">. Additionally, stakeholders from the LGBT community reached out to </w:t>
      </w:r>
      <w:proofErr w:type="spellStart"/>
      <w:r w:rsidRPr="00F52C43">
        <w:rPr>
          <w:szCs w:val="24"/>
          <w:lang w:val="en-US"/>
        </w:rPr>
        <w:t>Eich</w:t>
      </w:r>
      <w:proofErr w:type="spellEnd"/>
      <w:r w:rsidRPr="00F52C43">
        <w:rPr>
          <w:szCs w:val="24"/>
          <w:lang w:val="en-US"/>
        </w:rPr>
        <w:t>, encouraging him to genuinely a</w:t>
      </w:r>
      <w:r w:rsidR="009E1492">
        <w:rPr>
          <w:szCs w:val="24"/>
          <w:lang w:val="en-US"/>
        </w:rPr>
        <w:t>pologize</w:t>
      </w:r>
      <w:sdt>
        <w:sdtPr>
          <w:rPr>
            <w:szCs w:val="24"/>
            <w:lang w:val="en-US"/>
          </w:rPr>
          <w:id w:val="1235827068"/>
          <w:citation/>
        </w:sdtPr>
        <w:sdtContent>
          <w:r w:rsidRPr="00F52C43">
            <w:rPr>
              <w:szCs w:val="24"/>
              <w:lang w:val="en-US"/>
            </w:rPr>
            <w:fldChar w:fldCharType="begin"/>
          </w:r>
          <w:r w:rsidRPr="00F52C43">
            <w:rPr>
              <w:szCs w:val="24"/>
              <w:lang w:val="en-US"/>
            </w:rPr>
            <w:instrText xml:space="preserve"> CITATION Owe14 \l 1030 </w:instrText>
          </w:r>
          <w:r w:rsidRPr="00F52C43">
            <w:rPr>
              <w:szCs w:val="24"/>
              <w:lang w:val="en-US"/>
            </w:rPr>
            <w:fldChar w:fldCharType="separate"/>
          </w:r>
          <w:r w:rsidR="00F623D4">
            <w:rPr>
              <w:noProof/>
              <w:szCs w:val="24"/>
              <w:lang w:val="en-US"/>
            </w:rPr>
            <w:t xml:space="preserve"> </w:t>
          </w:r>
          <w:r w:rsidR="00F623D4" w:rsidRPr="00F623D4">
            <w:rPr>
              <w:noProof/>
              <w:szCs w:val="24"/>
              <w:lang w:val="en-US"/>
            </w:rPr>
            <w:t>(Thomas 2014)</w:t>
          </w:r>
          <w:r w:rsidRPr="00F52C43">
            <w:rPr>
              <w:szCs w:val="24"/>
              <w:lang w:val="en-US"/>
            </w:rPr>
            <w:fldChar w:fldCharType="end"/>
          </w:r>
        </w:sdtContent>
      </w:sdt>
      <w:r w:rsidRPr="00F52C43">
        <w:rPr>
          <w:szCs w:val="24"/>
          <w:lang w:val="en-US"/>
        </w:rPr>
        <w:t xml:space="preserve">. The news media got hold of another controversial incident on March 28, as a result of </w:t>
      </w:r>
      <w:proofErr w:type="spellStart"/>
      <w:r w:rsidRPr="00F52C43">
        <w:rPr>
          <w:szCs w:val="24"/>
          <w:lang w:val="en-US"/>
        </w:rPr>
        <w:t>Eich’s</w:t>
      </w:r>
      <w:proofErr w:type="spellEnd"/>
      <w:r w:rsidRPr="00F52C43">
        <w:rPr>
          <w:szCs w:val="24"/>
          <w:lang w:val="en-US"/>
        </w:rPr>
        <w:t xml:space="preserve"> promotion to CEO:</w:t>
      </w:r>
      <w:r>
        <w:rPr>
          <w:szCs w:val="24"/>
          <w:lang w:val="en-US"/>
        </w:rPr>
        <w:t xml:space="preserve"> s</w:t>
      </w:r>
      <w:r w:rsidRPr="00F52C43">
        <w:rPr>
          <w:szCs w:val="24"/>
          <w:lang w:val="en-US"/>
        </w:rPr>
        <w:t xml:space="preserve">everal media channels shared the story about the resignation of three board members of the Mozilla Foundation, who were dissatisfied with current change of leadership </w:t>
      </w:r>
      <w:sdt>
        <w:sdtPr>
          <w:rPr>
            <w:szCs w:val="24"/>
            <w:lang w:val="en-US"/>
          </w:rPr>
          <w:id w:val="1206298605"/>
          <w:citation/>
        </w:sdtPr>
        <w:sdtContent>
          <w:r w:rsidRPr="00F52C43">
            <w:rPr>
              <w:szCs w:val="24"/>
              <w:lang w:val="en-US"/>
            </w:rPr>
            <w:fldChar w:fldCharType="begin"/>
          </w:r>
          <w:r w:rsidRPr="00F52C43">
            <w:rPr>
              <w:szCs w:val="24"/>
              <w:lang w:val="en-US"/>
            </w:rPr>
            <w:instrText xml:space="preserve"> CITATION Ali14 \l 1030 </w:instrText>
          </w:r>
          <w:r w:rsidRPr="00F52C43">
            <w:rPr>
              <w:szCs w:val="24"/>
              <w:lang w:val="en-US"/>
            </w:rPr>
            <w:fldChar w:fldCharType="separate"/>
          </w:r>
          <w:r w:rsidR="00F623D4" w:rsidRPr="00F623D4">
            <w:rPr>
              <w:noProof/>
              <w:szCs w:val="24"/>
              <w:lang w:val="en-US"/>
            </w:rPr>
            <w:t>(Barr 2014)</w:t>
          </w:r>
          <w:r w:rsidRPr="00F52C43">
            <w:rPr>
              <w:szCs w:val="24"/>
              <w:lang w:val="en-US"/>
            </w:rPr>
            <w:fldChar w:fldCharType="end"/>
          </w:r>
        </w:sdtContent>
      </w:sdt>
      <w:r>
        <w:rPr>
          <w:szCs w:val="24"/>
          <w:lang w:val="en-US"/>
        </w:rPr>
        <w:t xml:space="preserve">. However, </w:t>
      </w:r>
      <w:r w:rsidRPr="00F52C43">
        <w:rPr>
          <w:szCs w:val="24"/>
          <w:lang w:val="en-US"/>
        </w:rPr>
        <w:t xml:space="preserve">in a non-published statement, Mozilla addressed the resignations as non-related to the appointment of </w:t>
      </w:r>
      <w:proofErr w:type="spellStart"/>
      <w:r w:rsidRPr="00F52C43">
        <w:rPr>
          <w:szCs w:val="24"/>
          <w:lang w:val="en-US"/>
        </w:rPr>
        <w:t>Eich</w:t>
      </w:r>
      <w:proofErr w:type="spellEnd"/>
      <w:sdt>
        <w:sdtPr>
          <w:rPr>
            <w:szCs w:val="24"/>
            <w:lang w:val="en-US"/>
          </w:rPr>
          <w:id w:val="-2097773684"/>
          <w:citation/>
        </w:sdtPr>
        <w:sdtContent>
          <w:r w:rsidR="00391329">
            <w:rPr>
              <w:szCs w:val="24"/>
              <w:lang w:val="en-US"/>
            </w:rPr>
            <w:fldChar w:fldCharType="begin"/>
          </w:r>
          <w:r w:rsidR="00391329">
            <w:rPr>
              <w:szCs w:val="24"/>
              <w:lang w:val="en-US"/>
            </w:rPr>
            <w:instrText xml:space="preserve">CITATION Ste14 \t  \l 1030 </w:instrText>
          </w:r>
          <w:r w:rsidR="00391329">
            <w:rPr>
              <w:szCs w:val="24"/>
              <w:lang w:val="en-US"/>
            </w:rPr>
            <w:fldChar w:fldCharType="separate"/>
          </w:r>
          <w:r w:rsidR="00391329">
            <w:rPr>
              <w:noProof/>
              <w:szCs w:val="24"/>
              <w:lang w:val="en-US"/>
            </w:rPr>
            <w:t xml:space="preserve"> </w:t>
          </w:r>
          <w:r w:rsidR="00391329" w:rsidRPr="00391329">
            <w:rPr>
              <w:noProof/>
              <w:szCs w:val="24"/>
              <w:lang w:val="en-US"/>
            </w:rPr>
            <w:t>(Shankland 2014)</w:t>
          </w:r>
          <w:r w:rsidR="00391329">
            <w:rPr>
              <w:szCs w:val="24"/>
              <w:lang w:val="en-US"/>
            </w:rPr>
            <w:fldChar w:fldCharType="end"/>
          </w:r>
        </w:sdtContent>
      </w:sdt>
      <w:r w:rsidRPr="00F52C43">
        <w:rPr>
          <w:szCs w:val="24"/>
          <w:lang w:val="en-US"/>
        </w:rPr>
        <w:t>. The following day (March 29), statem</w:t>
      </w:r>
      <w:r>
        <w:rPr>
          <w:szCs w:val="24"/>
          <w:lang w:val="en-US"/>
        </w:rPr>
        <w:t xml:space="preserve">ents from both </w:t>
      </w:r>
      <w:r w:rsidRPr="00F52C43">
        <w:rPr>
          <w:szCs w:val="24"/>
          <w:lang w:val="en-US"/>
        </w:rPr>
        <w:t>the Mozill</w:t>
      </w:r>
      <w:r>
        <w:rPr>
          <w:szCs w:val="24"/>
          <w:lang w:val="en-US"/>
        </w:rPr>
        <w:t>a Foundation (Appendix 10</w:t>
      </w:r>
      <w:r w:rsidRPr="00F52C43">
        <w:rPr>
          <w:szCs w:val="24"/>
          <w:lang w:val="en-US"/>
        </w:rPr>
        <w:t>)</w:t>
      </w:r>
      <w:r>
        <w:rPr>
          <w:szCs w:val="24"/>
          <w:lang w:val="en-US"/>
        </w:rPr>
        <w:t xml:space="preserve"> and</w:t>
      </w:r>
      <w:r w:rsidRPr="00F52C43">
        <w:rPr>
          <w:szCs w:val="24"/>
          <w:lang w:val="en-US"/>
        </w:rPr>
        <w:t xml:space="preserve"> </w:t>
      </w:r>
      <w:r>
        <w:rPr>
          <w:szCs w:val="24"/>
          <w:lang w:val="en-US"/>
        </w:rPr>
        <w:t>Baker (Appendix 11</w:t>
      </w:r>
      <w:r w:rsidRPr="00F52C43">
        <w:rPr>
          <w:szCs w:val="24"/>
          <w:lang w:val="en-US"/>
        </w:rPr>
        <w:t>) were put on display, reaffirming Mozilla’s eminent support for LGBT rights and marriage equality. The Baker statement was directly linked with the more offi</w:t>
      </w:r>
      <w:r w:rsidR="009E1492">
        <w:rPr>
          <w:szCs w:val="24"/>
          <w:lang w:val="en-US"/>
        </w:rPr>
        <w:t>cial Mozilla statement, as it was</w:t>
      </w:r>
      <w:r w:rsidRPr="00F52C43">
        <w:rPr>
          <w:szCs w:val="24"/>
          <w:lang w:val="en-US"/>
        </w:rPr>
        <w:t xml:space="preserve"> a comment to the content of that statement</w:t>
      </w:r>
      <w:sdt>
        <w:sdtPr>
          <w:rPr>
            <w:szCs w:val="24"/>
            <w:lang w:val="en-US"/>
          </w:rPr>
          <w:id w:val="541179351"/>
          <w:citation/>
        </w:sdtPr>
        <w:sdtContent>
          <w:r w:rsidRPr="00F52C43">
            <w:rPr>
              <w:szCs w:val="24"/>
              <w:lang w:val="en-US"/>
            </w:rPr>
            <w:fldChar w:fldCharType="begin"/>
          </w:r>
          <w:r w:rsidRPr="00F52C43">
            <w:rPr>
              <w:szCs w:val="24"/>
              <w:lang w:val="en-US"/>
            </w:rPr>
            <w:instrText>CITATION Mit142 \t  \l 1030  \m Moz143</w:instrText>
          </w:r>
          <w:r w:rsidRPr="00F52C43">
            <w:rPr>
              <w:szCs w:val="24"/>
              <w:lang w:val="en-US"/>
            </w:rPr>
            <w:fldChar w:fldCharType="separate"/>
          </w:r>
          <w:r w:rsidR="00F623D4">
            <w:rPr>
              <w:noProof/>
              <w:szCs w:val="24"/>
              <w:lang w:val="en-US"/>
            </w:rPr>
            <w:t xml:space="preserve"> </w:t>
          </w:r>
          <w:r w:rsidR="00F623D4" w:rsidRPr="00F623D4">
            <w:rPr>
              <w:noProof/>
              <w:szCs w:val="24"/>
              <w:lang w:val="en-US"/>
            </w:rPr>
            <w:t>(M. Baker 2014, Mozilla Foundation 2014)</w:t>
          </w:r>
          <w:r w:rsidRPr="00F52C43">
            <w:rPr>
              <w:szCs w:val="24"/>
              <w:lang w:val="en-US"/>
            </w:rPr>
            <w:fldChar w:fldCharType="end"/>
          </w:r>
        </w:sdtContent>
      </w:sdt>
      <w:r w:rsidRPr="00F52C43">
        <w:rPr>
          <w:szCs w:val="24"/>
          <w:lang w:val="en-US"/>
        </w:rPr>
        <w:t xml:space="preserve">. </w:t>
      </w:r>
    </w:p>
    <w:p w:rsidR="00762725" w:rsidRPr="00F52C43" w:rsidRDefault="00762725" w:rsidP="00337119">
      <w:pPr>
        <w:spacing w:line="360" w:lineRule="auto"/>
        <w:rPr>
          <w:szCs w:val="24"/>
          <w:lang w:val="en-US"/>
        </w:rPr>
      </w:pPr>
      <w:r w:rsidRPr="00F52C43">
        <w:rPr>
          <w:szCs w:val="24"/>
          <w:lang w:val="en-US"/>
        </w:rPr>
        <w:t xml:space="preserve">The day after, </w:t>
      </w:r>
      <w:r w:rsidR="00846631">
        <w:rPr>
          <w:szCs w:val="24"/>
          <w:lang w:val="en-US"/>
        </w:rPr>
        <w:t xml:space="preserve">the social change organization </w:t>
      </w:r>
      <w:r w:rsidRPr="00F52C43">
        <w:rPr>
          <w:szCs w:val="24"/>
          <w:lang w:val="en-US"/>
        </w:rPr>
        <w:t xml:space="preserve">CREDO officially began </w:t>
      </w:r>
      <w:r w:rsidR="00BF2485">
        <w:rPr>
          <w:szCs w:val="24"/>
          <w:lang w:val="en-US"/>
        </w:rPr>
        <w:t>its</w:t>
      </w:r>
      <w:r w:rsidRPr="00F52C43">
        <w:rPr>
          <w:szCs w:val="24"/>
          <w:lang w:val="en-US"/>
        </w:rPr>
        <w:t xml:space="preserve"> campaign against Mozilla – with the specific purpose of forcing </w:t>
      </w:r>
      <w:proofErr w:type="spellStart"/>
      <w:r w:rsidRPr="00F52C43">
        <w:rPr>
          <w:szCs w:val="24"/>
          <w:lang w:val="en-US"/>
        </w:rPr>
        <w:t>Eich</w:t>
      </w:r>
      <w:proofErr w:type="spellEnd"/>
      <w:r w:rsidRPr="00F52C43">
        <w:rPr>
          <w:szCs w:val="24"/>
          <w:lang w:val="en-US"/>
        </w:rPr>
        <w:t xml:space="preserve"> to resign</w:t>
      </w:r>
      <w:r>
        <w:rPr>
          <w:szCs w:val="24"/>
          <w:lang w:val="en-US"/>
        </w:rPr>
        <w:t xml:space="preserve"> (Appendix 12</w:t>
      </w:r>
      <w:r w:rsidRPr="00F52C43">
        <w:rPr>
          <w:szCs w:val="24"/>
          <w:lang w:val="en-US"/>
        </w:rPr>
        <w:t xml:space="preserve">). At the same time, the dating site </w:t>
      </w:r>
      <w:proofErr w:type="spellStart"/>
      <w:r w:rsidRPr="00F52C43">
        <w:rPr>
          <w:szCs w:val="24"/>
          <w:lang w:val="en-US"/>
        </w:rPr>
        <w:t>Okcupid</w:t>
      </w:r>
      <w:proofErr w:type="spellEnd"/>
      <w:r w:rsidRPr="00F52C43">
        <w:rPr>
          <w:szCs w:val="24"/>
          <w:lang w:val="en-US"/>
        </w:rPr>
        <w:t xml:space="preserve"> issued a boycott – in the sense of encouraging people to use another browser than Firefox to access </w:t>
      </w:r>
      <w:r w:rsidR="00BF2485">
        <w:rPr>
          <w:szCs w:val="24"/>
          <w:lang w:val="en-US"/>
        </w:rPr>
        <w:t xml:space="preserve">its </w:t>
      </w:r>
      <w:r w:rsidRPr="00F52C43">
        <w:rPr>
          <w:szCs w:val="24"/>
          <w:lang w:val="en-US"/>
        </w:rPr>
        <w:t xml:space="preserve">website. This occurred on March 31 through an </w:t>
      </w:r>
      <w:r>
        <w:rPr>
          <w:szCs w:val="24"/>
          <w:lang w:val="en-US"/>
        </w:rPr>
        <w:t>online notification (Appendix 13</w:t>
      </w:r>
      <w:r w:rsidRPr="00F52C43">
        <w:rPr>
          <w:szCs w:val="24"/>
          <w:lang w:val="en-US"/>
        </w:rPr>
        <w:t xml:space="preserve">), which also outlined </w:t>
      </w:r>
      <w:proofErr w:type="spellStart"/>
      <w:r w:rsidR="00BF2485">
        <w:rPr>
          <w:szCs w:val="24"/>
          <w:lang w:val="en-US"/>
        </w:rPr>
        <w:t>Okcupid’s</w:t>
      </w:r>
      <w:proofErr w:type="spellEnd"/>
      <w:r w:rsidR="00BF2485">
        <w:rPr>
          <w:szCs w:val="24"/>
          <w:lang w:val="en-US"/>
        </w:rPr>
        <w:t xml:space="preserve"> </w:t>
      </w:r>
      <w:r w:rsidRPr="00F52C43">
        <w:rPr>
          <w:szCs w:val="24"/>
          <w:lang w:val="en-US"/>
        </w:rPr>
        <w:t xml:space="preserve">contempt towards </w:t>
      </w:r>
      <w:proofErr w:type="spellStart"/>
      <w:r w:rsidRPr="00F52C43">
        <w:rPr>
          <w:szCs w:val="24"/>
          <w:lang w:val="en-US"/>
        </w:rPr>
        <w:t>Eich</w:t>
      </w:r>
      <w:proofErr w:type="spellEnd"/>
      <w:r w:rsidRPr="00F52C43">
        <w:rPr>
          <w:szCs w:val="24"/>
          <w:lang w:val="en-US"/>
        </w:rPr>
        <w:t xml:space="preserve"> and his anti-gay standing</w:t>
      </w:r>
      <w:sdt>
        <w:sdtPr>
          <w:rPr>
            <w:szCs w:val="24"/>
            <w:lang w:val="en-US"/>
          </w:rPr>
          <w:id w:val="-2017604586"/>
          <w:citation/>
        </w:sdtPr>
        <w:sdtContent>
          <w:r w:rsidRPr="00F52C43">
            <w:rPr>
              <w:szCs w:val="24"/>
              <w:lang w:val="en-US"/>
            </w:rPr>
            <w:fldChar w:fldCharType="begin"/>
          </w:r>
          <w:r w:rsidRPr="00F52C43">
            <w:rPr>
              <w:szCs w:val="24"/>
              <w:lang w:val="en-US"/>
            </w:rPr>
            <w:instrText xml:space="preserve"> CITATION Rus14 \l 1030 </w:instrText>
          </w:r>
          <w:r w:rsidRPr="00F52C43">
            <w:rPr>
              <w:szCs w:val="24"/>
              <w:lang w:val="en-US"/>
            </w:rPr>
            <w:fldChar w:fldCharType="separate"/>
          </w:r>
          <w:r w:rsidR="00F623D4">
            <w:rPr>
              <w:noProof/>
              <w:szCs w:val="24"/>
              <w:lang w:val="en-US"/>
            </w:rPr>
            <w:t xml:space="preserve"> </w:t>
          </w:r>
          <w:r w:rsidR="00F623D4" w:rsidRPr="00F623D4">
            <w:rPr>
              <w:noProof/>
              <w:szCs w:val="24"/>
              <w:lang w:val="en-US"/>
            </w:rPr>
            <w:t>(Brandom 2014)</w:t>
          </w:r>
          <w:r w:rsidRPr="00F52C43">
            <w:rPr>
              <w:szCs w:val="24"/>
              <w:lang w:val="en-US"/>
            </w:rPr>
            <w:fldChar w:fldCharType="end"/>
          </w:r>
        </w:sdtContent>
      </w:sdt>
      <w:r w:rsidRPr="00F52C43">
        <w:rPr>
          <w:szCs w:val="24"/>
          <w:lang w:val="en-US"/>
        </w:rPr>
        <w:t>. On the 2</w:t>
      </w:r>
      <w:r w:rsidRPr="00F52C43">
        <w:rPr>
          <w:szCs w:val="24"/>
          <w:vertAlign w:val="superscript"/>
          <w:lang w:val="en-US"/>
        </w:rPr>
        <w:t>nd</w:t>
      </w:r>
      <w:r w:rsidRPr="00F52C43">
        <w:rPr>
          <w:szCs w:val="24"/>
          <w:lang w:val="en-US"/>
        </w:rPr>
        <w:t xml:space="preserve"> of April, </w:t>
      </w:r>
      <w:proofErr w:type="spellStart"/>
      <w:r w:rsidRPr="00F52C43">
        <w:rPr>
          <w:szCs w:val="24"/>
          <w:lang w:val="en-US"/>
        </w:rPr>
        <w:t>Eich</w:t>
      </w:r>
      <w:proofErr w:type="spellEnd"/>
      <w:r w:rsidRPr="00F52C43">
        <w:rPr>
          <w:szCs w:val="24"/>
          <w:lang w:val="en-US"/>
        </w:rPr>
        <w:t xml:space="preserve"> commented on the controversy in an interview with the Guardian – stressing his and Mozilla’s previous stance </w:t>
      </w:r>
      <w:sdt>
        <w:sdtPr>
          <w:rPr>
            <w:szCs w:val="24"/>
            <w:lang w:val="en-US"/>
          </w:rPr>
          <w:id w:val="812457748"/>
          <w:citation/>
        </w:sdtPr>
        <w:sdtContent>
          <w:r w:rsidRPr="00F52C43">
            <w:rPr>
              <w:szCs w:val="24"/>
              <w:lang w:val="en-US"/>
            </w:rPr>
            <w:fldChar w:fldCharType="begin"/>
          </w:r>
          <w:r w:rsidRPr="00F52C43">
            <w:rPr>
              <w:szCs w:val="24"/>
              <w:lang w:val="en-US"/>
            </w:rPr>
            <w:instrText xml:space="preserve"> CITATION Jam141 \l 1030 </w:instrText>
          </w:r>
          <w:r w:rsidRPr="00F52C43">
            <w:rPr>
              <w:szCs w:val="24"/>
              <w:lang w:val="en-US"/>
            </w:rPr>
            <w:fldChar w:fldCharType="separate"/>
          </w:r>
          <w:r w:rsidR="00F623D4" w:rsidRPr="00F623D4">
            <w:rPr>
              <w:noProof/>
              <w:szCs w:val="24"/>
              <w:lang w:val="en-US"/>
            </w:rPr>
            <w:t>(Ball 2014)</w:t>
          </w:r>
          <w:r w:rsidRPr="00F52C43">
            <w:rPr>
              <w:szCs w:val="24"/>
              <w:lang w:val="en-US"/>
            </w:rPr>
            <w:fldChar w:fldCharType="end"/>
          </w:r>
        </w:sdtContent>
      </w:sdt>
      <w:r>
        <w:rPr>
          <w:szCs w:val="24"/>
          <w:lang w:val="en-US"/>
        </w:rPr>
        <w:t xml:space="preserve"> (Appendix 14</w:t>
      </w:r>
      <w:r w:rsidRPr="00F52C43">
        <w:rPr>
          <w:szCs w:val="24"/>
          <w:lang w:val="en-US"/>
        </w:rPr>
        <w:t>). On the 3</w:t>
      </w:r>
      <w:r w:rsidRPr="00F52C43">
        <w:rPr>
          <w:szCs w:val="24"/>
          <w:vertAlign w:val="superscript"/>
          <w:lang w:val="en-US"/>
        </w:rPr>
        <w:t>rd</w:t>
      </w:r>
      <w:r w:rsidRPr="00F52C43">
        <w:rPr>
          <w:szCs w:val="24"/>
          <w:lang w:val="en-US"/>
        </w:rPr>
        <w:t xml:space="preserve"> of April, the Mozilla Foundation, with the voice of Baker, published an official statement declaring Brendan </w:t>
      </w:r>
      <w:proofErr w:type="spellStart"/>
      <w:r w:rsidRPr="00F52C43">
        <w:rPr>
          <w:szCs w:val="24"/>
          <w:lang w:val="en-US"/>
        </w:rPr>
        <w:t>Eich’s</w:t>
      </w:r>
      <w:proofErr w:type="spellEnd"/>
      <w:r>
        <w:rPr>
          <w:szCs w:val="24"/>
          <w:lang w:val="en-US"/>
        </w:rPr>
        <w:t xml:space="preserve"> resignation as CEO (Appendix 15</w:t>
      </w:r>
      <w:r w:rsidRPr="00F52C43">
        <w:rPr>
          <w:szCs w:val="24"/>
          <w:lang w:val="en-US"/>
        </w:rPr>
        <w:t>) – also including an apology for how things had been handled</w:t>
      </w:r>
      <w:sdt>
        <w:sdtPr>
          <w:rPr>
            <w:szCs w:val="24"/>
            <w:lang w:val="en-US"/>
          </w:rPr>
          <w:id w:val="-164087538"/>
          <w:citation/>
        </w:sdtPr>
        <w:sdtContent>
          <w:r w:rsidRPr="00F52C43">
            <w:rPr>
              <w:szCs w:val="24"/>
              <w:lang w:val="en-US"/>
            </w:rPr>
            <w:fldChar w:fldCharType="begin"/>
          </w:r>
          <w:r w:rsidRPr="00F52C43">
            <w:rPr>
              <w:szCs w:val="24"/>
              <w:lang w:val="en-US"/>
            </w:rPr>
            <w:instrText xml:space="preserve">CITATION Mit144 \t  \l 1030 </w:instrText>
          </w:r>
          <w:r w:rsidRPr="00F52C43">
            <w:rPr>
              <w:szCs w:val="24"/>
              <w:lang w:val="en-US"/>
            </w:rPr>
            <w:fldChar w:fldCharType="separate"/>
          </w:r>
          <w:r w:rsidR="00F623D4">
            <w:rPr>
              <w:noProof/>
              <w:szCs w:val="24"/>
              <w:lang w:val="en-US"/>
            </w:rPr>
            <w:t xml:space="preserve"> </w:t>
          </w:r>
          <w:r w:rsidR="00F623D4" w:rsidRPr="00F623D4">
            <w:rPr>
              <w:noProof/>
              <w:szCs w:val="24"/>
              <w:lang w:val="en-US"/>
            </w:rPr>
            <w:t>(M. Baker 2014)</w:t>
          </w:r>
          <w:r w:rsidRPr="00F52C43">
            <w:rPr>
              <w:szCs w:val="24"/>
              <w:lang w:val="en-US"/>
            </w:rPr>
            <w:fldChar w:fldCharType="end"/>
          </w:r>
        </w:sdtContent>
      </w:sdt>
      <w:r w:rsidRPr="00F52C43">
        <w:rPr>
          <w:szCs w:val="24"/>
          <w:lang w:val="en-US"/>
        </w:rPr>
        <w:t xml:space="preserve">. </w:t>
      </w:r>
      <w:proofErr w:type="spellStart"/>
      <w:r w:rsidRPr="00F52C43">
        <w:rPr>
          <w:szCs w:val="24"/>
          <w:lang w:val="en-US"/>
        </w:rPr>
        <w:t>Eich</w:t>
      </w:r>
      <w:proofErr w:type="spellEnd"/>
      <w:r w:rsidRPr="00F52C43">
        <w:rPr>
          <w:szCs w:val="24"/>
          <w:lang w:val="en-US"/>
        </w:rPr>
        <w:t xml:space="preserve"> also briefly addressed his resignation in a blog post on his of</w:t>
      </w:r>
      <w:r>
        <w:rPr>
          <w:szCs w:val="24"/>
          <w:lang w:val="en-US"/>
        </w:rPr>
        <w:t>ficial Mozilla blog (Appendix 16</w:t>
      </w:r>
      <w:r w:rsidRPr="00F52C43">
        <w:rPr>
          <w:szCs w:val="24"/>
          <w:lang w:val="en-US"/>
        </w:rPr>
        <w:t xml:space="preserve">). </w:t>
      </w:r>
    </w:p>
    <w:p w:rsidR="00163B28" w:rsidRPr="00B57823" w:rsidRDefault="00762725" w:rsidP="00337119">
      <w:pPr>
        <w:spacing w:line="360" w:lineRule="auto"/>
        <w:rPr>
          <w:szCs w:val="24"/>
          <w:lang w:val="en-US"/>
        </w:rPr>
      </w:pPr>
      <w:r w:rsidRPr="00F52C43">
        <w:rPr>
          <w:szCs w:val="24"/>
          <w:lang w:val="en-US"/>
        </w:rPr>
        <w:t xml:space="preserve">The </w:t>
      </w:r>
      <w:r w:rsidR="009E1492">
        <w:rPr>
          <w:szCs w:val="24"/>
          <w:lang w:val="en-US"/>
        </w:rPr>
        <w:t>text material/</w:t>
      </w:r>
      <w:r w:rsidRPr="00F52C43">
        <w:rPr>
          <w:szCs w:val="24"/>
          <w:lang w:val="en-US"/>
        </w:rPr>
        <w:t>statements that will be directly applied in an analysis</w:t>
      </w:r>
      <w:r w:rsidR="00697CB9">
        <w:rPr>
          <w:szCs w:val="24"/>
          <w:lang w:val="en-US"/>
        </w:rPr>
        <w:t>, following the established criteria (2.5.1),</w:t>
      </w:r>
      <w:r w:rsidRPr="00F52C43">
        <w:rPr>
          <w:szCs w:val="24"/>
          <w:lang w:val="en-US"/>
        </w:rPr>
        <w:t xml:space="preserve"> include: Appendix </w:t>
      </w:r>
      <w:r>
        <w:rPr>
          <w:szCs w:val="24"/>
          <w:lang w:val="en-US"/>
        </w:rPr>
        <w:t>5, 7, 8, 10</w:t>
      </w:r>
      <w:r w:rsidRPr="00F52C43">
        <w:rPr>
          <w:szCs w:val="24"/>
          <w:lang w:val="en-US"/>
        </w:rPr>
        <w:t>, 1</w:t>
      </w:r>
      <w:r>
        <w:rPr>
          <w:szCs w:val="24"/>
          <w:lang w:val="en-US"/>
        </w:rPr>
        <w:t>1, 15</w:t>
      </w:r>
      <w:r w:rsidRPr="00F52C43">
        <w:rPr>
          <w:szCs w:val="24"/>
          <w:lang w:val="en-US"/>
        </w:rPr>
        <w:t>, and 1</w:t>
      </w:r>
      <w:r>
        <w:rPr>
          <w:szCs w:val="24"/>
          <w:lang w:val="en-US"/>
        </w:rPr>
        <w:t>6</w:t>
      </w:r>
      <w:r w:rsidRPr="00F52C43">
        <w:rPr>
          <w:szCs w:val="24"/>
          <w:lang w:val="en-US"/>
        </w:rPr>
        <w:t>, and they will</w:t>
      </w:r>
      <w:r w:rsidR="009E1492" w:rsidRPr="009E1492">
        <w:rPr>
          <w:szCs w:val="24"/>
          <w:lang w:val="en-US"/>
        </w:rPr>
        <w:t xml:space="preserve"> </w:t>
      </w:r>
      <w:r w:rsidR="009E1492" w:rsidRPr="00F52C43">
        <w:rPr>
          <w:szCs w:val="24"/>
          <w:lang w:val="en-US"/>
        </w:rPr>
        <w:t>be</w:t>
      </w:r>
      <w:r w:rsidR="009E1492">
        <w:rPr>
          <w:szCs w:val="24"/>
          <w:lang w:val="en-US"/>
        </w:rPr>
        <w:t>,</w:t>
      </w:r>
      <w:r w:rsidRPr="00F52C43">
        <w:rPr>
          <w:szCs w:val="24"/>
          <w:lang w:val="en-US"/>
        </w:rPr>
        <w:t xml:space="preserve"> </w:t>
      </w:r>
      <w:r w:rsidR="009E1492" w:rsidRPr="00F52C43">
        <w:rPr>
          <w:szCs w:val="24"/>
          <w:lang w:val="en-US"/>
        </w:rPr>
        <w:t>accordi</w:t>
      </w:r>
      <w:r w:rsidR="009E1492">
        <w:rPr>
          <w:szCs w:val="24"/>
          <w:lang w:val="en-US"/>
        </w:rPr>
        <w:t>ng to chronological appearance,</w:t>
      </w:r>
      <w:r w:rsidR="009E1492" w:rsidRPr="00F52C43">
        <w:rPr>
          <w:szCs w:val="24"/>
          <w:lang w:val="en-US"/>
        </w:rPr>
        <w:t xml:space="preserve"> </w:t>
      </w:r>
      <w:r w:rsidR="00697CB9">
        <w:rPr>
          <w:szCs w:val="24"/>
          <w:lang w:val="en-US"/>
        </w:rPr>
        <w:t>represented</w:t>
      </w:r>
      <w:r w:rsidRPr="00F52C43">
        <w:rPr>
          <w:szCs w:val="24"/>
          <w:lang w:val="en-US"/>
        </w:rPr>
        <w:t xml:space="preserve"> as Statement 1-7</w:t>
      </w:r>
      <w:r w:rsidR="00697CB9">
        <w:rPr>
          <w:szCs w:val="24"/>
          <w:lang w:val="en-US"/>
        </w:rPr>
        <w:t xml:space="preserve"> in the analysis</w:t>
      </w:r>
      <w:r w:rsidRPr="00F52C43">
        <w:rPr>
          <w:szCs w:val="24"/>
          <w:lang w:val="en-US"/>
        </w:rPr>
        <w:t>,</w:t>
      </w:r>
      <w:r w:rsidR="009E1492">
        <w:rPr>
          <w:szCs w:val="24"/>
          <w:lang w:val="en-US"/>
        </w:rPr>
        <w:t xml:space="preserve"> so as to ensure referential simplicity throughout the analysis. </w:t>
      </w:r>
    </w:p>
    <w:p w:rsidR="0079288F" w:rsidRDefault="0079288F" w:rsidP="00337119">
      <w:pPr>
        <w:rPr>
          <w:rFonts w:eastAsiaTheme="majorEastAsia" w:cstheme="majorBidi"/>
          <w:b/>
          <w:bCs/>
          <w:color w:val="000000" w:themeColor="text1"/>
          <w:spacing w:val="5"/>
          <w:kern w:val="28"/>
          <w:sz w:val="32"/>
          <w:szCs w:val="28"/>
          <w:lang w:val="en-US"/>
        </w:rPr>
      </w:pPr>
      <w:bookmarkStart w:id="86" w:name="_Toc420075839"/>
      <w:r>
        <w:rPr>
          <w:lang w:val="en-US"/>
        </w:rPr>
        <w:br w:type="page"/>
      </w:r>
    </w:p>
    <w:p w:rsidR="00163B28" w:rsidRPr="00CC1A5D" w:rsidRDefault="00881AB7" w:rsidP="00337119">
      <w:pPr>
        <w:pStyle w:val="Overskrift1"/>
        <w:pBdr>
          <w:bottom w:val="single" w:sz="4" w:space="1" w:color="auto"/>
        </w:pBdr>
        <w:spacing w:line="360" w:lineRule="auto"/>
        <w:rPr>
          <w:lang w:val="en-US"/>
        </w:rPr>
      </w:pPr>
      <w:bookmarkStart w:id="87" w:name="_Toc420761652"/>
      <w:r>
        <w:rPr>
          <w:lang w:val="en-US"/>
        </w:rPr>
        <w:lastRenderedPageBreak/>
        <w:t>7</w:t>
      </w:r>
      <w:r w:rsidR="00163B28">
        <w:rPr>
          <w:lang w:val="en-US"/>
        </w:rPr>
        <w:t xml:space="preserve">. </w:t>
      </w:r>
      <w:r w:rsidR="00163B28" w:rsidRPr="00CC1A5D">
        <w:rPr>
          <w:lang w:val="en-US"/>
        </w:rPr>
        <w:t>Analyzing the Crisis Communication of the Mozilla Foundation</w:t>
      </w:r>
      <w:bookmarkEnd w:id="86"/>
      <w:bookmarkEnd w:id="87"/>
    </w:p>
    <w:p w:rsidR="00163B28" w:rsidRDefault="00583443" w:rsidP="00337119">
      <w:pPr>
        <w:spacing w:line="360" w:lineRule="auto"/>
        <w:rPr>
          <w:lang w:val="en-US"/>
        </w:rPr>
      </w:pPr>
      <w:r>
        <w:rPr>
          <w:lang w:val="en-US"/>
        </w:rPr>
        <w:t>The first part of this</w:t>
      </w:r>
      <w:r w:rsidR="00D634F4">
        <w:rPr>
          <w:lang w:val="en-US"/>
        </w:rPr>
        <w:t xml:space="preserve"> analysis chapter</w:t>
      </w:r>
      <w:r w:rsidR="00163B28">
        <w:rPr>
          <w:lang w:val="en-US"/>
        </w:rPr>
        <w:t xml:space="preserve"> will </w:t>
      </w:r>
      <w:r w:rsidR="00D634F4">
        <w:rPr>
          <w:lang w:val="en-US"/>
        </w:rPr>
        <w:t xml:space="preserve">address </w:t>
      </w:r>
      <w:r w:rsidR="00163B28">
        <w:rPr>
          <w:lang w:val="en-US"/>
        </w:rPr>
        <w:t>the circumstances surrounding the reputational crisis of Mozilla</w:t>
      </w:r>
      <w:r w:rsidR="00D634F4">
        <w:rPr>
          <w:lang w:val="en-US"/>
        </w:rPr>
        <w:t xml:space="preserve"> through the four parameters: context, medium, genre and text</w:t>
      </w:r>
      <w:r w:rsidR="00A724D2">
        <w:rPr>
          <w:lang w:val="en-US"/>
        </w:rPr>
        <w:t xml:space="preserve"> (4</w:t>
      </w:r>
      <w:r>
        <w:rPr>
          <w:lang w:val="en-US"/>
        </w:rPr>
        <w:t>.6.2)</w:t>
      </w:r>
      <w:r w:rsidR="00163B28">
        <w:rPr>
          <w:lang w:val="en-US"/>
        </w:rPr>
        <w:t xml:space="preserve"> – aiming at determining and evaluating the crisis situation and communication in full. </w:t>
      </w:r>
      <w:r w:rsidR="00D634F4">
        <w:rPr>
          <w:lang w:val="en-US"/>
        </w:rPr>
        <w:t>However,</w:t>
      </w:r>
      <w:r w:rsidR="00163B28">
        <w:rPr>
          <w:lang w:val="en-US"/>
        </w:rPr>
        <w:t xml:space="preserve"> to provide an overview of the case’s communicative ‘frame’, </w:t>
      </w:r>
      <w:r>
        <w:rPr>
          <w:lang w:val="en-US"/>
        </w:rPr>
        <w:t>the</w:t>
      </w:r>
      <w:r w:rsidR="00163B28">
        <w:rPr>
          <w:lang w:val="en-US"/>
        </w:rPr>
        <w:t xml:space="preserve"> communicating actors</w:t>
      </w:r>
      <w:r>
        <w:rPr>
          <w:lang w:val="en-US"/>
        </w:rPr>
        <w:t xml:space="preserve"> within the case</w:t>
      </w:r>
      <w:r w:rsidR="00163B28">
        <w:rPr>
          <w:lang w:val="en-US"/>
        </w:rPr>
        <w:t xml:space="preserve"> will be</w:t>
      </w:r>
      <w:r>
        <w:rPr>
          <w:lang w:val="en-US"/>
        </w:rPr>
        <w:t xml:space="preserve"> briefly accounted for</w:t>
      </w:r>
      <w:r w:rsidR="00492288">
        <w:rPr>
          <w:lang w:val="en-US"/>
        </w:rPr>
        <w:t xml:space="preserve"> (4</w:t>
      </w:r>
      <w:r w:rsidR="0025076A">
        <w:rPr>
          <w:lang w:val="en-US"/>
        </w:rPr>
        <w:t>.6.1)</w:t>
      </w:r>
      <w:r>
        <w:rPr>
          <w:lang w:val="en-US"/>
        </w:rPr>
        <w:t>.</w:t>
      </w:r>
      <w:r w:rsidR="00163B28">
        <w:rPr>
          <w:lang w:val="en-US"/>
        </w:rPr>
        <w:t xml:space="preserve"> </w:t>
      </w:r>
    </w:p>
    <w:p w:rsidR="00163B28" w:rsidRDefault="00881AB7" w:rsidP="00337119">
      <w:pPr>
        <w:pStyle w:val="Overskrift2"/>
        <w:spacing w:line="360" w:lineRule="auto"/>
        <w:rPr>
          <w:lang w:val="en-US"/>
        </w:rPr>
      </w:pPr>
      <w:bookmarkStart w:id="88" w:name="_Toc420075840"/>
      <w:bookmarkStart w:id="89" w:name="_Toc420761653"/>
      <w:r>
        <w:rPr>
          <w:lang w:val="en-US"/>
        </w:rPr>
        <w:t>7</w:t>
      </w:r>
      <w:r w:rsidR="00163B28">
        <w:rPr>
          <w:lang w:val="en-US"/>
        </w:rPr>
        <w:t>.1 Actors within The Rhetorical Arena</w:t>
      </w:r>
      <w:bookmarkEnd w:id="88"/>
      <w:bookmarkEnd w:id="89"/>
    </w:p>
    <w:p w:rsidR="00163B28" w:rsidRDefault="00163B28" w:rsidP="00337119">
      <w:pPr>
        <w:spacing w:line="360" w:lineRule="auto"/>
        <w:rPr>
          <w:lang w:val="en-US"/>
        </w:rPr>
      </w:pPr>
      <w:r>
        <w:rPr>
          <w:lang w:val="en-US"/>
        </w:rPr>
        <w:t>The different actors, who are implicated and who communicate within The Rhetorical Arena,</w:t>
      </w:r>
      <w:r w:rsidR="00492288">
        <w:rPr>
          <w:lang w:val="en-US"/>
        </w:rPr>
        <w:t xml:space="preserve"> can be seen as important</w:t>
      </w:r>
      <w:r>
        <w:rPr>
          <w:lang w:val="en-US"/>
        </w:rPr>
        <w:t xml:space="preserve"> – when it comes to evaluating the situational context applicable to Mozilla’s crisis communication. The first actors to enter the arena are stakeholders (including LGBT individuals and employees), who are angered by Mozilla’s appointment of Brendan </w:t>
      </w:r>
      <w:proofErr w:type="spellStart"/>
      <w:r>
        <w:rPr>
          <w:lang w:val="en-US"/>
        </w:rPr>
        <w:t>Eich</w:t>
      </w:r>
      <w:proofErr w:type="spellEnd"/>
      <w:r>
        <w:rPr>
          <w:lang w:val="en-US"/>
        </w:rPr>
        <w:t xml:space="preserve"> as the new CEO, which is communicated to both the public (Twitter) and Mozilla/</w:t>
      </w:r>
      <w:proofErr w:type="spellStart"/>
      <w:r>
        <w:rPr>
          <w:lang w:val="en-US"/>
        </w:rPr>
        <w:t>Eich</w:t>
      </w:r>
      <w:proofErr w:type="spellEnd"/>
      <w:r>
        <w:rPr>
          <w:lang w:val="en-US"/>
        </w:rPr>
        <w:t xml:space="preserve"> (Appendix 9). This forces the Mozilla Foundation to enter the arena, including </w:t>
      </w:r>
      <w:proofErr w:type="spellStart"/>
      <w:r>
        <w:rPr>
          <w:lang w:val="en-US"/>
        </w:rPr>
        <w:t>Eich</w:t>
      </w:r>
      <w:proofErr w:type="spellEnd"/>
      <w:r>
        <w:rPr>
          <w:lang w:val="en-US"/>
        </w:rPr>
        <w:t xml:space="preserve"> and Mitchel Baker, whose main interests probably are to address its stakeholders in the right manner, in order to mitigate the crisis situation and regain trust and approval. </w:t>
      </w:r>
      <w:r w:rsidR="00FB68F0">
        <w:rPr>
          <w:lang w:val="en-US"/>
        </w:rPr>
        <w:t>Mozilla’s</w:t>
      </w:r>
      <w:r>
        <w:rPr>
          <w:lang w:val="en-US"/>
        </w:rPr>
        <w:t xml:space="preserve"> communication is directed at the public/stakeholders and presumably the media. Consequently, at the same time, the media has entered the arena, whose primary interest is in depicting the most news-worthy material, based on both the communication deriving from stakeholders and Mozilla. After the first statements by Mozilla, </w:t>
      </w:r>
      <w:proofErr w:type="spellStart"/>
      <w:r>
        <w:rPr>
          <w:lang w:val="en-US"/>
        </w:rPr>
        <w:t>Eich</w:t>
      </w:r>
      <w:proofErr w:type="spellEnd"/>
      <w:r>
        <w:rPr>
          <w:lang w:val="en-US"/>
        </w:rPr>
        <w:t xml:space="preserve"> and Baker, additional stakeholders get involved, including organizations as well (</w:t>
      </w:r>
      <w:proofErr w:type="spellStart"/>
      <w:r>
        <w:rPr>
          <w:lang w:val="en-US"/>
        </w:rPr>
        <w:t>Okcupid</w:t>
      </w:r>
      <w:proofErr w:type="spellEnd"/>
      <w:r>
        <w:rPr>
          <w:lang w:val="en-US"/>
        </w:rPr>
        <w:t xml:space="preserve">). They stand together in anger towards Mozilla and </w:t>
      </w:r>
      <w:proofErr w:type="spellStart"/>
      <w:r>
        <w:rPr>
          <w:lang w:val="en-US"/>
        </w:rPr>
        <w:t>Eich</w:t>
      </w:r>
      <w:proofErr w:type="spellEnd"/>
      <w:r>
        <w:rPr>
          <w:lang w:val="en-US"/>
        </w:rPr>
        <w:t xml:space="preserve">, communicating </w:t>
      </w:r>
      <w:r w:rsidRPr="00293BFA">
        <w:rPr>
          <w:i/>
          <w:lang w:val="en-US"/>
        </w:rPr>
        <w:t>about</w:t>
      </w:r>
      <w:r>
        <w:rPr>
          <w:lang w:val="en-US"/>
        </w:rPr>
        <w:t xml:space="preserve"> and </w:t>
      </w:r>
      <w:r w:rsidRPr="00293BFA">
        <w:rPr>
          <w:i/>
          <w:lang w:val="en-US"/>
        </w:rPr>
        <w:t>to</w:t>
      </w:r>
      <w:r>
        <w:rPr>
          <w:lang w:val="en-US"/>
        </w:rPr>
        <w:t xml:space="preserve"> Mozilla (Appendix 12, 13). Presumably, their main interest is to challenge Mozilla to be socially responsible in </w:t>
      </w:r>
      <w:r w:rsidR="000E7FF0">
        <w:rPr>
          <w:lang w:val="en-US"/>
        </w:rPr>
        <w:t>its</w:t>
      </w:r>
      <w:r>
        <w:rPr>
          <w:lang w:val="en-US"/>
        </w:rPr>
        <w:t xml:space="preserve"> choice of direction and leadership – through the engagement in LGBT rights and equality.</w:t>
      </w:r>
    </w:p>
    <w:p w:rsidR="00163B28" w:rsidRDefault="00881AB7" w:rsidP="00337119">
      <w:pPr>
        <w:pStyle w:val="Overskrift2"/>
        <w:spacing w:line="360" w:lineRule="auto"/>
        <w:rPr>
          <w:lang w:val="en-US"/>
        </w:rPr>
      </w:pPr>
      <w:bookmarkStart w:id="90" w:name="_Toc420075841"/>
      <w:bookmarkStart w:id="91" w:name="_Toc420761654"/>
      <w:r>
        <w:rPr>
          <w:lang w:val="en-US"/>
        </w:rPr>
        <w:t>7</w:t>
      </w:r>
      <w:r w:rsidR="00163B28">
        <w:rPr>
          <w:lang w:val="en-US"/>
        </w:rPr>
        <w:t>.2 Context</w:t>
      </w:r>
      <w:bookmarkEnd w:id="90"/>
      <w:bookmarkEnd w:id="91"/>
    </w:p>
    <w:p w:rsidR="00163B28" w:rsidRDefault="00163B28" w:rsidP="00337119">
      <w:pPr>
        <w:spacing w:line="360" w:lineRule="auto"/>
        <w:rPr>
          <w:lang w:val="en-US"/>
        </w:rPr>
      </w:pPr>
      <w:r>
        <w:rPr>
          <w:lang w:val="en-US"/>
        </w:rPr>
        <w:t xml:space="preserve">On the account of the context of the situation (with Mozilla in focus), three sub-context factors are considered essential, being: the societal and cultural context, the organizational and institutional context and the situational context. </w:t>
      </w:r>
    </w:p>
    <w:p w:rsidR="00163B28" w:rsidRDefault="00881AB7" w:rsidP="00337119">
      <w:pPr>
        <w:pStyle w:val="Overskrift3"/>
        <w:spacing w:line="360" w:lineRule="auto"/>
        <w:rPr>
          <w:lang w:val="en-US"/>
        </w:rPr>
      </w:pPr>
      <w:bookmarkStart w:id="92" w:name="_Toc420075842"/>
      <w:bookmarkStart w:id="93" w:name="_Toc420761655"/>
      <w:r>
        <w:rPr>
          <w:lang w:val="en-US"/>
        </w:rPr>
        <w:t>7</w:t>
      </w:r>
      <w:r w:rsidR="00163B28">
        <w:rPr>
          <w:lang w:val="en-US"/>
        </w:rPr>
        <w:t>.2.1 Societal and Cultural Context</w:t>
      </w:r>
      <w:bookmarkEnd w:id="92"/>
      <w:bookmarkEnd w:id="93"/>
    </w:p>
    <w:p w:rsidR="00163B28" w:rsidRDefault="00163B28" w:rsidP="00337119">
      <w:pPr>
        <w:spacing w:line="360" w:lineRule="auto"/>
        <w:rPr>
          <w:lang w:val="en-US"/>
        </w:rPr>
      </w:pPr>
      <w:r>
        <w:rPr>
          <w:lang w:val="en-US"/>
        </w:rPr>
        <w:t xml:space="preserve">When evaluating the societal and cultural context surrounding the case of the study, it is important to consider that Mozilla as an organization produces products for </w:t>
      </w:r>
      <w:r w:rsidR="00B56ED7">
        <w:rPr>
          <w:lang w:val="en-US"/>
        </w:rPr>
        <w:t>online usage. Consequently, Mozilla</w:t>
      </w:r>
      <w:r>
        <w:rPr>
          <w:lang w:val="en-US"/>
        </w:rPr>
        <w:t xml:space="preserve"> operate</w:t>
      </w:r>
      <w:r w:rsidR="00B56ED7">
        <w:rPr>
          <w:lang w:val="en-US"/>
        </w:rPr>
        <w:t>s</w:t>
      </w:r>
      <w:r>
        <w:rPr>
          <w:lang w:val="en-US"/>
        </w:rPr>
        <w:t xml:space="preserve"> within the boundaries of the internet, which are generally non-existent – meaning </w:t>
      </w:r>
      <w:r>
        <w:rPr>
          <w:lang w:val="en-US"/>
        </w:rPr>
        <w:lastRenderedPageBreak/>
        <w:t xml:space="preserve">that the Mozilla crisis has an international reach and therefore no specific cultural context applies. However, it may be argued that a broad usage of the internet – in the essence of </w:t>
      </w:r>
      <w:r w:rsidR="00427F51">
        <w:rPr>
          <w:lang w:val="en-US"/>
        </w:rPr>
        <w:t xml:space="preserve">it </w:t>
      </w:r>
      <w:r>
        <w:rPr>
          <w:lang w:val="en-US"/>
        </w:rPr>
        <w:t xml:space="preserve">being open and opportunity </w:t>
      </w:r>
      <w:r w:rsidR="00492288">
        <w:rPr>
          <w:lang w:val="en-US"/>
        </w:rPr>
        <w:t>filled (as Mozilla intends its</w:t>
      </w:r>
      <w:r>
        <w:rPr>
          <w:lang w:val="en-US"/>
        </w:rPr>
        <w:t xml:space="preserve"> affiliation to be engaged at</w:t>
      </w:r>
      <w:sdt>
        <w:sdtPr>
          <w:rPr>
            <w:lang w:val="en-US"/>
          </w:rPr>
          <w:id w:val="-1020314180"/>
          <w:citation/>
        </w:sdtPr>
        <w:sdtContent>
          <w:r>
            <w:rPr>
              <w:lang w:val="en-US"/>
            </w:rPr>
            <w:fldChar w:fldCharType="begin"/>
          </w:r>
          <w:r>
            <w:rPr>
              <w:lang w:val="en-US"/>
            </w:rPr>
            <w:instrText xml:space="preserve">CITATION Moz15 \l 1030 </w:instrText>
          </w:r>
          <w:r>
            <w:rPr>
              <w:lang w:val="en-US"/>
            </w:rPr>
            <w:fldChar w:fldCharType="separate"/>
          </w:r>
          <w:r w:rsidR="00F623D4">
            <w:rPr>
              <w:noProof/>
              <w:lang w:val="en-US"/>
            </w:rPr>
            <w:t xml:space="preserve"> (Mozilla Foundation 2015)</w:t>
          </w:r>
          <w:r>
            <w:rPr>
              <w:lang w:val="en-US"/>
            </w:rPr>
            <w:fldChar w:fldCharType="end"/>
          </w:r>
        </w:sdtContent>
      </w:sdt>
      <w:r>
        <w:rPr>
          <w:lang w:val="en-US"/>
        </w:rPr>
        <w:t>) – is more in line with the properties of Western Culture</w:t>
      </w:r>
      <w:sdt>
        <w:sdtPr>
          <w:rPr>
            <w:lang w:val="en-US"/>
          </w:rPr>
          <w:id w:val="1496228158"/>
          <w:citation/>
        </w:sdtPr>
        <w:sdtContent>
          <w:r>
            <w:rPr>
              <w:lang w:val="en-US"/>
            </w:rPr>
            <w:fldChar w:fldCharType="begin"/>
          </w:r>
          <w:r w:rsidRPr="00405828">
            <w:rPr>
              <w:lang w:val="en-US"/>
            </w:rPr>
            <w:instrText xml:space="preserve"> CITATION Pew13 \l 1030 </w:instrText>
          </w:r>
          <w:r>
            <w:rPr>
              <w:lang w:val="en-US"/>
            </w:rPr>
            <w:fldChar w:fldCharType="separate"/>
          </w:r>
          <w:r w:rsidR="00F623D4">
            <w:rPr>
              <w:noProof/>
              <w:lang w:val="en-US"/>
            </w:rPr>
            <w:t xml:space="preserve"> (Pew Research Center 2013)</w:t>
          </w:r>
          <w:r>
            <w:rPr>
              <w:lang w:val="en-US"/>
            </w:rPr>
            <w:fldChar w:fldCharType="end"/>
          </w:r>
        </w:sdtContent>
      </w:sdt>
      <w:r>
        <w:rPr>
          <w:lang w:val="en-US"/>
        </w:rPr>
        <w:t>. Western Culture is not applied to specific ethnicities, but a description of a certain set of societal ideals, including science, technology, happiness, individualism, capitalism and rights – all deriving from a perception of ‘reason’ (reality)</w:t>
      </w:r>
      <w:sdt>
        <w:sdtPr>
          <w:rPr>
            <w:lang w:val="en-US"/>
          </w:rPr>
          <w:id w:val="326717431"/>
          <w:citation/>
        </w:sdtPr>
        <w:sdtContent>
          <w:r>
            <w:rPr>
              <w:lang w:val="en-US"/>
            </w:rPr>
            <w:fldChar w:fldCharType="begin"/>
          </w:r>
          <w:r w:rsidRPr="00294FFE">
            <w:rPr>
              <w:lang w:val="en-US"/>
            </w:rPr>
            <w:instrText xml:space="preserve"> CITATION Wes091 \l 1030 </w:instrText>
          </w:r>
          <w:r>
            <w:rPr>
              <w:lang w:val="en-US"/>
            </w:rPr>
            <w:fldChar w:fldCharType="separate"/>
          </w:r>
          <w:r w:rsidR="00F623D4">
            <w:rPr>
              <w:noProof/>
              <w:lang w:val="en-US"/>
            </w:rPr>
            <w:t xml:space="preserve"> (Western Culture Knowledge Center 2009)</w:t>
          </w:r>
          <w:r>
            <w:rPr>
              <w:lang w:val="en-US"/>
            </w:rPr>
            <w:fldChar w:fldCharType="end"/>
          </w:r>
        </w:sdtContent>
      </w:sdt>
      <w:r>
        <w:rPr>
          <w:lang w:val="en-US"/>
        </w:rPr>
        <w:t>. It can be fair to assess that the case in question may be linked to the ideals entailed by Western Culture, especially when it comes to the question of ‘rights’.</w:t>
      </w:r>
    </w:p>
    <w:p w:rsidR="00163B28" w:rsidRDefault="00881AB7" w:rsidP="00337119">
      <w:pPr>
        <w:pStyle w:val="Overskrift3"/>
        <w:spacing w:line="360" w:lineRule="auto"/>
        <w:rPr>
          <w:lang w:val="en-US"/>
        </w:rPr>
      </w:pPr>
      <w:bookmarkStart w:id="94" w:name="_Toc420075843"/>
      <w:bookmarkStart w:id="95" w:name="_Toc420761656"/>
      <w:r>
        <w:rPr>
          <w:lang w:val="en-US"/>
        </w:rPr>
        <w:t>7</w:t>
      </w:r>
      <w:r w:rsidR="00163B28">
        <w:rPr>
          <w:lang w:val="en-US"/>
        </w:rPr>
        <w:t>.2.2 Organizational and Institutional Context</w:t>
      </w:r>
      <w:bookmarkEnd w:id="94"/>
      <w:bookmarkEnd w:id="95"/>
    </w:p>
    <w:p w:rsidR="00163B28" w:rsidRDefault="00163B28" w:rsidP="00337119">
      <w:pPr>
        <w:spacing w:line="360" w:lineRule="auto"/>
        <w:rPr>
          <w:lang w:val="en-US"/>
        </w:rPr>
      </w:pPr>
      <w:r>
        <w:rPr>
          <w:lang w:val="en-US"/>
        </w:rPr>
        <w:t>Evaluating essential matters like organizational structure and culture is a difficult task when it comes to the Mozilla case, as internal knowledge would be needed. On the other hand, it can be considered valuable to externally evaluate the organization – so as to briefly set up an understanding of the organization (agenda, values, identity). Generally, the Mozilla Foundation is dedicated to improving and maintaining openness, innovation and opportunity on the internet, where the capabilities, opportunities and enrichment of the individual are matters of focus. Led by a CEO and a board of directors, the Mozilla Foundation aims at ensuring the vitality of the internet (public good) through motivated individuals and communities and free software</w:t>
      </w:r>
      <w:sdt>
        <w:sdtPr>
          <w:rPr>
            <w:lang w:val="en-US"/>
          </w:rPr>
          <w:id w:val="1069922392"/>
          <w:citation/>
        </w:sdtPr>
        <w:sdtContent>
          <w:r>
            <w:rPr>
              <w:lang w:val="en-US"/>
            </w:rPr>
            <w:fldChar w:fldCharType="begin"/>
          </w:r>
          <w:r>
            <w:rPr>
              <w:lang w:val="en-US"/>
            </w:rPr>
            <w:instrText xml:space="preserve">CITATION Moz15 \l 1030 </w:instrText>
          </w:r>
          <w:r>
            <w:rPr>
              <w:lang w:val="en-US"/>
            </w:rPr>
            <w:fldChar w:fldCharType="separate"/>
          </w:r>
          <w:r w:rsidR="00F623D4">
            <w:rPr>
              <w:noProof/>
              <w:lang w:val="en-US"/>
            </w:rPr>
            <w:t xml:space="preserve"> (Mozilla Foundation 2015)</w:t>
          </w:r>
          <w:r>
            <w:rPr>
              <w:lang w:val="en-US"/>
            </w:rPr>
            <w:fldChar w:fldCharType="end"/>
          </w:r>
        </w:sdtContent>
      </w:sdt>
      <w:r>
        <w:rPr>
          <w:lang w:val="en-US"/>
        </w:rPr>
        <w:t>.</w:t>
      </w:r>
    </w:p>
    <w:p w:rsidR="00163B28" w:rsidRDefault="00163B28" w:rsidP="00337119">
      <w:pPr>
        <w:spacing w:line="360" w:lineRule="auto"/>
        <w:rPr>
          <w:lang w:val="en-US"/>
        </w:rPr>
      </w:pPr>
      <w:r>
        <w:rPr>
          <w:lang w:val="en-US"/>
        </w:rPr>
        <w:t>In connection with the initial statements from Mozilla (</w:t>
      </w:r>
      <w:proofErr w:type="spellStart"/>
      <w:r>
        <w:rPr>
          <w:lang w:val="en-US"/>
        </w:rPr>
        <w:t>Eich</w:t>
      </w:r>
      <w:proofErr w:type="spellEnd"/>
      <w:r>
        <w:rPr>
          <w:lang w:val="en-US"/>
        </w:rPr>
        <w:t xml:space="preserve"> and Baker respectively), focus was directed at the Mozilla foundation’s </w:t>
      </w:r>
      <w:r>
        <w:rPr>
          <w:i/>
          <w:lang w:val="en-US"/>
        </w:rPr>
        <w:t>“Community Participation Guidelines”</w:t>
      </w:r>
      <w:r>
        <w:rPr>
          <w:lang w:val="en-US"/>
        </w:rPr>
        <w:t xml:space="preserve"> (Appendix 7-8), which were established in 2013 and still currently apply. These guidelines depict what may be considered the expressed organizational culture of Mozilla, aimed at portraying the values that belong to </w:t>
      </w:r>
      <w:r w:rsidR="000E7FF0">
        <w:rPr>
          <w:lang w:val="en-US"/>
        </w:rPr>
        <w:t>its</w:t>
      </w:r>
      <w:r>
        <w:rPr>
          <w:lang w:val="en-US"/>
        </w:rPr>
        <w:t xml:space="preserve"> community, which consists of employees as well as other participators (stakeholders). The two main principles of the guidelines are ‘inclusion’ and ‘diversity’, which drive the expressed identity of the organization and community. The essence of these principles is stated as follows, </w:t>
      </w:r>
    </w:p>
    <w:p w:rsidR="00163B28" w:rsidRDefault="00163B28" w:rsidP="00337119">
      <w:pPr>
        <w:spacing w:line="360" w:lineRule="auto"/>
        <w:ind w:left="1304"/>
        <w:rPr>
          <w:i/>
          <w:sz w:val="22"/>
          <w:lang w:val="en-US"/>
        </w:rPr>
      </w:pPr>
      <w:r w:rsidRPr="00FD657B">
        <w:rPr>
          <w:i/>
          <w:sz w:val="22"/>
          <w:lang w:val="en-US"/>
        </w:rPr>
        <w:t xml:space="preserve">“It doesn’t matter how you identify yourself or how others perceive you: we welcome you. </w:t>
      </w:r>
      <w:r>
        <w:rPr>
          <w:i/>
          <w:sz w:val="22"/>
          <w:lang w:val="en-US"/>
        </w:rPr>
        <w:t xml:space="preserve">[…] </w:t>
      </w:r>
      <w:r w:rsidRPr="00FD657B">
        <w:rPr>
          <w:i/>
          <w:sz w:val="22"/>
          <w:lang w:val="en-US"/>
        </w:rPr>
        <w:t>including, but not limited to people of varied age, culture, ethnicity, gender, gender-identity, language, race, sexual orientation, geographical location and religious views”</w:t>
      </w:r>
      <w:sdt>
        <w:sdtPr>
          <w:rPr>
            <w:i/>
            <w:sz w:val="22"/>
            <w:lang w:val="en-US"/>
          </w:rPr>
          <w:id w:val="-1309627684"/>
          <w:citation/>
        </w:sdtPr>
        <w:sdtContent>
          <w:r>
            <w:rPr>
              <w:i/>
              <w:sz w:val="22"/>
              <w:lang w:val="en-US"/>
            </w:rPr>
            <w:fldChar w:fldCharType="begin"/>
          </w:r>
          <w:r w:rsidRPr="00FD657B">
            <w:rPr>
              <w:i/>
              <w:sz w:val="22"/>
              <w:lang w:val="en-US"/>
            </w:rPr>
            <w:instrText xml:space="preserve"> CITATION Moz13 \l 1030 </w:instrText>
          </w:r>
          <w:r>
            <w:rPr>
              <w:i/>
              <w:sz w:val="22"/>
              <w:lang w:val="en-US"/>
            </w:rPr>
            <w:fldChar w:fldCharType="separate"/>
          </w:r>
          <w:r w:rsidR="00F623D4">
            <w:rPr>
              <w:i/>
              <w:noProof/>
              <w:sz w:val="22"/>
              <w:lang w:val="en-US"/>
            </w:rPr>
            <w:t xml:space="preserve"> </w:t>
          </w:r>
          <w:r w:rsidR="00F623D4" w:rsidRPr="00F623D4">
            <w:rPr>
              <w:noProof/>
              <w:sz w:val="22"/>
              <w:lang w:val="en-US"/>
            </w:rPr>
            <w:t>(Mozilla Foundation 2013)</w:t>
          </w:r>
          <w:r>
            <w:rPr>
              <w:i/>
              <w:sz w:val="22"/>
              <w:lang w:val="en-US"/>
            </w:rPr>
            <w:fldChar w:fldCharType="end"/>
          </w:r>
        </w:sdtContent>
      </w:sdt>
    </w:p>
    <w:p w:rsidR="00163B28" w:rsidRDefault="00163B28" w:rsidP="00337119">
      <w:pPr>
        <w:spacing w:line="360" w:lineRule="auto"/>
        <w:rPr>
          <w:lang w:val="en-US"/>
        </w:rPr>
      </w:pPr>
      <w:r>
        <w:rPr>
          <w:lang w:val="en-US"/>
        </w:rPr>
        <w:lastRenderedPageBreak/>
        <w:t xml:space="preserve">Additionally, it is stated that all participators who identify themselves with activities working against inclusiveness and diversity are inclined to leave it as a personal matter and not carry it into Mozilla activities. The principles of inclusion and diversity are seemingly essential to Mozilla’s identity, meaning that </w:t>
      </w:r>
      <w:r w:rsidRPr="00E22015">
        <w:rPr>
          <w:i/>
          <w:lang w:val="en-US"/>
        </w:rPr>
        <w:t>everyone</w:t>
      </w:r>
      <w:r>
        <w:rPr>
          <w:lang w:val="en-US"/>
        </w:rPr>
        <w:t xml:space="preserve"> is welcome, if the condition of the latter is met</w:t>
      </w:r>
      <w:sdt>
        <w:sdtPr>
          <w:rPr>
            <w:lang w:val="en-US"/>
          </w:rPr>
          <w:id w:val="1188868379"/>
          <w:citation/>
        </w:sdtPr>
        <w:sdtContent>
          <w:r>
            <w:rPr>
              <w:lang w:val="en-US"/>
            </w:rPr>
            <w:fldChar w:fldCharType="begin"/>
          </w:r>
          <w:r w:rsidRPr="00E22015">
            <w:rPr>
              <w:lang w:val="en-US"/>
            </w:rPr>
            <w:instrText xml:space="preserve"> CITATION Moz13 \l 1030 </w:instrText>
          </w:r>
          <w:r>
            <w:rPr>
              <w:lang w:val="en-US"/>
            </w:rPr>
            <w:fldChar w:fldCharType="separate"/>
          </w:r>
          <w:r w:rsidR="00F623D4">
            <w:rPr>
              <w:noProof/>
              <w:lang w:val="en-US"/>
            </w:rPr>
            <w:t xml:space="preserve"> (Mozilla Foundation 2013)</w:t>
          </w:r>
          <w:r>
            <w:rPr>
              <w:lang w:val="en-US"/>
            </w:rPr>
            <w:fldChar w:fldCharType="end"/>
          </w:r>
        </w:sdtContent>
      </w:sdt>
      <w:r>
        <w:rPr>
          <w:lang w:val="en-US"/>
        </w:rPr>
        <w:t>. To some extent, the guidelines presented depict the organization’s social responsibility towards community members</w:t>
      </w:r>
      <w:r w:rsidR="005B21D5">
        <w:rPr>
          <w:lang w:val="en-US"/>
        </w:rPr>
        <w:t xml:space="preserve"> (CSR)</w:t>
      </w:r>
      <w:r>
        <w:rPr>
          <w:lang w:val="en-US"/>
        </w:rPr>
        <w:t xml:space="preserve">, as a part of </w:t>
      </w:r>
      <w:r w:rsidR="000E7FF0">
        <w:rPr>
          <w:lang w:val="en-US"/>
        </w:rPr>
        <w:t>Mozilla’s</w:t>
      </w:r>
      <w:r>
        <w:rPr>
          <w:lang w:val="en-US"/>
        </w:rPr>
        <w:t xml:space="preserve"> identity (ideals and values). </w:t>
      </w:r>
    </w:p>
    <w:p w:rsidR="00163B28" w:rsidRDefault="00881AB7" w:rsidP="00337119">
      <w:pPr>
        <w:pStyle w:val="Overskrift3"/>
        <w:spacing w:line="360" w:lineRule="auto"/>
        <w:rPr>
          <w:lang w:val="en-US"/>
        </w:rPr>
      </w:pPr>
      <w:bookmarkStart w:id="96" w:name="_Toc420075844"/>
      <w:bookmarkStart w:id="97" w:name="_Toc420761657"/>
      <w:r>
        <w:rPr>
          <w:lang w:val="en-US"/>
        </w:rPr>
        <w:t>7</w:t>
      </w:r>
      <w:r w:rsidR="00163B28">
        <w:rPr>
          <w:lang w:val="en-US"/>
        </w:rPr>
        <w:t>.2.3 Situational Context</w:t>
      </w:r>
      <w:bookmarkEnd w:id="96"/>
      <w:bookmarkEnd w:id="97"/>
    </w:p>
    <w:p w:rsidR="00163B28" w:rsidRDefault="00163B28" w:rsidP="00337119">
      <w:pPr>
        <w:spacing w:line="360" w:lineRule="auto"/>
        <w:rPr>
          <w:lang w:val="en-US"/>
        </w:rPr>
      </w:pPr>
      <w:r>
        <w:rPr>
          <w:lang w:val="en-US"/>
        </w:rPr>
        <w:t xml:space="preserve">It is clear in view of the development of the case that the crisis began approximately after the announcement of a new CEO on April 24. However, the 2012 public awareness of Brendan </w:t>
      </w:r>
      <w:proofErr w:type="spellStart"/>
      <w:r>
        <w:rPr>
          <w:lang w:val="en-US"/>
        </w:rPr>
        <w:t>Eich’s</w:t>
      </w:r>
      <w:proofErr w:type="spellEnd"/>
      <w:r>
        <w:rPr>
          <w:lang w:val="en-US"/>
        </w:rPr>
        <w:t xml:space="preserve"> support of anti-gay marriage can be seen as the beginning of the issue leading to a crisis. As previously mentioned, the 2012 incident can be understood as a para-crisis, which slowly abated after </w:t>
      </w:r>
      <w:proofErr w:type="spellStart"/>
      <w:r>
        <w:rPr>
          <w:lang w:val="en-US"/>
        </w:rPr>
        <w:t>Eich’s</w:t>
      </w:r>
      <w:proofErr w:type="spellEnd"/>
      <w:r>
        <w:rPr>
          <w:lang w:val="en-US"/>
        </w:rPr>
        <w:t xml:space="preserve"> statement (Appendix 2). </w:t>
      </w:r>
      <w:r w:rsidRPr="009D1261">
        <w:rPr>
          <w:lang w:val="en-US"/>
        </w:rPr>
        <w:t xml:space="preserve">It can be argued that the </w:t>
      </w:r>
      <w:r>
        <w:rPr>
          <w:lang w:val="en-US"/>
        </w:rPr>
        <w:t>incident/</w:t>
      </w:r>
      <w:r w:rsidRPr="009D1261">
        <w:rPr>
          <w:lang w:val="en-US"/>
        </w:rPr>
        <w:t>challenge was not addressed properly by Mozilla, considering that the same issue gained significant momentum years later – following the para-crisis management principle (refute, reform or refuse)</w:t>
      </w:r>
      <w:r>
        <w:rPr>
          <w:lang w:val="en-US"/>
        </w:rPr>
        <w:t>, represented by Coombs and Holladay</w:t>
      </w:r>
      <w:sdt>
        <w:sdtPr>
          <w:rPr>
            <w:lang w:val="en-US"/>
          </w:rPr>
          <w:id w:val="302501884"/>
          <w:citation/>
        </w:sdtPr>
        <w:sdtContent>
          <w:r w:rsidRPr="009D1261">
            <w:rPr>
              <w:lang w:val="en-US"/>
            </w:rPr>
            <w:fldChar w:fldCharType="begin"/>
          </w:r>
          <w:r>
            <w:rPr>
              <w:lang w:val="en-US"/>
            </w:rPr>
            <w:instrText xml:space="preserve">CITATION Coo12 \p 412 \n  \t  \l 1030 </w:instrText>
          </w:r>
          <w:r w:rsidRPr="009D1261">
            <w:rPr>
              <w:lang w:val="en-US"/>
            </w:rPr>
            <w:fldChar w:fldCharType="separate"/>
          </w:r>
          <w:r w:rsidR="00F623D4">
            <w:rPr>
              <w:noProof/>
              <w:lang w:val="en-US"/>
            </w:rPr>
            <w:t xml:space="preserve"> (2012, 412)</w:t>
          </w:r>
          <w:r w:rsidRPr="009D1261">
            <w:rPr>
              <w:lang w:val="en-US"/>
            </w:rPr>
            <w:fldChar w:fldCharType="end"/>
          </w:r>
        </w:sdtContent>
      </w:sdt>
      <w:r w:rsidRPr="009D1261">
        <w:rPr>
          <w:lang w:val="en-US"/>
        </w:rPr>
        <w:t xml:space="preserve">. </w:t>
      </w:r>
      <w:r>
        <w:rPr>
          <w:lang w:val="en-US"/>
        </w:rPr>
        <w:t xml:space="preserve">All in all, the issue publicly unfolded in 2012, where the crisis itself began after </w:t>
      </w:r>
      <w:proofErr w:type="spellStart"/>
      <w:r>
        <w:rPr>
          <w:lang w:val="en-US"/>
        </w:rPr>
        <w:t>Eich’s</w:t>
      </w:r>
      <w:proofErr w:type="spellEnd"/>
      <w:r>
        <w:rPr>
          <w:lang w:val="en-US"/>
        </w:rPr>
        <w:t xml:space="preserve"> appointment, which again abated after his resignation.</w:t>
      </w:r>
      <w:r w:rsidRPr="009D1261">
        <w:rPr>
          <w:lang w:val="en-US"/>
        </w:rPr>
        <w:t xml:space="preserve"> </w:t>
      </w:r>
    </w:p>
    <w:p w:rsidR="00163B28" w:rsidRDefault="00163B28" w:rsidP="00337119">
      <w:pPr>
        <w:spacing w:line="360" w:lineRule="auto"/>
        <w:rPr>
          <w:lang w:val="en-US"/>
        </w:rPr>
      </w:pPr>
      <w:r>
        <w:rPr>
          <w:lang w:val="en-US"/>
        </w:rPr>
        <w:t>The most significant situational aspect in understanding the crisis communication in place</w:t>
      </w:r>
      <w:r w:rsidRPr="009D1261">
        <w:rPr>
          <w:lang w:val="en-US"/>
        </w:rPr>
        <w:t xml:space="preserve"> </w:t>
      </w:r>
      <w:r>
        <w:rPr>
          <w:lang w:val="en-US"/>
        </w:rPr>
        <w:t>can be considered the assumed public perception of the crisis. Following the crisis communication theory represented, the crisis type can be established and the degree of responsibility attributed to the organization</w:t>
      </w:r>
      <w:r w:rsidRPr="00EA0A0C">
        <w:rPr>
          <w:lang w:val="en-US"/>
        </w:rPr>
        <w:t xml:space="preserve"> </w:t>
      </w:r>
      <w:r>
        <w:rPr>
          <w:lang w:val="en-US"/>
        </w:rPr>
        <w:t xml:space="preserve">determined. </w:t>
      </w:r>
      <w:r w:rsidR="005B21D5">
        <w:rPr>
          <w:lang w:val="en-US"/>
        </w:rPr>
        <w:t>Considering the circumstances (Rhetorical Arena – 7</w:t>
      </w:r>
      <w:r>
        <w:rPr>
          <w:lang w:val="en-US"/>
        </w:rPr>
        <w:t>.1) and the CEO appointment leading up to those circumstances and the crisis, it can be reasonable to assume that Mozilla had no intention of promot</w:t>
      </w:r>
      <w:r w:rsidR="005B21D5">
        <w:rPr>
          <w:lang w:val="en-US"/>
        </w:rPr>
        <w:t>ing anti-gay marriage with its</w:t>
      </w:r>
      <w:r>
        <w:rPr>
          <w:lang w:val="en-US"/>
        </w:rPr>
        <w:t xml:space="preserve"> selection of Brendan </w:t>
      </w:r>
      <w:proofErr w:type="spellStart"/>
      <w:r>
        <w:rPr>
          <w:lang w:val="en-US"/>
        </w:rPr>
        <w:t>Eich</w:t>
      </w:r>
      <w:proofErr w:type="spellEnd"/>
      <w:r>
        <w:rPr>
          <w:lang w:val="en-US"/>
        </w:rPr>
        <w:t xml:space="preserve">. This is an assumption based on Mozilla’s expressed identity portrayed earlier, which can place the crisis as an </w:t>
      </w:r>
      <w:r>
        <w:rPr>
          <w:i/>
          <w:lang w:val="en-US"/>
        </w:rPr>
        <w:t>accident</w:t>
      </w:r>
      <w:r>
        <w:rPr>
          <w:lang w:val="en-US"/>
        </w:rPr>
        <w:t xml:space="preserve"> – in the sense that it is a matter of stakeholders claiming that the organizations is acting in an inappropriate manner. However, in consideration of the 2012 incident, opening up an issue to the public concerning </w:t>
      </w:r>
      <w:proofErr w:type="spellStart"/>
      <w:r>
        <w:rPr>
          <w:lang w:val="en-US"/>
        </w:rPr>
        <w:t>Eich’s</w:t>
      </w:r>
      <w:proofErr w:type="spellEnd"/>
      <w:r>
        <w:rPr>
          <w:lang w:val="en-US"/>
        </w:rPr>
        <w:t xml:space="preserve"> person, Mozilla is positioned in a situation, where </w:t>
      </w:r>
      <w:r w:rsidR="00F20ED0">
        <w:rPr>
          <w:lang w:val="en-US"/>
        </w:rPr>
        <w:t>it is</w:t>
      </w:r>
      <w:r>
        <w:rPr>
          <w:lang w:val="en-US"/>
        </w:rPr>
        <w:t xml:space="preserve"> perceived as ‘ignoring’ a publically known issue. Moreover, according to theory, the presence of a bad crisis history can invoke more harmful stakeholder attributions, altering the public perception of the crisis. In view of the case specifics, further substantiated by the aggregated stakeholders’ (actors within The Rhetorical Arena) comments and reactions (Appendix 4, 9, 12 and 13), it can therefore be argued that the crisis in question should be seen as a </w:t>
      </w:r>
      <w:r>
        <w:rPr>
          <w:i/>
          <w:lang w:val="en-US"/>
        </w:rPr>
        <w:t>preventable crisis</w:t>
      </w:r>
      <w:r w:rsidR="009F7170">
        <w:rPr>
          <w:lang w:val="en-US"/>
        </w:rPr>
        <w:t xml:space="preserve">. As a result, the crisis </w:t>
      </w:r>
      <w:r w:rsidR="009F7170">
        <w:rPr>
          <w:lang w:val="en-US"/>
        </w:rPr>
        <w:lastRenderedPageBreak/>
        <w:t>presents</w:t>
      </w:r>
      <w:r>
        <w:rPr>
          <w:lang w:val="en-US"/>
        </w:rPr>
        <w:t xml:space="preserve"> a potentially significant reputational threat with strong crisis responsibility attributed to Mozilla. Following the theoretical recommendations set for a preventable crisis, the utilization of </w:t>
      </w:r>
      <w:r>
        <w:rPr>
          <w:i/>
          <w:lang w:val="en-US"/>
        </w:rPr>
        <w:t>rebuild strategies</w:t>
      </w:r>
      <w:r>
        <w:rPr>
          <w:lang w:val="en-US"/>
        </w:rPr>
        <w:t xml:space="preserve"> is considered the most efficient choice for the communicative approach. </w:t>
      </w:r>
    </w:p>
    <w:p w:rsidR="00163B28" w:rsidRDefault="00881AB7" w:rsidP="00337119">
      <w:pPr>
        <w:pStyle w:val="Overskrift2"/>
        <w:spacing w:line="360" w:lineRule="auto"/>
        <w:rPr>
          <w:lang w:val="en-US"/>
        </w:rPr>
      </w:pPr>
      <w:bookmarkStart w:id="98" w:name="_Toc420075845"/>
      <w:bookmarkStart w:id="99" w:name="_Toc420761658"/>
      <w:r>
        <w:rPr>
          <w:lang w:val="en-US"/>
        </w:rPr>
        <w:t>7</w:t>
      </w:r>
      <w:r w:rsidR="00163B28">
        <w:rPr>
          <w:lang w:val="en-US"/>
        </w:rPr>
        <w:t>.3 Medium and Genre</w:t>
      </w:r>
      <w:bookmarkEnd w:id="98"/>
      <w:bookmarkEnd w:id="99"/>
    </w:p>
    <w:p w:rsidR="00163B28" w:rsidRDefault="00163B28" w:rsidP="00337119">
      <w:pPr>
        <w:spacing w:line="360" w:lineRule="auto"/>
        <w:rPr>
          <w:lang w:val="en-US"/>
        </w:rPr>
      </w:pPr>
      <w:r>
        <w:rPr>
          <w:lang w:val="en-US"/>
        </w:rPr>
        <w:t xml:space="preserve">The medium, by which the crisis communication in the Mozilla case is being facilitated, is characterized as the new media – more specifically the internet. As formulated in the Methodology chapter, all information communicated is conveyed through written texts, meaning that Mozilla never made use of vocal crisis communication. Additionally, all communication was handled through blogs: the communication of Mozilla as an organization and with the voices of both </w:t>
      </w:r>
      <w:proofErr w:type="spellStart"/>
      <w:r>
        <w:rPr>
          <w:lang w:val="en-US"/>
        </w:rPr>
        <w:t>Eich</w:t>
      </w:r>
      <w:proofErr w:type="spellEnd"/>
      <w:r>
        <w:rPr>
          <w:lang w:val="en-US"/>
        </w:rPr>
        <w:t xml:space="preserve"> and Baker were all disseminated through three different blog systems attached to the organization. It is possible to directly link </w:t>
      </w:r>
      <w:proofErr w:type="spellStart"/>
      <w:r>
        <w:rPr>
          <w:lang w:val="en-US"/>
        </w:rPr>
        <w:t>Eich</w:t>
      </w:r>
      <w:proofErr w:type="spellEnd"/>
      <w:r>
        <w:rPr>
          <w:lang w:val="en-US"/>
        </w:rPr>
        <w:t xml:space="preserve"> and Baker’s blogs to Mozilla due to clear blog references of their role at Mozilla, and due to the fact that </w:t>
      </w:r>
      <w:proofErr w:type="spellStart"/>
      <w:r>
        <w:rPr>
          <w:lang w:val="en-US"/>
        </w:rPr>
        <w:t>Eich’s</w:t>
      </w:r>
      <w:proofErr w:type="spellEnd"/>
      <w:r>
        <w:rPr>
          <w:lang w:val="en-US"/>
        </w:rPr>
        <w:t xml:space="preserve"> blog became silent after his resignation – indicating that his blog was dependent on him working at Mozilla (Appendix 7, 8).</w:t>
      </w:r>
    </w:p>
    <w:p w:rsidR="00163B28" w:rsidRDefault="00163B28" w:rsidP="00337119">
      <w:pPr>
        <w:spacing w:line="360" w:lineRule="auto"/>
        <w:rPr>
          <w:lang w:val="en-US"/>
        </w:rPr>
      </w:pPr>
      <w:r>
        <w:rPr>
          <w:lang w:val="en-US"/>
        </w:rPr>
        <w:t xml:space="preserve">A blog or ‘blogging’ can be seen as a specific genre of structured ways of communication. Generally, a few premises will have to apply: first of all, the main purpose of blogging is that it is social, networked and conversational, which is enabled through </w:t>
      </w:r>
      <w:r w:rsidR="00427F51">
        <w:rPr>
          <w:lang w:val="en-US"/>
        </w:rPr>
        <w:t xml:space="preserve">the </w:t>
      </w:r>
      <w:r>
        <w:rPr>
          <w:lang w:val="en-US"/>
        </w:rPr>
        <w:t>readers’ ability to comment. Secondly, it is personal and a process instead of a product and therefore different from broadcast journalism</w:t>
      </w:r>
      <w:sdt>
        <w:sdtPr>
          <w:rPr>
            <w:lang w:val="en-US"/>
          </w:rPr>
          <w:id w:val="-345332086"/>
          <w:citation/>
        </w:sdtPr>
        <w:sdtContent>
          <w:r>
            <w:rPr>
              <w:lang w:val="en-US"/>
            </w:rPr>
            <w:fldChar w:fldCharType="begin"/>
          </w:r>
          <w:r w:rsidRPr="00B74107">
            <w:rPr>
              <w:lang w:val="en-US"/>
            </w:rPr>
            <w:instrText xml:space="preserve"> CITATION Pau08 \l 1030 </w:instrText>
          </w:r>
          <w:r>
            <w:rPr>
              <w:lang w:val="en-US"/>
            </w:rPr>
            <w:fldChar w:fldCharType="separate"/>
          </w:r>
          <w:r w:rsidR="00F623D4">
            <w:rPr>
              <w:noProof/>
              <w:lang w:val="en-US"/>
            </w:rPr>
            <w:t xml:space="preserve"> (Bradshaw 2008)</w:t>
          </w:r>
          <w:r>
            <w:rPr>
              <w:lang w:val="en-US"/>
            </w:rPr>
            <w:fldChar w:fldCharType="end"/>
          </w:r>
        </w:sdtContent>
      </w:sdt>
      <w:r>
        <w:rPr>
          <w:lang w:val="en-US"/>
        </w:rPr>
        <w:t xml:space="preserve">. Based on those premises, it is apparent that the written statements in this case do not comply </w:t>
      </w:r>
      <w:r w:rsidR="006A7608">
        <w:rPr>
          <w:lang w:val="en-US"/>
        </w:rPr>
        <w:t xml:space="preserve">completely </w:t>
      </w:r>
      <w:r>
        <w:rPr>
          <w:lang w:val="en-US"/>
        </w:rPr>
        <w:t xml:space="preserve">with the blogging genre. The primary indicator of this is the fact that commenting has been disabled, which removes the social, networked and conversational aspects to some extent (people can still make comments to the statements elsewhere). Hence, even though the medium is blogging, the structure of the texts lacks complete correlation with the equivalent textural genre. Taking Baker’s first statement as an example (Appendix 8), it is clear from a general perspective that it is written in a more formal manner, it is considerably informative, directed at the public and written from both the perspective of Mozilla and Baker herself with self-promotional elements, </w:t>
      </w:r>
      <w:r w:rsidRPr="00E3337F">
        <w:rPr>
          <w:i/>
          <w:lang w:val="en-US"/>
        </w:rPr>
        <w:t xml:space="preserve">“Acting for or on behalf of Mozilla, it is unacceptable to limit opportunity for *anyone* </w:t>
      </w:r>
      <w:r>
        <w:rPr>
          <w:i/>
          <w:lang w:val="en-US"/>
        </w:rPr>
        <w:t xml:space="preserve">[…] </w:t>
      </w:r>
      <w:r w:rsidRPr="00E3337F">
        <w:rPr>
          <w:i/>
          <w:lang w:val="en-US"/>
        </w:rPr>
        <w:t>This is not only a commitment, it is our identity</w:t>
      </w:r>
      <w:r>
        <w:rPr>
          <w:i/>
          <w:lang w:val="en-US"/>
        </w:rPr>
        <w:t>”</w:t>
      </w:r>
      <w:r>
        <w:rPr>
          <w:lang w:val="en-US"/>
        </w:rPr>
        <w:t xml:space="preserve"> (Appendix 7, line 8-10)</w:t>
      </w:r>
      <w:r w:rsidRPr="00E3337F">
        <w:rPr>
          <w:i/>
          <w:lang w:val="en-US"/>
        </w:rPr>
        <w:t>.</w:t>
      </w:r>
      <w:r>
        <w:rPr>
          <w:lang w:val="en-US"/>
        </w:rPr>
        <w:t xml:space="preserve"> The observations made align with an understanding of a press release genre, which has the purpose of communicating to journalist and the public with the ‘voice’ of an organization </w:t>
      </w:r>
      <w:sdt>
        <w:sdtPr>
          <w:rPr>
            <w:lang w:val="en-US"/>
          </w:rPr>
          <w:id w:val="-1644116840"/>
          <w:citation/>
        </w:sdtPr>
        <w:sdtContent>
          <w:r>
            <w:rPr>
              <w:lang w:val="en-US"/>
            </w:rPr>
            <w:fldChar w:fldCharType="begin"/>
          </w:r>
          <w:r>
            <w:rPr>
              <w:lang w:val="en-US"/>
            </w:rPr>
            <w:instrText xml:space="preserve">CITATION Pao08 \p 28 \l 1030 </w:instrText>
          </w:r>
          <w:r>
            <w:rPr>
              <w:lang w:val="en-US"/>
            </w:rPr>
            <w:fldChar w:fldCharType="separate"/>
          </w:r>
          <w:r w:rsidR="00F623D4">
            <w:rPr>
              <w:noProof/>
              <w:lang w:val="en-US"/>
            </w:rPr>
            <w:t>(Catenaccio 2008, 28)</w:t>
          </w:r>
          <w:r>
            <w:rPr>
              <w:lang w:val="en-US"/>
            </w:rPr>
            <w:fldChar w:fldCharType="end"/>
          </w:r>
        </w:sdtContent>
      </w:sdt>
      <w:r>
        <w:rPr>
          <w:lang w:val="en-US"/>
        </w:rPr>
        <w:t>.</w:t>
      </w:r>
    </w:p>
    <w:p w:rsidR="00163B28" w:rsidRPr="00FD657B" w:rsidRDefault="00881AB7" w:rsidP="00337119">
      <w:pPr>
        <w:pStyle w:val="Overskrift2"/>
        <w:spacing w:line="360" w:lineRule="auto"/>
        <w:rPr>
          <w:sz w:val="22"/>
          <w:lang w:val="en-US"/>
        </w:rPr>
      </w:pPr>
      <w:bookmarkStart w:id="100" w:name="_Toc420075846"/>
      <w:bookmarkStart w:id="101" w:name="_Toc420761659"/>
      <w:r>
        <w:rPr>
          <w:lang w:val="en-US"/>
        </w:rPr>
        <w:lastRenderedPageBreak/>
        <w:t>7</w:t>
      </w:r>
      <w:r w:rsidR="00163B28">
        <w:rPr>
          <w:lang w:val="en-US"/>
        </w:rPr>
        <w:t>.4 Text</w:t>
      </w:r>
      <w:bookmarkEnd w:id="100"/>
      <w:bookmarkEnd w:id="101"/>
      <w:r w:rsidR="00163B28" w:rsidRPr="00E3337F">
        <w:rPr>
          <w:lang w:val="en-US"/>
        </w:rPr>
        <w:t xml:space="preserve">       </w:t>
      </w:r>
    </w:p>
    <w:p w:rsidR="00163B28" w:rsidRDefault="00163B28" w:rsidP="00337119">
      <w:pPr>
        <w:spacing w:line="360" w:lineRule="auto"/>
        <w:rPr>
          <w:lang w:val="en-US"/>
        </w:rPr>
      </w:pPr>
      <w:r w:rsidRPr="00D902A5">
        <w:rPr>
          <w:lang w:val="en-US"/>
        </w:rPr>
        <w:t xml:space="preserve">The text parameter is considered important in the study, as it has a focus on the micro level of the </w:t>
      </w:r>
      <w:r>
        <w:rPr>
          <w:lang w:val="en-US"/>
        </w:rPr>
        <w:t>statements,</w:t>
      </w:r>
      <w:r w:rsidRPr="00D902A5">
        <w:rPr>
          <w:lang w:val="en-US"/>
        </w:rPr>
        <w:t xml:space="preserve"> evaluating how the crisis communication is rhetorically expressed.</w:t>
      </w:r>
      <w:r>
        <w:rPr>
          <w:lang w:val="en-US"/>
        </w:rPr>
        <w:t xml:space="preserve"> This is an analytical element addressed in the evaluation of appli</w:t>
      </w:r>
      <w:r w:rsidR="00626C8C">
        <w:rPr>
          <w:lang w:val="en-US"/>
        </w:rPr>
        <w:t>ed crisis response strategies (7</w:t>
      </w:r>
      <w:r>
        <w:rPr>
          <w:lang w:val="en-US"/>
        </w:rPr>
        <w:t>.5) and more in depth at the stage of critical discourse analysis. Therefore, it will not be addressed in detail at this point.</w:t>
      </w:r>
      <w:r w:rsidR="009A7486">
        <w:rPr>
          <w:lang w:val="en-US"/>
        </w:rPr>
        <w:t xml:space="preserve"> However, a general observation</w:t>
      </w:r>
      <w:r>
        <w:rPr>
          <w:lang w:val="en-US"/>
        </w:rPr>
        <w:t xml:space="preserve"> can be made, which is considered important when analyzing discursive properties. It has been made clear from early evaluations that CSR ‘infused’ discourses are at play in the communication (2.6). This is evident from a narrative structure surrounding value-laden words like inclusion, diversity, equality and commitment throughout each statement – directed at strong matters like sexual orientation and health. Moreover, after an evaluation of Mozilla as an organization, including </w:t>
      </w:r>
      <w:r w:rsidR="000E7FF0">
        <w:rPr>
          <w:lang w:val="en-US"/>
        </w:rPr>
        <w:t>its</w:t>
      </w:r>
      <w:r>
        <w:rPr>
          <w:lang w:val="en-US"/>
        </w:rPr>
        <w:t xml:space="preserve"> Community Participation Guidelines, it has become apparent that </w:t>
      </w:r>
      <w:r w:rsidR="000E7FF0">
        <w:rPr>
          <w:lang w:val="en-US"/>
        </w:rPr>
        <w:t>similar textual content on Mozilla’s</w:t>
      </w:r>
      <w:r>
        <w:rPr>
          <w:lang w:val="en-US"/>
        </w:rPr>
        <w:t xml:space="preserve"> website is present within the statements as well</w:t>
      </w:r>
      <w:sdt>
        <w:sdtPr>
          <w:rPr>
            <w:lang w:val="en-US"/>
          </w:rPr>
          <w:id w:val="-749112202"/>
          <w:citation/>
        </w:sdtPr>
        <w:sdtContent>
          <w:r>
            <w:rPr>
              <w:lang w:val="en-US"/>
            </w:rPr>
            <w:fldChar w:fldCharType="begin"/>
          </w:r>
          <w:r w:rsidRPr="00CE7E06">
            <w:rPr>
              <w:lang w:val="en-US"/>
            </w:rPr>
            <w:instrText xml:space="preserve"> CITATION Moz13 \l 1030 </w:instrText>
          </w:r>
          <w:r>
            <w:rPr>
              <w:lang w:val="en-US"/>
            </w:rPr>
            <w:fldChar w:fldCharType="separate"/>
          </w:r>
          <w:r w:rsidR="00F623D4">
            <w:rPr>
              <w:noProof/>
              <w:lang w:val="en-US"/>
            </w:rPr>
            <w:t xml:space="preserve"> (Mozilla Foundation 2013)</w:t>
          </w:r>
          <w:r>
            <w:rPr>
              <w:lang w:val="en-US"/>
            </w:rPr>
            <w:fldChar w:fldCharType="end"/>
          </w:r>
        </w:sdtContent>
      </w:sdt>
      <w:r>
        <w:rPr>
          <w:lang w:val="en-US"/>
        </w:rPr>
        <w:t>. Accordingly, the observation that similar CSR discourse elements are produced in different text</w:t>
      </w:r>
      <w:r w:rsidR="00626C8C">
        <w:rPr>
          <w:lang w:val="en-US"/>
        </w:rPr>
        <w:t>s</w:t>
      </w:r>
      <w:r>
        <w:rPr>
          <w:lang w:val="en-US"/>
        </w:rPr>
        <w:t xml:space="preserve"> would indicate the occurrence of </w:t>
      </w:r>
      <w:proofErr w:type="spellStart"/>
      <w:r w:rsidRPr="009249F6">
        <w:rPr>
          <w:lang w:val="en-US"/>
        </w:rPr>
        <w:t>interdiscursivity</w:t>
      </w:r>
      <w:proofErr w:type="spellEnd"/>
      <w:r>
        <w:rPr>
          <w:lang w:val="en-US"/>
        </w:rPr>
        <w:t>.</w:t>
      </w:r>
    </w:p>
    <w:p w:rsidR="00163B28" w:rsidRDefault="00881AB7" w:rsidP="00337119">
      <w:pPr>
        <w:pStyle w:val="Overskrift2"/>
        <w:spacing w:line="360" w:lineRule="auto"/>
        <w:rPr>
          <w:lang w:val="en-US"/>
        </w:rPr>
      </w:pPr>
      <w:bookmarkStart w:id="102" w:name="_Toc420075847"/>
      <w:bookmarkStart w:id="103" w:name="_Toc420761660"/>
      <w:r>
        <w:rPr>
          <w:lang w:val="en-US"/>
        </w:rPr>
        <w:t>7</w:t>
      </w:r>
      <w:r w:rsidR="00163B28">
        <w:rPr>
          <w:lang w:val="en-US"/>
        </w:rPr>
        <w:t>.5 Crisis Response Strategies</w:t>
      </w:r>
      <w:bookmarkEnd w:id="102"/>
      <w:bookmarkEnd w:id="103"/>
    </w:p>
    <w:p w:rsidR="00163B28" w:rsidRDefault="00163B28" w:rsidP="00337119">
      <w:pPr>
        <w:spacing w:line="360" w:lineRule="auto"/>
        <w:rPr>
          <w:lang w:val="en-US"/>
        </w:rPr>
      </w:pPr>
      <w:r>
        <w:rPr>
          <w:lang w:val="en-US"/>
        </w:rPr>
        <w:t xml:space="preserve">On the basis of the theoretical amalgamated crisis response strategies (Model 1), each selected statement will undergo a systematic analysis of relevant elements to determine crisis response strategies in use. </w:t>
      </w:r>
    </w:p>
    <w:p w:rsidR="00163B28" w:rsidRDefault="00881AB7" w:rsidP="00337119">
      <w:pPr>
        <w:pStyle w:val="Overskrift3"/>
        <w:spacing w:line="360" w:lineRule="auto"/>
        <w:rPr>
          <w:lang w:val="en-US"/>
        </w:rPr>
      </w:pPr>
      <w:bookmarkStart w:id="104" w:name="_Toc420075848"/>
      <w:bookmarkStart w:id="105" w:name="_Toc420761661"/>
      <w:r>
        <w:rPr>
          <w:lang w:val="en-US"/>
        </w:rPr>
        <w:t>7</w:t>
      </w:r>
      <w:r w:rsidR="00163B28">
        <w:rPr>
          <w:lang w:val="en-US"/>
        </w:rPr>
        <w:t>.5.1 Statement 1</w:t>
      </w:r>
      <w:bookmarkEnd w:id="104"/>
      <w:bookmarkEnd w:id="105"/>
      <w:r w:rsidR="00163B28">
        <w:rPr>
          <w:lang w:val="en-US"/>
        </w:rPr>
        <w:t xml:space="preserve">    </w:t>
      </w:r>
    </w:p>
    <w:p w:rsidR="00017376" w:rsidRDefault="00163B28" w:rsidP="00337119">
      <w:pPr>
        <w:spacing w:line="360" w:lineRule="auto"/>
        <w:rPr>
          <w:lang w:val="en-US"/>
        </w:rPr>
      </w:pPr>
      <w:r>
        <w:rPr>
          <w:lang w:val="en-US"/>
        </w:rPr>
        <w:t>The first statement (</w:t>
      </w:r>
      <w:r w:rsidR="00017376">
        <w:rPr>
          <w:lang w:val="en-US"/>
        </w:rPr>
        <w:t>Appendix 5</w:t>
      </w:r>
      <w:r>
        <w:rPr>
          <w:lang w:val="en-US"/>
        </w:rPr>
        <w:t xml:space="preserve">) is rather short with, supposedly, a primary focus on directing the public at </w:t>
      </w:r>
      <w:proofErr w:type="spellStart"/>
      <w:r>
        <w:rPr>
          <w:lang w:val="en-US"/>
        </w:rPr>
        <w:t>Eich</w:t>
      </w:r>
      <w:proofErr w:type="spellEnd"/>
      <w:r>
        <w:rPr>
          <w:lang w:val="en-US"/>
        </w:rPr>
        <w:t xml:space="preserve"> and Baker’s individual statements (blog posts), as direct links to those are portrayed</w:t>
      </w:r>
      <w:r w:rsidR="00C0780E">
        <w:rPr>
          <w:lang w:val="en-US"/>
        </w:rPr>
        <w:t xml:space="preserve"> (lines 9 and 10)</w:t>
      </w:r>
      <w:r>
        <w:rPr>
          <w:lang w:val="en-US"/>
        </w:rPr>
        <w:t xml:space="preserve">. </w:t>
      </w:r>
    </w:p>
    <w:p w:rsidR="00017376" w:rsidRDefault="00017376" w:rsidP="00337119">
      <w:pPr>
        <w:spacing w:line="360" w:lineRule="auto"/>
        <w:rPr>
          <w:lang w:val="en-US"/>
        </w:rPr>
      </w:pPr>
    </w:p>
    <w:p w:rsidR="00017376" w:rsidRDefault="00017376" w:rsidP="00337119">
      <w:pPr>
        <w:spacing w:line="360" w:lineRule="auto"/>
        <w:rPr>
          <w:lang w:val="en-US"/>
        </w:rPr>
      </w:pPr>
    </w:p>
    <w:p w:rsidR="00017376" w:rsidRDefault="006C3310" w:rsidP="00337119">
      <w:pPr>
        <w:spacing w:line="360" w:lineRule="auto"/>
        <w:rPr>
          <w:lang w:val="en-US"/>
        </w:rPr>
      </w:pPr>
      <w:r>
        <w:rPr>
          <w:noProof/>
          <w:lang w:eastAsia="da-DK"/>
        </w:rPr>
        <w:lastRenderedPageBreak/>
        <w:drawing>
          <wp:anchor distT="0" distB="0" distL="114300" distR="114300" simplePos="0" relativeHeight="251745280" behindDoc="1" locked="0" layoutInCell="1" allowOverlap="1" wp14:anchorId="7D37BAF1" wp14:editId="5E0BBA2B">
            <wp:simplePos x="0" y="0"/>
            <wp:positionH relativeFrom="column">
              <wp:posOffset>330835</wp:posOffset>
            </wp:positionH>
            <wp:positionV relativeFrom="paragraph">
              <wp:posOffset>-73025</wp:posOffset>
            </wp:positionV>
            <wp:extent cx="5525135" cy="4752975"/>
            <wp:effectExtent l="0" t="0" r="0" b="9525"/>
            <wp:wrapTight wrapText="bothSides">
              <wp:wrapPolygon edited="0">
                <wp:start x="0" y="0"/>
                <wp:lineTo x="0" y="21557"/>
                <wp:lineTo x="21523" y="21557"/>
                <wp:lineTo x="21523" y="0"/>
                <wp:lineTo x="0" y="0"/>
              </wp:wrapPolygon>
            </wp:wrapTight>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 statement on diversity.png"/>
                    <pic:cNvPicPr/>
                  </pic:nvPicPr>
                  <pic:blipFill>
                    <a:blip r:embed="rId33">
                      <a:extLst>
                        <a:ext uri="{28A0092B-C50C-407E-A947-70E740481C1C}">
                          <a14:useLocalDpi xmlns:a14="http://schemas.microsoft.com/office/drawing/2010/main" val="0"/>
                        </a:ext>
                      </a:extLst>
                    </a:blip>
                    <a:stretch>
                      <a:fillRect/>
                    </a:stretch>
                  </pic:blipFill>
                  <pic:spPr>
                    <a:xfrm>
                      <a:off x="0" y="0"/>
                      <a:ext cx="5525135" cy="4752975"/>
                    </a:xfrm>
                    <a:prstGeom prst="rect">
                      <a:avLst/>
                    </a:prstGeom>
                  </pic:spPr>
                </pic:pic>
              </a:graphicData>
            </a:graphic>
            <wp14:sizeRelH relativeFrom="page">
              <wp14:pctWidth>0</wp14:pctWidth>
            </wp14:sizeRelH>
            <wp14:sizeRelV relativeFrom="page">
              <wp14:pctHeight>0</wp14:pctHeight>
            </wp14:sizeRelV>
          </wp:anchor>
        </w:drawing>
      </w:r>
    </w:p>
    <w:p w:rsidR="00017376" w:rsidRDefault="00017376" w:rsidP="00337119">
      <w:pPr>
        <w:spacing w:line="360" w:lineRule="auto"/>
        <w:rPr>
          <w:lang w:val="en-US"/>
        </w:rPr>
      </w:pPr>
    </w:p>
    <w:p w:rsidR="00163B28" w:rsidRDefault="00B9638D" w:rsidP="00337119">
      <w:pPr>
        <w:spacing w:line="360" w:lineRule="auto"/>
        <w:rPr>
          <w:lang w:val="en-US"/>
        </w:rPr>
      </w:pPr>
      <w:r>
        <w:rPr>
          <w:noProof/>
          <w:lang w:eastAsia="da-DK"/>
        </w:rPr>
        <mc:AlternateContent>
          <mc:Choice Requires="wps">
            <w:drawing>
              <wp:anchor distT="0" distB="0" distL="114300" distR="114300" simplePos="0" relativeHeight="251734016" behindDoc="0" locked="0" layoutInCell="1" allowOverlap="1" wp14:anchorId="02F1DEF6" wp14:editId="140346F5">
                <wp:simplePos x="0" y="0"/>
                <wp:positionH relativeFrom="column">
                  <wp:posOffset>4886325</wp:posOffset>
                </wp:positionH>
                <wp:positionV relativeFrom="paragraph">
                  <wp:posOffset>-138430</wp:posOffset>
                </wp:positionV>
                <wp:extent cx="971550" cy="247650"/>
                <wp:effectExtent l="0" t="0" r="0" b="0"/>
                <wp:wrapTopAndBottom/>
                <wp:docPr id="41" name="Tekstboks 41"/>
                <wp:cNvGraphicFramePr/>
                <a:graphic xmlns:a="http://schemas.openxmlformats.org/drawingml/2006/main">
                  <a:graphicData uri="http://schemas.microsoft.com/office/word/2010/wordprocessingShape">
                    <wps:wsp>
                      <wps:cNvSpPr txBox="1"/>
                      <wps:spPr>
                        <a:xfrm>
                          <a:off x="0" y="0"/>
                          <a:ext cx="971550" cy="247650"/>
                        </a:xfrm>
                        <a:prstGeom prst="rect">
                          <a:avLst/>
                        </a:prstGeom>
                        <a:solidFill>
                          <a:prstClr val="white"/>
                        </a:solidFill>
                        <a:ln>
                          <a:noFill/>
                        </a:ln>
                        <a:effectLst/>
                      </wps:spPr>
                      <wps:txbx>
                        <w:txbxContent>
                          <w:p w:rsidR="00CF205E" w:rsidRPr="00336E17" w:rsidRDefault="00CF205E" w:rsidP="00336E17">
                            <w:pPr>
                              <w:pStyle w:val="Billedtekst"/>
                              <w:rPr>
                                <w:noProof/>
                                <w:color w:val="auto"/>
                                <w:sz w:val="24"/>
                              </w:rPr>
                            </w:pPr>
                            <w:r w:rsidRPr="00336E17">
                              <w:rPr>
                                <w:color w:val="auto"/>
                                <w:sz w:val="24"/>
                              </w:rPr>
                              <w:t>(</w:t>
                            </w:r>
                            <w:proofErr w:type="spellStart"/>
                            <w:r w:rsidRPr="00336E17">
                              <w:rPr>
                                <w:color w:val="auto"/>
                                <w:sz w:val="24"/>
                              </w:rPr>
                              <w:t>Appendix</w:t>
                            </w:r>
                            <w:proofErr w:type="spellEnd"/>
                            <w:r w:rsidRPr="00336E17">
                              <w:rPr>
                                <w:color w:val="auto"/>
                                <w:sz w:val="24"/>
                              </w:rPr>
                              <w:t xml:space="preserv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1" o:spid="_x0000_s1038" type="#_x0000_t202" style="position:absolute;left:0;text-align:left;margin-left:384.75pt;margin-top:-10.9pt;width:76.5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" stroked="f">
                <v:textbox inset="0,0,0,0">
                  <w:txbxContent>
                    <w:p w:rsidR="00CF205E" w:rsidRPr="00336E17" w:rsidRDefault="00CF205E" w:rsidP="00336E17">
                      <w:pPr>
                        <w:pStyle w:val="Billedtekst"/>
                        <w:rPr>
                          <w:noProof/>
                          <w:color w:val="auto"/>
                          <w:sz w:val="24"/>
                        </w:rPr>
                      </w:pPr>
                      <w:r w:rsidRPr="00336E17">
                        <w:rPr>
                          <w:color w:val="auto"/>
                          <w:sz w:val="24"/>
                        </w:rPr>
                        <w:t>(</w:t>
                      </w:r>
                      <w:proofErr w:type="spellStart"/>
                      <w:r w:rsidRPr="00336E17">
                        <w:rPr>
                          <w:color w:val="auto"/>
                          <w:sz w:val="24"/>
                        </w:rPr>
                        <w:t>Appendix</w:t>
                      </w:r>
                      <w:proofErr w:type="spellEnd"/>
                      <w:r w:rsidRPr="00336E17">
                        <w:rPr>
                          <w:color w:val="auto"/>
                          <w:sz w:val="24"/>
                        </w:rPr>
                        <w:t xml:space="preserve"> 5)</w:t>
                      </w:r>
                    </w:p>
                  </w:txbxContent>
                </v:textbox>
                <w10:wrap type="topAndBottom"/>
              </v:shape>
            </w:pict>
          </mc:Fallback>
        </mc:AlternateContent>
      </w:r>
      <w:r w:rsidR="00163B28">
        <w:rPr>
          <w:lang w:val="en-US"/>
        </w:rPr>
        <w:t xml:space="preserve">The content of the statement itself only consists of sentences portraying the organization as open-minded and ethical, which is shown in the following quotation: </w:t>
      </w:r>
    </w:p>
    <w:p w:rsidR="00163B28" w:rsidRDefault="00163B28" w:rsidP="00337119">
      <w:pPr>
        <w:spacing w:line="360" w:lineRule="auto"/>
        <w:ind w:left="1304"/>
        <w:rPr>
          <w:i/>
          <w:sz w:val="22"/>
          <w:lang w:val="en-US"/>
        </w:rPr>
      </w:pPr>
      <w:r w:rsidRPr="00DD65C8">
        <w:rPr>
          <w:i/>
          <w:sz w:val="22"/>
          <w:lang w:val="en-US"/>
        </w:rPr>
        <w:t>“Mozilla has always been deeply committed to honoring diversity in sexual orientation and beliefs within our staff a</w:t>
      </w:r>
      <w:r>
        <w:rPr>
          <w:i/>
          <w:sz w:val="22"/>
          <w:lang w:val="en-US"/>
        </w:rPr>
        <w:t>n</w:t>
      </w:r>
      <w:r w:rsidRPr="00DD65C8">
        <w:rPr>
          <w:i/>
          <w:sz w:val="22"/>
          <w:lang w:val="en-US"/>
        </w:rPr>
        <w:t>d community […]. One Concrete example of this is in our health benefit policies”</w:t>
      </w:r>
      <w:r>
        <w:rPr>
          <w:sz w:val="22"/>
          <w:lang w:val="en-US"/>
        </w:rPr>
        <w:t xml:space="preserve"> (line 1-3)</w:t>
      </w:r>
      <w:r w:rsidRPr="00DD65C8">
        <w:rPr>
          <w:i/>
          <w:sz w:val="22"/>
          <w:lang w:val="en-US"/>
        </w:rPr>
        <w:t xml:space="preserve"> </w:t>
      </w:r>
    </w:p>
    <w:p w:rsidR="00163B28" w:rsidRDefault="00163B28" w:rsidP="00337119">
      <w:pPr>
        <w:spacing w:line="360" w:lineRule="auto"/>
        <w:rPr>
          <w:lang w:val="en-US"/>
        </w:rPr>
      </w:pPr>
      <w:r>
        <w:rPr>
          <w:lang w:val="en-US"/>
        </w:rPr>
        <w:t>Hence, Mozilla proclaims that it is an upright organization committed to non-</w:t>
      </w:r>
      <w:r w:rsidRPr="0095603F">
        <w:rPr>
          <w:lang w:val="en-US"/>
        </w:rPr>
        <w:t>discriminatory</w:t>
      </w:r>
      <w:r>
        <w:rPr>
          <w:lang w:val="en-US"/>
        </w:rPr>
        <w:t xml:space="preserve"> activities and behaviors. Additionally, by referring to health benefit policies, Mozilla stresses its righteousness. All in all, the evident strategy applied is </w:t>
      </w:r>
      <w:r>
        <w:rPr>
          <w:i/>
          <w:lang w:val="en-US"/>
        </w:rPr>
        <w:t>bolstering</w:t>
      </w:r>
      <w:r>
        <w:rPr>
          <w:lang w:val="en-US"/>
        </w:rPr>
        <w:t xml:space="preserve">, in terms of </w:t>
      </w:r>
      <w:r w:rsidRPr="00FF398B">
        <w:rPr>
          <w:i/>
          <w:lang w:val="en-US"/>
        </w:rPr>
        <w:t>reminding</w:t>
      </w:r>
      <w:r>
        <w:rPr>
          <w:lang w:val="en-US"/>
        </w:rPr>
        <w:t xml:space="preserve"> stakeholders of the organization’s past good work. It has been asserted that bolstering is a supplementing strategy, but it is difficult to concretely determine which strategy it supplements. On the other hand, considering that the content is solely focused on highlighting positive aspects of the organization, the </w:t>
      </w:r>
      <w:r>
        <w:rPr>
          <w:i/>
          <w:lang w:val="en-US"/>
        </w:rPr>
        <w:t xml:space="preserve">transcendence </w:t>
      </w:r>
      <w:r>
        <w:rPr>
          <w:lang w:val="en-US"/>
        </w:rPr>
        <w:t xml:space="preserve">strategy might be a possibility. This strategy is concerned with positioning a harmful act in a favorable context, which seems to be the case here – with the positive </w:t>
      </w:r>
      <w:r>
        <w:rPr>
          <w:lang w:val="en-US"/>
        </w:rPr>
        <w:lastRenderedPageBreak/>
        <w:t xml:space="preserve">aspects as the constructed context, even though the act itself is not mentioned. These observations place Statement 1’s rhetorical nature within the </w:t>
      </w:r>
      <w:r>
        <w:rPr>
          <w:i/>
          <w:lang w:val="en-US"/>
        </w:rPr>
        <w:t>reduction of offensiveness</w:t>
      </w:r>
      <w:r>
        <w:rPr>
          <w:lang w:val="en-US"/>
        </w:rPr>
        <w:t xml:space="preserve"> </w:t>
      </w:r>
      <w:r w:rsidR="006A7608">
        <w:rPr>
          <w:lang w:val="en-US"/>
        </w:rPr>
        <w:t>cluster</w:t>
      </w:r>
      <w:r>
        <w:rPr>
          <w:lang w:val="en-US"/>
        </w:rPr>
        <w:t>.</w:t>
      </w:r>
    </w:p>
    <w:p w:rsidR="00163B28" w:rsidRDefault="00881AB7" w:rsidP="00337119">
      <w:pPr>
        <w:pStyle w:val="Overskrift3"/>
        <w:spacing w:line="360" w:lineRule="auto"/>
        <w:rPr>
          <w:lang w:val="en-US"/>
        </w:rPr>
      </w:pPr>
      <w:bookmarkStart w:id="106" w:name="_Toc420075849"/>
      <w:bookmarkStart w:id="107" w:name="_Toc420761662"/>
      <w:r>
        <w:rPr>
          <w:lang w:val="en-US"/>
        </w:rPr>
        <w:t>7</w:t>
      </w:r>
      <w:r w:rsidR="00163B28">
        <w:rPr>
          <w:lang w:val="en-US"/>
        </w:rPr>
        <w:t>.5.2 Statement 2</w:t>
      </w:r>
      <w:bookmarkEnd w:id="106"/>
      <w:bookmarkEnd w:id="107"/>
    </w:p>
    <w:p w:rsidR="0034460E" w:rsidRDefault="00322D9F" w:rsidP="00337119">
      <w:pPr>
        <w:spacing w:line="360" w:lineRule="auto"/>
        <w:rPr>
          <w:lang w:val="en-US"/>
        </w:rPr>
      </w:pPr>
      <w:r>
        <w:rPr>
          <w:noProof/>
          <w:lang w:eastAsia="da-DK"/>
        </w:rPr>
        <w:drawing>
          <wp:anchor distT="0" distB="0" distL="114300" distR="114300" simplePos="0" relativeHeight="251744256" behindDoc="1" locked="0" layoutInCell="1" allowOverlap="1" wp14:anchorId="12ED75C1" wp14:editId="3ACB25AF">
            <wp:simplePos x="0" y="0"/>
            <wp:positionH relativeFrom="column">
              <wp:posOffset>-59055</wp:posOffset>
            </wp:positionH>
            <wp:positionV relativeFrom="paragraph">
              <wp:posOffset>579755</wp:posOffset>
            </wp:positionV>
            <wp:extent cx="6120130" cy="6821170"/>
            <wp:effectExtent l="0" t="0" r="0" b="0"/>
            <wp:wrapTight wrapText="bothSides">
              <wp:wrapPolygon edited="0">
                <wp:start x="0" y="0"/>
                <wp:lineTo x="0" y="21536"/>
                <wp:lineTo x="21515" y="21536"/>
                <wp:lineTo x="21515" y="0"/>
                <wp:lineTo x="0" y="0"/>
              </wp:wrapPolygon>
            </wp:wrapTight>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veness at Mozilla.png"/>
                    <pic:cNvPicPr/>
                  </pic:nvPicPr>
                  <pic:blipFill>
                    <a:blip r:embed="rId34">
                      <a:extLst>
                        <a:ext uri="{28A0092B-C50C-407E-A947-70E740481C1C}">
                          <a14:useLocalDpi xmlns:a14="http://schemas.microsoft.com/office/drawing/2010/main" val="0"/>
                        </a:ext>
                      </a:extLst>
                    </a:blip>
                    <a:stretch>
                      <a:fillRect/>
                    </a:stretch>
                  </pic:blipFill>
                  <pic:spPr>
                    <a:xfrm>
                      <a:off x="0" y="0"/>
                      <a:ext cx="6120130" cy="682117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738112" behindDoc="0" locked="0" layoutInCell="1" allowOverlap="1" wp14:anchorId="1E7189BC" wp14:editId="04BDBF00">
                <wp:simplePos x="0" y="0"/>
                <wp:positionH relativeFrom="column">
                  <wp:posOffset>4893310</wp:posOffset>
                </wp:positionH>
                <wp:positionV relativeFrom="paragraph">
                  <wp:posOffset>7266305</wp:posOffset>
                </wp:positionV>
                <wp:extent cx="876300" cy="228600"/>
                <wp:effectExtent l="0" t="0" r="0" b="0"/>
                <wp:wrapTopAndBottom/>
                <wp:docPr id="42" name="Tekstboks 42"/>
                <wp:cNvGraphicFramePr/>
                <a:graphic xmlns:a="http://schemas.openxmlformats.org/drawingml/2006/main">
                  <a:graphicData uri="http://schemas.microsoft.com/office/word/2010/wordprocessingShape">
                    <wps:wsp>
                      <wps:cNvSpPr txBox="1"/>
                      <wps:spPr>
                        <a:xfrm>
                          <a:off x="0" y="0"/>
                          <a:ext cx="876300" cy="228600"/>
                        </a:xfrm>
                        <a:prstGeom prst="rect">
                          <a:avLst/>
                        </a:prstGeom>
                        <a:solidFill>
                          <a:prstClr val="white"/>
                        </a:solidFill>
                        <a:ln>
                          <a:noFill/>
                        </a:ln>
                        <a:effectLst/>
                      </wps:spPr>
                      <wps:txbx>
                        <w:txbxContent>
                          <w:p w:rsidR="00CF205E" w:rsidRPr="00B104AC" w:rsidRDefault="00CF205E" w:rsidP="00B104AC">
                            <w:pPr>
                              <w:pStyle w:val="Billedtekst"/>
                              <w:rPr>
                                <w:noProof/>
                                <w:color w:val="auto"/>
                                <w:sz w:val="36"/>
                              </w:rPr>
                            </w:pPr>
                            <w:r w:rsidRPr="00B104AC">
                              <w:rPr>
                                <w:color w:val="auto"/>
                                <w:sz w:val="24"/>
                              </w:rPr>
                              <w:t>(</w:t>
                            </w:r>
                            <w:proofErr w:type="spellStart"/>
                            <w:r w:rsidRPr="00B104AC">
                              <w:rPr>
                                <w:color w:val="auto"/>
                                <w:sz w:val="24"/>
                              </w:rPr>
                              <w:t>Appendix</w:t>
                            </w:r>
                            <w:proofErr w:type="spellEnd"/>
                            <w:r w:rsidRPr="00B104AC">
                              <w:rPr>
                                <w:color w:val="auto"/>
                                <w:sz w:val="24"/>
                              </w:rPr>
                              <w:t xml:space="preserv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2" o:spid="_x0000_s1039" type="#_x0000_t202" style="position:absolute;left:0;text-align:left;margin-left:385.3pt;margin-top:572.15pt;width:69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" stroked="f">
                <v:textbox inset="0,0,0,0">
                  <w:txbxContent>
                    <w:p w:rsidR="00CF205E" w:rsidRPr="00B104AC" w:rsidRDefault="00CF205E" w:rsidP="00B104AC">
                      <w:pPr>
                        <w:pStyle w:val="Billedtekst"/>
                        <w:rPr>
                          <w:noProof/>
                          <w:color w:val="auto"/>
                          <w:sz w:val="36"/>
                        </w:rPr>
                      </w:pPr>
                      <w:r w:rsidRPr="00B104AC">
                        <w:rPr>
                          <w:color w:val="auto"/>
                          <w:sz w:val="24"/>
                        </w:rPr>
                        <w:t>(</w:t>
                      </w:r>
                      <w:proofErr w:type="spellStart"/>
                      <w:r w:rsidRPr="00B104AC">
                        <w:rPr>
                          <w:color w:val="auto"/>
                          <w:sz w:val="24"/>
                        </w:rPr>
                        <w:t>Appendix</w:t>
                      </w:r>
                      <w:proofErr w:type="spellEnd"/>
                      <w:r w:rsidRPr="00B104AC">
                        <w:rPr>
                          <w:color w:val="auto"/>
                          <w:sz w:val="24"/>
                        </w:rPr>
                        <w:t xml:space="preserve"> 7)</w:t>
                      </w:r>
                    </w:p>
                  </w:txbxContent>
                </v:textbox>
                <w10:wrap type="topAndBottom"/>
              </v:shape>
            </w:pict>
          </mc:Fallback>
        </mc:AlternateContent>
      </w:r>
      <w:r w:rsidR="00163B28">
        <w:rPr>
          <w:lang w:val="en-US"/>
        </w:rPr>
        <w:t xml:space="preserve">The second statement is CEO Brendan </w:t>
      </w:r>
      <w:proofErr w:type="spellStart"/>
      <w:r w:rsidR="00163B28">
        <w:rPr>
          <w:lang w:val="en-US"/>
        </w:rPr>
        <w:t>Eich’s</w:t>
      </w:r>
      <w:proofErr w:type="spellEnd"/>
      <w:r w:rsidR="00163B28">
        <w:rPr>
          <w:lang w:val="en-US"/>
        </w:rPr>
        <w:t xml:space="preserve"> official response to the controversy on behalf of Mozilla but also very much on behalf of himself (Appendix 7). </w:t>
      </w:r>
    </w:p>
    <w:p w:rsidR="00894AC1" w:rsidRDefault="00894AC1" w:rsidP="00337119">
      <w:pPr>
        <w:spacing w:line="360" w:lineRule="auto"/>
        <w:rPr>
          <w:lang w:val="en-US"/>
        </w:rPr>
      </w:pPr>
    </w:p>
    <w:p w:rsidR="00163B28" w:rsidRDefault="00163B28" w:rsidP="00337119">
      <w:pPr>
        <w:spacing w:line="360" w:lineRule="auto"/>
        <w:rPr>
          <w:lang w:val="en-US"/>
        </w:rPr>
      </w:pPr>
      <w:r>
        <w:rPr>
          <w:lang w:val="en-US"/>
        </w:rPr>
        <w:t xml:space="preserve">The main strategy structuring the content of the whole statement is </w:t>
      </w:r>
      <w:r>
        <w:rPr>
          <w:i/>
          <w:lang w:val="en-US"/>
        </w:rPr>
        <w:t>corrective action</w:t>
      </w:r>
      <w:r>
        <w:rPr>
          <w:lang w:val="en-US"/>
        </w:rPr>
        <w:t xml:space="preserve">, which is expressed on several occasions, a few of them being, </w:t>
      </w:r>
      <w:r w:rsidRPr="00395943">
        <w:rPr>
          <w:i/>
          <w:lang w:val="en-US"/>
        </w:rPr>
        <w:t>“I want to lay them [concerns] to rest by actions and results”</w:t>
      </w:r>
      <w:r>
        <w:rPr>
          <w:lang w:val="en-US"/>
        </w:rPr>
        <w:t xml:space="preserve"> (line 4) and </w:t>
      </w:r>
      <w:r w:rsidRPr="00E236BE">
        <w:rPr>
          <w:i/>
          <w:lang w:val="en-US"/>
        </w:rPr>
        <w:t>“I am committed to ensuring that Mozilla is, and will remain, a place that includes and supports everyone”</w:t>
      </w:r>
      <w:r>
        <w:rPr>
          <w:lang w:val="en-US"/>
        </w:rPr>
        <w:t xml:space="preserve"> (line 2</w:t>
      </w:r>
      <w:r w:rsidR="00D65576">
        <w:rPr>
          <w:lang w:val="en-US"/>
        </w:rPr>
        <w:t>6</w:t>
      </w:r>
      <w:r>
        <w:rPr>
          <w:lang w:val="en-US"/>
        </w:rPr>
        <w:t>). Within the same rhetorical category (</w:t>
      </w:r>
      <w:r>
        <w:rPr>
          <w:i/>
          <w:lang w:val="en-US"/>
        </w:rPr>
        <w:t>rebuilding strategies)</w:t>
      </w:r>
      <w:r>
        <w:rPr>
          <w:lang w:val="en-US"/>
        </w:rPr>
        <w:t xml:space="preserve">, one example of </w:t>
      </w:r>
      <w:r>
        <w:rPr>
          <w:i/>
          <w:lang w:val="en-US"/>
        </w:rPr>
        <w:t>mortification</w:t>
      </w:r>
      <w:r>
        <w:rPr>
          <w:lang w:val="en-US"/>
        </w:rPr>
        <w:t xml:space="preserve"> is expressed in the sentence, </w:t>
      </w:r>
      <w:r w:rsidRPr="0030196F">
        <w:rPr>
          <w:i/>
          <w:lang w:val="en-US"/>
        </w:rPr>
        <w:t>“[…] and in the meantime express my sorrow at having caused pain”</w:t>
      </w:r>
      <w:r>
        <w:rPr>
          <w:lang w:val="en-US"/>
        </w:rPr>
        <w:t xml:space="preserve"> (line 18). This is expressed in correla</w:t>
      </w:r>
      <w:r w:rsidR="008C3B34">
        <w:rPr>
          <w:lang w:val="en-US"/>
        </w:rPr>
        <w:t>tion with the corrective action</w:t>
      </w:r>
      <w:r>
        <w:rPr>
          <w:lang w:val="en-US"/>
        </w:rPr>
        <w:t xml:space="preserve"> strategy, indicating that his perception of attributed responsibility is more in line with a preventable crisis, which is further addres</w:t>
      </w:r>
      <w:r w:rsidR="00B17165">
        <w:rPr>
          <w:lang w:val="en-US"/>
        </w:rPr>
        <w:t>sed in the discourse analysis (8</w:t>
      </w:r>
      <w:r>
        <w:rPr>
          <w:lang w:val="en-US"/>
        </w:rPr>
        <w:t>).</w:t>
      </w:r>
    </w:p>
    <w:p w:rsidR="00163B28" w:rsidRDefault="00163B28" w:rsidP="00337119">
      <w:pPr>
        <w:spacing w:line="360" w:lineRule="auto"/>
        <w:rPr>
          <w:i/>
          <w:lang w:val="en-US"/>
        </w:rPr>
      </w:pPr>
      <w:r>
        <w:rPr>
          <w:lang w:val="en-US"/>
        </w:rPr>
        <w:t>To supplement the primary strategy (corrective action), a high number of different bolstering strategies can be found. First of all, the reminder bolstering approach is expressed through the references to both the health benefit policies (line</w:t>
      </w:r>
      <w:r w:rsidR="00DF53AA">
        <w:rPr>
          <w:lang w:val="en-US"/>
        </w:rPr>
        <w:t>s</w:t>
      </w:r>
      <w:r w:rsidR="00D65576">
        <w:rPr>
          <w:lang w:val="en-US"/>
        </w:rPr>
        <w:t xml:space="preserve"> 12, 30</w:t>
      </w:r>
      <w:r>
        <w:rPr>
          <w:lang w:val="en-US"/>
        </w:rPr>
        <w:t>) and the Community Participation Guidelines (line</w:t>
      </w:r>
      <w:r w:rsidR="00DF53AA">
        <w:rPr>
          <w:lang w:val="en-US"/>
        </w:rPr>
        <w:t>s</w:t>
      </w:r>
      <w:r w:rsidR="00D65576">
        <w:rPr>
          <w:lang w:val="en-US"/>
        </w:rPr>
        <w:t xml:space="preserve"> 12, 31</w:t>
      </w:r>
      <w:r>
        <w:rPr>
          <w:lang w:val="en-US"/>
        </w:rPr>
        <w:t xml:space="preserve">). It is also expressed in a personal manner in the sentence, </w:t>
      </w:r>
      <w:r w:rsidRPr="008B1F2E">
        <w:rPr>
          <w:i/>
          <w:lang w:val="en-US"/>
        </w:rPr>
        <w:t>“They [colleagues and friends] know that I take people as they come and work with anyone willing to contribute”</w:t>
      </w:r>
      <w:r>
        <w:rPr>
          <w:lang w:val="en-US"/>
        </w:rPr>
        <w:t xml:space="preserve"> (line 22-23). Furthermore, the bolstering approach </w:t>
      </w:r>
      <w:r>
        <w:rPr>
          <w:i/>
          <w:lang w:val="en-US"/>
        </w:rPr>
        <w:t>ingratiation</w:t>
      </w:r>
      <w:r>
        <w:rPr>
          <w:lang w:val="en-US"/>
        </w:rPr>
        <w:t xml:space="preserve"> comes to attention primarily in the beginning of the statement, where he directly thanks LGBT individuals and stakeholders in general for their support in making Mozilla a better place (line 5-6). This will be readdressed in the discourse analysis section.</w:t>
      </w:r>
      <w:r>
        <w:rPr>
          <w:i/>
          <w:lang w:val="en-US"/>
        </w:rPr>
        <w:t xml:space="preserve"> </w:t>
      </w:r>
    </w:p>
    <w:p w:rsidR="00163B28" w:rsidRDefault="00881AB7" w:rsidP="00337119">
      <w:pPr>
        <w:pStyle w:val="Overskrift3"/>
        <w:spacing w:line="360" w:lineRule="auto"/>
        <w:rPr>
          <w:lang w:val="en-US"/>
        </w:rPr>
      </w:pPr>
      <w:bookmarkStart w:id="108" w:name="_Toc420075850"/>
      <w:bookmarkStart w:id="109" w:name="_Toc420761663"/>
      <w:r>
        <w:rPr>
          <w:lang w:val="en-US"/>
        </w:rPr>
        <w:t>7</w:t>
      </w:r>
      <w:r w:rsidR="00163B28">
        <w:rPr>
          <w:lang w:val="en-US"/>
        </w:rPr>
        <w:t>.5.3 Statement 3</w:t>
      </w:r>
      <w:bookmarkEnd w:id="108"/>
      <w:bookmarkEnd w:id="109"/>
      <w:r w:rsidR="00163B28">
        <w:rPr>
          <w:lang w:val="en-US"/>
        </w:rPr>
        <w:t xml:space="preserve">     </w:t>
      </w:r>
    </w:p>
    <w:p w:rsidR="00163B28" w:rsidRDefault="00163B28" w:rsidP="00337119">
      <w:pPr>
        <w:spacing w:line="360" w:lineRule="auto"/>
        <w:rPr>
          <w:lang w:val="en-US"/>
        </w:rPr>
      </w:pPr>
      <w:r>
        <w:rPr>
          <w:lang w:val="en-US"/>
        </w:rPr>
        <w:t>The opening lines of Baker’s first official statement</w:t>
      </w:r>
      <w:r w:rsidR="00B173B0">
        <w:rPr>
          <w:lang w:val="en-US"/>
        </w:rPr>
        <w:t xml:space="preserve"> (Appendix 8)</w:t>
      </w:r>
      <w:r>
        <w:rPr>
          <w:lang w:val="en-US"/>
        </w:rPr>
        <w:t xml:space="preserve"> can be interpreted as a crisis response strategy of transcendence. This is shown through the positive attitude towards </w:t>
      </w:r>
      <w:proofErr w:type="spellStart"/>
      <w:r>
        <w:rPr>
          <w:lang w:val="en-US"/>
        </w:rPr>
        <w:t>Eich’s</w:t>
      </w:r>
      <w:proofErr w:type="spellEnd"/>
      <w:r>
        <w:rPr>
          <w:lang w:val="en-US"/>
        </w:rPr>
        <w:t xml:space="preserve"> new role as CEO, which in particular is expressed with the sentence, “</w:t>
      </w:r>
      <w:r w:rsidRPr="00845C97">
        <w:rPr>
          <w:i/>
          <w:lang w:val="en-US"/>
        </w:rPr>
        <w:t>In the next few days we’ll see more from Brendan and the leadership team on the opportunities in front of us”</w:t>
      </w:r>
      <w:r>
        <w:rPr>
          <w:lang w:val="en-US"/>
        </w:rPr>
        <w:t xml:space="preserve"> (line 3-4). There are no indications of an issue present; there is solely an emphasis on ‘opportunities’ ahead. Moreover, this may also have similarities with the </w:t>
      </w:r>
      <w:r>
        <w:rPr>
          <w:i/>
          <w:lang w:val="en-US"/>
        </w:rPr>
        <w:t xml:space="preserve">minimization </w:t>
      </w:r>
      <w:r>
        <w:rPr>
          <w:lang w:val="en-US"/>
        </w:rPr>
        <w:t xml:space="preserve">strategy, as Mozilla’s ‘harmful’ act in choosing </w:t>
      </w:r>
      <w:proofErr w:type="spellStart"/>
      <w:r>
        <w:rPr>
          <w:lang w:val="en-US"/>
        </w:rPr>
        <w:t>Eich</w:t>
      </w:r>
      <w:proofErr w:type="spellEnd"/>
      <w:r>
        <w:rPr>
          <w:lang w:val="en-US"/>
        </w:rPr>
        <w:t xml:space="preserve"> as CEO might be minimized by his potentials. Minimization may also be present in other parts of the statement, especially in connection with the proclamation of Mozilla’s commitment to equality and inclusi</w:t>
      </w:r>
      <w:r w:rsidR="0092679E">
        <w:rPr>
          <w:lang w:val="en-US"/>
        </w:rPr>
        <w:t>veness, where it is stated that</w:t>
      </w:r>
      <w:r>
        <w:rPr>
          <w:lang w:val="en-US"/>
        </w:rPr>
        <w:t xml:space="preserve"> “</w:t>
      </w:r>
      <w:r w:rsidRPr="00081D06">
        <w:rPr>
          <w:i/>
          <w:lang w:val="en-US"/>
        </w:rPr>
        <w:t>Brendan shares this commitment as the new Chief Executive Officer</w:t>
      </w:r>
      <w:r w:rsidR="00B173B0" w:rsidRPr="00081D06">
        <w:rPr>
          <w:i/>
          <w:lang w:val="en-US"/>
        </w:rPr>
        <w:t>”</w:t>
      </w:r>
      <w:r w:rsidR="00B173B0">
        <w:rPr>
          <w:lang w:val="en-US"/>
        </w:rPr>
        <w:t xml:space="preserve"> (</w:t>
      </w:r>
      <w:r>
        <w:rPr>
          <w:lang w:val="en-US"/>
        </w:rPr>
        <w:t xml:space="preserve">line 12). The latter indicates that Brendan </w:t>
      </w:r>
      <w:proofErr w:type="spellStart"/>
      <w:r>
        <w:rPr>
          <w:lang w:val="en-US"/>
        </w:rPr>
        <w:t>Eich</w:t>
      </w:r>
      <w:proofErr w:type="spellEnd"/>
      <w:r>
        <w:rPr>
          <w:lang w:val="en-US"/>
        </w:rPr>
        <w:t xml:space="preserve"> is professionally committed to the great values of Mozilla, meaning that the choice to appoint him was the right one. In lines 26 and 32, this same sentence reappears, emphasizing its significance.</w:t>
      </w:r>
    </w:p>
    <w:p w:rsidR="00B173B0" w:rsidRDefault="00B173B0" w:rsidP="00337119">
      <w:pPr>
        <w:spacing w:line="360" w:lineRule="auto"/>
        <w:rPr>
          <w:lang w:val="en-US"/>
        </w:rPr>
      </w:pPr>
    </w:p>
    <w:p w:rsidR="00B173B0" w:rsidRDefault="00A3625E" w:rsidP="00337119">
      <w:pPr>
        <w:spacing w:line="360" w:lineRule="auto"/>
        <w:rPr>
          <w:lang w:val="en-US"/>
        </w:rPr>
      </w:pPr>
      <w:r>
        <w:rPr>
          <w:noProof/>
          <w:lang w:eastAsia="da-DK"/>
        </w:rPr>
        <w:drawing>
          <wp:anchor distT="0" distB="0" distL="114300" distR="114300" simplePos="0" relativeHeight="251743232" behindDoc="1" locked="0" layoutInCell="1" allowOverlap="1" wp14:anchorId="2332592C" wp14:editId="5D93B331">
            <wp:simplePos x="0" y="0"/>
            <wp:positionH relativeFrom="column">
              <wp:posOffset>394335</wp:posOffset>
            </wp:positionH>
            <wp:positionV relativeFrom="paragraph">
              <wp:posOffset>-175260</wp:posOffset>
            </wp:positionV>
            <wp:extent cx="5389880" cy="7000875"/>
            <wp:effectExtent l="0" t="0" r="1270" b="9525"/>
            <wp:wrapTight wrapText="bothSides">
              <wp:wrapPolygon edited="0">
                <wp:start x="0" y="0"/>
                <wp:lineTo x="0" y="21571"/>
                <wp:lineTo x="21529" y="21571"/>
                <wp:lineTo x="21529" y="0"/>
                <wp:lineTo x="0" y="0"/>
              </wp:wrapPolygon>
            </wp:wrapTight>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chell Baker statement 1.png"/>
                    <pic:cNvPicPr/>
                  </pic:nvPicPr>
                  <pic:blipFill>
                    <a:blip r:embed="rId35">
                      <a:extLst>
                        <a:ext uri="{28A0092B-C50C-407E-A947-70E740481C1C}">
                          <a14:useLocalDpi xmlns:a14="http://schemas.microsoft.com/office/drawing/2010/main" val="0"/>
                        </a:ext>
                      </a:extLst>
                    </a:blip>
                    <a:stretch>
                      <a:fillRect/>
                    </a:stretch>
                  </pic:blipFill>
                  <pic:spPr>
                    <a:xfrm>
                      <a:off x="0" y="0"/>
                      <a:ext cx="5389880" cy="7000875"/>
                    </a:xfrm>
                    <a:prstGeom prst="rect">
                      <a:avLst/>
                    </a:prstGeom>
                  </pic:spPr>
                </pic:pic>
              </a:graphicData>
            </a:graphic>
            <wp14:sizeRelH relativeFrom="page">
              <wp14:pctWidth>0</wp14:pctWidth>
            </wp14:sizeRelH>
            <wp14:sizeRelV relativeFrom="page">
              <wp14:pctHeight>0</wp14:pctHeight>
            </wp14:sizeRelV>
          </wp:anchor>
        </w:drawing>
      </w:r>
    </w:p>
    <w:p w:rsidR="00B173B0" w:rsidRDefault="00B173B0" w:rsidP="00337119">
      <w:pPr>
        <w:spacing w:line="360" w:lineRule="auto"/>
        <w:rPr>
          <w:lang w:val="en-US"/>
        </w:rPr>
      </w:pPr>
    </w:p>
    <w:p w:rsidR="00B173B0" w:rsidRDefault="00B173B0" w:rsidP="00337119">
      <w:pPr>
        <w:spacing w:line="360" w:lineRule="auto"/>
        <w:rPr>
          <w:lang w:val="en-US"/>
        </w:rPr>
      </w:pPr>
    </w:p>
    <w:p w:rsidR="00B173B0" w:rsidRDefault="00B173B0" w:rsidP="00337119">
      <w:pPr>
        <w:spacing w:line="360" w:lineRule="auto"/>
        <w:rPr>
          <w:lang w:val="en-US"/>
        </w:rPr>
      </w:pPr>
    </w:p>
    <w:p w:rsidR="00B173B0" w:rsidRDefault="00B173B0" w:rsidP="00337119">
      <w:pPr>
        <w:spacing w:line="360" w:lineRule="auto"/>
        <w:rPr>
          <w:lang w:val="en-US"/>
        </w:rPr>
      </w:pPr>
    </w:p>
    <w:p w:rsidR="00163B28" w:rsidRPr="00B93168" w:rsidRDefault="00B173B0" w:rsidP="00337119">
      <w:pPr>
        <w:spacing w:line="360" w:lineRule="auto"/>
        <w:rPr>
          <w:lang w:val="en-US"/>
        </w:rPr>
      </w:pPr>
      <w:r>
        <w:rPr>
          <w:noProof/>
          <w:lang w:eastAsia="da-DK"/>
        </w:rPr>
        <mc:AlternateContent>
          <mc:Choice Requires="wps">
            <w:drawing>
              <wp:anchor distT="0" distB="0" distL="114300" distR="114300" simplePos="0" relativeHeight="251742208" behindDoc="0" locked="0" layoutInCell="1" allowOverlap="1" wp14:anchorId="064E4036" wp14:editId="03021031">
                <wp:simplePos x="0" y="0"/>
                <wp:positionH relativeFrom="column">
                  <wp:posOffset>4613910</wp:posOffset>
                </wp:positionH>
                <wp:positionV relativeFrom="paragraph">
                  <wp:posOffset>-104775</wp:posOffset>
                </wp:positionV>
                <wp:extent cx="1009650" cy="635"/>
                <wp:effectExtent l="0" t="0" r="0" b="2540"/>
                <wp:wrapTopAndBottom/>
                <wp:docPr id="43" name="Tekstboks 43"/>
                <wp:cNvGraphicFramePr/>
                <a:graphic xmlns:a="http://schemas.openxmlformats.org/drawingml/2006/main">
                  <a:graphicData uri="http://schemas.microsoft.com/office/word/2010/wordprocessingShape">
                    <wps:wsp>
                      <wps:cNvSpPr txBox="1"/>
                      <wps:spPr>
                        <a:xfrm>
                          <a:off x="0" y="0"/>
                          <a:ext cx="1009650" cy="635"/>
                        </a:xfrm>
                        <a:prstGeom prst="rect">
                          <a:avLst/>
                        </a:prstGeom>
                        <a:solidFill>
                          <a:prstClr val="white"/>
                        </a:solidFill>
                        <a:ln>
                          <a:noFill/>
                        </a:ln>
                        <a:effectLst/>
                      </wps:spPr>
                      <wps:txbx>
                        <w:txbxContent>
                          <w:p w:rsidR="00CF205E" w:rsidRPr="00B173B0" w:rsidRDefault="00CF205E" w:rsidP="00B173B0">
                            <w:pPr>
                              <w:pStyle w:val="Billedtekst"/>
                              <w:rPr>
                                <w:noProof/>
                                <w:color w:val="auto"/>
                                <w:sz w:val="36"/>
                              </w:rPr>
                            </w:pPr>
                            <w:r w:rsidRPr="00B173B0">
                              <w:rPr>
                                <w:color w:val="auto"/>
                                <w:sz w:val="24"/>
                              </w:rPr>
                              <w:t>(</w:t>
                            </w:r>
                            <w:proofErr w:type="spellStart"/>
                            <w:r w:rsidRPr="00B173B0">
                              <w:rPr>
                                <w:color w:val="auto"/>
                                <w:sz w:val="24"/>
                              </w:rPr>
                              <w:t>Appendix</w:t>
                            </w:r>
                            <w:proofErr w:type="spellEnd"/>
                            <w:r w:rsidRPr="00B173B0">
                              <w:rPr>
                                <w:color w:val="auto"/>
                                <w:sz w:val="24"/>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43" o:spid="_x0000_s1040" type="#_x0000_t202" style="position:absolute;left:0;text-align:left;margin-left:363.3pt;margin-top:-8.25pt;width:79.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" stroked="f">
                <v:textbox style="mso-fit-shape-to-text:t" inset="0,0,0,0">
                  <w:txbxContent>
                    <w:p w:rsidR="00CF205E" w:rsidRPr="00B173B0" w:rsidRDefault="00CF205E" w:rsidP="00B173B0">
                      <w:pPr>
                        <w:pStyle w:val="Billedtekst"/>
                        <w:rPr>
                          <w:noProof/>
                          <w:color w:val="auto"/>
                          <w:sz w:val="36"/>
                        </w:rPr>
                      </w:pPr>
                      <w:r w:rsidRPr="00B173B0">
                        <w:rPr>
                          <w:color w:val="auto"/>
                          <w:sz w:val="24"/>
                        </w:rPr>
                        <w:t>(</w:t>
                      </w:r>
                      <w:proofErr w:type="spellStart"/>
                      <w:r w:rsidRPr="00B173B0">
                        <w:rPr>
                          <w:color w:val="auto"/>
                          <w:sz w:val="24"/>
                        </w:rPr>
                        <w:t>Appendix</w:t>
                      </w:r>
                      <w:proofErr w:type="spellEnd"/>
                      <w:r w:rsidRPr="00B173B0">
                        <w:rPr>
                          <w:color w:val="auto"/>
                          <w:sz w:val="24"/>
                        </w:rPr>
                        <w:t xml:space="preserve"> 8)</w:t>
                      </w:r>
                    </w:p>
                  </w:txbxContent>
                </v:textbox>
                <w10:wrap type="topAndBottom"/>
              </v:shape>
            </w:pict>
          </mc:Fallback>
        </mc:AlternateContent>
      </w:r>
      <w:r w:rsidR="00163B28">
        <w:rPr>
          <w:lang w:val="en-US"/>
        </w:rPr>
        <w:t xml:space="preserve">Throughout the rest of the statement, the main rhetorical tactic can be seen as corrective action – in the sense that Baker reinsures the readers that Mozilla is committed to inclusiveness and so on, as well as Mozilla participants: </w:t>
      </w:r>
      <w:r w:rsidR="00163B28" w:rsidRPr="005259B6">
        <w:rPr>
          <w:i/>
          <w:lang w:val="en-US"/>
        </w:rPr>
        <w:t>“We expect everyone, regardless of role or title, to be committed to the breadth of inclusiveness”</w:t>
      </w:r>
      <w:r w:rsidR="00163B28">
        <w:rPr>
          <w:i/>
          <w:lang w:val="en-US"/>
        </w:rPr>
        <w:t xml:space="preserve"> </w:t>
      </w:r>
      <w:r w:rsidR="00163B28">
        <w:rPr>
          <w:lang w:val="en-US"/>
        </w:rPr>
        <w:t xml:space="preserve">(line 21). Considering that </w:t>
      </w:r>
      <w:proofErr w:type="spellStart"/>
      <w:r w:rsidR="00163B28">
        <w:rPr>
          <w:lang w:val="en-US"/>
        </w:rPr>
        <w:t>Eich</w:t>
      </w:r>
      <w:proofErr w:type="spellEnd"/>
      <w:r w:rsidR="00163B28">
        <w:rPr>
          <w:lang w:val="en-US"/>
        </w:rPr>
        <w:t xml:space="preserve"> is still in the position of CEO can indicate </w:t>
      </w:r>
      <w:r w:rsidR="00163B28">
        <w:rPr>
          <w:lang w:val="en-US"/>
        </w:rPr>
        <w:lastRenderedPageBreak/>
        <w:t xml:space="preserve">that he is perceived as being in line with Mozilla’s expectations of commitment. This can be interpreted as the result of a strategy of minimization as well, as it could be assumed that Mozilla and Baker wish </w:t>
      </w:r>
      <w:r w:rsidR="00655C20">
        <w:rPr>
          <w:lang w:val="en-US"/>
        </w:rPr>
        <w:t xml:space="preserve">to </w:t>
      </w:r>
      <w:r w:rsidR="00163B28">
        <w:rPr>
          <w:lang w:val="en-US"/>
        </w:rPr>
        <w:t xml:space="preserve">minimize the seriousness of accusations against </w:t>
      </w:r>
      <w:proofErr w:type="spellStart"/>
      <w:r w:rsidR="00163B28">
        <w:rPr>
          <w:lang w:val="en-US"/>
        </w:rPr>
        <w:t>Eich</w:t>
      </w:r>
      <w:proofErr w:type="spellEnd"/>
      <w:r w:rsidR="00163B28">
        <w:rPr>
          <w:lang w:val="en-US"/>
        </w:rPr>
        <w:t xml:space="preserve">. In relevance to CSR related segments, the bolstering strategy is yet again applied – with substantial references to and elaborations of the Community Participation Guidelines and health policies. </w:t>
      </w:r>
    </w:p>
    <w:p w:rsidR="00163B28" w:rsidRDefault="00881AB7" w:rsidP="00337119">
      <w:pPr>
        <w:pStyle w:val="Overskrift3"/>
        <w:spacing w:line="360" w:lineRule="auto"/>
        <w:rPr>
          <w:lang w:val="en-US"/>
        </w:rPr>
      </w:pPr>
      <w:bookmarkStart w:id="110" w:name="_Toc420075851"/>
      <w:bookmarkStart w:id="111" w:name="_Toc420761664"/>
      <w:r>
        <w:rPr>
          <w:lang w:val="en-US"/>
        </w:rPr>
        <w:t>7</w:t>
      </w:r>
      <w:r w:rsidR="00163B28">
        <w:rPr>
          <w:lang w:val="en-US"/>
        </w:rPr>
        <w:t>.5.4 Statement 4</w:t>
      </w:r>
      <w:bookmarkEnd w:id="110"/>
      <w:bookmarkEnd w:id="111"/>
    </w:p>
    <w:p w:rsidR="00172394" w:rsidRDefault="00D44EFD" w:rsidP="00337119">
      <w:pPr>
        <w:spacing w:line="360" w:lineRule="auto"/>
        <w:rPr>
          <w:lang w:val="en-US"/>
        </w:rPr>
      </w:pPr>
      <w:r>
        <w:rPr>
          <w:noProof/>
          <w:lang w:eastAsia="da-DK"/>
        </w:rPr>
        <w:drawing>
          <wp:anchor distT="0" distB="0" distL="114300" distR="114300" simplePos="0" relativeHeight="251768832" behindDoc="1" locked="0" layoutInCell="1" allowOverlap="1" wp14:anchorId="369E49E7" wp14:editId="7185ED05">
            <wp:simplePos x="0" y="0"/>
            <wp:positionH relativeFrom="column">
              <wp:posOffset>203835</wp:posOffset>
            </wp:positionH>
            <wp:positionV relativeFrom="paragraph">
              <wp:posOffset>584835</wp:posOffset>
            </wp:positionV>
            <wp:extent cx="5683250" cy="6134100"/>
            <wp:effectExtent l="0" t="0" r="0" b="0"/>
            <wp:wrapTight wrapText="bothSides">
              <wp:wrapPolygon edited="0">
                <wp:start x="0" y="0"/>
                <wp:lineTo x="0" y="21533"/>
                <wp:lineTo x="21503" y="21533"/>
                <wp:lineTo x="21503" y="0"/>
                <wp:lineTo x="0" y="0"/>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 second statement.png"/>
                    <pic:cNvPicPr/>
                  </pic:nvPicPr>
                  <pic:blipFill>
                    <a:blip r:embed="rId36">
                      <a:extLst>
                        <a:ext uri="{28A0092B-C50C-407E-A947-70E740481C1C}">
                          <a14:useLocalDpi xmlns:a14="http://schemas.microsoft.com/office/drawing/2010/main" val="0"/>
                        </a:ext>
                      </a:extLst>
                    </a:blip>
                    <a:stretch>
                      <a:fillRect/>
                    </a:stretch>
                  </pic:blipFill>
                  <pic:spPr>
                    <a:xfrm>
                      <a:off x="0" y="0"/>
                      <a:ext cx="5683250" cy="6134100"/>
                    </a:xfrm>
                    <a:prstGeom prst="rect">
                      <a:avLst/>
                    </a:prstGeom>
                  </pic:spPr>
                </pic:pic>
              </a:graphicData>
            </a:graphic>
            <wp14:sizeRelH relativeFrom="page">
              <wp14:pctWidth>0</wp14:pctWidth>
            </wp14:sizeRelH>
            <wp14:sizeRelV relativeFrom="page">
              <wp14:pctHeight>0</wp14:pctHeight>
            </wp14:sizeRelV>
          </wp:anchor>
        </w:drawing>
      </w:r>
      <w:r w:rsidR="00163B28">
        <w:rPr>
          <w:lang w:val="en-US"/>
        </w:rPr>
        <w:t xml:space="preserve">Mozilla’s second statement </w:t>
      </w:r>
      <w:r w:rsidR="00172394">
        <w:rPr>
          <w:lang w:val="en-US"/>
        </w:rPr>
        <w:t xml:space="preserve">(Appendix 10) </w:t>
      </w:r>
      <w:r w:rsidR="00163B28">
        <w:rPr>
          <w:lang w:val="en-US"/>
        </w:rPr>
        <w:t xml:space="preserve">is almost purely concerned with clarifying the organization’s social responsibility towards equality and inclusiveness </w:t>
      </w:r>
      <w:r w:rsidR="000E7FF0">
        <w:rPr>
          <w:lang w:val="en-US"/>
        </w:rPr>
        <w:t>within its</w:t>
      </w:r>
      <w:r w:rsidR="00163B28">
        <w:rPr>
          <w:lang w:val="en-US"/>
        </w:rPr>
        <w:t xml:space="preserve"> community. </w:t>
      </w:r>
    </w:p>
    <w:p w:rsidR="00172394" w:rsidRDefault="00172394" w:rsidP="00337119">
      <w:pPr>
        <w:spacing w:line="360" w:lineRule="auto"/>
        <w:rPr>
          <w:lang w:val="en-US"/>
        </w:rPr>
      </w:pPr>
    </w:p>
    <w:p w:rsidR="00172394" w:rsidRDefault="00172394" w:rsidP="00337119">
      <w:pPr>
        <w:spacing w:line="360" w:lineRule="auto"/>
        <w:rPr>
          <w:lang w:val="en-US"/>
        </w:rPr>
      </w:pPr>
      <w:r>
        <w:rPr>
          <w:noProof/>
          <w:lang w:eastAsia="da-DK"/>
        </w:rPr>
        <mc:AlternateContent>
          <mc:Choice Requires="wps">
            <w:drawing>
              <wp:anchor distT="0" distB="0" distL="114300" distR="114300" simplePos="0" relativeHeight="251748352" behindDoc="0" locked="0" layoutInCell="1" allowOverlap="1" wp14:anchorId="39E2CB4F" wp14:editId="4C9E5E28">
                <wp:simplePos x="0" y="0"/>
                <wp:positionH relativeFrom="column">
                  <wp:posOffset>-1130300</wp:posOffset>
                </wp:positionH>
                <wp:positionV relativeFrom="paragraph">
                  <wp:posOffset>5676265</wp:posOffset>
                </wp:positionV>
                <wp:extent cx="1044575" cy="171450"/>
                <wp:effectExtent l="0" t="0" r="3175" b="0"/>
                <wp:wrapTopAndBottom/>
                <wp:docPr id="48" name="Tekstboks 48"/>
                <wp:cNvGraphicFramePr/>
                <a:graphic xmlns:a="http://schemas.openxmlformats.org/drawingml/2006/main">
                  <a:graphicData uri="http://schemas.microsoft.com/office/word/2010/wordprocessingShape">
                    <wps:wsp>
                      <wps:cNvSpPr txBox="1"/>
                      <wps:spPr>
                        <a:xfrm>
                          <a:off x="0" y="0"/>
                          <a:ext cx="1044575" cy="171450"/>
                        </a:xfrm>
                        <a:prstGeom prst="rect">
                          <a:avLst/>
                        </a:prstGeom>
                        <a:solidFill>
                          <a:prstClr val="white"/>
                        </a:solidFill>
                        <a:ln>
                          <a:noFill/>
                        </a:ln>
                        <a:effectLst/>
                      </wps:spPr>
                      <wps:txbx>
                        <w:txbxContent>
                          <w:p w:rsidR="00CF205E" w:rsidRPr="00172394" w:rsidRDefault="00CF205E" w:rsidP="00172394">
                            <w:pPr>
                              <w:pStyle w:val="Billedtekst"/>
                              <w:rPr>
                                <w:noProof/>
                                <w:color w:val="auto"/>
                                <w:sz w:val="36"/>
                              </w:rPr>
                            </w:pPr>
                            <w:r w:rsidRPr="00172394">
                              <w:rPr>
                                <w:color w:val="auto"/>
                                <w:sz w:val="24"/>
                              </w:rPr>
                              <w:t>(</w:t>
                            </w:r>
                            <w:proofErr w:type="spellStart"/>
                            <w:r w:rsidRPr="00172394">
                              <w:rPr>
                                <w:color w:val="auto"/>
                                <w:sz w:val="24"/>
                              </w:rPr>
                              <w:t>Appendix</w:t>
                            </w:r>
                            <w:proofErr w:type="spellEnd"/>
                            <w:r w:rsidRPr="00172394">
                              <w:rPr>
                                <w:color w:val="auto"/>
                                <w:sz w:val="24"/>
                              </w:rPr>
                              <w:t xml:space="preserv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8" o:spid="_x0000_s1041" type="#_x0000_t202" style="position:absolute;left:0;text-align:left;margin-left:-89pt;margin-top:446.95pt;width:82.2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" stroked="f">
                <v:textbox inset="0,0,0,0">
                  <w:txbxContent>
                    <w:p w:rsidR="00CF205E" w:rsidRPr="00172394" w:rsidRDefault="00CF205E" w:rsidP="00172394">
                      <w:pPr>
                        <w:pStyle w:val="Billedtekst"/>
                        <w:rPr>
                          <w:noProof/>
                          <w:color w:val="auto"/>
                          <w:sz w:val="36"/>
                        </w:rPr>
                      </w:pPr>
                      <w:r w:rsidRPr="00172394">
                        <w:rPr>
                          <w:color w:val="auto"/>
                          <w:sz w:val="24"/>
                        </w:rPr>
                        <w:t>(</w:t>
                      </w:r>
                      <w:proofErr w:type="spellStart"/>
                      <w:r w:rsidRPr="00172394">
                        <w:rPr>
                          <w:color w:val="auto"/>
                          <w:sz w:val="24"/>
                        </w:rPr>
                        <w:t>Appendix</w:t>
                      </w:r>
                      <w:proofErr w:type="spellEnd"/>
                      <w:r w:rsidRPr="00172394">
                        <w:rPr>
                          <w:color w:val="auto"/>
                          <w:sz w:val="24"/>
                        </w:rPr>
                        <w:t xml:space="preserve"> 10)</w:t>
                      </w:r>
                    </w:p>
                  </w:txbxContent>
                </v:textbox>
                <w10:wrap type="topAndBottom"/>
              </v:shape>
            </w:pict>
          </mc:Fallback>
        </mc:AlternateContent>
      </w:r>
    </w:p>
    <w:p w:rsidR="00163B28" w:rsidRDefault="00163B28" w:rsidP="00337119">
      <w:pPr>
        <w:spacing w:line="360" w:lineRule="auto"/>
        <w:rPr>
          <w:lang w:val="en-US"/>
        </w:rPr>
      </w:pPr>
      <w:r>
        <w:rPr>
          <w:lang w:val="en-US"/>
        </w:rPr>
        <w:lastRenderedPageBreak/>
        <w:t xml:space="preserve">With the same textual elements and references (guidelines, policies) as within preceding statements, bolstering is therefore a prominent strategy applied. The only indicator of the controversy itself is the first sentence, </w:t>
      </w:r>
      <w:r w:rsidRPr="00876F22">
        <w:rPr>
          <w:i/>
          <w:lang w:val="en-US"/>
        </w:rPr>
        <w:t xml:space="preserve">“Over the past few days we have been asked a number of questions about Brendan </w:t>
      </w:r>
      <w:proofErr w:type="spellStart"/>
      <w:r w:rsidRPr="00876F22">
        <w:rPr>
          <w:i/>
          <w:lang w:val="en-US"/>
        </w:rPr>
        <w:t>Eich’s</w:t>
      </w:r>
      <w:proofErr w:type="spellEnd"/>
      <w:r w:rsidRPr="00876F22">
        <w:rPr>
          <w:i/>
          <w:lang w:val="en-US"/>
        </w:rPr>
        <w:t xml:space="preserve"> appointment as CEO” </w:t>
      </w:r>
      <w:r>
        <w:rPr>
          <w:lang w:val="en-US"/>
        </w:rPr>
        <w:t>(line 1-2). The latter shows the reader that this statement is addressing the controversy. However, considering that the following content only promotes the values of Mozilla, which are expressed as an actuality (</w:t>
      </w:r>
      <w:r w:rsidRPr="00BC0E38">
        <w:rPr>
          <w:i/>
          <w:lang w:val="en-US"/>
        </w:rPr>
        <w:t xml:space="preserve">“Mozilla has always […] </w:t>
      </w:r>
      <w:r>
        <w:rPr>
          <w:lang w:val="en-US"/>
        </w:rPr>
        <w:t xml:space="preserve">line 13), it can be argued that the organization makes use of the transcendence strategy: overarching values are expressed on a macro level to undermine the contradicting ‘values’ on a micro level. The sentence, </w:t>
      </w:r>
      <w:r w:rsidRPr="004801AC">
        <w:rPr>
          <w:i/>
          <w:lang w:val="en-US"/>
        </w:rPr>
        <w:t>“One voice will not limit opportunity for anyone”</w:t>
      </w:r>
      <w:r>
        <w:rPr>
          <w:lang w:val="en-US"/>
        </w:rPr>
        <w:t xml:space="preserve"> (line 14) substantiates this observation. Moreover, Mozilla’s proclamation of the insignificance of one contradicting voice may signify a distancing from the views of </w:t>
      </w:r>
      <w:proofErr w:type="spellStart"/>
      <w:r>
        <w:rPr>
          <w:lang w:val="en-US"/>
        </w:rPr>
        <w:t>Eich</w:t>
      </w:r>
      <w:proofErr w:type="spellEnd"/>
      <w:r>
        <w:rPr>
          <w:lang w:val="en-US"/>
        </w:rPr>
        <w:t>, and thereby also minimizing the harmfulness of the situation (</w:t>
      </w:r>
      <w:proofErr w:type="spellStart"/>
      <w:r>
        <w:rPr>
          <w:lang w:val="en-US"/>
        </w:rPr>
        <w:t>Eich</w:t>
      </w:r>
      <w:proofErr w:type="spellEnd"/>
      <w:r>
        <w:rPr>
          <w:lang w:val="en-US"/>
        </w:rPr>
        <w:t xml:space="preserve"> as CEO).      </w:t>
      </w:r>
      <w:r w:rsidRPr="00876F22">
        <w:rPr>
          <w:lang w:val="en-US"/>
        </w:rPr>
        <w:t xml:space="preserve"> </w:t>
      </w:r>
    </w:p>
    <w:p w:rsidR="00163B28" w:rsidRDefault="00881AB7" w:rsidP="00337119">
      <w:pPr>
        <w:pStyle w:val="Overskrift3"/>
        <w:spacing w:line="360" w:lineRule="auto"/>
        <w:rPr>
          <w:lang w:val="en-US"/>
        </w:rPr>
      </w:pPr>
      <w:bookmarkStart w:id="112" w:name="_Toc420075852"/>
      <w:bookmarkStart w:id="113" w:name="_Toc420761665"/>
      <w:r>
        <w:rPr>
          <w:lang w:val="en-US"/>
        </w:rPr>
        <w:t>7</w:t>
      </w:r>
      <w:r w:rsidR="00163B28">
        <w:rPr>
          <w:lang w:val="en-US"/>
        </w:rPr>
        <w:t>.5.5 Statement 5</w:t>
      </w:r>
      <w:bookmarkEnd w:id="112"/>
      <w:bookmarkEnd w:id="113"/>
    </w:p>
    <w:p w:rsidR="00AE7018" w:rsidRDefault="00163B28" w:rsidP="00337119">
      <w:pPr>
        <w:spacing w:line="360" w:lineRule="auto"/>
        <w:rPr>
          <w:lang w:val="en-US"/>
        </w:rPr>
      </w:pPr>
      <w:r>
        <w:rPr>
          <w:lang w:val="en-US"/>
        </w:rPr>
        <w:t>In connection with the Mozilla statement, Baker publishes a short supplementing statement on her blog</w:t>
      </w:r>
      <w:r w:rsidR="00AE7018">
        <w:rPr>
          <w:lang w:val="en-US"/>
        </w:rPr>
        <w:t xml:space="preserve"> (Appendix 11)</w:t>
      </w:r>
      <w:r>
        <w:rPr>
          <w:lang w:val="en-US"/>
        </w:rPr>
        <w:t xml:space="preserve">. </w:t>
      </w:r>
    </w:p>
    <w:p w:rsidR="00A126BA" w:rsidRDefault="00A126BA" w:rsidP="00337119">
      <w:pPr>
        <w:keepNext/>
        <w:spacing w:line="360" w:lineRule="auto"/>
      </w:pPr>
      <w:r>
        <w:rPr>
          <w:noProof/>
          <w:lang w:eastAsia="da-DK"/>
        </w:rPr>
        <mc:AlternateContent>
          <mc:Choice Requires="wps">
            <w:drawing>
              <wp:anchor distT="0" distB="0" distL="114300" distR="114300" simplePos="0" relativeHeight="251750400" behindDoc="0" locked="0" layoutInCell="1" allowOverlap="1" wp14:anchorId="039C3366" wp14:editId="1A6C6FD4">
                <wp:simplePos x="0" y="0"/>
                <wp:positionH relativeFrom="column">
                  <wp:posOffset>4785360</wp:posOffset>
                </wp:positionH>
                <wp:positionV relativeFrom="paragraph">
                  <wp:posOffset>2911475</wp:posOffset>
                </wp:positionV>
                <wp:extent cx="1044575" cy="171450"/>
                <wp:effectExtent l="0" t="0" r="3175" b="0"/>
                <wp:wrapNone/>
                <wp:docPr id="50" name="Tekstboks 50"/>
                <wp:cNvGraphicFramePr/>
                <a:graphic xmlns:a="http://schemas.openxmlformats.org/drawingml/2006/main">
                  <a:graphicData uri="http://schemas.microsoft.com/office/word/2010/wordprocessingShape">
                    <wps:wsp>
                      <wps:cNvSpPr txBox="1"/>
                      <wps:spPr>
                        <a:xfrm>
                          <a:off x="0" y="0"/>
                          <a:ext cx="1044575" cy="171450"/>
                        </a:xfrm>
                        <a:prstGeom prst="rect">
                          <a:avLst/>
                        </a:prstGeom>
                        <a:solidFill>
                          <a:prstClr val="white"/>
                        </a:solidFill>
                        <a:ln>
                          <a:noFill/>
                        </a:ln>
                        <a:effectLst/>
                      </wps:spPr>
                      <wps:txbx>
                        <w:txbxContent>
                          <w:p w:rsidR="00CF205E" w:rsidRPr="00172394" w:rsidRDefault="00CF205E" w:rsidP="00A126BA">
                            <w:pPr>
                              <w:pStyle w:val="Billedtekst"/>
                              <w:rPr>
                                <w:noProof/>
                                <w:color w:val="auto"/>
                                <w:sz w:val="36"/>
                              </w:rPr>
                            </w:pPr>
                            <w:r>
                              <w:rPr>
                                <w:color w:val="auto"/>
                                <w:sz w:val="24"/>
                              </w:rPr>
                              <w:t>(</w:t>
                            </w:r>
                            <w:proofErr w:type="spellStart"/>
                            <w:r>
                              <w:rPr>
                                <w:color w:val="auto"/>
                                <w:sz w:val="24"/>
                              </w:rPr>
                              <w:t>Appendix</w:t>
                            </w:r>
                            <w:proofErr w:type="spellEnd"/>
                            <w:r>
                              <w:rPr>
                                <w:color w:val="auto"/>
                                <w:sz w:val="24"/>
                              </w:rPr>
                              <w:t xml:space="preserve"> 11</w:t>
                            </w:r>
                            <w:r w:rsidRPr="00172394">
                              <w:rPr>
                                <w:color w:val="auto"/>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0" o:spid="_x0000_s1042" type="#_x0000_t202" style="position:absolute;left:0;text-align:left;margin-left:376.8pt;margin-top:229.25pt;width:82.2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" stroked="f">
                <v:textbox inset="0,0,0,0">
                  <w:txbxContent>
                    <w:p w:rsidR="00CF205E" w:rsidRPr="00172394" w:rsidRDefault="00CF205E" w:rsidP="00A126BA">
                      <w:pPr>
                        <w:pStyle w:val="Billedtekst"/>
                        <w:rPr>
                          <w:noProof/>
                          <w:color w:val="auto"/>
                          <w:sz w:val="36"/>
                        </w:rPr>
                      </w:pPr>
                      <w:r>
                        <w:rPr>
                          <w:color w:val="auto"/>
                          <w:sz w:val="24"/>
                        </w:rPr>
                        <w:t>(</w:t>
                      </w:r>
                      <w:proofErr w:type="spellStart"/>
                      <w:r>
                        <w:rPr>
                          <w:color w:val="auto"/>
                          <w:sz w:val="24"/>
                        </w:rPr>
                        <w:t>Appendix</w:t>
                      </w:r>
                      <w:proofErr w:type="spellEnd"/>
                      <w:r>
                        <w:rPr>
                          <w:color w:val="auto"/>
                          <w:sz w:val="24"/>
                        </w:rPr>
                        <w:t xml:space="preserve"> 11</w:t>
                      </w:r>
                      <w:r w:rsidRPr="00172394">
                        <w:rPr>
                          <w:color w:val="auto"/>
                          <w:sz w:val="24"/>
                        </w:rPr>
                        <w:t>)</w:t>
                      </w:r>
                    </w:p>
                  </w:txbxContent>
                </v:textbox>
              </v:shape>
            </w:pict>
          </mc:Fallback>
        </mc:AlternateContent>
      </w:r>
      <w:r>
        <w:rPr>
          <w:noProof/>
          <w:lang w:eastAsia="da-DK"/>
        </w:rPr>
        <w:drawing>
          <wp:inline distT="0" distB="0" distL="0" distR="0" wp14:anchorId="4D0ACC17" wp14:editId="32447169">
            <wp:extent cx="6000750" cy="301345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 second statement.png"/>
                    <pic:cNvPicPr/>
                  </pic:nvPicPr>
                  <pic:blipFill>
                    <a:blip r:embed="rId37">
                      <a:extLst>
                        <a:ext uri="{28A0092B-C50C-407E-A947-70E740481C1C}">
                          <a14:useLocalDpi xmlns:a14="http://schemas.microsoft.com/office/drawing/2010/main" val="0"/>
                        </a:ext>
                      </a:extLst>
                    </a:blip>
                    <a:stretch>
                      <a:fillRect/>
                    </a:stretch>
                  </pic:blipFill>
                  <pic:spPr>
                    <a:xfrm>
                      <a:off x="0" y="0"/>
                      <a:ext cx="5996395" cy="3011263"/>
                    </a:xfrm>
                    <a:prstGeom prst="rect">
                      <a:avLst/>
                    </a:prstGeom>
                  </pic:spPr>
                </pic:pic>
              </a:graphicData>
            </a:graphic>
          </wp:inline>
        </w:drawing>
      </w:r>
    </w:p>
    <w:p w:rsidR="00163B28" w:rsidRDefault="00163B28" w:rsidP="00337119">
      <w:pPr>
        <w:spacing w:line="360" w:lineRule="auto"/>
        <w:rPr>
          <w:lang w:val="en-US"/>
        </w:rPr>
      </w:pPr>
      <w:r>
        <w:rPr>
          <w:lang w:val="en-US"/>
        </w:rPr>
        <w:t>Other than directly referring to the Mozilla statement (line</w:t>
      </w:r>
      <w:r w:rsidR="00A126BA">
        <w:rPr>
          <w:lang w:val="en-US"/>
        </w:rPr>
        <w:t xml:space="preserve"> 9</w:t>
      </w:r>
      <w:r>
        <w:rPr>
          <w:lang w:val="en-US"/>
        </w:rPr>
        <w:t xml:space="preserve">), the content of the statement is directed at stressing the good traits of the organization, by explicitly expressing Mozilla’s identity as an organization with a commitment to equality for all (line 4). Accordingly, the bolstering strategy has significant momentum in the statement, plausibly supplementing a minimization tactic, </w:t>
      </w:r>
      <w:r>
        <w:rPr>
          <w:lang w:val="en-US"/>
        </w:rPr>
        <w:lastRenderedPageBreak/>
        <w:t>which is shown through the usage of specific proclamations, dire</w:t>
      </w:r>
      <w:r w:rsidR="00AC2470">
        <w:rPr>
          <w:lang w:val="en-US"/>
        </w:rPr>
        <w:t>cted at the controversy at hand:</w:t>
      </w:r>
      <w:r>
        <w:rPr>
          <w:lang w:val="en-US"/>
        </w:rPr>
        <w:t xml:space="preserve"> </w:t>
      </w:r>
      <w:r w:rsidRPr="00421A0B">
        <w:rPr>
          <w:i/>
          <w:lang w:val="en-US"/>
        </w:rPr>
        <w:t>“Mozilla supports equality for all, explicitly including LGBT equality and marriage equality”</w:t>
      </w:r>
      <w:r>
        <w:rPr>
          <w:lang w:val="en-US"/>
        </w:rPr>
        <w:t xml:space="preserve"> (line 7-8). </w:t>
      </w:r>
    </w:p>
    <w:p w:rsidR="00163B28" w:rsidRDefault="00881AB7" w:rsidP="00337119">
      <w:pPr>
        <w:pStyle w:val="Overskrift3"/>
        <w:spacing w:line="360" w:lineRule="auto"/>
        <w:rPr>
          <w:lang w:val="en-US"/>
        </w:rPr>
      </w:pPr>
      <w:bookmarkStart w:id="114" w:name="_Toc420075853"/>
      <w:bookmarkStart w:id="115" w:name="_Toc420761666"/>
      <w:r>
        <w:rPr>
          <w:lang w:val="en-US"/>
        </w:rPr>
        <w:t>7</w:t>
      </w:r>
      <w:r w:rsidR="00163B28">
        <w:rPr>
          <w:lang w:val="en-US"/>
        </w:rPr>
        <w:t>.5.6 Statement 6</w:t>
      </w:r>
      <w:bookmarkEnd w:id="114"/>
      <w:bookmarkEnd w:id="115"/>
    </w:p>
    <w:p w:rsidR="000E3D0A" w:rsidRDefault="00A13B06" w:rsidP="00337119">
      <w:pPr>
        <w:spacing w:line="360" w:lineRule="auto"/>
        <w:rPr>
          <w:lang w:val="en-US"/>
        </w:rPr>
      </w:pPr>
      <w:r>
        <w:rPr>
          <w:noProof/>
          <w:lang w:eastAsia="da-DK"/>
        </w:rPr>
        <w:drawing>
          <wp:anchor distT="0" distB="0" distL="114300" distR="114300" simplePos="0" relativeHeight="251751424" behindDoc="1" locked="0" layoutInCell="1" allowOverlap="1" wp14:anchorId="05EC876B" wp14:editId="5E13CDDD">
            <wp:simplePos x="0" y="0"/>
            <wp:positionH relativeFrom="column">
              <wp:posOffset>299085</wp:posOffset>
            </wp:positionH>
            <wp:positionV relativeFrom="paragraph">
              <wp:posOffset>586740</wp:posOffset>
            </wp:positionV>
            <wp:extent cx="5512435" cy="6686550"/>
            <wp:effectExtent l="0" t="0" r="0" b="0"/>
            <wp:wrapTight wrapText="bothSides">
              <wp:wrapPolygon edited="0">
                <wp:start x="0" y="0"/>
                <wp:lineTo x="0" y="21538"/>
                <wp:lineTo x="21498" y="21538"/>
                <wp:lineTo x="21498" y="0"/>
                <wp:lineTo x="0" y="0"/>
              </wp:wrapPolygon>
            </wp:wrapTight>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Mozilla statement.png"/>
                    <pic:cNvPicPr/>
                  </pic:nvPicPr>
                  <pic:blipFill>
                    <a:blip r:embed="rId38">
                      <a:extLst>
                        <a:ext uri="{28A0092B-C50C-407E-A947-70E740481C1C}">
                          <a14:useLocalDpi xmlns:a14="http://schemas.microsoft.com/office/drawing/2010/main" val="0"/>
                        </a:ext>
                      </a:extLst>
                    </a:blip>
                    <a:stretch>
                      <a:fillRect/>
                    </a:stretch>
                  </pic:blipFill>
                  <pic:spPr>
                    <a:xfrm>
                      <a:off x="0" y="0"/>
                      <a:ext cx="5512435" cy="6686550"/>
                    </a:xfrm>
                    <a:prstGeom prst="rect">
                      <a:avLst/>
                    </a:prstGeom>
                  </pic:spPr>
                </pic:pic>
              </a:graphicData>
            </a:graphic>
            <wp14:sizeRelH relativeFrom="page">
              <wp14:pctWidth>0</wp14:pctWidth>
            </wp14:sizeRelH>
            <wp14:sizeRelV relativeFrom="page">
              <wp14:pctHeight>0</wp14:pctHeight>
            </wp14:sizeRelV>
          </wp:anchor>
        </w:drawing>
      </w:r>
      <w:r w:rsidR="00163B28">
        <w:rPr>
          <w:lang w:val="en-US"/>
        </w:rPr>
        <w:t>In this statement</w:t>
      </w:r>
      <w:r w:rsidR="000E3D0A">
        <w:rPr>
          <w:lang w:val="en-US"/>
        </w:rPr>
        <w:t xml:space="preserve"> (Appendix 15)</w:t>
      </w:r>
      <w:r w:rsidR="00163B28">
        <w:rPr>
          <w:lang w:val="en-US"/>
        </w:rPr>
        <w:t xml:space="preserve">, communicated by Baker, Mozilla states that </w:t>
      </w:r>
      <w:proofErr w:type="spellStart"/>
      <w:r w:rsidR="00163B28">
        <w:rPr>
          <w:lang w:val="en-US"/>
        </w:rPr>
        <w:t>Eich</w:t>
      </w:r>
      <w:proofErr w:type="spellEnd"/>
      <w:r w:rsidR="00163B28">
        <w:rPr>
          <w:lang w:val="en-US"/>
        </w:rPr>
        <w:t xml:space="preserve"> steps down as CEO, which marks a new direction in </w:t>
      </w:r>
      <w:r w:rsidR="00D65576">
        <w:rPr>
          <w:lang w:val="en-US"/>
        </w:rPr>
        <w:t>the organization’s</w:t>
      </w:r>
      <w:r w:rsidR="00163B28">
        <w:rPr>
          <w:lang w:val="en-US"/>
        </w:rPr>
        <w:t xml:space="preserve"> crisis communication. </w:t>
      </w:r>
    </w:p>
    <w:p w:rsidR="000E3D0A" w:rsidRDefault="000E3D0A" w:rsidP="00337119">
      <w:pPr>
        <w:spacing w:line="360" w:lineRule="auto"/>
        <w:rPr>
          <w:lang w:val="en-US"/>
        </w:rPr>
      </w:pPr>
    </w:p>
    <w:p w:rsidR="000E3D0A" w:rsidRDefault="00A13B06" w:rsidP="00337119">
      <w:pPr>
        <w:spacing w:line="360" w:lineRule="auto"/>
        <w:rPr>
          <w:lang w:val="en-US"/>
        </w:rPr>
      </w:pPr>
      <w:r>
        <w:rPr>
          <w:noProof/>
          <w:lang w:eastAsia="da-DK"/>
        </w:rPr>
        <mc:AlternateContent>
          <mc:Choice Requires="wps">
            <w:drawing>
              <wp:anchor distT="0" distB="0" distL="114300" distR="114300" simplePos="0" relativeHeight="251753472" behindDoc="0" locked="0" layoutInCell="1" allowOverlap="1" wp14:anchorId="38CD87C1" wp14:editId="3FDDC33E">
                <wp:simplePos x="0" y="0"/>
                <wp:positionH relativeFrom="column">
                  <wp:posOffset>4852035</wp:posOffset>
                </wp:positionH>
                <wp:positionV relativeFrom="paragraph">
                  <wp:posOffset>6211570</wp:posOffset>
                </wp:positionV>
                <wp:extent cx="969010" cy="171450"/>
                <wp:effectExtent l="0" t="0" r="2540" b="0"/>
                <wp:wrapNone/>
                <wp:docPr id="78" name="Tekstboks 78"/>
                <wp:cNvGraphicFramePr/>
                <a:graphic xmlns:a="http://schemas.openxmlformats.org/drawingml/2006/main">
                  <a:graphicData uri="http://schemas.microsoft.com/office/word/2010/wordprocessingShape">
                    <wps:wsp>
                      <wps:cNvSpPr txBox="1"/>
                      <wps:spPr>
                        <a:xfrm>
                          <a:off x="0" y="0"/>
                          <a:ext cx="969010" cy="171450"/>
                        </a:xfrm>
                        <a:prstGeom prst="rect">
                          <a:avLst/>
                        </a:prstGeom>
                        <a:solidFill>
                          <a:prstClr val="white"/>
                        </a:solidFill>
                        <a:ln>
                          <a:noFill/>
                        </a:ln>
                        <a:effectLst/>
                      </wps:spPr>
                      <wps:txbx>
                        <w:txbxContent>
                          <w:p w:rsidR="00CF205E" w:rsidRPr="00A13B06" w:rsidRDefault="00CF205E" w:rsidP="00A13B06">
                            <w:pPr>
                              <w:pStyle w:val="Billedtekst"/>
                              <w:rPr>
                                <w:noProof/>
                                <w:color w:val="auto"/>
                                <w:sz w:val="36"/>
                              </w:rPr>
                            </w:pPr>
                            <w:r w:rsidRPr="00A13B06">
                              <w:rPr>
                                <w:color w:val="auto"/>
                                <w:sz w:val="24"/>
                              </w:rPr>
                              <w:t>(</w:t>
                            </w:r>
                            <w:proofErr w:type="spellStart"/>
                            <w:r w:rsidRPr="00A13B06">
                              <w:rPr>
                                <w:color w:val="auto"/>
                                <w:sz w:val="24"/>
                              </w:rPr>
                              <w:t>Appendix</w:t>
                            </w:r>
                            <w:proofErr w:type="spellEnd"/>
                            <w:r w:rsidRPr="00A13B06">
                              <w:rPr>
                                <w:color w:val="auto"/>
                                <w:sz w:val="24"/>
                              </w:rPr>
                              <w:t xml:space="preserve">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78" o:spid="_x0000_s1043" type="#_x0000_t202" style="position:absolute;left:0;text-align:left;margin-left:382.05pt;margin-top:489.1pt;width:76.3pt;height: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" stroked="f">
                <v:textbox inset="0,0,0,0">
                  <w:txbxContent>
                    <w:p w:rsidR="00CF205E" w:rsidRPr="00A13B06" w:rsidRDefault="00CF205E" w:rsidP="00A13B06">
                      <w:pPr>
                        <w:pStyle w:val="Billedtekst"/>
                        <w:rPr>
                          <w:noProof/>
                          <w:color w:val="auto"/>
                          <w:sz w:val="36"/>
                        </w:rPr>
                      </w:pPr>
                      <w:r w:rsidRPr="00A13B06">
                        <w:rPr>
                          <w:color w:val="auto"/>
                          <w:sz w:val="24"/>
                        </w:rPr>
                        <w:t>(</w:t>
                      </w:r>
                      <w:proofErr w:type="spellStart"/>
                      <w:r w:rsidRPr="00A13B06">
                        <w:rPr>
                          <w:color w:val="auto"/>
                          <w:sz w:val="24"/>
                        </w:rPr>
                        <w:t>Appendix</w:t>
                      </w:r>
                      <w:proofErr w:type="spellEnd"/>
                      <w:r w:rsidRPr="00A13B06">
                        <w:rPr>
                          <w:color w:val="auto"/>
                          <w:sz w:val="24"/>
                        </w:rPr>
                        <w:t xml:space="preserve"> 15)</w:t>
                      </w:r>
                    </w:p>
                  </w:txbxContent>
                </v:textbox>
              </v:shape>
            </w:pict>
          </mc:Fallback>
        </mc:AlternateContent>
      </w:r>
    </w:p>
    <w:p w:rsidR="00163B28" w:rsidRDefault="00163B28" w:rsidP="00337119">
      <w:pPr>
        <w:spacing w:line="360" w:lineRule="auto"/>
        <w:rPr>
          <w:lang w:val="en-US"/>
        </w:rPr>
      </w:pPr>
      <w:r>
        <w:rPr>
          <w:lang w:val="en-US"/>
        </w:rPr>
        <w:lastRenderedPageBreak/>
        <w:t>The primary strategies structuring the statement are mort</w:t>
      </w:r>
      <w:r w:rsidR="008C3B34">
        <w:rPr>
          <w:lang w:val="en-US"/>
        </w:rPr>
        <w:t>ification and corrective action</w:t>
      </w:r>
      <w:r>
        <w:rPr>
          <w:lang w:val="en-US"/>
        </w:rPr>
        <w:t xml:space="preserve">, which are supplemented with bolstering strategies. Two instances of mortification are present within the statement, where the first is a simple and clear, </w:t>
      </w:r>
      <w:r w:rsidRPr="00E17A44">
        <w:rPr>
          <w:i/>
          <w:lang w:val="en-US"/>
        </w:rPr>
        <w:t>“We are sorry”</w:t>
      </w:r>
      <w:r>
        <w:rPr>
          <w:lang w:val="en-US"/>
        </w:rPr>
        <w:t xml:space="preserve"> (line 5) </w:t>
      </w:r>
      <w:r w:rsidR="00F764C1">
        <w:rPr>
          <w:lang w:val="en-US"/>
        </w:rPr>
        <w:t>assertion,</w:t>
      </w:r>
      <w:r>
        <w:rPr>
          <w:lang w:val="en-US"/>
        </w:rPr>
        <w:t xml:space="preserve"> where the other </w:t>
      </w:r>
      <w:r w:rsidR="00F764C1">
        <w:rPr>
          <w:lang w:val="en-US"/>
        </w:rPr>
        <w:t>substantiates the latter with</w:t>
      </w:r>
      <w:r>
        <w:rPr>
          <w:lang w:val="en-US"/>
        </w:rPr>
        <w:t xml:space="preserve">, </w:t>
      </w:r>
      <w:r w:rsidRPr="004E2E67">
        <w:rPr>
          <w:i/>
          <w:lang w:val="en-US"/>
        </w:rPr>
        <w:t>“We failed to listen, to engage, and to be guided by our community”</w:t>
      </w:r>
      <w:r>
        <w:rPr>
          <w:lang w:val="en-US"/>
        </w:rPr>
        <w:t xml:space="preserve"> (line 17). Throughout the</w:t>
      </w:r>
      <w:r w:rsidR="00F764C1">
        <w:rPr>
          <w:lang w:val="en-US"/>
        </w:rPr>
        <w:t xml:space="preserve"> statement, corrective actions are</w:t>
      </w:r>
      <w:r>
        <w:rPr>
          <w:lang w:val="en-US"/>
        </w:rPr>
        <w:t xml:space="preserve"> being expressed (line 5, 20), where the most prominent is within the last section, being </w:t>
      </w:r>
      <w:r w:rsidRPr="004E2E67">
        <w:rPr>
          <w:i/>
          <w:lang w:val="en-US"/>
        </w:rPr>
        <w:t>“We will emerge from this with a renewed understanding and humility”</w:t>
      </w:r>
      <w:r>
        <w:rPr>
          <w:lang w:val="en-US"/>
        </w:rPr>
        <w:t xml:space="preserve"> (line 26). </w:t>
      </w:r>
    </w:p>
    <w:p w:rsidR="00163B28" w:rsidRDefault="00163B28" w:rsidP="00337119">
      <w:pPr>
        <w:spacing w:line="360" w:lineRule="auto"/>
        <w:rPr>
          <w:lang w:val="en-US"/>
        </w:rPr>
      </w:pPr>
      <w:r>
        <w:rPr>
          <w:lang w:val="en-US"/>
        </w:rPr>
        <w:t xml:space="preserve">With the usage of the reminder approach of bolstering, the middle sections of the statement (line 8-13) are directed at promoting the ‘true’ values of Mozilla – in the same manner as within the preceding statements. In the last section of the statement, ingratiation bolstering is applied with the expression of gratitude towards its community, concluded with the line, </w:t>
      </w:r>
      <w:r w:rsidRPr="001642A3">
        <w:rPr>
          <w:i/>
          <w:lang w:val="en-US"/>
        </w:rPr>
        <w:t>“Thank you for sticking with</w:t>
      </w:r>
      <w:r>
        <w:rPr>
          <w:i/>
          <w:lang w:val="en-US"/>
        </w:rPr>
        <w:t xml:space="preserve"> us</w:t>
      </w:r>
      <w:r w:rsidRPr="001642A3">
        <w:rPr>
          <w:i/>
          <w:lang w:val="en-US"/>
        </w:rPr>
        <w:t>”</w:t>
      </w:r>
      <w:r>
        <w:rPr>
          <w:lang w:val="en-US"/>
        </w:rPr>
        <w:t xml:space="preserve"> (line 29). </w:t>
      </w:r>
    </w:p>
    <w:p w:rsidR="00163B28" w:rsidRDefault="00881AB7" w:rsidP="00337119">
      <w:pPr>
        <w:pStyle w:val="Overskrift3"/>
        <w:spacing w:line="360" w:lineRule="auto"/>
        <w:rPr>
          <w:lang w:val="en-US"/>
        </w:rPr>
      </w:pPr>
      <w:bookmarkStart w:id="116" w:name="_Toc420075854"/>
      <w:bookmarkStart w:id="117" w:name="_Toc420761667"/>
      <w:r>
        <w:rPr>
          <w:lang w:val="en-US"/>
        </w:rPr>
        <w:t>6</w:t>
      </w:r>
      <w:r w:rsidR="00163B28">
        <w:rPr>
          <w:lang w:val="en-US"/>
        </w:rPr>
        <w:t>.5.7 Statement 7</w:t>
      </w:r>
      <w:bookmarkEnd w:id="116"/>
      <w:bookmarkEnd w:id="117"/>
    </w:p>
    <w:p w:rsidR="0077628E" w:rsidRDefault="0077628E" w:rsidP="00337119">
      <w:pPr>
        <w:spacing w:line="360" w:lineRule="auto"/>
        <w:rPr>
          <w:lang w:val="en-US"/>
        </w:rPr>
      </w:pPr>
      <w:r>
        <w:rPr>
          <w:noProof/>
          <w:lang w:eastAsia="da-DK"/>
        </w:rPr>
        <mc:AlternateContent>
          <mc:Choice Requires="wps">
            <w:drawing>
              <wp:anchor distT="0" distB="0" distL="114300" distR="114300" simplePos="0" relativeHeight="251756544" behindDoc="0" locked="0" layoutInCell="1" allowOverlap="1" wp14:anchorId="7069007E" wp14:editId="0744C8E1">
                <wp:simplePos x="0" y="0"/>
                <wp:positionH relativeFrom="column">
                  <wp:posOffset>4994910</wp:posOffset>
                </wp:positionH>
                <wp:positionV relativeFrom="paragraph">
                  <wp:posOffset>4580255</wp:posOffset>
                </wp:positionV>
                <wp:extent cx="950595" cy="200025"/>
                <wp:effectExtent l="0" t="0" r="1905" b="9525"/>
                <wp:wrapTight wrapText="bothSides">
                  <wp:wrapPolygon edited="0">
                    <wp:start x="0" y="0"/>
                    <wp:lineTo x="0" y="20571"/>
                    <wp:lineTo x="21210" y="20571"/>
                    <wp:lineTo x="21210" y="0"/>
                    <wp:lineTo x="0" y="0"/>
                  </wp:wrapPolygon>
                </wp:wrapTight>
                <wp:docPr id="80" name="Tekstboks 80"/>
                <wp:cNvGraphicFramePr/>
                <a:graphic xmlns:a="http://schemas.openxmlformats.org/drawingml/2006/main">
                  <a:graphicData uri="http://schemas.microsoft.com/office/word/2010/wordprocessingShape">
                    <wps:wsp>
                      <wps:cNvSpPr txBox="1"/>
                      <wps:spPr>
                        <a:xfrm>
                          <a:off x="0" y="0"/>
                          <a:ext cx="950595" cy="200025"/>
                        </a:xfrm>
                        <a:prstGeom prst="rect">
                          <a:avLst/>
                        </a:prstGeom>
                        <a:solidFill>
                          <a:prstClr val="white"/>
                        </a:solidFill>
                        <a:ln>
                          <a:noFill/>
                        </a:ln>
                        <a:effectLst/>
                      </wps:spPr>
                      <wps:txbx>
                        <w:txbxContent>
                          <w:p w:rsidR="00CF205E" w:rsidRPr="0077628E" w:rsidRDefault="00CF205E" w:rsidP="0077628E">
                            <w:pPr>
                              <w:pStyle w:val="Billedtekst"/>
                              <w:rPr>
                                <w:noProof/>
                                <w:color w:val="auto"/>
                                <w:sz w:val="36"/>
                              </w:rPr>
                            </w:pPr>
                            <w:r w:rsidRPr="0077628E">
                              <w:rPr>
                                <w:color w:val="auto"/>
                                <w:sz w:val="24"/>
                              </w:rPr>
                              <w:t>(</w:t>
                            </w:r>
                            <w:proofErr w:type="spellStart"/>
                            <w:r w:rsidRPr="0077628E">
                              <w:rPr>
                                <w:color w:val="auto"/>
                                <w:sz w:val="24"/>
                              </w:rPr>
                              <w:t>Appendix</w:t>
                            </w:r>
                            <w:proofErr w:type="spellEnd"/>
                            <w:r w:rsidRPr="0077628E">
                              <w:rPr>
                                <w:color w:val="auto"/>
                                <w:sz w:val="24"/>
                              </w:rPr>
                              <w:t xml:space="preserve">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80" o:spid="_x0000_s1044" type="#_x0000_t202" style="position:absolute;left:0;text-align:left;margin-left:393.3pt;margin-top:360.65pt;width:74.85pt;height:1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" stroked="f">
                <v:textbox inset="0,0,0,0">
                  <w:txbxContent>
                    <w:p w:rsidR="00CF205E" w:rsidRPr="0077628E" w:rsidRDefault="00CF205E" w:rsidP="0077628E">
                      <w:pPr>
                        <w:pStyle w:val="Billedtekst"/>
                        <w:rPr>
                          <w:noProof/>
                          <w:color w:val="auto"/>
                          <w:sz w:val="36"/>
                        </w:rPr>
                      </w:pPr>
                      <w:r w:rsidRPr="0077628E">
                        <w:rPr>
                          <w:color w:val="auto"/>
                          <w:sz w:val="24"/>
                        </w:rPr>
                        <w:t>(</w:t>
                      </w:r>
                      <w:proofErr w:type="spellStart"/>
                      <w:r w:rsidRPr="0077628E">
                        <w:rPr>
                          <w:color w:val="auto"/>
                          <w:sz w:val="24"/>
                        </w:rPr>
                        <w:t>Appendix</w:t>
                      </w:r>
                      <w:proofErr w:type="spellEnd"/>
                      <w:r w:rsidRPr="0077628E">
                        <w:rPr>
                          <w:color w:val="auto"/>
                          <w:sz w:val="24"/>
                        </w:rPr>
                        <w:t xml:space="preserve"> 16)</w:t>
                      </w:r>
                    </w:p>
                  </w:txbxContent>
                </v:textbox>
                <w10:wrap type="tight"/>
              </v:shape>
            </w:pict>
          </mc:Fallback>
        </mc:AlternateContent>
      </w:r>
      <w:r>
        <w:rPr>
          <w:noProof/>
          <w:lang w:eastAsia="da-DK"/>
        </w:rPr>
        <w:drawing>
          <wp:anchor distT="0" distB="0" distL="114300" distR="114300" simplePos="0" relativeHeight="251754496" behindDoc="1" locked="0" layoutInCell="1" allowOverlap="1" wp14:anchorId="74DB10D0" wp14:editId="1320FACB">
            <wp:simplePos x="0" y="0"/>
            <wp:positionH relativeFrom="column">
              <wp:posOffset>60960</wp:posOffset>
            </wp:positionH>
            <wp:positionV relativeFrom="paragraph">
              <wp:posOffset>589280</wp:posOffset>
            </wp:positionV>
            <wp:extent cx="5884545" cy="3933825"/>
            <wp:effectExtent l="0" t="0" r="1905" b="9525"/>
            <wp:wrapTight wrapText="bothSides">
              <wp:wrapPolygon edited="0">
                <wp:start x="0" y="0"/>
                <wp:lineTo x="0" y="21548"/>
                <wp:lineTo x="21537" y="21548"/>
                <wp:lineTo x="21537" y="0"/>
                <wp:lineTo x="0" y="0"/>
              </wp:wrapPolygon>
            </wp:wrapTight>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chs statment of resignation.png"/>
                    <pic:cNvPicPr/>
                  </pic:nvPicPr>
                  <pic:blipFill>
                    <a:blip r:embed="rId39">
                      <a:extLst>
                        <a:ext uri="{28A0092B-C50C-407E-A947-70E740481C1C}">
                          <a14:useLocalDpi xmlns:a14="http://schemas.microsoft.com/office/drawing/2010/main" val="0"/>
                        </a:ext>
                      </a:extLst>
                    </a:blip>
                    <a:stretch>
                      <a:fillRect/>
                    </a:stretch>
                  </pic:blipFill>
                  <pic:spPr>
                    <a:xfrm>
                      <a:off x="0" y="0"/>
                      <a:ext cx="5884545" cy="3933825"/>
                    </a:xfrm>
                    <a:prstGeom prst="rect">
                      <a:avLst/>
                    </a:prstGeom>
                  </pic:spPr>
                </pic:pic>
              </a:graphicData>
            </a:graphic>
            <wp14:sizeRelH relativeFrom="page">
              <wp14:pctWidth>0</wp14:pctWidth>
            </wp14:sizeRelH>
            <wp14:sizeRelV relativeFrom="page">
              <wp14:pctHeight>0</wp14:pctHeight>
            </wp14:sizeRelV>
          </wp:anchor>
        </w:drawing>
      </w:r>
      <w:r w:rsidR="00163B28">
        <w:rPr>
          <w:lang w:val="en-US"/>
        </w:rPr>
        <w:t xml:space="preserve">Following the Mozilla statement, </w:t>
      </w:r>
      <w:proofErr w:type="spellStart"/>
      <w:r w:rsidR="00163B28">
        <w:rPr>
          <w:lang w:val="en-US"/>
        </w:rPr>
        <w:t>Eich</w:t>
      </w:r>
      <w:proofErr w:type="spellEnd"/>
      <w:r w:rsidR="00163B28">
        <w:rPr>
          <w:lang w:val="en-US"/>
        </w:rPr>
        <w:t xml:space="preserve"> published a statement as well</w:t>
      </w:r>
      <w:r w:rsidR="000372E2">
        <w:rPr>
          <w:lang w:val="en-US"/>
        </w:rPr>
        <w:t xml:space="preserve"> (Appendix 16)</w:t>
      </w:r>
      <w:r w:rsidR="00163B28">
        <w:rPr>
          <w:lang w:val="en-US"/>
        </w:rPr>
        <w:t xml:space="preserve">, but with little focus on his resignation. </w:t>
      </w:r>
    </w:p>
    <w:p w:rsidR="00163B28" w:rsidRDefault="00163B28" w:rsidP="00337119">
      <w:pPr>
        <w:spacing w:line="360" w:lineRule="auto"/>
        <w:rPr>
          <w:lang w:val="en-US"/>
        </w:rPr>
      </w:pPr>
      <w:r>
        <w:rPr>
          <w:lang w:val="en-US"/>
        </w:rPr>
        <w:lastRenderedPageBreak/>
        <w:t xml:space="preserve">The first half of the statement is non-related, involving a new work related focus (privacy and user data). In the subsequent half of the statement, however, </w:t>
      </w:r>
      <w:proofErr w:type="spellStart"/>
      <w:r>
        <w:rPr>
          <w:lang w:val="en-US"/>
        </w:rPr>
        <w:t>Eich</w:t>
      </w:r>
      <w:proofErr w:type="spellEnd"/>
      <w:r>
        <w:rPr>
          <w:lang w:val="en-US"/>
        </w:rPr>
        <w:t xml:space="preserve"> asserts that he has resigned as the CEO of Mozilla (line 15). He does not address the controversy whatsoever, but rather points to his good work at Mozilla – with Firefox as an example (line 18). This indicates a use of the bolstering strategy, which is further exploited in the final section, where he expresses his gratitude towards his supporters and colleagues (line 20-21). It may be argued that </w:t>
      </w:r>
      <w:proofErr w:type="spellStart"/>
      <w:r>
        <w:rPr>
          <w:lang w:val="en-US"/>
        </w:rPr>
        <w:t>Eich</w:t>
      </w:r>
      <w:proofErr w:type="spellEnd"/>
      <w:r>
        <w:rPr>
          <w:lang w:val="en-US"/>
        </w:rPr>
        <w:t xml:space="preserve"> intends to show the public that he should be remembered for his professional and successful work and not the controversy – by directing attention towards a broader and positive context (transcendence).  </w:t>
      </w:r>
    </w:p>
    <w:p w:rsidR="00163B28" w:rsidRDefault="00881AB7" w:rsidP="00337119">
      <w:pPr>
        <w:pStyle w:val="Overskrift2"/>
        <w:spacing w:line="360" w:lineRule="auto"/>
        <w:rPr>
          <w:lang w:val="en-US"/>
        </w:rPr>
      </w:pPr>
      <w:bookmarkStart w:id="118" w:name="_Toc420075855"/>
      <w:bookmarkStart w:id="119" w:name="_Toc420761668"/>
      <w:r>
        <w:rPr>
          <w:lang w:val="en-US"/>
        </w:rPr>
        <w:t>7</w:t>
      </w:r>
      <w:r w:rsidR="00163B28">
        <w:rPr>
          <w:lang w:val="en-US"/>
        </w:rPr>
        <w:t>.6 Reflective Summary</w:t>
      </w:r>
      <w:bookmarkEnd w:id="118"/>
      <w:bookmarkEnd w:id="119"/>
      <w:r w:rsidR="00163B28">
        <w:rPr>
          <w:lang w:val="en-US"/>
        </w:rPr>
        <w:t xml:space="preserve"> </w:t>
      </w:r>
    </w:p>
    <w:p w:rsidR="00163B28" w:rsidRDefault="00163B28" w:rsidP="00337119">
      <w:pPr>
        <w:spacing w:line="360" w:lineRule="auto"/>
        <w:rPr>
          <w:lang w:val="en-US"/>
        </w:rPr>
      </w:pPr>
      <w:r>
        <w:rPr>
          <w:lang w:val="en-US"/>
        </w:rPr>
        <w:t>Through the examination and determination of Mozilla’s utilization of crisis response strategies, it is possible to conclude that both differences and similarities can be found between the seven statements. The differences can be measured in terms of the specific clusters represented: The statements by Mozilla and Mitchel Baker, before the 3</w:t>
      </w:r>
      <w:r w:rsidRPr="002D6327">
        <w:rPr>
          <w:vertAlign w:val="superscript"/>
          <w:lang w:val="en-US"/>
        </w:rPr>
        <w:t>rd</w:t>
      </w:r>
      <w:r>
        <w:rPr>
          <w:lang w:val="en-US"/>
        </w:rPr>
        <w:t xml:space="preserve"> of April, are presumably embedded with elements, which are structured on the basis of transcendence and minimization strategies, belonging to the reduction of offensiveness cluster. In contrast, </w:t>
      </w:r>
      <w:proofErr w:type="spellStart"/>
      <w:r>
        <w:rPr>
          <w:lang w:val="en-US"/>
        </w:rPr>
        <w:t>Eich’s</w:t>
      </w:r>
      <w:proofErr w:type="spellEnd"/>
      <w:r>
        <w:rPr>
          <w:lang w:val="en-US"/>
        </w:rPr>
        <w:t xml:space="preserve"> first statement seems to consist of elements building on the </w:t>
      </w:r>
      <w:r w:rsidR="008C3B34">
        <w:rPr>
          <w:lang w:val="en-US"/>
        </w:rPr>
        <w:t>strategies of corrective action</w:t>
      </w:r>
      <w:r>
        <w:rPr>
          <w:lang w:val="en-US"/>
        </w:rPr>
        <w:t xml:space="preserve"> and mortification, both belonging within the cluster of rebuilding strategies. This rhetorical approach can be considered similar to the approach structuring the last statement of Mozilla and Baker, even though the content is different. </w:t>
      </w:r>
    </w:p>
    <w:p w:rsidR="00163B28" w:rsidRDefault="00163B28" w:rsidP="00337119">
      <w:pPr>
        <w:spacing w:line="360" w:lineRule="auto"/>
        <w:rPr>
          <w:lang w:val="en-US"/>
        </w:rPr>
      </w:pPr>
      <w:r>
        <w:rPr>
          <w:lang w:val="en-US"/>
        </w:rPr>
        <w:t>On the basis of some considerations, it was reasoned that the crisis can be seen as a preventable crisis</w:t>
      </w:r>
      <w:r w:rsidR="00594AF1">
        <w:rPr>
          <w:lang w:val="en-US"/>
        </w:rPr>
        <w:t xml:space="preserve"> (7.2.3)</w:t>
      </w:r>
      <w:r>
        <w:rPr>
          <w:lang w:val="en-US"/>
        </w:rPr>
        <w:t>. Evaluating the occurrences of applied crisis response strategies in the case, through the theoretical framework set (</w:t>
      </w:r>
      <w:r w:rsidR="00AC2470">
        <w:rPr>
          <w:lang w:val="en-US"/>
        </w:rPr>
        <w:t>4.5</w:t>
      </w:r>
      <w:r>
        <w:rPr>
          <w:lang w:val="en-US"/>
        </w:rPr>
        <w:t>), it is possible to assert that inconsistencies are present. It is theorized that rebuilding strategies should be applied in a preventable crisis, as the attribution of responsibility is high. Accordingly, the reduction of offensiveness strategies supposedly applied by Mozilla and Baker may be considered an insufficient crisis handling approach. The use of these strategies may signify a perception of the crisis as being less harmful (low attribution of responsibility). However, it is not possible to assess the exact significance of this observed inconsistency between context and approach, as reduction of offensiveness and rebuild strategies can be used in combination with each other</w:t>
      </w:r>
      <w:r w:rsidR="00594AF1">
        <w:rPr>
          <w:lang w:val="en-US"/>
        </w:rPr>
        <w:t xml:space="preserve"> (4.4)</w:t>
      </w:r>
      <w:r>
        <w:rPr>
          <w:lang w:val="en-US"/>
        </w:rPr>
        <w:t xml:space="preserve">. </w:t>
      </w:r>
    </w:p>
    <w:p w:rsidR="00163B28" w:rsidRDefault="00163B28" w:rsidP="00337119">
      <w:pPr>
        <w:spacing w:line="360" w:lineRule="auto"/>
        <w:rPr>
          <w:lang w:val="en-US"/>
        </w:rPr>
      </w:pPr>
      <w:r>
        <w:rPr>
          <w:lang w:val="en-US"/>
        </w:rPr>
        <w:t xml:space="preserve">Based on the account of the supplementing bolstering strategy, it is apparent that the application of this type of strategy is consistent throughout every statement, affiliated with the same </w:t>
      </w:r>
      <w:r w:rsidR="00594AF1">
        <w:rPr>
          <w:lang w:val="en-US"/>
        </w:rPr>
        <w:t xml:space="preserve">CSR-related </w:t>
      </w:r>
      <w:r>
        <w:rPr>
          <w:lang w:val="en-US"/>
        </w:rPr>
        <w:t>conte</w:t>
      </w:r>
      <w:r w:rsidR="00594AF1">
        <w:rPr>
          <w:lang w:val="en-US"/>
        </w:rPr>
        <w:t>nt</w:t>
      </w:r>
      <w:r>
        <w:rPr>
          <w:lang w:val="en-US"/>
        </w:rPr>
        <w:t xml:space="preserve">. However, the representation of the </w:t>
      </w:r>
      <w:r w:rsidR="001E1314">
        <w:rPr>
          <w:lang w:val="en-US"/>
        </w:rPr>
        <w:t>similar</w:t>
      </w:r>
      <w:r>
        <w:rPr>
          <w:lang w:val="en-US"/>
        </w:rPr>
        <w:t xml:space="preserve"> content can be interpreted as being different – in </w:t>
      </w:r>
      <w:r>
        <w:rPr>
          <w:lang w:val="en-US"/>
        </w:rPr>
        <w:lastRenderedPageBreak/>
        <w:t>the sense of fixed representations (repetition of rehearsed sentences (Appendix 10, line 16-20)) versus unfixed representations (Appendix 7, line 26). To some extent, this has been a consideration in the analysis of applied crisis response strategies, but it is more in line with a discourse analysis, examining the text parameter more thoroughly – from a critical perspective.</w:t>
      </w:r>
    </w:p>
    <w:p w:rsidR="00163B28" w:rsidRDefault="00881AB7" w:rsidP="00337119">
      <w:pPr>
        <w:pStyle w:val="Overskrift1"/>
        <w:pBdr>
          <w:bottom w:val="single" w:sz="4" w:space="1" w:color="auto"/>
        </w:pBdr>
        <w:spacing w:line="360" w:lineRule="auto"/>
        <w:rPr>
          <w:lang w:val="en-US"/>
        </w:rPr>
      </w:pPr>
      <w:bookmarkStart w:id="120" w:name="_Toc420075856"/>
      <w:bookmarkStart w:id="121" w:name="_Toc420761669"/>
      <w:r>
        <w:rPr>
          <w:lang w:val="en-US"/>
        </w:rPr>
        <w:t>8.</w:t>
      </w:r>
      <w:r w:rsidR="00163B28">
        <w:rPr>
          <w:lang w:val="en-US"/>
        </w:rPr>
        <w:t xml:space="preserve"> Critical Discourse Analysis of Mozilla’s Crisis Communication</w:t>
      </w:r>
      <w:bookmarkEnd w:id="120"/>
      <w:bookmarkEnd w:id="121"/>
    </w:p>
    <w:p w:rsidR="00163B28" w:rsidRDefault="00163B28" w:rsidP="00337119">
      <w:pPr>
        <w:spacing w:line="360" w:lineRule="auto"/>
        <w:rPr>
          <w:lang w:val="en-US"/>
        </w:rPr>
      </w:pPr>
      <w:r>
        <w:rPr>
          <w:lang w:val="en-US"/>
        </w:rPr>
        <w:t>From the preliminary analysis of Mozilla’s crisis communication and the analysis of crisis response strate</w:t>
      </w:r>
      <w:r w:rsidR="007D3C18">
        <w:rPr>
          <w:lang w:val="en-US"/>
        </w:rPr>
        <w:t>gies in play, it seems that CSR-</w:t>
      </w:r>
      <w:r>
        <w:rPr>
          <w:lang w:val="en-US"/>
        </w:rPr>
        <w:t>related discourses are quite notable in Mozilla’s crisis communication – with a variety of communicative purposes (transcendence, minimization or corre</w:t>
      </w:r>
      <w:r w:rsidR="00E73417">
        <w:rPr>
          <w:lang w:val="en-US"/>
        </w:rPr>
        <w:t>ctive action</w:t>
      </w:r>
      <w:r w:rsidR="007D3C18">
        <w:rPr>
          <w:lang w:val="en-US"/>
        </w:rPr>
        <w:t>), but primarily</w:t>
      </w:r>
      <w:r>
        <w:rPr>
          <w:lang w:val="en-US"/>
        </w:rPr>
        <w:t xml:space="preserve"> bolstering. In accordance with the study, this chapter will focus on the CSR discourses within the seven statements – so as to determine the significance of this type of discourse to Mozilla’s crisis communication (Model 5). However, other discursive elements may also be examined for relational purposes.</w:t>
      </w:r>
    </w:p>
    <w:p w:rsidR="00163B28" w:rsidRDefault="00163B28" w:rsidP="00337119">
      <w:pPr>
        <w:spacing w:line="360" w:lineRule="auto"/>
        <w:rPr>
          <w:lang w:val="en-US"/>
        </w:rPr>
      </w:pPr>
      <w:r>
        <w:rPr>
          <w:lang w:val="en-US"/>
        </w:rPr>
        <w:t>CSR discourses are prominent within Statement 1</w:t>
      </w:r>
      <w:r w:rsidR="007D3C18">
        <w:rPr>
          <w:lang w:val="en-US"/>
        </w:rPr>
        <w:t xml:space="preserve"> (Appendix 5)</w:t>
      </w:r>
      <w:r>
        <w:rPr>
          <w:lang w:val="en-US"/>
        </w:rPr>
        <w:t xml:space="preserve">, where no indications of the controversy are expressed, but it is still placed within the crisis situation, due to the clear references to </w:t>
      </w:r>
      <w:proofErr w:type="spellStart"/>
      <w:r>
        <w:rPr>
          <w:lang w:val="en-US"/>
        </w:rPr>
        <w:t>Eich</w:t>
      </w:r>
      <w:proofErr w:type="spellEnd"/>
      <w:r>
        <w:rPr>
          <w:lang w:val="en-US"/>
        </w:rPr>
        <w:t xml:space="preserve"> and Baker’s statements at the bottom. Consequently, there is a </w:t>
      </w:r>
      <w:r>
        <w:rPr>
          <w:i/>
          <w:lang w:val="en-US"/>
        </w:rPr>
        <w:t>lexical absence</w:t>
      </w:r>
      <w:r>
        <w:rPr>
          <w:lang w:val="en-US"/>
        </w:rPr>
        <w:t xml:space="preserve"> (See Machin and </w:t>
      </w:r>
      <w:proofErr w:type="spellStart"/>
      <w:r>
        <w:rPr>
          <w:lang w:val="en-US"/>
        </w:rPr>
        <w:t>Mayr</w:t>
      </w:r>
      <w:proofErr w:type="spellEnd"/>
      <w:r>
        <w:rPr>
          <w:lang w:val="en-US"/>
        </w:rPr>
        <w:t xml:space="preserve"> 2012, 38)</w:t>
      </w:r>
      <w:r>
        <w:rPr>
          <w:i/>
          <w:lang w:val="en-US"/>
        </w:rPr>
        <w:t xml:space="preserve"> </w:t>
      </w:r>
      <w:r>
        <w:rPr>
          <w:lang w:val="en-US"/>
        </w:rPr>
        <w:t xml:space="preserve">within Mozilla’s first statement. This lexical absence may indicate that Mozilla does not intend to affiliate itself directly with the issue debated, but distances itself instead by portraying values and beliefs, contradicting the stakeholder accusations (Appendix 9). The account thereof can be considered very descriptive in its style due to the usage of adjectives (sexual, domestic, married, same-sex and so on) to supplement signifiers like ‘partners’, ‘couples’ and ‘orientation’, emphasizing a message of social responsibility. These linguistic choices emphasize the use of the bolstering strategy, as they are value-laden words, supplementing the set arguments with referential significance (reminder). Furthermore, the LGBT individuals are being included in a </w:t>
      </w:r>
      <w:r>
        <w:rPr>
          <w:i/>
          <w:lang w:val="en-US"/>
        </w:rPr>
        <w:t>collectivization</w:t>
      </w:r>
      <w:r>
        <w:rPr>
          <w:lang w:val="en-US"/>
        </w:rPr>
        <w:t xml:space="preserve"> of a specific kind of people (people within a relationship), giving the expression that LGBT individuals are not seen as a different category of people. This can be understood as the main message in the short statement, where ‘Mozilla’ is mentioned four times, supplemented by the pronouns: ‘our’ and ‘we’ (</w:t>
      </w:r>
      <w:r w:rsidR="00F764C1">
        <w:rPr>
          <w:lang w:val="en-US"/>
        </w:rPr>
        <w:t xml:space="preserve">Appendix 5, </w:t>
      </w:r>
      <w:r>
        <w:rPr>
          <w:lang w:val="en-US"/>
        </w:rPr>
        <w:t xml:space="preserve">line 1-8). The use of ‘Mozilla’ expresses that this is the stance of the entire organization, giving it more momentum (authority). </w:t>
      </w:r>
      <w:r w:rsidR="00F764C1">
        <w:rPr>
          <w:lang w:val="en-US"/>
        </w:rPr>
        <w:t>On the other hand, t</w:t>
      </w:r>
      <w:r w:rsidR="00CE46EE">
        <w:rPr>
          <w:lang w:val="en-US"/>
        </w:rPr>
        <w:t xml:space="preserve">he </w:t>
      </w:r>
      <w:r>
        <w:rPr>
          <w:lang w:val="en-US"/>
        </w:rPr>
        <w:t>pronouns</w:t>
      </w:r>
      <w:r w:rsidR="00F764C1">
        <w:rPr>
          <w:lang w:val="en-US"/>
        </w:rPr>
        <w:t xml:space="preserve"> </w:t>
      </w:r>
      <w:r w:rsidR="00CE46EE">
        <w:rPr>
          <w:lang w:val="en-US"/>
        </w:rPr>
        <w:t>include</w:t>
      </w:r>
      <w:r>
        <w:rPr>
          <w:lang w:val="en-US"/>
        </w:rPr>
        <w:t xml:space="preserve"> the organization, the entire community and perhaps the</w:t>
      </w:r>
      <w:r w:rsidR="00F764C1">
        <w:rPr>
          <w:lang w:val="en-US"/>
        </w:rPr>
        <w:t xml:space="preserve"> reader as well – possibly </w:t>
      </w:r>
      <w:r w:rsidR="00CE46EE">
        <w:rPr>
          <w:lang w:val="en-US"/>
        </w:rPr>
        <w:lastRenderedPageBreak/>
        <w:t>with the persuasive purpose of making stakeholders</w:t>
      </w:r>
      <w:r>
        <w:rPr>
          <w:lang w:val="en-US"/>
        </w:rPr>
        <w:t xml:space="preserve"> embrace Mozilla’s ideas and values as a ‘shared’ understanding (e.g. in society). </w:t>
      </w:r>
    </w:p>
    <w:p w:rsidR="00163B28" w:rsidRDefault="00163B28" w:rsidP="00337119">
      <w:pPr>
        <w:spacing w:line="360" w:lineRule="auto"/>
        <w:rPr>
          <w:lang w:val="en-US"/>
        </w:rPr>
      </w:pPr>
      <w:r>
        <w:rPr>
          <w:lang w:val="en-US"/>
        </w:rPr>
        <w:t xml:space="preserve">Within the statement, in connection with the pronouns and ‘Mozilla’, high </w:t>
      </w:r>
      <w:r>
        <w:rPr>
          <w:i/>
          <w:lang w:val="en-US"/>
        </w:rPr>
        <w:t xml:space="preserve">modality </w:t>
      </w:r>
      <w:r>
        <w:rPr>
          <w:lang w:val="en-US"/>
        </w:rPr>
        <w:t xml:space="preserve">is evident. This can be seen in the first sentence, </w:t>
      </w:r>
      <w:r w:rsidRPr="00A87CDD">
        <w:rPr>
          <w:i/>
          <w:lang w:val="en-US"/>
        </w:rPr>
        <w:t>“Mozilla has always been deeply committed to honoring diversity in sexual orientation and beliefs</w:t>
      </w:r>
      <w:r>
        <w:rPr>
          <w:i/>
          <w:lang w:val="en-US"/>
        </w:rPr>
        <w:t xml:space="preserve"> within our staff and community</w:t>
      </w:r>
      <w:r w:rsidRPr="00A87CDD">
        <w:rPr>
          <w:i/>
          <w:lang w:val="en-US"/>
        </w:rPr>
        <w:t>”</w:t>
      </w:r>
      <w:r>
        <w:rPr>
          <w:lang w:val="en-US"/>
        </w:rPr>
        <w:t xml:space="preserve"> (line 1-2), where the high modality verb ‘has’ and adverbial ‘always’ indicate a high degree of certainty behind the proclamation. The factor of certainty is consistent all the way through the statement, and with the sentence, </w:t>
      </w:r>
      <w:r w:rsidRPr="00BA0B8F">
        <w:rPr>
          <w:i/>
          <w:lang w:val="en-US"/>
        </w:rPr>
        <w:t>“Diversity is core to who we are, and we’re united […]”</w:t>
      </w:r>
      <w:r>
        <w:rPr>
          <w:lang w:val="en-US"/>
        </w:rPr>
        <w:t xml:space="preserve"> (line 7), it is indicated that Mozilla intends to depict a socially responsible organizational identity and ideology. The interpretation of the discursive elements in the latter points to Mozilla’s desire to create a different understanding of the situation; </w:t>
      </w:r>
      <w:r w:rsidR="00EC2C1A">
        <w:rPr>
          <w:lang w:val="en-US"/>
        </w:rPr>
        <w:t>Mozilla</w:t>
      </w:r>
      <w:r>
        <w:rPr>
          <w:lang w:val="en-US"/>
        </w:rPr>
        <w:t xml:space="preserve"> want</w:t>
      </w:r>
      <w:r w:rsidR="00EC2C1A">
        <w:rPr>
          <w:lang w:val="en-US"/>
        </w:rPr>
        <w:t>s</w:t>
      </w:r>
      <w:r>
        <w:rPr>
          <w:lang w:val="en-US"/>
        </w:rPr>
        <w:t xml:space="preserve"> to transcend the negative aspects and create a positive context. This is primarily done through the utilization of ‘diversity’.  </w:t>
      </w:r>
    </w:p>
    <w:p w:rsidR="00163B28" w:rsidRDefault="00163B28" w:rsidP="00337119">
      <w:pPr>
        <w:spacing w:line="360" w:lineRule="auto"/>
        <w:rPr>
          <w:lang w:val="en-US"/>
        </w:rPr>
      </w:pPr>
      <w:r>
        <w:rPr>
          <w:lang w:val="en-US"/>
        </w:rPr>
        <w:t xml:space="preserve">Examining the </w:t>
      </w:r>
      <w:r w:rsidRPr="009A6707">
        <w:rPr>
          <w:i/>
          <w:lang w:val="en-US"/>
        </w:rPr>
        <w:t>connotation</w:t>
      </w:r>
      <w:r>
        <w:rPr>
          <w:lang w:val="en-US"/>
        </w:rPr>
        <w:t xml:space="preserve"> (See Machin and </w:t>
      </w:r>
      <w:proofErr w:type="spellStart"/>
      <w:r>
        <w:rPr>
          <w:lang w:val="en-US"/>
        </w:rPr>
        <w:t>Mayr</w:t>
      </w:r>
      <w:proofErr w:type="spellEnd"/>
      <w:r>
        <w:rPr>
          <w:lang w:val="en-US"/>
        </w:rPr>
        <w:t>, 32)</w:t>
      </w:r>
      <w:r w:rsidRPr="009A6707">
        <w:rPr>
          <w:i/>
          <w:lang w:val="en-US"/>
        </w:rPr>
        <w:t xml:space="preserve"> </w:t>
      </w:r>
      <w:r>
        <w:rPr>
          <w:lang w:val="en-US"/>
        </w:rPr>
        <w:t xml:space="preserve">of the word ‘diversity’ signifies ‘difference’, which can be seen as a floating signifier with no specific meaning, but as it is related to ‘sexual orientation’ and ‘beliefs’, it gets a specific meaning. Consequently, commitment to diversity in the discursive context of the statement promotes Mozilla’s commitment to different beliefs. In practice, this would include beliefs different from those of Mozilla, indicating an acceptance towards the ‘opposing’ beliefs of </w:t>
      </w:r>
      <w:proofErr w:type="spellStart"/>
      <w:r>
        <w:rPr>
          <w:lang w:val="en-US"/>
        </w:rPr>
        <w:t>Eich</w:t>
      </w:r>
      <w:proofErr w:type="spellEnd"/>
      <w:r>
        <w:rPr>
          <w:lang w:val="en-US"/>
        </w:rPr>
        <w:t>. An interpretation thereof may derive a few assumptions about Mozilla’s in</w:t>
      </w:r>
      <w:r w:rsidR="00E078E0">
        <w:rPr>
          <w:lang w:val="en-US"/>
        </w:rPr>
        <w:t>tentions behind the statement: i</w:t>
      </w:r>
      <w:r>
        <w:rPr>
          <w:lang w:val="en-US"/>
        </w:rPr>
        <w:t>t can be understood as an attempt to persuade stakeholders into embracing diversity as a valuable asset within the Mozilla community. By framing diversity in sexual orientation in equivalence to diversity in beliefs, the issue within the controversy may be mitigated (minimization) and seen in a more favorable context (transcendence), as restrictions on ‘diversity’ would lead to a degree of discrimination (</w:t>
      </w:r>
      <w:r>
        <w:rPr>
          <w:i/>
          <w:lang w:val="en-US"/>
        </w:rPr>
        <w:t>structural oppositions</w:t>
      </w:r>
      <w:r>
        <w:rPr>
          <w:lang w:val="en-US"/>
        </w:rPr>
        <w:t xml:space="preserve"> – Ibid: 39). These assumptions can be substantiated by the statement’s concluding words; </w:t>
      </w:r>
      <w:r w:rsidRPr="00EF47F9">
        <w:rPr>
          <w:i/>
          <w:lang w:val="en-US"/>
        </w:rPr>
        <w:t>“Diversity is core to who we are, and we’re united in our mission to keep the web open and accessible for everyone</w:t>
      </w:r>
      <w:r>
        <w:rPr>
          <w:i/>
          <w:lang w:val="en-US"/>
        </w:rPr>
        <w:t>”</w:t>
      </w:r>
      <w:r>
        <w:rPr>
          <w:lang w:val="en-US"/>
        </w:rPr>
        <w:t xml:space="preserve"> (line 7-8). Furthermore, this presents the same ideology and identity specified within Mozilla’s Commu</w:t>
      </w:r>
      <w:r w:rsidR="007D3C18">
        <w:rPr>
          <w:lang w:val="en-US"/>
        </w:rPr>
        <w:t>nity Participation Guidelines (7</w:t>
      </w:r>
      <w:r>
        <w:rPr>
          <w:lang w:val="en-US"/>
        </w:rPr>
        <w:t xml:space="preserve">.2.2), which may explain the lexical properties within the discourses revealed and analyzed – in the practice of </w:t>
      </w:r>
      <w:proofErr w:type="spellStart"/>
      <w:r w:rsidRPr="009249F6">
        <w:rPr>
          <w:lang w:val="en-US"/>
        </w:rPr>
        <w:t>interdiscursivity</w:t>
      </w:r>
      <w:proofErr w:type="spellEnd"/>
      <w:r>
        <w:rPr>
          <w:lang w:val="en-US"/>
        </w:rPr>
        <w:t xml:space="preserve">. </w:t>
      </w:r>
    </w:p>
    <w:p w:rsidR="00163B28" w:rsidRPr="00EF47F9" w:rsidRDefault="00163B28" w:rsidP="00337119">
      <w:pPr>
        <w:spacing w:line="360" w:lineRule="auto"/>
        <w:rPr>
          <w:lang w:val="en-US"/>
        </w:rPr>
      </w:pPr>
      <w:r>
        <w:rPr>
          <w:lang w:val="en-US"/>
        </w:rPr>
        <w:t xml:space="preserve">Seen from a somewhat different perspective, the degree of certainty and authority expressed through the discourse, and the observation that the portrayed text completely contradicts stakeholder accusations without directly acknowledging an issue, may point to a denial strategy. It </w:t>
      </w:r>
      <w:r>
        <w:rPr>
          <w:lang w:val="en-US"/>
        </w:rPr>
        <w:lastRenderedPageBreak/>
        <w:t>is likely that it is unintentional, as transcendence and minimization seem prominent, but an indirect denial of the actuality of a crisis seems likely: a contradicting reality is presented as absolute. Theoretically, this points to a major discursive misalignment between Mozilla’s CSR discourse and crisis communication, as a utilization of denial strategies in combination with other strategies derives a communicative inconsistency.</w:t>
      </w:r>
    </w:p>
    <w:p w:rsidR="00163B28" w:rsidRDefault="00163B28" w:rsidP="00337119">
      <w:pPr>
        <w:spacing w:line="360" w:lineRule="auto"/>
        <w:rPr>
          <w:lang w:val="en-US"/>
        </w:rPr>
      </w:pPr>
      <w:r>
        <w:rPr>
          <w:lang w:val="en-US"/>
        </w:rPr>
        <w:t>Many of the lexical observations examined in relation to Statement 1 (e.g. high modality) apply to equivalent CSR discourses found within the statements, meaning that the similar interpretations can be made. This particularly applies to Statements 3 and 4</w:t>
      </w:r>
      <w:r w:rsidR="001C4BA9">
        <w:rPr>
          <w:lang w:val="en-US"/>
        </w:rPr>
        <w:t xml:space="preserve"> (Appendix 8 and 10)</w:t>
      </w:r>
      <w:r>
        <w:rPr>
          <w:lang w:val="en-US"/>
        </w:rPr>
        <w:t xml:space="preserve">, where also the value-laden word ‘inclusiveness’ is portrayed in connection with the question of diversity. It is a word with an open connotation, depending on which words and clauses it is set in relation to. More importantly, the word can derive a </w:t>
      </w:r>
      <w:r w:rsidRPr="00254758">
        <w:rPr>
          <w:lang w:val="en-US"/>
        </w:rPr>
        <w:t>structural opposition</w:t>
      </w:r>
      <w:r w:rsidRPr="0011056D">
        <w:rPr>
          <w:i/>
          <w:lang w:val="en-US"/>
        </w:rPr>
        <w:t xml:space="preserve"> </w:t>
      </w:r>
      <w:r>
        <w:rPr>
          <w:lang w:val="en-US"/>
        </w:rPr>
        <w:t xml:space="preserve">within a discourse, as it is the opposite of the word ‘exclusiveness’, emphasizing the properties embedded within the word ‘inclusiveness’. Additionally, there are direct and literal references to the Community Participation Guidelines, which is the case in Statement 2 </w:t>
      </w:r>
      <w:r w:rsidR="001C4BA9">
        <w:rPr>
          <w:lang w:val="en-US"/>
        </w:rPr>
        <w:t xml:space="preserve">(Appendix 7) </w:t>
      </w:r>
      <w:r>
        <w:rPr>
          <w:lang w:val="en-US"/>
        </w:rPr>
        <w:t xml:space="preserve">as well. </w:t>
      </w:r>
    </w:p>
    <w:p w:rsidR="00163B28" w:rsidRDefault="00163B28" w:rsidP="00337119">
      <w:pPr>
        <w:spacing w:line="360" w:lineRule="auto"/>
        <w:rPr>
          <w:lang w:val="en-US"/>
        </w:rPr>
      </w:pPr>
      <w:r>
        <w:rPr>
          <w:lang w:val="en-US"/>
        </w:rPr>
        <w:t xml:space="preserve">However, Mitchel Baker’s representations of Mozilla’s socially responsible values in Statement 3 are different from Statement 1 on some accounts. The main difference is the linking between Mozilla’s values and commitments, and </w:t>
      </w:r>
      <w:proofErr w:type="spellStart"/>
      <w:r>
        <w:rPr>
          <w:lang w:val="en-US"/>
        </w:rPr>
        <w:t>Eich</w:t>
      </w:r>
      <w:proofErr w:type="spellEnd"/>
      <w:r>
        <w:rPr>
          <w:lang w:val="en-US"/>
        </w:rPr>
        <w:t xml:space="preserve"> and the controvers</w:t>
      </w:r>
      <w:r w:rsidR="008311A5">
        <w:rPr>
          <w:lang w:val="en-US"/>
        </w:rPr>
        <w:t>y itself. An example of this is:</w:t>
      </w:r>
      <w:r>
        <w:rPr>
          <w:lang w:val="en-US"/>
        </w:rPr>
        <w:t xml:space="preserve"> </w:t>
      </w:r>
      <w:r w:rsidRPr="00426B51">
        <w:rPr>
          <w:i/>
          <w:lang w:val="en-US"/>
        </w:rPr>
        <w:t>“Mozilla’s commitment to inclusiveness for our LGBT community, and for all underrepresented groups, will not change.”</w:t>
      </w:r>
      <w:r>
        <w:rPr>
          <w:lang w:val="en-US"/>
        </w:rPr>
        <w:t xml:space="preserve"> (</w:t>
      </w:r>
      <w:r w:rsidR="001C4BA9">
        <w:rPr>
          <w:lang w:val="en-US"/>
        </w:rPr>
        <w:t xml:space="preserve">Appendix 8, </w:t>
      </w:r>
      <w:r>
        <w:rPr>
          <w:lang w:val="en-US"/>
        </w:rPr>
        <w:t xml:space="preserve">line 7)” </w:t>
      </w:r>
      <w:r w:rsidRPr="00426B51">
        <w:rPr>
          <w:i/>
          <w:lang w:val="en-US"/>
        </w:rPr>
        <w:t xml:space="preserve">[…] Brendan shares this commitment </w:t>
      </w:r>
      <w:r>
        <w:rPr>
          <w:i/>
          <w:lang w:val="en-US"/>
        </w:rPr>
        <w:t>as the new Chief Executive Officer</w:t>
      </w:r>
      <w:r w:rsidRPr="00426B51">
        <w:rPr>
          <w:i/>
          <w:lang w:val="en-US"/>
        </w:rPr>
        <w:t>”</w:t>
      </w:r>
      <w:r>
        <w:rPr>
          <w:lang w:val="en-US"/>
        </w:rPr>
        <w:t xml:space="preserve"> (line 12).  A few interpretive observations can be made from the quoted sentences. The first observation is the use of ‘will’, as to express certainty in Baker’s saying, but it also gives a sense of authority, as it depicts a timeless certainty ensured by Mozilla. This expressed certainty and indication of past and future consistency in Mozilla’s commitment both shows a bolstering tactic and a minimization tactic, as it is ‘proclaimed’ that the incident has no damaging effect. The use of the pronoun ‘our’ to address the LGBT community signifies a desire to express unity between Mozilla and LGBT individuals, which is further emphasized by the lexical choice of utilizing ‘community’ instead of ‘individuals’, so as to express an equal position of authority within the Mozilla community. Furthermore, separated with the ‘and’ conjunction, ‘unrepresented groups’ are set in contrast to the LGBT community, which can be seen as an elevation of their independency and authority as well, due to perceived connotations of ‘underrepresented’ (weak, </w:t>
      </w:r>
      <w:r w:rsidRPr="00AB0E7C">
        <w:rPr>
          <w:lang w:val="en-US"/>
        </w:rPr>
        <w:t>vulnerable</w:t>
      </w:r>
      <w:r>
        <w:rPr>
          <w:lang w:val="en-US"/>
        </w:rPr>
        <w:t xml:space="preserve">). This may also be understood as an elevation of Mozilla’s authority and capabilities, as the organization </w:t>
      </w:r>
      <w:r>
        <w:rPr>
          <w:lang w:val="en-US"/>
        </w:rPr>
        <w:lastRenderedPageBreak/>
        <w:t xml:space="preserve">has the </w:t>
      </w:r>
      <w:r>
        <w:rPr>
          <w:i/>
          <w:lang w:val="en-US"/>
        </w:rPr>
        <w:t>power</w:t>
      </w:r>
      <w:r>
        <w:rPr>
          <w:lang w:val="en-US"/>
        </w:rPr>
        <w:t xml:space="preserve"> to support underrepresented groups. Considering its textual context, it stresses the application of the bolstering strategy as well. </w:t>
      </w:r>
    </w:p>
    <w:p w:rsidR="00163B28" w:rsidRDefault="00163B28" w:rsidP="00337119">
      <w:pPr>
        <w:spacing w:line="360" w:lineRule="auto"/>
        <w:rPr>
          <w:lang w:val="en-US"/>
        </w:rPr>
      </w:pPr>
      <w:r>
        <w:rPr>
          <w:lang w:val="en-US"/>
        </w:rPr>
        <w:t xml:space="preserve">Based on observations of expressed authority, the linguistic choice of spelling out the abbreviation ‘CEO’ emphasizes Brendan </w:t>
      </w:r>
      <w:proofErr w:type="spellStart"/>
      <w:r>
        <w:rPr>
          <w:lang w:val="en-US"/>
        </w:rPr>
        <w:t>Eich’s</w:t>
      </w:r>
      <w:proofErr w:type="spellEnd"/>
      <w:r>
        <w:rPr>
          <w:lang w:val="en-US"/>
        </w:rPr>
        <w:t xml:space="preserve"> important position within Mozilla, with certainty about his fulfillment of the strong commitment set by Mozilla. It can be argued that it is a discourse intended to align ‘</w:t>
      </w:r>
      <w:proofErr w:type="spellStart"/>
      <w:r>
        <w:rPr>
          <w:lang w:val="en-US"/>
        </w:rPr>
        <w:t>Eich</w:t>
      </w:r>
      <w:proofErr w:type="spellEnd"/>
      <w:r>
        <w:rPr>
          <w:lang w:val="en-US"/>
        </w:rPr>
        <w:t xml:space="preserve"> as CEO’ with ‘strong socially responsible commitments’. Earlier, it was argued that the content of the latter (line 12) would point to the minimization strategy, as it limits the perceived damage done. On the other hand, considering that the verb ‘shares’ is in present tense, it does not signify an unconditioned actuality, but rather a strong promise, signifying the corrective action strategy instead. It is also essential to point out the use of ‘commitment’, as it presumably connotes the ‘promise of loyal support’, which in relation to value-laden words (inclusiveness), can create a persuasive discourse. The possible intended persuasiveness of the use of ‘commitment’ becomes more salient considering the extensive usage of the word throughout the statement, where it appears more than ten times. This would indicate an </w:t>
      </w:r>
      <w:proofErr w:type="spellStart"/>
      <w:r>
        <w:rPr>
          <w:lang w:val="en-US"/>
        </w:rPr>
        <w:t>o</w:t>
      </w:r>
      <w:r w:rsidRPr="00F833A8">
        <w:rPr>
          <w:i/>
          <w:lang w:val="en-US"/>
        </w:rPr>
        <w:t>verlexicalization</w:t>
      </w:r>
      <w:proofErr w:type="spellEnd"/>
      <w:r>
        <w:rPr>
          <w:lang w:val="en-US"/>
        </w:rPr>
        <w:t xml:space="preserve"> (See Machin and </w:t>
      </w:r>
      <w:proofErr w:type="spellStart"/>
      <w:r>
        <w:rPr>
          <w:lang w:val="en-US"/>
        </w:rPr>
        <w:t>Mayr</w:t>
      </w:r>
      <w:proofErr w:type="spellEnd"/>
      <w:r>
        <w:rPr>
          <w:lang w:val="en-US"/>
        </w:rPr>
        <w:t>, 37) of the word, which signifies an over-persuasion to facilitate an ideological contention. Even though a ‘promise of loyal support’ w</w:t>
      </w:r>
      <w:r w:rsidR="00E73417">
        <w:rPr>
          <w:lang w:val="en-US"/>
        </w:rPr>
        <w:t>ould indicate corrective action</w:t>
      </w:r>
      <w:r>
        <w:rPr>
          <w:lang w:val="en-US"/>
        </w:rPr>
        <w:t>, its relational position probably substantiates minimization instead (line 7).</w:t>
      </w:r>
    </w:p>
    <w:p w:rsidR="00163B28" w:rsidRDefault="00163B28" w:rsidP="00337119">
      <w:pPr>
        <w:spacing w:line="360" w:lineRule="auto"/>
        <w:rPr>
          <w:lang w:val="en-US"/>
        </w:rPr>
      </w:pPr>
      <w:r>
        <w:rPr>
          <w:lang w:val="en-US"/>
        </w:rPr>
        <w:t xml:space="preserve">Discursive structures similar to the one analyzed in the previous section (Mozilla commitment to inclusiveness, which is shared by CEO Brendan </w:t>
      </w:r>
      <w:proofErr w:type="spellStart"/>
      <w:r>
        <w:rPr>
          <w:lang w:val="en-US"/>
        </w:rPr>
        <w:t>Eich</w:t>
      </w:r>
      <w:proofErr w:type="spellEnd"/>
      <w:r>
        <w:rPr>
          <w:lang w:val="en-US"/>
        </w:rPr>
        <w:t xml:space="preserve">) reappears on two accounts within the statement (lines 20 and 29). Baker’s discussion and elaboration of the Community Participation Guidelines can substantiate a seemingly consistent ideological contention embedded in the statement. Baker represents the guidelines by stating that, </w:t>
      </w:r>
      <w:r w:rsidRPr="005104A0">
        <w:rPr>
          <w:i/>
          <w:lang w:val="en-US"/>
        </w:rPr>
        <w:t>“Each of us must be inclusive of all community members […]”</w:t>
      </w:r>
      <w:r>
        <w:rPr>
          <w:lang w:val="en-US"/>
        </w:rPr>
        <w:t xml:space="preserve"> (line 17) </w:t>
      </w:r>
      <w:r w:rsidRPr="005104A0">
        <w:rPr>
          <w:i/>
          <w:lang w:val="en-US"/>
        </w:rPr>
        <w:t>“[…] any exclusionary approach you might practice must be left at the door [of Mozilla]”</w:t>
      </w:r>
      <w:r>
        <w:rPr>
          <w:lang w:val="en-US"/>
        </w:rPr>
        <w:t xml:space="preserve"> (line 19). By applying the modal ‘must’, the first sentence expresses the inclusiveness factor as a necessity for all community members to uphold – signifying the Mozilla community’s power and authority (pronoun: us) towards individual participators. The same use of modal applies to the second sentence, where the same degree of power towards individual participators is expressed, asserting that any activities opposing the inclusive values of Mozilla are not approved of inside the community. With the direct reference to the guidelines, the practice of </w:t>
      </w:r>
      <w:proofErr w:type="spellStart"/>
      <w:r>
        <w:rPr>
          <w:lang w:val="en-US"/>
        </w:rPr>
        <w:t>interdiscursivity</w:t>
      </w:r>
      <w:proofErr w:type="spellEnd"/>
      <w:r>
        <w:rPr>
          <w:lang w:val="en-US"/>
        </w:rPr>
        <w:t xml:space="preserve"> is utilized, which stresses the utilization of the reminder bolstering strategy. </w:t>
      </w:r>
    </w:p>
    <w:p w:rsidR="00163B28" w:rsidRDefault="00163B28" w:rsidP="00337119">
      <w:pPr>
        <w:spacing w:line="360" w:lineRule="auto"/>
        <w:rPr>
          <w:lang w:val="en-US"/>
        </w:rPr>
      </w:pPr>
      <w:r>
        <w:rPr>
          <w:lang w:val="en-US"/>
        </w:rPr>
        <w:lastRenderedPageBreak/>
        <w:t xml:space="preserve">It can be interpreted that an ideology is expressed, setting up arguments for including members of contradicting beliefs, as Mozilla’s community identity is all about inclusiveness and the approval of diversity. Consequently, the main communicative purpose of Statement 3 may be to persuade stakeholders to align with Mozilla’s commitment to inclusiveness with a committed </w:t>
      </w:r>
      <w:proofErr w:type="spellStart"/>
      <w:r>
        <w:rPr>
          <w:lang w:val="en-US"/>
        </w:rPr>
        <w:t>Eich</w:t>
      </w:r>
      <w:proofErr w:type="spellEnd"/>
      <w:r>
        <w:rPr>
          <w:lang w:val="en-US"/>
        </w:rPr>
        <w:t xml:space="preserve"> as a frontrunner (CEO), who fits right in with Mozilla’s identity (ideals). This is conveyed by Baker, who also expresses her set of ideals as the same as Mozilla’s by proclaiming her direct involvement in the development of the guidelines (draftsperson, line 16). In accordance with the presumed ideology expressed, it corresponds with Mozilla’s representation in Statement 1, building on the transcendence strategy. Nevertheless, </w:t>
      </w:r>
      <w:proofErr w:type="spellStart"/>
      <w:r>
        <w:rPr>
          <w:lang w:val="en-US"/>
        </w:rPr>
        <w:t>Eich’s</w:t>
      </w:r>
      <w:proofErr w:type="spellEnd"/>
      <w:r>
        <w:rPr>
          <w:lang w:val="en-US"/>
        </w:rPr>
        <w:t xml:space="preserve"> commitment is included as well, where its discursive representation may be in </w:t>
      </w:r>
      <w:r w:rsidR="00E73417">
        <w:rPr>
          <w:lang w:val="en-US"/>
        </w:rPr>
        <w:t>line with the corrective action</w:t>
      </w:r>
      <w:r>
        <w:rPr>
          <w:lang w:val="en-US"/>
        </w:rPr>
        <w:t xml:space="preserve"> strategy, but from an overall perspective, it does seem to align with the latter. Even though the somewhat same CSR discourse is represented in Baker’s statement, denial does not seem to be expressed, because of the direct acknowledgment of an existing controversy, </w:t>
      </w:r>
      <w:r w:rsidRPr="00D97BB2">
        <w:rPr>
          <w:i/>
          <w:lang w:val="en-US"/>
        </w:rPr>
        <w:t>“Addressing Controversy”</w:t>
      </w:r>
      <w:r>
        <w:rPr>
          <w:lang w:val="en-US"/>
        </w:rPr>
        <w:t xml:space="preserve"> (title).</w:t>
      </w:r>
    </w:p>
    <w:p w:rsidR="00163B28" w:rsidRDefault="00163B28" w:rsidP="00337119">
      <w:pPr>
        <w:spacing w:line="360" w:lineRule="auto"/>
        <w:rPr>
          <w:lang w:val="en-US"/>
        </w:rPr>
      </w:pPr>
      <w:r>
        <w:rPr>
          <w:lang w:val="en-US"/>
        </w:rPr>
        <w:t>In the last part of the statement (line 33-43), Baker directly comments on her personal views on the matter, where she construct</w:t>
      </w:r>
      <w:r w:rsidR="0009565D">
        <w:rPr>
          <w:lang w:val="en-US"/>
        </w:rPr>
        <w:t>s</w:t>
      </w:r>
      <w:r>
        <w:rPr>
          <w:lang w:val="en-US"/>
        </w:rPr>
        <w:t xml:space="preserve"> her stance, discursively, through the use of the word ‘support’ instead of ‘commitment’. This lexical choice is consistent throughout the last paragraph, usually set in relation to ‘equal rights’ instead of inclusiveness – an example being, </w:t>
      </w:r>
      <w:r w:rsidRPr="002656E1">
        <w:rPr>
          <w:i/>
          <w:lang w:val="en-US"/>
        </w:rPr>
        <w:t>“I support equal rights for the LGBT community”</w:t>
      </w:r>
      <w:r>
        <w:rPr>
          <w:lang w:val="en-US"/>
        </w:rPr>
        <w:t xml:space="preserve"> (line 34). The sentence shows high modality (‘I support’) and therefore certainty in terms of Baker’s support of equal rights. Connotations deriving from ‘support’ differ significantly from ‘commitment’, as the former points to the act of caring rather than promising. When it comes to the words ‘equal’ and ‘rights’, it may be argued that these </w:t>
      </w:r>
      <w:r w:rsidRPr="002920B8">
        <w:rPr>
          <w:lang w:val="en-US"/>
        </w:rPr>
        <w:t xml:space="preserve">are </w:t>
      </w:r>
      <w:r>
        <w:rPr>
          <w:lang w:val="en-US"/>
        </w:rPr>
        <w:t xml:space="preserve">more directly affiliated with the issue of the crisis, pointing to </w:t>
      </w:r>
      <w:proofErr w:type="spellStart"/>
      <w:r>
        <w:rPr>
          <w:lang w:val="en-US"/>
        </w:rPr>
        <w:t>Eich’s</w:t>
      </w:r>
      <w:proofErr w:type="spellEnd"/>
      <w:r>
        <w:rPr>
          <w:lang w:val="en-US"/>
        </w:rPr>
        <w:t xml:space="preserve"> opposition of LGBT couples’ equal marital rights. Hence, Baker expresses her personal beliefs, contradicting the presumed beliefs of </w:t>
      </w:r>
      <w:proofErr w:type="spellStart"/>
      <w:r>
        <w:rPr>
          <w:lang w:val="en-US"/>
        </w:rPr>
        <w:t>Eich</w:t>
      </w:r>
      <w:proofErr w:type="spellEnd"/>
      <w:r>
        <w:rPr>
          <w:lang w:val="en-US"/>
        </w:rPr>
        <w:t xml:space="preserve">, which is followed by the sentence, </w:t>
      </w:r>
    </w:p>
    <w:p w:rsidR="00163B28" w:rsidRDefault="00163B28" w:rsidP="00337119">
      <w:pPr>
        <w:spacing w:line="360" w:lineRule="auto"/>
        <w:ind w:left="1304"/>
        <w:rPr>
          <w:lang w:val="en-US"/>
        </w:rPr>
      </w:pPr>
      <w:r w:rsidRPr="00475421">
        <w:rPr>
          <w:i/>
          <w:lang w:val="en-US"/>
        </w:rPr>
        <w:t>“I was surprised in 2012, when his donation in support of Proposition 8 came to light, to learn that Brendan and I aren´t in close alignment here, since I´ve never seen any indication of anything other than inclusiveness in our work together”</w:t>
      </w:r>
      <w:r>
        <w:rPr>
          <w:lang w:val="en-US"/>
        </w:rPr>
        <w:t xml:space="preserve"> (line 36-38).</w:t>
      </w:r>
    </w:p>
    <w:p w:rsidR="00163B28" w:rsidRDefault="00163B28" w:rsidP="00337119">
      <w:pPr>
        <w:spacing w:line="360" w:lineRule="auto"/>
        <w:rPr>
          <w:lang w:val="en-US"/>
        </w:rPr>
      </w:pPr>
      <w:r>
        <w:rPr>
          <w:lang w:val="en-US"/>
        </w:rPr>
        <w:t xml:space="preserve">In the first part of the sentence, Baker indirectly declares her perspective on equal rights as different from </w:t>
      </w:r>
      <w:proofErr w:type="spellStart"/>
      <w:r>
        <w:rPr>
          <w:lang w:val="en-US"/>
        </w:rPr>
        <w:t>Eich’s</w:t>
      </w:r>
      <w:proofErr w:type="spellEnd"/>
      <w:r>
        <w:rPr>
          <w:lang w:val="en-US"/>
        </w:rPr>
        <w:t xml:space="preserve">. The use of ‘surprised’ to express this can both be understood as positive and negative, but considering the textual context it is related to (Baker’s beliefs), it brings forth a somewhat negative connotation. The last part of the sentence, which has been edited for clarity by Baker (line </w:t>
      </w:r>
      <w:r>
        <w:rPr>
          <w:lang w:val="en-US"/>
        </w:rPr>
        <w:lastRenderedPageBreak/>
        <w:t>39), includes the word ‘inclusiveness’ – thereby making a linguistic reference to the pre</w:t>
      </w:r>
      <w:r w:rsidR="00C07111">
        <w:rPr>
          <w:lang w:val="en-US"/>
        </w:rPr>
        <w:t xml:space="preserve">vious sections of the statement. </w:t>
      </w:r>
      <w:r>
        <w:rPr>
          <w:lang w:val="en-US"/>
        </w:rPr>
        <w:t xml:space="preserve">Other than functioning as a reference to previous content, it is also semantically placed in correlation and alignment with beliefs stated by Baker (support of equal rights). This means that a connotation of ‘inclusiveness’, in the textual context in which it occurs, can be perceived as similar to ‘equal rights’, in the sense signified by Baker. As a result, it can be argued that </w:t>
      </w:r>
      <w:proofErr w:type="spellStart"/>
      <w:r>
        <w:rPr>
          <w:lang w:val="en-US"/>
        </w:rPr>
        <w:t>Eich’s</w:t>
      </w:r>
      <w:proofErr w:type="spellEnd"/>
      <w:r>
        <w:rPr>
          <w:lang w:val="en-US"/>
        </w:rPr>
        <w:t xml:space="preserve"> personal beliefs are expressed as being inconsistent with Baker’s ideal of inclusiveness, even though </w:t>
      </w:r>
      <w:proofErr w:type="spellStart"/>
      <w:r>
        <w:rPr>
          <w:lang w:val="en-US"/>
        </w:rPr>
        <w:t>Eich’s</w:t>
      </w:r>
      <w:proofErr w:type="spellEnd"/>
      <w:r>
        <w:rPr>
          <w:lang w:val="en-US"/>
        </w:rPr>
        <w:t xml:space="preserve"> commitment to Mozilla’s ideal of inclusiveness was portrayed earlier by Baker herself (line 12). This would indicate a discursive misalignment, possibly resulting in a conflicting message. </w:t>
      </w:r>
    </w:p>
    <w:p w:rsidR="00163B28" w:rsidRDefault="00163B28" w:rsidP="00337119">
      <w:pPr>
        <w:spacing w:line="360" w:lineRule="auto"/>
        <w:rPr>
          <w:lang w:val="en-US"/>
        </w:rPr>
      </w:pPr>
      <w:r>
        <w:rPr>
          <w:lang w:val="en-US"/>
        </w:rPr>
        <w:t xml:space="preserve">Only focusing on the discourse represented, especially in lines 36-38, Baker uses a clear negation (discursive distancing), stressing that her and </w:t>
      </w:r>
      <w:proofErr w:type="spellStart"/>
      <w:r>
        <w:rPr>
          <w:lang w:val="en-US"/>
        </w:rPr>
        <w:t>Eich</w:t>
      </w:r>
      <w:proofErr w:type="spellEnd"/>
      <w:r>
        <w:rPr>
          <w:lang w:val="en-US"/>
        </w:rPr>
        <w:t xml:space="preserve"> are not aligned in their beliefs. Moreover, it is also a </w:t>
      </w:r>
      <w:r>
        <w:rPr>
          <w:i/>
          <w:lang w:val="en-US"/>
        </w:rPr>
        <w:t>presupposition</w:t>
      </w:r>
      <w:r>
        <w:rPr>
          <w:lang w:val="en-US"/>
        </w:rPr>
        <w:t xml:space="preserve"> (See Machin and </w:t>
      </w:r>
      <w:proofErr w:type="spellStart"/>
      <w:r>
        <w:rPr>
          <w:lang w:val="en-US"/>
        </w:rPr>
        <w:t>Mayr</w:t>
      </w:r>
      <w:proofErr w:type="spellEnd"/>
      <w:r>
        <w:rPr>
          <w:lang w:val="en-US"/>
        </w:rPr>
        <w:t xml:space="preserve">, 153), as an understanding of the specific beliefs attached to Proposition 8 is presupposed – thereby also declaring its relevance in the crisis. Generally, Baker strongly positions herself in alignment with more radical views on equal rights (line 35) than Mozilla and especially </w:t>
      </w:r>
      <w:proofErr w:type="spellStart"/>
      <w:r>
        <w:rPr>
          <w:lang w:val="en-US"/>
        </w:rPr>
        <w:t>Eich</w:t>
      </w:r>
      <w:proofErr w:type="spellEnd"/>
      <w:r>
        <w:rPr>
          <w:lang w:val="en-US"/>
        </w:rPr>
        <w:t xml:space="preserve"> (to some extent bolstering of herself) – substantiated in the sentence, </w:t>
      </w:r>
      <w:r w:rsidRPr="006C6371">
        <w:rPr>
          <w:i/>
          <w:lang w:val="en-US"/>
        </w:rPr>
        <w:t>“If I weren´t doing this, I´d probably be spending a good chunk of my life focused more directly on equality issues”</w:t>
      </w:r>
      <w:r>
        <w:rPr>
          <w:lang w:val="en-US"/>
        </w:rPr>
        <w:t xml:space="preserve"> (line 42). The latter can indicate that she sees Mozilla’s commitment as less directed on equality issues than her own, meaning that she might indirectly distance herself from Mozilla’s decision to appoint </w:t>
      </w:r>
      <w:proofErr w:type="spellStart"/>
      <w:r>
        <w:rPr>
          <w:lang w:val="en-US"/>
        </w:rPr>
        <w:t>Eich</w:t>
      </w:r>
      <w:proofErr w:type="spellEnd"/>
      <w:r>
        <w:rPr>
          <w:lang w:val="en-US"/>
        </w:rPr>
        <w:t xml:space="preserve"> as CEO. Arguably, considering the discursive elements and textual relations presented, Baker might to some extent deny her direct involvement in the situation.  </w:t>
      </w:r>
    </w:p>
    <w:p w:rsidR="00163B28" w:rsidRPr="00ED37A1" w:rsidRDefault="00163B28" w:rsidP="00337119">
      <w:pPr>
        <w:spacing w:line="360" w:lineRule="auto"/>
        <w:rPr>
          <w:lang w:val="en-US"/>
        </w:rPr>
      </w:pPr>
      <w:r>
        <w:rPr>
          <w:lang w:val="en-US"/>
        </w:rPr>
        <w:t xml:space="preserve">Nevertheless, the linguistic composition of the content in the last paragraph of the statement signifies a different discursive expression (style) than within the preceding content – pointing to a discursive misalignment. This may point to conflicting identities and ideologies within Statement 3, though written by the same person. It can therefore be reasoned from the text that Mitchel Baker represents Mozilla as well as herself, where the ideologies and identities of each do not align completely. To place this into perspective, the concept of </w:t>
      </w:r>
      <w:r>
        <w:rPr>
          <w:i/>
          <w:lang w:val="en-US"/>
        </w:rPr>
        <w:t>hegemonic practice</w:t>
      </w:r>
      <w:r>
        <w:rPr>
          <w:lang w:val="en-US"/>
        </w:rPr>
        <w:t xml:space="preserve"> may be included, because the two conflicting ideologies and identities, seemingly presented through the discourse, can be understood as a hegemonic struggle. It has been interpreted that opposing understandings of ‘reality’</w:t>
      </w:r>
      <w:r w:rsidR="00585B3E">
        <w:rPr>
          <w:lang w:val="en-US"/>
        </w:rPr>
        <w:t xml:space="preserve"> (5.2.1)</w:t>
      </w:r>
      <w:r>
        <w:rPr>
          <w:lang w:val="en-US"/>
        </w:rPr>
        <w:t xml:space="preserve"> – more specifically opposing understandings of equal rights and inclusiveness – are indicated through the discourse. On the one hand, Mitchel Baker presents a socially constructed </w:t>
      </w:r>
      <w:r>
        <w:rPr>
          <w:lang w:val="en-US"/>
        </w:rPr>
        <w:lastRenderedPageBreak/>
        <w:t>discourse, determined by Mozilla’s established identity and social stance (</w:t>
      </w:r>
      <w:r w:rsidR="00C07111">
        <w:rPr>
          <w:lang w:val="en-US"/>
        </w:rPr>
        <w:t>7.2.2</w:t>
      </w:r>
      <w:r>
        <w:rPr>
          <w:lang w:val="en-US"/>
        </w:rPr>
        <w:t xml:space="preserve">), signifying complete acceptance towards </w:t>
      </w:r>
      <w:proofErr w:type="spellStart"/>
      <w:r>
        <w:rPr>
          <w:lang w:val="en-US"/>
        </w:rPr>
        <w:t>Eich’s</w:t>
      </w:r>
      <w:proofErr w:type="spellEnd"/>
      <w:r>
        <w:rPr>
          <w:lang w:val="en-US"/>
        </w:rPr>
        <w:t xml:space="preserve"> beliefs. On the other hand, she presents a socially constructed discourse, determined by her own personal views and identity, signifying a doubtful attitude towards </w:t>
      </w:r>
      <w:proofErr w:type="spellStart"/>
      <w:r>
        <w:rPr>
          <w:lang w:val="en-US"/>
        </w:rPr>
        <w:t>Eich’s</w:t>
      </w:r>
      <w:proofErr w:type="spellEnd"/>
      <w:r>
        <w:rPr>
          <w:lang w:val="en-US"/>
        </w:rPr>
        <w:t xml:space="preserve"> beliefs. With Baker as Executive Chairwoman of Mozilla, the </w:t>
      </w:r>
      <w:r w:rsidR="00C07111">
        <w:rPr>
          <w:lang w:val="en-US"/>
        </w:rPr>
        <w:t>likely</w:t>
      </w:r>
      <w:r>
        <w:rPr>
          <w:lang w:val="en-US"/>
        </w:rPr>
        <w:t xml:space="preserve"> ideological struggle displayed (conflicting discourses) may result in an ambiguous message.    </w:t>
      </w:r>
    </w:p>
    <w:p w:rsidR="00585B3E" w:rsidRDefault="00163B28" w:rsidP="00337119">
      <w:pPr>
        <w:spacing w:line="360" w:lineRule="auto"/>
        <w:rPr>
          <w:lang w:val="en-US"/>
        </w:rPr>
      </w:pPr>
      <w:r>
        <w:rPr>
          <w:lang w:val="en-US"/>
        </w:rPr>
        <w:t xml:space="preserve">The content and linguistic composition of Brendan </w:t>
      </w:r>
      <w:proofErr w:type="spellStart"/>
      <w:r>
        <w:rPr>
          <w:lang w:val="en-US"/>
        </w:rPr>
        <w:t>Eich’s</w:t>
      </w:r>
      <w:proofErr w:type="spellEnd"/>
      <w:r>
        <w:rPr>
          <w:lang w:val="en-US"/>
        </w:rPr>
        <w:t xml:space="preserve"> statement (Statement 2</w:t>
      </w:r>
      <w:r w:rsidR="00585B3E">
        <w:rPr>
          <w:lang w:val="en-US"/>
        </w:rPr>
        <w:t xml:space="preserve"> – Appendix 7</w:t>
      </w:r>
      <w:r>
        <w:rPr>
          <w:lang w:val="en-US"/>
        </w:rPr>
        <w:t xml:space="preserve">) shows obvious similarities with Statement 1 and 3 – especially in terms of CSR discourse, where Mozilla’s ideals (institutional context) are followed. Except for the emphasis on the Community Participation Guidelines and affiliations, the most prominent indicator, linguistically, is the ongoing use of ‘commitment’: it is repeated seven times throughout the statement to </w:t>
      </w:r>
      <w:r w:rsidR="004820B0">
        <w:rPr>
          <w:lang w:val="en-US"/>
        </w:rPr>
        <w:t>comment on CSR related concerns:</w:t>
      </w:r>
      <w:r>
        <w:rPr>
          <w:lang w:val="en-US"/>
        </w:rPr>
        <w:t xml:space="preserve"> </w:t>
      </w:r>
      <w:r w:rsidRPr="003569CF">
        <w:rPr>
          <w:i/>
          <w:lang w:val="en-US"/>
        </w:rPr>
        <w:t>“I am committed to ensuring that Mozilla is, and will remain, a place that includes and supports […]”</w:t>
      </w:r>
      <w:r>
        <w:rPr>
          <w:lang w:val="en-US"/>
        </w:rPr>
        <w:t xml:space="preserve"> (</w:t>
      </w:r>
      <w:r w:rsidR="00CD36DD">
        <w:rPr>
          <w:lang w:val="en-US"/>
        </w:rPr>
        <w:t xml:space="preserve">Appendix 7, </w:t>
      </w:r>
      <w:r>
        <w:rPr>
          <w:lang w:val="en-US"/>
        </w:rPr>
        <w:t xml:space="preserve">line 27), meaning </w:t>
      </w:r>
      <w:proofErr w:type="spellStart"/>
      <w:r>
        <w:rPr>
          <w:lang w:val="en-US"/>
        </w:rPr>
        <w:t>overlexicalization</w:t>
      </w:r>
      <w:proofErr w:type="spellEnd"/>
      <w:r>
        <w:rPr>
          <w:lang w:val="en-US"/>
        </w:rPr>
        <w:t xml:space="preserve">. This can indicate an intention to persuade with the use of bolstering and the corrective action strategy, as he primarily represents Mozilla’s social responsibility as an ongoing process (‘is’ and ‘will remain’) and not an unconditional actuality. Moreover, the arguments of commitment are accompanied by an extensive use of personal pronouns, both subject (‘I’) and possessive (‘my’), generally expressing his own commitment to Mozilla’s ideals of inclusiveness and so on (line 27) – instead of portraying Mozilla’s commitment to the same. Consequently, it can be argued that </w:t>
      </w:r>
      <w:proofErr w:type="spellStart"/>
      <w:r>
        <w:rPr>
          <w:lang w:val="en-US"/>
        </w:rPr>
        <w:t>Eich’s</w:t>
      </w:r>
      <w:proofErr w:type="spellEnd"/>
      <w:r>
        <w:rPr>
          <w:lang w:val="en-US"/>
        </w:rPr>
        <w:t xml:space="preserve"> main discursive approach is to persuade stakeholders of his commitment, but also by emphasizing Mozilla’s ‘actual’ values and ideals, which </w:t>
      </w:r>
      <w:proofErr w:type="spellStart"/>
      <w:r>
        <w:rPr>
          <w:lang w:val="en-US"/>
        </w:rPr>
        <w:t>Eich</w:t>
      </w:r>
      <w:proofErr w:type="spellEnd"/>
      <w:r>
        <w:rPr>
          <w:lang w:val="en-US"/>
        </w:rPr>
        <w:t xml:space="preserve"> is a part of as well, by the use of ‘our’: </w:t>
      </w:r>
      <w:r w:rsidRPr="007C55F7">
        <w:rPr>
          <w:i/>
          <w:lang w:val="en-US"/>
        </w:rPr>
        <w:t>“My ongoing commitment to our Community Participation Guidelines […]”</w:t>
      </w:r>
      <w:r>
        <w:rPr>
          <w:lang w:val="en-US"/>
        </w:rPr>
        <w:t xml:space="preserve"> (line 11). The type of discourse portrayed in the latter is expressed with high modality (‘I can’, ‘I am’) and a specific set of modals, </w:t>
      </w:r>
      <w:r w:rsidRPr="00945719">
        <w:rPr>
          <w:i/>
          <w:lang w:val="en-US"/>
        </w:rPr>
        <w:t xml:space="preserve">“You will see exemplary work from me […]” </w:t>
      </w:r>
      <w:r>
        <w:rPr>
          <w:lang w:val="en-US"/>
        </w:rPr>
        <w:t xml:space="preserve">(line 29). </w:t>
      </w:r>
    </w:p>
    <w:p w:rsidR="00163B28" w:rsidRDefault="00163B28" w:rsidP="00337119">
      <w:pPr>
        <w:spacing w:line="360" w:lineRule="auto"/>
        <w:rPr>
          <w:lang w:val="en-US"/>
        </w:rPr>
      </w:pPr>
      <w:r>
        <w:rPr>
          <w:lang w:val="en-US"/>
        </w:rPr>
        <w:t xml:space="preserve">The use of ‘you will’ on more than one occasion (line 31, 34), together with high modality elements, express both certainties in the discourse and a high degree of authority – also supported by </w:t>
      </w:r>
      <w:proofErr w:type="spellStart"/>
      <w:r>
        <w:rPr>
          <w:lang w:val="en-US"/>
        </w:rPr>
        <w:t>Eich’s</w:t>
      </w:r>
      <w:proofErr w:type="spellEnd"/>
      <w:r>
        <w:rPr>
          <w:lang w:val="en-US"/>
        </w:rPr>
        <w:t xml:space="preserve"> self-representation as CEO, </w:t>
      </w:r>
      <w:r w:rsidRPr="00DD7E8D">
        <w:rPr>
          <w:i/>
          <w:lang w:val="en-US"/>
        </w:rPr>
        <w:t>“I want to be held accountable for what I do as CEO”</w:t>
      </w:r>
      <w:r>
        <w:rPr>
          <w:lang w:val="en-US"/>
        </w:rPr>
        <w:t xml:space="preserve"> (line 28).</w:t>
      </w:r>
    </w:p>
    <w:p w:rsidR="00163B28" w:rsidRDefault="00163B28" w:rsidP="00337119">
      <w:pPr>
        <w:spacing w:line="360" w:lineRule="auto"/>
        <w:rPr>
          <w:lang w:val="en-US"/>
        </w:rPr>
      </w:pPr>
      <w:r>
        <w:rPr>
          <w:lang w:val="en-US"/>
        </w:rPr>
        <w:t xml:space="preserve">In the first paragraph of Statement 2, it can be argued that </w:t>
      </w:r>
      <w:proofErr w:type="spellStart"/>
      <w:r>
        <w:rPr>
          <w:lang w:val="en-US"/>
        </w:rPr>
        <w:t>Eich</w:t>
      </w:r>
      <w:proofErr w:type="spellEnd"/>
      <w:r>
        <w:rPr>
          <w:lang w:val="en-US"/>
        </w:rPr>
        <w:t xml:space="preserve"> highlights the sentence, </w:t>
      </w:r>
      <w:r w:rsidRPr="004E4CBC">
        <w:rPr>
          <w:i/>
          <w:lang w:val="en-US"/>
        </w:rPr>
        <w:t>“</w:t>
      </w:r>
      <w:r w:rsidR="00CD36DD">
        <w:rPr>
          <w:i/>
          <w:lang w:val="en-US"/>
        </w:rPr>
        <w:t>I know there are concerns about m</w:t>
      </w:r>
      <w:r w:rsidRPr="004E4CBC">
        <w:rPr>
          <w:i/>
          <w:lang w:val="en-US"/>
        </w:rPr>
        <w:t>y commitment to fostering equality and welcome for all LGBT individuals at Mozilla.”</w:t>
      </w:r>
      <w:r>
        <w:rPr>
          <w:lang w:val="en-US"/>
        </w:rPr>
        <w:t xml:space="preserve"> (line 2-3) by setting it up as a stakeholder concern, followed by promising a fulfilment of his commitment to fostering equality (line 4). As a result, with the positive </w:t>
      </w:r>
      <w:r>
        <w:rPr>
          <w:lang w:val="en-US"/>
        </w:rPr>
        <w:lastRenderedPageBreak/>
        <w:t xml:space="preserve">connotations of ‘fostering equality’ (nurture), it is indirectly expressed how he is supporting equality for LGBT individuals at Mozilla, possibly with the intention to mitigate the seriousness of the concern. It can therefore be argued that </w:t>
      </w:r>
      <w:proofErr w:type="spellStart"/>
      <w:r>
        <w:rPr>
          <w:lang w:val="en-US"/>
        </w:rPr>
        <w:t>Eich</w:t>
      </w:r>
      <w:proofErr w:type="spellEnd"/>
      <w:r>
        <w:rPr>
          <w:lang w:val="en-US"/>
        </w:rPr>
        <w:t xml:space="preserve"> makes use of bolstering to stress his ‘actual’ commitment, with the potential purpose of supplementing a minimization strategy – </w:t>
      </w:r>
      <w:r w:rsidR="00E73417">
        <w:rPr>
          <w:lang w:val="en-US"/>
        </w:rPr>
        <w:t>followed by a corrective action</w:t>
      </w:r>
      <w:r>
        <w:rPr>
          <w:lang w:val="en-US"/>
        </w:rPr>
        <w:t xml:space="preserve"> strategy to discursively set up a promise of </w:t>
      </w:r>
      <w:r w:rsidR="00E73417">
        <w:rPr>
          <w:lang w:val="en-US"/>
        </w:rPr>
        <w:t>fulfillment</w:t>
      </w:r>
      <w:r>
        <w:rPr>
          <w:lang w:val="en-US"/>
        </w:rPr>
        <w:t xml:space="preserve"> of the commitment asserted.</w:t>
      </w:r>
    </w:p>
    <w:p w:rsidR="006E46BA" w:rsidRDefault="00163B28" w:rsidP="00337119">
      <w:pPr>
        <w:spacing w:line="360" w:lineRule="auto"/>
        <w:rPr>
          <w:lang w:val="en-US"/>
        </w:rPr>
      </w:pPr>
      <w:r>
        <w:rPr>
          <w:lang w:val="en-US"/>
        </w:rPr>
        <w:t>One observation may be of significance in the portrayed sentence as well, being the linguistic choice of representing LGBT’s as merely ‘individuals’ instead of  ‘our LGBT community’, as it was the case in Baker’s statement (</w:t>
      </w:r>
      <w:r w:rsidR="00CA1C8F">
        <w:rPr>
          <w:lang w:val="en-US"/>
        </w:rPr>
        <w:t>Appendix 8</w:t>
      </w:r>
      <w:r>
        <w:rPr>
          <w:lang w:val="en-US"/>
        </w:rPr>
        <w:t xml:space="preserve">, line 7). The illustrated difference in representation does not necessarily provoke any negative connotation, but with its textual relations, it may express a current limit on the degree in which LGBT individuals are perceived as integral and equal members of the Mozilla community. This assumption can be substantiated in the following paragraph, where </w:t>
      </w:r>
      <w:proofErr w:type="spellStart"/>
      <w:r>
        <w:rPr>
          <w:lang w:val="en-US"/>
        </w:rPr>
        <w:t>Eich</w:t>
      </w:r>
      <w:proofErr w:type="spellEnd"/>
      <w:r>
        <w:rPr>
          <w:lang w:val="en-US"/>
        </w:rPr>
        <w:t xml:space="preserve"> states that, “</w:t>
      </w:r>
      <w:r w:rsidRPr="008758C4">
        <w:rPr>
          <w:i/>
          <w:lang w:val="en-US"/>
        </w:rPr>
        <w:t xml:space="preserve">A number of </w:t>
      </w:r>
      <w:proofErr w:type="spellStart"/>
      <w:r w:rsidRPr="008758C4">
        <w:rPr>
          <w:i/>
          <w:lang w:val="en-US"/>
        </w:rPr>
        <w:t>Mozillians</w:t>
      </w:r>
      <w:proofErr w:type="spellEnd"/>
      <w:r w:rsidRPr="008758C4">
        <w:rPr>
          <w:i/>
          <w:lang w:val="en-US"/>
        </w:rPr>
        <w:t>, including LGBT individuals and allies, have stepped forward to offer guidance […]”</w:t>
      </w:r>
      <w:r>
        <w:rPr>
          <w:lang w:val="en-US"/>
        </w:rPr>
        <w:t xml:space="preserve"> (</w:t>
      </w:r>
      <w:r w:rsidR="006E46BA">
        <w:rPr>
          <w:lang w:val="en-US"/>
        </w:rPr>
        <w:t xml:space="preserve">Appendix 7, </w:t>
      </w:r>
      <w:r>
        <w:rPr>
          <w:lang w:val="en-US"/>
        </w:rPr>
        <w:t xml:space="preserve">line 5). Even though the LGBT individuals are collectivized as </w:t>
      </w:r>
      <w:proofErr w:type="spellStart"/>
      <w:r>
        <w:rPr>
          <w:lang w:val="en-US"/>
        </w:rPr>
        <w:t>Mozillians</w:t>
      </w:r>
      <w:proofErr w:type="spellEnd"/>
      <w:r>
        <w:rPr>
          <w:lang w:val="en-US"/>
        </w:rPr>
        <w:t xml:space="preserve">, they might still to some extent be seen as ‘outsiders’ due to the linguistic attachment ‘and allies’, occurring again later (line 10). </w:t>
      </w:r>
      <w:proofErr w:type="spellStart"/>
      <w:r>
        <w:rPr>
          <w:lang w:val="en-US"/>
        </w:rPr>
        <w:t>Eich’s</w:t>
      </w:r>
      <w:proofErr w:type="spellEnd"/>
      <w:r>
        <w:rPr>
          <w:lang w:val="en-US"/>
        </w:rPr>
        <w:t xml:space="preserve"> intentions behind the word ‘allies’ can only be speculated, but the word itself can have varies connotations (supporters, associates, partners), which generally points to ‘common ground’ between two or more individuals/collectives. An interpretation of the discursive properties thereof may therefore be that all </w:t>
      </w:r>
      <w:proofErr w:type="spellStart"/>
      <w:r>
        <w:rPr>
          <w:lang w:val="en-US"/>
        </w:rPr>
        <w:t>Mozillians</w:t>
      </w:r>
      <w:proofErr w:type="spellEnd"/>
      <w:r>
        <w:rPr>
          <w:lang w:val="en-US"/>
        </w:rPr>
        <w:t xml:space="preserve"> do not stand as ‘allies’ with LGBT individuals. This assumption is difficult to verify, but it does align with </w:t>
      </w:r>
      <w:proofErr w:type="spellStart"/>
      <w:r>
        <w:rPr>
          <w:lang w:val="en-US"/>
        </w:rPr>
        <w:t>Eich’s</w:t>
      </w:r>
      <w:proofErr w:type="spellEnd"/>
      <w:r>
        <w:rPr>
          <w:lang w:val="en-US"/>
        </w:rPr>
        <w:t xml:space="preserve"> presumed attitude towards LGBT individuals, where he does not stand as an ally. Nevertheless, it can be seen as a discourse in conflict with the discourses presented by Mitchell Baker and Mozilla, as it to some extent portrays Mozilla as a place where equality and welcome is not yet an absolute actuality</w:t>
      </w:r>
      <w:r w:rsidR="006E46BA">
        <w:rPr>
          <w:lang w:val="en-US"/>
        </w:rPr>
        <w:t>, also expressed in the sentence,</w:t>
      </w:r>
      <w:r>
        <w:rPr>
          <w:lang w:val="en-US"/>
        </w:rPr>
        <w:t xml:space="preserve"> </w:t>
      </w:r>
      <w:r w:rsidRPr="00D164F9">
        <w:rPr>
          <w:i/>
          <w:lang w:val="en-US"/>
        </w:rPr>
        <w:t xml:space="preserve">“[…] your ongoing help </w:t>
      </w:r>
      <w:r w:rsidRPr="00283CDF">
        <w:rPr>
          <w:b/>
          <w:i/>
          <w:lang w:val="en-US"/>
        </w:rPr>
        <w:t>to make</w:t>
      </w:r>
      <w:r w:rsidRPr="00D164F9">
        <w:rPr>
          <w:i/>
          <w:lang w:val="en-US"/>
        </w:rPr>
        <w:t xml:space="preserve"> Mozilla a place of equality and welcome for all”</w:t>
      </w:r>
      <w:r>
        <w:rPr>
          <w:lang w:val="en-US"/>
        </w:rPr>
        <w:t xml:space="preserve"> (line 6)</w:t>
      </w:r>
      <w:r w:rsidR="006E46BA">
        <w:rPr>
          <w:lang w:val="en-US"/>
        </w:rPr>
        <w:t>.</w:t>
      </w:r>
      <w:r>
        <w:rPr>
          <w:lang w:val="en-US"/>
        </w:rPr>
        <w:t xml:space="preserve"> </w:t>
      </w:r>
    </w:p>
    <w:p w:rsidR="00163B28" w:rsidRDefault="00163B28" w:rsidP="00337119">
      <w:pPr>
        <w:spacing w:line="360" w:lineRule="auto"/>
        <w:rPr>
          <w:lang w:val="en-US"/>
        </w:rPr>
      </w:pPr>
      <w:r>
        <w:rPr>
          <w:lang w:val="en-US"/>
        </w:rPr>
        <w:t xml:space="preserve">Within the statement, </w:t>
      </w:r>
      <w:proofErr w:type="spellStart"/>
      <w:r>
        <w:rPr>
          <w:lang w:val="en-US"/>
        </w:rPr>
        <w:t>Eich</w:t>
      </w:r>
      <w:proofErr w:type="spellEnd"/>
      <w:r>
        <w:rPr>
          <w:lang w:val="en-US"/>
        </w:rPr>
        <w:t xml:space="preserve"> does express that something has made stakeholders doubt him, </w:t>
      </w:r>
      <w:r w:rsidRPr="00F1737F">
        <w:rPr>
          <w:i/>
          <w:lang w:val="en-US"/>
        </w:rPr>
        <w:t xml:space="preserve">“I know someone will be skeptical about this [his commitments]” </w:t>
      </w:r>
      <w:r>
        <w:rPr>
          <w:lang w:val="en-US"/>
        </w:rPr>
        <w:t xml:space="preserve">(line 17), where he also declares his sorrow for having caused pain (line 18), indicating a use of the mortification strategy. However, he does not at any point address the issue itself (lexical absence), signifying that he does not wish to comment on his support of Proposition 8. Furthermore, his expression of sorrow merely relates to having caused pain, meaning that he does not express mortification for his action. This may also </w:t>
      </w:r>
      <w:r>
        <w:rPr>
          <w:lang w:val="en-US"/>
        </w:rPr>
        <w:lastRenderedPageBreak/>
        <w:t xml:space="preserve">prove an example of </w:t>
      </w:r>
      <w:proofErr w:type="spellStart"/>
      <w:r>
        <w:rPr>
          <w:lang w:val="en-US"/>
        </w:rPr>
        <w:t>Eich’s</w:t>
      </w:r>
      <w:proofErr w:type="spellEnd"/>
      <w:r>
        <w:rPr>
          <w:lang w:val="en-US"/>
        </w:rPr>
        <w:t xml:space="preserve"> beliefs being revealed through the discourse, which can have a contradicting factor concerning the CSR expressed – considering that </w:t>
      </w:r>
      <w:proofErr w:type="spellStart"/>
      <w:r>
        <w:rPr>
          <w:lang w:val="en-US"/>
        </w:rPr>
        <w:t>Eich</w:t>
      </w:r>
      <w:proofErr w:type="spellEnd"/>
      <w:r>
        <w:rPr>
          <w:lang w:val="en-US"/>
        </w:rPr>
        <w:t xml:space="preserve"> is a part of the leadership of Mozilla. Whether it derives a discursive conflict or not will probably depend on, whether stakeholders expect the same standards from him as of Mozilla. Reviewed stakeholder reactions may prove it so (Appendix 4, 12). </w:t>
      </w:r>
      <w:proofErr w:type="spellStart"/>
      <w:r>
        <w:rPr>
          <w:lang w:val="en-US"/>
        </w:rPr>
        <w:t>Eich</w:t>
      </w:r>
      <w:proofErr w:type="spellEnd"/>
      <w:r>
        <w:rPr>
          <w:lang w:val="en-US"/>
        </w:rPr>
        <w:t xml:space="preserve"> also sets up a discourse to promote (bolstering) and defend himself by asserting, </w:t>
      </w:r>
      <w:r w:rsidRPr="009D1AD5">
        <w:rPr>
          <w:i/>
          <w:lang w:val="en-US"/>
        </w:rPr>
        <w:t xml:space="preserve">“Many </w:t>
      </w:r>
      <w:proofErr w:type="spellStart"/>
      <w:r w:rsidRPr="009D1AD5">
        <w:rPr>
          <w:i/>
          <w:lang w:val="en-US"/>
        </w:rPr>
        <w:t>Mozillians</w:t>
      </w:r>
      <w:proofErr w:type="spellEnd"/>
      <w:r w:rsidRPr="009D1AD5">
        <w:rPr>
          <w:i/>
          <w:lang w:val="en-US"/>
        </w:rPr>
        <w:t xml:space="preserve"> and others know me as a colleague or a friend. They know that I take people as they come […]”</w:t>
      </w:r>
      <w:r>
        <w:rPr>
          <w:lang w:val="en-US"/>
        </w:rPr>
        <w:t xml:space="preserve"> (</w:t>
      </w:r>
      <w:r w:rsidR="00AF446E">
        <w:rPr>
          <w:lang w:val="en-US"/>
        </w:rPr>
        <w:t xml:space="preserve">Appendix 7, </w:t>
      </w:r>
      <w:r>
        <w:rPr>
          <w:lang w:val="en-US"/>
        </w:rPr>
        <w:t xml:space="preserve">line 22). First of all, this may be understood as an attempt to redirect attention from the issue and affiliated concerns about his person (as to align him more closely with Mozilla’s ideals through a transcendence strategy). The use of ‘many’ and ‘others’ to represent his argument, signifies the use of </w:t>
      </w:r>
      <w:r>
        <w:rPr>
          <w:i/>
          <w:lang w:val="en-US"/>
        </w:rPr>
        <w:t>hedging</w:t>
      </w:r>
      <w:r>
        <w:rPr>
          <w:lang w:val="en-US"/>
        </w:rPr>
        <w:t xml:space="preserve"> (See Machin and </w:t>
      </w:r>
      <w:proofErr w:type="spellStart"/>
      <w:r>
        <w:rPr>
          <w:lang w:val="en-US"/>
        </w:rPr>
        <w:t>Mayr</w:t>
      </w:r>
      <w:proofErr w:type="spellEnd"/>
      <w:r>
        <w:rPr>
          <w:lang w:val="en-US"/>
        </w:rPr>
        <w:t xml:space="preserve">, 186). In this case, the two portrayed words can gloss over a lack of concrete evidence, </w:t>
      </w:r>
      <w:r w:rsidR="00AF446E">
        <w:rPr>
          <w:lang w:val="en-US"/>
        </w:rPr>
        <w:t>substantiating a desire to persuade.</w:t>
      </w:r>
    </w:p>
    <w:p w:rsidR="004A5638" w:rsidRDefault="00163B28" w:rsidP="00337119">
      <w:pPr>
        <w:spacing w:line="360" w:lineRule="auto"/>
        <w:rPr>
          <w:lang w:val="en-US"/>
        </w:rPr>
      </w:pPr>
      <w:r>
        <w:rPr>
          <w:lang w:val="en-US"/>
        </w:rPr>
        <w:t xml:space="preserve">All in all, the discursive setup of </w:t>
      </w:r>
      <w:proofErr w:type="spellStart"/>
      <w:r>
        <w:rPr>
          <w:lang w:val="en-US"/>
        </w:rPr>
        <w:t>Eich’s</w:t>
      </w:r>
      <w:proofErr w:type="spellEnd"/>
      <w:r>
        <w:rPr>
          <w:lang w:val="en-US"/>
        </w:rPr>
        <w:t xml:space="preserve"> statement represents the same CSR discourse as in Statements 1, 3 and the Community Participation Guidelines (</w:t>
      </w:r>
      <w:proofErr w:type="spellStart"/>
      <w:r>
        <w:rPr>
          <w:lang w:val="en-US"/>
        </w:rPr>
        <w:t>interdiscursivity</w:t>
      </w:r>
      <w:proofErr w:type="spellEnd"/>
      <w:r>
        <w:rPr>
          <w:lang w:val="en-US"/>
        </w:rPr>
        <w:t xml:space="preserve">) – though significantly more directed at </w:t>
      </w:r>
      <w:proofErr w:type="spellStart"/>
      <w:r>
        <w:rPr>
          <w:lang w:val="en-US"/>
        </w:rPr>
        <w:t>Eich’s</w:t>
      </w:r>
      <w:proofErr w:type="spellEnd"/>
      <w:r>
        <w:rPr>
          <w:lang w:val="en-US"/>
        </w:rPr>
        <w:t xml:space="preserve"> own commitment to those Mozilla ideals. On the other hand, the few lexical interpretations made may reveal discursive misalignments as well. </w:t>
      </w:r>
    </w:p>
    <w:p w:rsidR="00163B28" w:rsidRDefault="00163B28" w:rsidP="00337119">
      <w:pPr>
        <w:spacing w:line="360" w:lineRule="auto"/>
        <w:rPr>
          <w:lang w:val="en-US"/>
        </w:rPr>
      </w:pPr>
      <w:r>
        <w:rPr>
          <w:lang w:val="en-US"/>
        </w:rPr>
        <w:t xml:space="preserve">Revolving the CSR discourse, the most essential observation is the misaligned representation of Mozilla’s ideals – in terms of portraying them as ‘not yet completely achieved’ instead of completely fulfilled and consistent. The cause of the conflicting discourses may be explained by the public fact that </w:t>
      </w:r>
      <w:proofErr w:type="spellStart"/>
      <w:r>
        <w:rPr>
          <w:lang w:val="en-US"/>
        </w:rPr>
        <w:t>Eich’s</w:t>
      </w:r>
      <w:proofErr w:type="spellEnd"/>
      <w:r>
        <w:rPr>
          <w:lang w:val="en-US"/>
        </w:rPr>
        <w:t xml:space="preserve"> action in 2008 is the reason for Mozilla’s crisis, as his past action and his position as leader of the organization raised concerns of whether Mozilla will move in the direction of discrimination of LGBT individuals (situational context). Therefore, </w:t>
      </w:r>
      <w:proofErr w:type="spellStart"/>
      <w:r>
        <w:rPr>
          <w:lang w:val="en-US"/>
        </w:rPr>
        <w:t>Eich</w:t>
      </w:r>
      <w:proofErr w:type="spellEnd"/>
      <w:r>
        <w:rPr>
          <w:lang w:val="en-US"/>
        </w:rPr>
        <w:t xml:space="preserve"> is in the need of constituting an identity as CEO of Mozilla, which is in perfect alignment with that of Mozilla – thereby setting up arguments to persuade stakehol</w:t>
      </w:r>
      <w:r w:rsidR="00E73417">
        <w:rPr>
          <w:lang w:val="en-US"/>
        </w:rPr>
        <w:t>ders of such (corrective action</w:t>
      </w:r>
      <w:r>
        <w:rPr>
          <w:lang w:val="en-US"/>
        </w:rPr>
        <w:t xml:space="preserve"> strategy). Accordingly, the context ‘dictates’ corrective behavior from </w:t>
      </w:r>
      <w:proofErr w:type="spellStart"/>
      <w:r>
        <w:rPr>
          <w:lang w:val="en-US"/>
        </w:rPr>
        <w:t>Eich</w:t>
      </w:r>
      <w:proofErr w:type="spellEnd"/>
      <w:r>
        <w:rPr>
          <w:lang w:val="en-US"/>
        </w:rPr>
        <w:t xml:space="preserve">, meaning that when he speaks as the CEO, and therefore on the behalf of Mozilla, his supposed personal persuasive purpose is ‘superior’ – in contrast to the purpose supposedly set by Mozilla (transcendence/minimization). </w:t>
      </w:r>
      <w:proofErr w:type="spellStart"/>
      <w:r>
        <w:rPr>
          <w:lang w:val="en-US"/>
        </w:rPr>
        <w:t>Eich</w:t>
      </w:r>
      <w:proofErr w:type="spellEnd"/>
      <w:r>
        <w:rPr>
          <w:lang w:val="en-US"/>
        </w:rPr>
        <w:t xml:space="preserve"> does, however, more often make use of the word ‘equality’ instead of ‘inclusiveness’, but its textual relations indicate the somewhat same connotation, meaning that it may be seen as a description of the same. </w:t>
      </w:r>
    </w:p>
    <w:p w:rsidR="00163B28" w:rsidRDefault="00163B28" w:rsidP="00337119">
      <w:pPr>
        <w:spacing w:line="360" w:lineRule="auto"/>
        <w:rPr>
          <w:lang w:val="en-US"/>
        </w:rPr>
      </w:pPr>
      <w:r>
        <w:rPr>
          <w:lang w:val="en-US"/>
        </w:rPr>
        <w:lastRenderedPageBreak/>
        <w:t>The usage of ‘equality’ in connection with the inclusive ideals of Mozilla becomes essential in the CSR discourse in Mozilla’s follow-up statement (Statement 4</w:t>
      </w:r>
      <w:r w:rsidR="000836BE">
        <w:rPr>
          <w:lang w:val="en-US"/>
        </w:rPr>
        <w:t xml:space="preserve"> – Appendix 10</w:t>
      </w:r>
      <w:r>
        <w:rPr>
          <w:lang w:val="en-US"/>
        </w:rPr>
        <w:t xml:space="preserve">). The content and communicative purpose of the statement is captured by the proclamation, </w:t>
      </w:r>
      <w:r w:rsidRPr="00CF1AD2">
        <w:rPr>
          <w:i/>
          <w:lang w:val="en-US"/>
        </w:rPr>
        <w:t>“This post is to clarify Mozilla’s official support of equality and inclusion for LGBT people”</w:t>
      </w:r>
      <w:r>
        <w:rPr>
          <w:lang w:val="en-US"/>
        </w:rPr>
        <w:t xml:space="preserve"> (line 2). The Mozilla statement is supported by Statement 5</w:t>
      </w:r>
      <w:r w:rsidR="000836BE">
        <w:rPr>
          <w:lang w:val="en-US"/>
        </w:rPr>
        <w:t xml:space="preserve"> (Appendix 11)</w:t>
      </w:r>
      <w:r>
        <w:rPr>
          <w:lang w:val="en-US"/>
        </w:rPr>
        <w:t xml:space="preserve">, where Mitchel Baker stresses her </w:t>
      </w:r>
      <w:r w:rsidRPr="00CF1AD2">
        <w:rPr>
          <w:lang w:val="en-US"/>
        </w:rPr>
        <w:t>authorit</w:t>
      </w:r>
      <w:r>
        <w:rPr>
          <w:lang w:val="en-US"/>
        </w:rPr>
        <w:t>y as Executive Chairwoman and declares her and Mozilla’s support of equality for all (</w:t>
      </w:r>
      <w:r w:rsidR="000836BE">
        <w:rPr>
          <w:lang w:val="en-US"/>
        </w:rPr>
        <w:t>Appendix 11,</w:t>
      </w:r>
      <w:r>
        <w:rPr>
          <w:lang w:val="en-US"/>
        </w:rPr>
        <w:t xml:space="preserve"> line 6). Together with the ‘LGBT people’ representation instead of ‘our LGBT community’, this statement can be seen as linguistically more aligned with </w:t>
      </w:r>
      <w:proofErr w:type="spellStart"/>
      <w:r>
        <w:rPr>
          <w:lang w:val="en-US"/>
        </w:rPr>
        <w:t>Eich’s</w:t>
      </w:r>
      <w:proofErr w:type="spellEnd"/>
      <w:r>
        <w:rPr>
          <w:lang w:val="en-US"/>
        </w:rPr>
        <w:t xml:space="preserve"> statement.</w:t>
      </w:r>
    </w:p>
    <w:p w:rsidR="00163B28" w:rsidRDefault="00163B28" w:rsidP="00337119">
      <w:pPr>
        <w:spacing w:line="360" w:lineRule="auto"/>
        <w:rPr>
          <w:lang w:val="en-US"/>
        </w:rPr>
      </w:pPr>
      <w:r>
        <w:rPr>
          <w:lang w:val="en-US"/>
        </w:rPr>
        <w:t>Statement 4 also supplements the organization’s assertion of commitment with a more direct expression of ‘support’ of LGBT equality and inclusion, which can be considered more aligned with Baker’s personal views in Statement 3. Consequently, Mozilla’s follow-up statement can be understood as an attempt to construct a more unified message to present the stance of the organization. Nevertheless, the statement is still constructed on the basis of the Community Participation Guidelines (bolstering), where a direct citation is represented as well (</w:t>
      </w:r>
      <w:r w:rsidR="000836BE">
        <w:rPr>
          <w:lang w:val="en-US"/>
        </w:rPr>
        <w:t xml:space="preserve">Appendix 10, </w:t>
      </w:r>
      <w:r>
        <w:rPr>
          <w:lang w:val="en-US"/>
        </w:rPr>
        <w:t xml:space="preserve">lines 16-20) – with the </w:t>
      </w:r>
      <w:r>
        <w:rPr>
          <w:i/>
          <w:lang w:val="en-US"/>
        </w:rPr>
        <w:t>quoting verb</w:t>
      </w:r>
      <w:r>
        <w:rPr>
          <w:lang w:val="en-US"/>
        </w:rPr>
        <w:t xml:space="preserve"> ‘state’, signifying certainty. Moreover, it is portrayed as an undeniable actuality </w:t>
      </w:r>
      <w:r w:rsidR="004820B0">
        <w:rPr>
          <w:lang w:val="en-US"/>
        </w:rPr>
        <w:t>in the past, present and future:</w:t>
      </w:r>
      <w:r>
        <w:rPr>
          <w:lang w:val="en-US"/>
        </w:rPr>
        <w:t xml:space="preserve"> </w:t>
      </w:r>
      <w:r w:rsidRPr="00D53556">
        <w:rPr>
          <w:i/>
          <w:lang w:val="en-US"/>
        </w:rPr>
        <w:t>“That was true yesterday and will be true tomorrow”</w:t>
      </w:r>
      <w:r>
        <w:rPr>
          <w:lang w:val="en-US"/>
        </w:rPr>
        <w:t xml:space="preserve"> (line 14-15). As a result, the same CSR message as previously is still discursively expressed – thereby also expressing acceptance towards </w:t>
      </w:r>
      <w:proofErr w:type="spellStart"/>
      <w:r>
        <w:rPr>
          <w:lang w:val="en-US"/>
        </w:rPr>
        <w:t>Eich’s</w:t>
      </w:r>
      <w:proofErr w:type="spellEnd"/>
      <w:r>
        <w:rPr>
          <w:lang w:val="en-US"/>
        </w:rPr>
        <w:t xml:space="preserve"> beliefs. Again, this points to the primary crisis response strategy as being transcendence – so as to persuade stakeholders in the direction of a more positive understanding of the situation.</w:t>
      </w:r>
    </w:p>
    <w:p w:rsidR="00163B28" w:rsidRDefault="00163B28" w:rsidP="00337119">
      <w:pPr>
        <w:spacing w:line="360" w:lineRule="auto"/>
        <w:rPr>
          <w:lang w:val="en-US"/>
        </w:rPr>
      </w:pPr>
      <w:r>
        <w:rPr>
          <w:lang w:val="en-US"/>
        </w:rPr>
        <w:t xml:space="preserve">There is but one sentence that strikes out, being, </w:t>
      </w:r>
      <w:r w:rsidRPr="00C01D6C">
        <w:rPr>
          <w:i/>
          <w:lang w:val="en-US"/>
        </w:rPr>
        <w:t>“One voice will not limit opportunity for anyone”</w:t>
      </w:r>
      <w:r>
        <w:rPr>
          <w:lang w:val="en-US"/>
        </w:rPr>
        <w:t xml:space="preserve"> (line 14). In its grammatical composition, it is a presupposition about the actuality of one voice, supposedly opposing inclusiveness and equality for all (line 13), and a negation, removing the harmfulness of that one voice</w:t>
      </w:r>
      <w:r w:rsidR="000836BE">
        <w:rPr>
          <w:lang w:val="en-US"/>
        </w:rPr>
        <w:t>. It was previously mentioned (7</w:t>
      </w:r>
      <w:r>
        <w:rPr>
          <w:lang w:val="en-US"/>
        </w:rPr>
        <w:t xml:space="preserve">.5.4) that this may be a way to mitigate the significance of </w:t>
      </w:r>
      <w:proofErr w:type="spellStart"/>
      <w:r>
        <w:rPr>
          <w:lang w:val="en-US"/>
        </w:rPr>
        <w:t>Eich’s</w:t>
      </w:r>
      <w:proofErr w:type="spellEnd"/>
      <w:r>
        <w:rPr>
          <w:lang w:val="en-US"/>
        </w:rPr>
        <w:t xml:space="preserve"> beliefs, but if related to </w:t>
      </w:r>
      <w:proofErr w:type="spellStart"/>
      <w:r>
        <w:rPr>
          <w:lang w:val="en-US"/>
        </w:rPr>
        <w:t>Eich</w:t>
      </w:r>
      <w:proofErr w:type="spellEnd"/>
      <w:r>
        <w:rPr>
          <w:lang w:val="en-US"/>
        </w:rPr>
        <w:t xml:space="preserve">, as the textual context may indicate (lines 13-14), it can be in direct conflict with </w:t>
      </w:r>
      <w:proofErr w:type="spellStart"/>
      <w:r>
        <w:rPr>
          <w:lang w:val="en-US"/>
        </w:rPr>
        <w:t>Eich</w:t>
      </w:r>
      <w:proofErr w:type="spellEnd"/>
      <w:r>
        <w:rPr>
          <w:lang w:val="en-US"/>
        </w:rPr>
        <w:t xml:space="preserve"> and Baker’s assertions concerning </w:t>
      </w:r>
      <w:proofErr w:type="spellStart"/>
      <w:r>
        <w:rPr>
          <w:lang w:val="en-US"/>
        </w:rPr>
        <w:t>Eich’s</w:t>
      </w:r>
      <w:proofErr w:type="spellEnd"/>
      <w:r>
        <w:rPr>
          <w:lang w:val="en-US"/>
        </w:rPr>
        <w:t xml:space="preserve"> eminent commitment to Mozilla’s ideals (Statements 2, 3). In addition, it may also reveal a limitation in Mozilla’s acceptance of </w:t>
      </w:r>
      <w:proofErr w:type="spellStart"/>
      <w:r>
        <w:rPr>
          <w:lang w:val="en-US"/>
        </w:rPr>
        <w:t>Eich’s</w:t>
      </w:r>
      <w:proofErr w:type="spellEnd"/>
      <w:r>
        <w:rPr>
          <w:lang w:val="en-US"/>
        </w:rPr>
        <w:t xml:space="preserve"> beliefs, to some extent positioning him as a voice opposing equality for all. The lexical absence of </w:t>
      </w:r>
      <w:proofErr w:type="spellStart"/>
      <w:r>
        <w:rPr>
          <w:lang w:val="en-US"/>
        </w:rPr>
        <w:t>Eich’s</w:t>
      </w:r>
      <w:proofErr w:type="spellEnd"/>
      <w:r>
        <w:rPr>
          <w:lang w:val="en-US"/>
        </w:rPr>
        <w:t xml:space="preserve"> commitment to the Mozilla ideals may also indicate that they [sets of values] do not completely align and therefore left out. </w:t>
      </w:r>
    </w:p>
    <w:p w:rsidR="00163B28" w:rsidRDefault="00163B28" w:rsidP="00337119">
      <w:pPr>
        <w:spacing w:line="360" w:lineRule="auto"/>
        <w:rPr>
          <w:lang w:val="en-US"/>
        </w:rPr>
      </w:pPr>
      <w:r>
        <w:rPr>
          <w:lang w:val="en-US"/>
        </w:rPr>
        <w:lastRenderedPageBreak/>
        <w:t xml:space="preserve">In the statement announcing </w:t>
      </w:r>
      <w:proofErr w:type="spellStart"/>
      <w:r>
        <w:rPr>
          <w:lang w:val="en-US"/>
        </w:rPr>
        <w:t>Eich’s</w:t>
      </w:r>
      <w:proofErr w:type="spellEnd"/>
      <w:r>
        <w:rPr>
          <w:lang w:val="en-US"/>
        </w:rPr>
        <w:t xml:space="preserve"> resignation as Mozilla CEO (Statement 6</w:t>
      </w:r>
      <w:r w:rsidR="000836BE">
        <w:rPr>
          <w:lang w:val="en-US"/>
        </w:rPr>
        <w:t xml:space="preserve"> – Appendix 15</w:t>
      </w:r>
      <w:r>
        <w:rPr>
          <w:lang w:val="en-US"/>
        </w:rPr>
        <w:t xml:space="preserve">), the voice of the Mozilla Foundation and Baker has been completely unified (written by Baker), adding a degree of authority to the statement (Mitchell Baker, Executive Chairwoman, line 30). With sentences like, </w:t>
      </w:r>
      <w:r w:rsidRPr="00314535">
        <w:rPr>
          <w:i/>
          <w:lang w:val="en-US"/>
        </w:rPr>
        <w:t>“[…] we haven´t stayed true to ourselves”</w:t>
      </w:r>
      <w:r>
        <w:rPr>
          <w:lang w:val="en-US"/>
        </w:rPr>
        <w:t xml:space="preserve"> (line 2) and </w:t>
      </w:r>
      <w:r w:rsidRPr="00314535">
        <w:rPr>
          <w:i/>
          <w:lang w:val="en-US"/>
        </w:rPr>
        <w:t>“We must do better”</w:t>
      </w:r>
      <w:r>
        <w:rPr>
          <w:lang w:val="en-US"/>
        </w:rPr>
        <w:t xml:space="preserve"> (line 5), it can be deduced that Mozilla </w:t>
      </w:r>
      <w:r w:rsidR="000836BE">
        <w:rPr>
          <w:lang w:val="en-US"/>
        </w:rPr>
        <w:t>expresses the actuality of its</w:t>
      </w:r>
      <w:r>
        <w:rPr>
          <w:lang w:val="en-US"/>
        </w:rPr>
        <w:t xml:space="preserve"> previously stated stance (Community Par</w:t>
      </w:r>
      <w:r w:rsidR="000836BE">
        <w:rPr>
          <w:lang w:val="en-US"/>
        </w:rPr>
        <w:t>ticipation Guidelines), but it</w:t>
      </w:r>
      <w:r>
        <w:rPr>
          <w:lang w:val="en-US"/>
        </w:rPr>
        <w:t xml:space="preserve"> acknowledge</w:t>
      </w:r>
      <w:r w:rsidR="000836BE">
        <w:rPr>
          <w:lang w:val="en-US"/>
        </w:rPr>
        <w:t>s that it has</w:t>
      </w:r>
      <w:r>
        <w:rPr>
          <w:lang w:val="en-US"/>
        </w:rPr>
        <w:t xml:space="preserve"> failed to live up to them (building on both on the mort</w:t>
      </w:r>
      <w:r w:rsidR="00E73417">
        <w:rPr>
          <w:lang w:val="en-US"/>
        </w:rPr>
        <w:t>ification and corrective action</w:t>
      </w:r>
      <w:r>
        <w:rPr>
          <w:lang w:val="en-US"/>
        </w:rPr>
        <w:t xml:space="preserve"> strategy). It is declared that, </w:t>
      </w:r>
      <w:r w:rsidRPr="006D250A">
        <w:rPr>
          <w:i/>
          <w:lang w:val="en-US"/>
        </w:rPr>
        <w:t>“Mozilla believes both in equality and freedom of speech”</w:t>
      </w:r>
      <w:r>
        <w:rPr>
          <w:lang w:val="en-US"/>
        </w:rPr>
        <w:t xml:space="preserve"> (line 8), where the use of ‘believes’ signifies certainty and commitment. Subsequently, it is asserted that </w:t>
      </w:r>
      <w:r w:rsidR="000836BE">
        <w:rPr>
          <w:lang w:val="en-US"/>
        </w:rPr>
        <w:t>Mozilla</w:t>
      </w:r>
      <w:r>
        <w:rPr>
          <w:lang w:val="en-US"/>
        </w:rPr>
        <w:t xml:space="preserve"> wanted to stand for both at the same time (line 9), pointing to an overall understanding of the communicative purpose embedded within the preceding statements. Generally, this may prove the interpretive assumption that Mozilla made use of the transcendence strategy – attempting to discursively persuade stakeholders of </w:t>
      </w:r>
      <w:r w:rsidR="000836BE">
        <w:rPr>
          <w:lang w:val="en-US"/>
        </w:rPr>
        <w:t>its</w:t>
      </w:r>
      <w:r>
        <w:rPr>
          <w:lang w:val="en-US"/>
        </w:rPr>
        <w:t xml:space="preserve"> understanding of Mozilla’s social responsibility. </w:t>
      </w:r>
    </w:p>
    <w:p w:rsidR="00163B28" w:rsidRDefault="00163B28" w:rsidP="00337119">
      <w:pPr>
        <w:spacing w:line="360" w:lineRule="auto"/>
        <w:rPr>
          <w:lang w:val="en-US"/>
        </w:rPr>
      </w:pPr>
      <w:r>
        <w:rPr>
          <w:lang w:val="en-US"/>
        </w:rPr>
        <w:t>Considering that the crisis situation seems to abate after the publication of both Statement 6 and 7</w:t>
      </w:r>
      <w:r w:rsidR="000836BE">
        <w:rPr>
          <w:lang w:val="en-US"/>
        </w:rPr>
        <w:t xml:space="preserve"> (Appendix 16)</w:t>
      </w:r>
      <w:r>
        <w:rPr>
          <w:lang w:val="en-US"/>
        </w:rPr>
        <w:t>, it is unnecessary to go into details with their discursive properties, as it has no clear significance to the study question. However, their crisis communicative content marks the development and outcome of the case, which is relevant to the study as a whole – in the sense of substantiating potential significance and consequences of the conflicting discourses pointed out.</w:t>
      </w:r>
    </w:p>
    <w:p w:rsidR="001E1344" w:rsidRDefault="001E1344">
      <w:pPr>
        <w:jc w:val="left"/>
        <w:rPr>
          <w:rFonts w:eastAsiaTheme="majorEastAsia" w:cstheme="majorBidi"/>
          <w:b/>
          <w:bCs/>
          <w:color w:val="000000" w:themeColor="text1"/>
          <w:spacing w:val="5"/>
          <w:kern w:val="28"/>
          <w:sz w:val="32"/>
          <w:szCs w:val="28"/>
          <w:lang w:val="en-US"/>
        </w:rPr>
      </w:pPr>
      <w:bookmarkStart w:id="122" w:name="_Toc420075857"/>
      <w:r>
        <w:rPr>
          <w:lang w:val="en-US"/>
        </w:rPr>
        <w:br w:type="page"/>
      </w:r>
    </w:p>
    <w:p w:rsidR="00163B28" w:rsidRDefault="006F514C" w:rsidP="00337119">
      <w:pPr>
        <w:pStyle w:val="Overskrift1"/>
        <w:pBdr>
          <w:bottom w:val="single" w:sz="4" w:space="1" w:color="auto"/>
        </w:pBdr>
        <w:spacing w:line="360" w:lineRule="auto"/>
        <w:rPr>
          <w:lang w:val="en-US"/>
        </w:rPr>
      </w:pPr>
      <w:bookmarkStart w:id="123" w:name="_Toc420761670"/>
      <w:r>
        <w:rPr>
          <w:lang w:val="en-US"/>
        </w:rPr>
        <w:lastRenderedPageBreak/>
        <w:t>9.</w:t>
      </w:r>
      <w:r w:rsidR="00163B28">
        <w:rPr>
          <w:lang w:val="en-US"/>
        </w:rPr>
        <w:t xml:space="preserve"> Conclusion</w:t>
      </w:r>
      <w:bookmarkEnd w:id="122"/>
      <w:bookmarkEnd w:id="123"/>
    </w:p>
    <w:p w:rsidR="00163B28" w:rsidRDefault="00163B28" w:rsidP="00337119">
      <w:pPr>
        <w:spacing w:line="360" w:lineRule="auto"/>
        <w:rPr>
          <w:lang w:val="en-US"/>
        </w:rPr>
      </w:pPr>
      <w:r>
        <w:rPr>
          <w:lang w:val="en-US"/>
        </w:rPr>
        <w:t xml:space="preserve">Through the examination of the Mozilla Foundation’s crisis situation, CSR discourse had a prominent position within the organization’s crisis communication. The contents of the statements (excluding Statement 7) were concerned with portraying the socially responsible attributes of Mozilla – thereby making use of CSR discourse to facilitate the organization’s discursive practice, building on the institutional context of the organization (Community Participation Guidelines and health benefit policies). Consequently, </w:t>
      </w:r>
      <w:proofErr w:type="spellStart"/>
      <w:r>
        <w:rPr>
          <w:lang w:val="en-US"/>
        </w:rPr>
        <w:t>interdiscursivity</w:t>
      </w:r>
      <w:proofErr w:type="spellEnd"/>
      <w:r>
        <w:rPr>
          <w:lang w:val="en-US"/>
        </w:rPr>
        <w:t xml:space="preserve"> was evident in Mozilla’s produced crisis communication – supposedly with the intention of portraying a specific CSR message, which could absolve the organization from mistrust. However, throughout the discourse analysis, cases of discursive misalignments seemed to be prominent, concerning CSR discourse. </w:t>
      </w:r>
    </w:p>
    <w:p w:rsidR="00163B28" w:rsidRDefault="00163B28" w:rsidP="00337119">
      <w:pPr>
        <w:spacing w:line="360" w:lineRule="auto"/>
        <w:rPr>
          <w:lang w:val="en-US"/>
        </w:rPr>
      </w:pPr>
      <w:r>
        <w:rPr>
          <w:lang w:val="en-US"/>
        </w:rPr>
        <w:t xml:space="preserve">From the analysis, it was deduced that Mozilla (Statement 1) and Mitchell Baker (Statement 3) discursively portrayed the organization’s CSR (Community Participation Guidelines) as unconditioned, achieved and consistent with great ethical values. Moreover, the importance of diversity and inclusiveness </w:t>
      </w:r>
      <w:r w:rsidR="008003A7">
        <w:rPr>
          <w:lang w:val="en-US"/>
        </w:rPr>
        <w:t>was stressed as the key of Mozilla’s</w:t>
      </w:r>
      <w:r>
        <w:rPr>
          <w:lang w:val="en-US"/>
        </w:rPr>
        <w:t xml:space="preserve"> identity, where Baker also directly pointed to </w:t>
      </w:r>
      <w:proofErr w:type="spellStart"/>
      <w:r>
        <w:rPr>
          <w:lang w:val="en-US"/>
        </w:rPr>
        <w:t>Eich’s</w:t>
      </w:r>
      <w:proofErr w:type="spellEnd"/>
      <w:r>
        <w:rPr>
          <w:lang w:val="en-US"/>
        </w:rPr>
        <w:t xml:space="preserve"> commitment to the strong Mozilla values. As a result, bolstering, minimization and especially transcendence strategies were the backbone of the organization’s and Baker’s crisis communication at that point – supposedly placing the incident and </w:t>
      </w:r>
      <w:proofErr w:type="spellStart"/>
      <w:r>
        <w:rPr>
          <w:lang w:val="en-US"/>
        </w:rPr>
        <w:t>Eich’s</w:t>
      </w:r>
      <w:proofErr w:type="spellEnd"/>
      <w:r>
        <w:rPr>
          <w:lang w:val="en-US"/>
        </w:rPr>
        <w:t xml:space="preserve"> leadership position in a positive context. However, in the final paragraph of Baker’s statement, she announced her personal views on the matter, alternating the discursive setting (vocabulary), negating alignment with </w:t>
      </w:r>
      <w:proofErr w:type="spellStart"/>
      <w:r>
        <w:rPr>
          <w:lang w:val="en-US"/>
        </w:rPr>
        <w:t>Eich</w:t>
      </w:r>
      <w:proofErr w:type="spellEnd"/>
      <w:r>
        <w:rPr>
          <w:lang w:val="en-US"/>
        </w:rPr>
        <w:t xml:space="preserve"> regarding values, and indirectly expressing that she was more directly concerned with equality issues than Mozilla. Consequently, as the Executive Chairwoman of Mozilla, Baker discursively distanced herself from the preceding CSR content in her own statement by expressing her personal values as not completely aligned with Mozilla’s, and the opposite of </w:t>
      </w:r>
      <w:proofErr w:type="spellStart"/>
      <w:r>
        <w:rPr>
          <w:lang w:val="en-US"/>
        </w:rPr>
        <w:t>Eich’s</w:t>
      </w:r>
      <w:proofErr w:type="spellEnd"/>
      <w:r>
        <w:rPr>
          <w:lang w:val="en-US"/>
        </w:rPr>
        <w:t>. It may therefore be concluded that her structured discourses were in conflict, due to her identity and ideology as Mozilla’s Chairwoman and as an individual, to some extent creating two opposing crisis communication messages.</w:t>
      </w:r>
    </w:p>
    <w:p w:rsidR="00163B28" w:rsidRDefault="00163B28" w:rsidP="00337119">
      <w:pPr>
        <w:spacing w:line="360" w:lineRule="auto"/>
        <w:rPr>
          <w:lang w:val="en-US"/>
        </w:rPr>
      </w:pPr>
      <w:r>
        <w:rPr>
          <w:lang w:val="en-US"/>
        </w:rPr>
        <w:t xml:space="preserve">A similar issue of identity was found within </w:t>
      </w:r>
      <w:proofErr w:type="spellStart"/>
      <w:r>
        <w:rPr>
          <w:lang w:val="en-US"/>
        </w:rPr>
        <w:t>Eich’s</w:t>
      </w:r>
      <w:proofErr w:type="spellEnd"/>
      <w:r>
        <w:rPr>
          <w:lang w:val="en-US"/>
        </w:rPr>
        <w:t xml:space="preserve"> statement (Statement 2). The communicative message of </w:t>
      </w:r>
      <w:proofErr w:type="spellStart"/>
      <w:r>
        <w:rPr>
          <w:lang w:val="en-US"/>
        </w:rPr>
        <w:t>Eich’s</w:t>
      </w:r>
      <w:proofErr w:type="spellEnd"/>
      <w:r>
        <w:rPr>
          <w:lang w:val="en-US"/>
        </w:rPr>
        <w:t xml:space="preserve"> statement was primarily structured on the</w:t>
      </w:r>
      <w:r w:rsidR="00E73417">
        <w:rPr>
          <w:lang w:val="en-US"/>
        </w:rPr>
        <w:t xml:space="preserve"> basis of the corrective action</w:t>
      </w:r>
      <w:r>
        <w:rPr>
          <w:lang w:val="en-US"/>
        </w:rPr>
        <w:t xml:space="preserve"> strategy, which in some sentences almost gave the impression that Mozilla’s ‘CSR’ was </w:t>
      </w:r>
      <w:r w:rsidR="008003A7">
        <w:rPr>
          <w:lang w:val="en-US"/>
        </w:rPr>
        <w:t>unachieved</w:t>
      </w:r>
      <w:r>
        <w:rPr>
          <w:lang w:val="en-US"/>
        </w:rPr>
        <w:t xml:space="preserve">. This would create a discursive misalignment concerning Mozilla’s presentation of its CSR, where it was defined as achieved. It was therefore argued that there may be a conflict between </w:t>
      </w:r>
      <w:proofErr w:type="spellStart"/>
      <w:r>
        <w:rPr>
          <w:lang w:val="en-US"/>
        </w:rPr>
        <w:t>Eich’s</w:t>
      </w:r>
      <w:proofErr w:type="spellEnd"/>
      <w:r>
        <w:rPr>
          <w:lang w:val="en-US"/>
        </w:rPr>
        <w:t xml:space="preserve"> own </w:t>
      </w:r>
      <w:r>
        <w:rPr>
          <w:lang w:val="en-US"/>
        </w:rPr>
        <w:lastRenderedPageBreak/>
        <w:t>identity and his CEO identity, as stakeholders may have expected him to show corrective behavior (situational context), but discursively, the two identities were expressed as almost interconnected, meaning that his corrective behavior was reflected through discourses on behalf of Mozilla – possibly creating this misalignment.</w:t>
      </w:r>
    </w:p>
    <w:p w:rsidR="00163B28" w:rsidRDefault="00163B28" w:rsidP="00337119">
      <w:pPr>
        <w:spacing w:line="360" w:lineRule="auto"/>
        <w:rPr>
          <w:lang w:val="en-US"/>
        </w:rPr>
      </w:pPr>
      <w:r>
        <w:rPr>
          <w:lang w:val="en-US"/>
        </w:rPr>
        <w:t>On the basis of these two instances of conflicting discourses, it can therefore be concluded that different prominent communicating identities (voices of authority), in the discursive ‘reproduction’ of CSR, may have resulted in an ambiguous message in the overall crisis communication. However, the social construction of identity through discourse has only to some extent been addressed in connection with critical discourse analysis</w:t>
      </w:r>
      <w:r w:rsidR="002E7DEB">
        <w:rPr>
          <w:lang w:val="en-US"/>
        </w:rPr>
        <w:t xml:space="preserve"> (5)</w:t>
      </w:r>
      <w:r>
        <w:rPr>
          <w:lang w:val="en-US"/>
        </w:rPr>
        <w:t xml:space="preserve">. Further examinations may therefore be of interest – so as to explore identity construction in the research area of CSR discourse in crisis communication. </w:t>
      </w:r>
    </w:p>
    <w:p w:rsidR="00163B28" w:rsidRDefault="00163B28" w:rsidP="00337119">
      <w:pPr>
        <w:spacing w:line="360" w:lineRule="auto"/>
        <w:rPr>
          <w:lang w:val="en-US"/>
        </w:rPr>
      </w:pPr>
      <w:r>
        <w:rPr>
          <w:lang w:val="en-US"/>
        </w:rPr>
        <w:t>Another prominent discursive misalignment also presented itself in Statement 4. Even though it seemed that Mozilla had attempted to linguistically unify its crisis communication message, a discursive misalignment transpired, due to the textual presupposition of one voice</w:t>
      </w:r>
      <w:r w:rsidRPr="004C262F">
        <w:rPr>
          <w:lang w:val="en-US"/>
        </w:rPr>
        <w:t xml:space="preserve"> </w:t>
      </w:r>
      <w:r>
        <w:rPr>
          <w:lang w:val="en-US"/>
        </w:rPr>
        <w:t xml:space="preserve">opposing the values of Mozilla. This presupposition may have directly contradicted the earlier assertions about </w:t>
      </w:r>
      <w:proofErr w:type="spellStart"/>
      <w:r>
        <w:rPr>
          <w:lang w:val="en-US"/>
        </w:rPr>
        <w:t>Eich’s</w:t>
      </w:r>
      <w:proofErr w:type="spellEnd"/>
      <w:r>
        <w:rPr>
          <w:lang w:val="en-US"/>
        </w:rPr>
        <w:t xml:space="preserve"> commitment to Mozilla’s values – substantiated by the fact that he was the only known voice in the case. </w:t>
      </w:r>
    </w:p>
    <w:p w:rsidR="00163B28" w:rsidRDefault="00163B28" w:rsidP="00337119">
      <w:pPr>
        <w:spacing w:line="360" w:lineRule="auto"/>
        <w:rPr>
          <w:lang w:val="en-US"/>
        </w:rPr>
      </w:pPr>
      <w:r>
        <w:rPr>
          <w:lang w:val="en-US"/>
        </w:rPr>
        <w:t>To what extent the presented discursive misalignments may have influenced the outcome of Mozilla’s crisis is difficult to conclude in terms of the organization’s crisis communicative approach (strategies). Throughout the analysis of Mozilla’s crisis communication, the instances of discursive misalignments could be affiliated with the application of the crisis response strategies: minimization, tran</w:t>
      </w:r>
      <w:r w:rsidR="00E73417">
        <w:rPr>
          <w:lang w:val="en-US"/>
        </w:rPr>
        <w:t>scendence and corrective action</w:t>
      </w:r>
      <w:r>
        <w:rPr>
          <w:lang w:val="en-US"/>
        </w:rPr>
        <w:t>, all belonging to either the reduction of offensiveness cluster or rebuild strategies cluster – supplemented by an extensive use of bolstering. According to crisis communication theory, these types of strategies could be used in combination with each other in an organization’s crisis communication</w:t>
      </w:r>
      <w:r w:rsidR="00AD7035">
        <w:rPr>
          <w:lang w:val="en-US"/>
        </w:rPr>
        <w:t xml:space="preserve"> (4</w:t>
      </w:r>
      <w:r w:rsidR="0074703E">
        <w:rPr>
          <w:lang w:val="en-US"/>
        </w:rPr>
        <w:t>.4),</w:t>
      </w:r>
      <w:r>
        <w:rPr>
          <w:lang w:val="en-US"/>
        </w:rPr>
        <w:t xml:space="preserve"> meaning that any measurement of the harmfulness of located conflicting discourses cannot be conclusive. </w:t>
      </w:r>
    </w:p>
    <w:p w:rsidR="00163B28" w:rsidRDefault="00163B28" w:rsidP="00337119">
      <w:pPr>
        <w:spacing w:line="360" w:lineRule="auto"/>
        <w:rPr>
          <w:lang w:val="en-US"/>
        </w:rPr>
      </w:pPr>
      <w:r>
        <w:rPr>
          <w:lang w:val="en-US"/>
        </w:rPr>
        <w:t xml:space="preserve">However, considering that discursive misalignments seemed evident in Mozilla’s crisis communication, but seemingly too strategically ‘aligned’ to be measured in terms of crisis communication theory, may indicate that the theory is insufficient when it comes to the discursive level of an organization’s crisis communication. Frandsen and Johansen do address the parameter of textual expression, but only to the extent, where it is deemed an important consideration, meaning </w:t>
      </w:r>
      <w:r>
        <w:rPr>
          <w:lang w:val="en-US"/>
        </w:rPr>
        <w:lastRenderedPageBreak/>
        <w:t xml:space="preserve">that it is only ‘superficially’ accounted for with no direct practical application. On the other hand, they do point to the complexity of structuring discourses, where for example denial </w:t>
      </w:r>
      <w:r w:rsidR="00AD7035">
        <w:rPr>
          <w:lang w:val="en-US"/>
        </w:rPr>
        <w:t>can be expressed in many ways (4</w:t>
      </w:r>
      <w:r>
        <w:rPr>
          <w:lang w:val="en-US"/>
        </w:rPr>
        <w:t xml:space="preserve">.6.2). The question of expressed denial also relates to the Mozilla case, where the potential presence of denial in Statement 1 was discussed. It was discussed on the basis of the static and definite representation of achieved and consistent CSR, almost expressing a denial of anything opposing that proclamation – thereby presenting a CSR discourse in conflict with the overall crisis communication, as a denial strategy does not align with any other strategy. </w:t>
      </w:r>
    </w:p>
    <w:p w:rsidR="00163B28" w:rsidRDefault="00163B28" w:rsidP="00337119">
      <w:pPr>
        <w:spacing w:line="360" w:lineRule="auto"/>
        <w:rPr>
          <w:lang w:val="en-US"/>
        </w:rPr>
      </w:pPr>
      <w:r>
        <w:rPr>
          <w:lang w:val="en-US"/>
        </w:rPr>
        <w:t xml:space="preserve">It can therefore be concluded that </w:t>
      </w:r>
      <w:r w:rsidR="0074703E">
        <w:rPr>
          <w:lang w:val="en-US"/>
        </w:rPr>
        <w:t xml:space="preserve">the definitions of crisis response strategies may be too broad to accommodate more complex discursive constructions, meaning that </w:t>
      </w:r>
      <w:r>
        <w:rPr>
          <w:lang w:val="en-US"/>
        </w:rPr>
        <w:t xml:space="preserve">this study cannot </w:t>
      </w:r>
      <w:r w:rsidR="0074703E">
        <w:rPr>
          <w:lang w:val="en-US"/>
        </w:rPr>
        <w:t xml:space="preserve">sufficiently </w:t>
      </w:r>
      <w:r>
        <w:rPr>
          <w:lang w:val="en-US"/>
        </w:rPr>
        <w:t>determine the extent to which the discursive misalignments between Mozilla’s CSR and crisis communication can explain the outcome of the crisis</w:t>
      </w:r>
      <w:r w:rsidR="0074703E">
        <w:rPr>
          <w:lang w:val="en-US"/>
        </w:rPr>
        <w:t xml:space="preserve">. </w:t>
      </w:r>
      <w:r>
        <w:rPr>
          <w:lang w:val="en-US"/>
        </w:rPr>
        <w:t>Accordingly, this study rather points to the necessity of exploring crisis communication at a discursive level, where the crisis response strategies set by Benoit and Coombs may merely be seen as overall guidelines to direct an organization’s development of a ‘text’ – discursively produced to fit the surrounding circumstances of the crisis.</w:t>
      </w:r>
    </w:p>
    <w:p w:rsidR="00163B28" w:rsidRDefault="00163B28" w:rsidP="00337119">
      <w:pPr>
        <w:spacing w:line="360" w:lineRule="auto"/>
        <w:rPr>
          <w:lang w:val="en-US"/>
        </w:rPr>
      </w:pPr>
      <w:r>
        <w:rPr>
          <w:lang w:val="en-US"/>
        </w:rPr>
        <w:t xml:space="preserve">Moreover, the findings of the study do present a deeper understanding of CSR discourse, when it is applied in an organization’s crisis communication. One important observation may be that a CSR message can become ambiguous, if there is more than one communicator. As this study may have indicated, a discursive understanding of how to facilitate a desired and cohesive message is important, </w:t>
      </w:r>
      <w:r w:rsidR="008003A7">
        <w:rPr>
          <w:lang w:val="en-US"/>
        </w:rPr>
        <w:t xml:space="preserve">so </w:t>
      </w:r>
      <w:r>
        <w:rPr>
          <w:lang w:val="en-US"/>
        </w:rPr>
        <w:t>as to avoid conflicting discourses – especially when it comes to promoting a CSR message, because an ambiguous CSR message will most likely be less persuasive. It may therefore be fair to assume that the way in which Mozilla communicated its CSR in the crisis was ineffective – especially considering that Mozilla wanted to express its support of both equa</w:t>
      </w:r>
      <w:r w:rsidR="00AD7035">
        <w:rPr>
          <w:lang w:val="en-US"/>
        </w:rPr>
        <w:t>lity and freedom of speech (Appendix 15</w:t>
      </w:r>
      <w:r>
        <w:rPr>
          <w:lang w:val="en-US"/>
        </w:rPr>
        <w:t>, line 9).</w:t>
      </w:r>
    </w:p>
    <w:p w:rsidR="00163B28" w:rsidRDefault="00163B28" w:rsidP="00337119">
      <w:pPr>
        <w:spacing w:line="360" w:lineRule="auto"/>
        <w:rPr>
          <w:lang w:val="en-US"/>
        </w:rPr>
      </w:pPr>
      <w:r>
        <w:rPr>
          <w:lang w:val="en-US"/>
        </w:rPr>
        <w:t xml:space="preserve">To emphasize the potential relevance of the study, which can open up an interest for further research in the area of CSR discourse </w:t>
      </w:r>
      <w:r w:rsidR="00A358E0">
        <w:rPr>
          <w:lang w:val="en-US"/>
        </w:rPr>
        <w:t>in</w:t>
      </w:r>
      <w:r>
        <w:rPr>
          <w:lang w:val="en-US"/>
        </w:rPr>
        <w:t xml:space="preserve"> crisis communication, a crisis response model will be presented. The constructed model (Model 6, page </w:t>
      </w:r>
      <w:r w:rsidR="00AD7035">
        <w:rPr>
          <w:lang w:val="en-US"/>
        </w:rPr>
        <w:t>88</w:t>
      </w:r>
      <w:r>
        <w:rPr>
          <w:lang w:val="en-US"/>
        </w:rPr>
        <w:t xml:space="preserve">) should be seen as a reflective amalgamation of theoretical understandings and analytical findings in the study – providing another perspective on crisis communication, when an organization finds itself in a crisis, inflicted by CSR issues. </w:t>
      </w:r>
    </w:p>
    <w:p w:rsidR="00163B28" w:rsidRDefault="00163B28" w:rsidP="00337119">
      <w:pPr>
        <w:rPr>
          <w:lang w:val="en-US"/>
        </w:rPr>
      </w:pPr>
      <w:r>
        <w:rPr>
          <w:lang w:val="en-US"/>
        </w:rPr>
        <w:br w:type="page"/>
      </w:r>
    </w:p>
    <w:p w:rsidR="00163B28" w:rsidRDefault="00163B28" w:rsidP="00337119">
      <w:pPr>
        <w:spacing w:line="360" w:lineRule="auto"/>
        <w:rPr>
          <w:lang w:val="en-US"/>
        </w:rPr>
      </w:pPr>
      <w:r>
        <w:rPr>
          <w:noProof/>
          <w:lang w:eastAsia="da-DK"/>
        </w:rPr>
        <w:lastRenderedPageBreak/>
        <mc:AlternateContent>
          <mc:Choice Requires="wps">
            <w:drawing>
              <wp:anchor distT="0" distB="0" distL="114300" distR="114300" simplePos="0" relativeHeight="251701248" behindDoc="0" locked="0" layoutInCell="1" allowOverlap="1" wp14:anchorId="261C4229" wp14:editId="2522F18B">
                <wp:simplePos x="0" y="0"/>
                <wp:positionH relativeFrom="column">
                  <wp:posOffset>564515</wp:posOffset>
                </wp:positionH>
                <wp:positionV relativeFrom="paragraph">
                  <wp:posOffset>33020</wp:posOffset>
                </wp:positionV>
                <wp:extent cx="5048885" cy="635"/>
                <wp:effectExtent l="0" t="0" r="0" b="0"/>
                <wp:wrapTight wrapText="bothSides">
                  <wp:wrapPolygon edited="0">
                    <wp:start x="0" y="0"/>
                    <wp:lineTo x="0" y="20681"/>
                    <wp:lineTo x="21516" y="20681"/>
                    <wp:lineTo x="21516" y="0"/>
                    <wp:lineTo x="0" y="0"/>
                  </wp:wrapPolygon>
                </wp:wrapTight>
                <wp:docPr id="38" name="Tekstboks 38"/>
                <wp:cNvGraphicFramePr/>
                <a:graphic xmlns:a="http://schemas.openxmlformats.org/drawingml/2006/main">
                  <a:graphicData uri="http://schemas.microsoft.com/office/word/2010/wordprocessingShape">
                    <wps:wsp>
                      <wps:cNvSpPr txBox="1"/>
                      <wps:spPr>
                        <a:xfrm>
                          <a:off x="0" y="0"/>
                          <a:ext cx="5048885" cy="635"/>
                        </a:xfrm>
                        <a:prstGeom prst="rect">
                          <a:avLst/>
                        </a:prstGeom>
                        <a:solidFill>
                          <a:prstClr val="white"/>
                        </a:solidFill>
                        <a:ln>
                          <a:noFill/>
                        </a:ln>
                        <a:effectLst/>
                      </wps:spPr>
                      <wps:txbx>
                        <w:txbxContent>
                          <w:p w:rsidR="00CF205E" w:rsidRPr="005B41F0" w:rsidRDefault="00CF205E" w:rsidP="00163B28">
                            <w:pPr>
                              <w:pStyle w:val="Billedtekst"/>
                              <w:rPr>
                                <w:noProof/>
                                <w:color w:val="auto"/>
                                <w:sz w:val="36"/>
                                <w:lang w:val="en-US"/>
                              </w:rPr>
                            </w:pPr>
                            <w:r w:rsidRPr="005B41F0">
                              <w:rPr>
                                <w:color w:val="auto"/>
                                <w:sz w:val="24"/>
                                <w:lang w:val="en-US"/>
                              </w:rPr>
                              <w:t>Model 6:  An Organization’</w:t>
                            </w:r>
                            <w:r>
                              <w:rPr>
                                <w:color w:val="auto"/>
                                <w:sz w:val="24"/>
                                <w:lang w:val="en-US"/>
                              </w:rPr>
                              <w:t>s D</w:t>
                            </w:r>
                            <w:r w:rsidRPr="005B41F0">
                              <w:rPr>
                                <w:color w:val="auto"/>
                                <w:sz w:val="24"/>
                                <w:lang w:val="en-US"/>
                              </w:rPr>
                              <w:t>iscursive Process (Text Production) in a CSR Related Crisis Situation (</w:t>
                            </w:r>
                            <w:r>
                              <w:rPr>
                                <w:color w:val="auto"/>
                                <w:sz w:val="24"/>
                                <w:lang w:val="en-US"/>
                              </w:rPr>
                              <w:t>Developed by Author</w:t>
                            </w:r>
                            <w:r w:rsidRPr="005B41F0">
                              <w:rPr>
                                <w:color w:val="auto"/>
                                <w:sz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38" o:spid="_x0000_s1045" type="#_x0000_t202" style="position:absolute;left:0;text-align:left;margin-left:44.45pt;margin-top:2.6pt;width:397.55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" stroked="f">
                <v:textbox style="mso-fit-shape-to-text:t" inset="0,0,0,0">
                  <w:txbxContent>
                    <w:p w:rsidR="00CF205E" w:rsidRPr="005B41F0" w:rsidRDefault="00CF205E" w:rsidP="00163B28">
                      <w:pPr>
                        <w:pStyle w:val="Billedtekst"/>
                        <w:rPr>
                          <w:noProof/>
                          <w:color w:val="auto"/>
                          <w:sz w:val="36"/>
                          <w:lang w:val="en-US"/>
                        </w:rPr>
                      </w:pPr>
                      <w:r w:rsidRPr="005B41F0">
                        <w:rPr>
                          <w:color w:val="auto"/>
                          <w:sz w:val="24"/>
                          <w:lang w:val="en-US"/>
                        </w:rPr>
                        <w:t>Model 6:  An Organization’</w:t>
                      </w:r>
                      <w:r>
                        <w:rPr>
                          <w:color w:val="auto"/>
                          <w:sz w:val="24"/>
                          <w:lang w:val="en-US"/>
                        </w:rPr>
                        <w:t>s D</w:t>
                      </w:r>
                      <w:r w:rsidRPr="005B41F0">
                        <w:rPr>
                          <w:color w:val="auto"/>
                          <w:sz w:val="24"/>
                          <w:lang w:val="en-US"/>
                        </w:rPr>
                        <w:t>iscursive Process (Text Production) in a CSR Related Crisis Situation (</w:t>
                      </w:r>
                      <w:r>
                        <w:rPr>
                          <w:color w:val="auto"/>
                          <w:sz w:val="24"/>
                          <w:lang w:val="en-US"/>
                        </w:rPr>
                        <w:t>Developed by Author</w:t>
                      </w:r>
                      <w:r w:rsidRPr="005B41F0">
                        <w:rPr>
                          <w:color w:val="auto"/>
                          <w:sz w:val="24"/>
                          <w:lang w:val="en-US"/>
                        </w:rPr>
                        <w:t>)</w:t>
                      </w:r>
                    </w:p>
                  </w:txbxContent>
                </v:textbox>
                <w10:wrap type="tight"/>
              </v:shape>
            </w:pict>
          </mc:Fallback>
        </mc:AlternateContent>
      </w:r>
      <w:r>
        <w:rPr>
          <w:lang w:val="en-US"/>
        </w:rPr>
        <w:t xml:space="preserve"> </w:t>
      </w:r>
    </w:p>
    <w:p w:rsidR="00163B28" w:rsidRPr="00C703C2" w:rsidRDefault="00163B28" w:rsidP="00337119">
      <w:pPr>
        <w:spacing w:line="360" w:lineRule="auto"/>
        <w:rPr>
          <w:lang w:val="en-US"/>
        </w:rPr>
      </w:pPr>
      <w:r>
        <w:rPr>
          <w:noProof/>
          <w:lang w:eastAsia="da-DK"/>
        </w:rPr>
        <w:drawing>
          <wp:anchor distT="0" distB="0" distL="114300" distR="114300" simplePos="0" relativeHeight="251700224" behindDoc="1" locked="0" layoutInCell="1" allowOverlap="1" wp14:anchorId="48992262" wp14:editId="35C8EEFB">
            <wp:simplePos x="0" y="0"/>
            <wp:positionH relativeFrom="column">
              <wp:posOffset>727710</wp:posOffset>
            </wp:positionH>
            <wp:positionV relativeFrom="paragraph">
              <wp:posOffset>112395</wp:posOffset>
            </wp:positionV>
            <wp:extent cx="4820285" cy="5153660"/>
            <wp:effectExtent l="0" t="0" r="0" b="8890"/>
            <wp:wrapTight wrapText="bothSides">
              <wp:wrapPolygon edited="0">
                <wp:start x="0" y="0"/>
                <wp:lineTo x="0" y="21557"/>
                <wp:lineTo x="21512" y="21557"/>
                <wp:lineTo x="21512" y="0"/>
                <wp:lineTo x="0" y="0"/>
              </wp:wrapPolygon>
            </wp:wrapTight>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is response model.png"/>
                    <pic:cNvPicPr/>
                  </pic:nvPicPr>
                  <pic:blipFill>
                    <a:blip r:embed="rId40">
                      <a:extLst>
                        <a:ext uri="{28A0092B-C50C-407E-A947-70E740481C1C}">
                          <a14:useLocalDpi xmlns:a14="http://schemas.microsoft.com/office/drawing/2010/main" val="0"/>
                        </a:ext>
                      </a:extLst>
                    </a:blip>
                    <a:stretch>
                      <a:fillRect/>
                    </a:stretch>
                  </pic:blipFill>
                  <pic:spPr>
                    <a:xfrm>
                      <a:off x="0" y="0"/>
                      <a:ext cx="4820285" cy="5153660"/>
                    </a:xfrm>
                    <a:prstGeom prst="rect">
                      <a:avLst/>
                    </a:prstGeom>
                  </pic:spPr>
                </pic:pic>
              </a:graphicData>
            </a:graphic>
            <wp14:sizeRelH relativeFrom="page">
              <wp14:pctWidth>0</wp14:pctWidth>
            </wp14:sizeRelH>
            <wp14:sizeRelV relativeFrom="page">
              <wp14:pctHeight>0</wp14:pctHeight>
            </wp14:sizeRelV>
          </wp:anchor>
        </w:drawing>
      </w:r>
    </w:p>
    <w:p w:rsidR="00163B28" w:rsidRDefault="00163B28" w:rsidP="00337119">
      <w:pPr>
        <w:spacing w:line="360" w:lineRule="auto"/>
        <w:rPr>
          <w:lang w:val="en-US"/>
        </w:rPr>
      </w:pPr>
      <w:r>
        <w:rPr>
          <w:lang w:val="en-US"/>
        </w:rPr>
        <w:t xml:space="preserve">          </w:t>
      </w:r>
    </w:p>
    <w:p w:rsidR="00163B28" w:rsidRPr="00A84A2F" w:rsidRDefault="00163B28" w:rsidP="00337119">
      <w:pPr>
        <w:rPr>
          <w:lang w:val="en-US"/>
        </w:rPr>
      </w:pPr>
    </w:p>
    <w:p w:rsidR="00163B28" w:rsidRPr="00A84A2F" w:rsidRDefault="00163B28" w:rsidP="00337119">
      <w:pPr>
        <w:rPr>
          <w:lang w:val="en-US"/>
        </w:rPr>
      </w:pPr>
    </w:p>
    <w:p w:rsidR="00163B28" w:rsidRPr="00A84A2F" w:rsidRDefault="00163B28" w:rsidP="00337119">
      <w:pPr>
        <w:rPr>
          <w:lang w:val="en-US"/>
        </w:rPr>
      </w:pPr>
    </w:p>
    <w:p w:rsidR="00163B28" w:rsidRPr="00A84A2F" w:rsidRDefault="00163B28" w:rsidP="00337119">
      <w:pPr>
        <w:rPr>
          <w:lang w:val="en-US"/>
        </w:rPr>
      </w:pPr>
    </w:p>
    <w:p w:rsidR="00163B28" w:rsidRPr="00A84A2F" w:rsidRDefault="00163B28" w:rsidP="00337119">
      <w:pPr>
        <w:rPr>
          <w:lang w:val="en-US"/>
        </w:rPr>
      </w:pPr>
    </w:p>
    <w:p w:rsidR="00163B28" w:rsidRPr="00A84A2F" w:rsidRDefault="00163B28" w:rsidP="00337119">
      <w:pPr>
        <w:rPr>
          <w:lang w:val="en-US"/>
        </w:rPr>
      </w:pPr>
    </w:p>
    <w:p w:rsidR="00163B28" w:rsidRPr="00A84A2F" w:rsidRDefault="00163B28" w:rsidP="00337119">
      <w:pPr>
        <w:rPr>
          <w:lang w:val="en-US"/>
        </w:rPr>
      </w:pPr>
    </w:p>
    <w:p w:rsidR="00163B28" w:rsidRDefault="00163B28" w:rsidP="00337119">
      <w:pPr>
        <w:rPr>
          <w:lang w:val="en-US"/>
        </w:rPr>
      </w:pPr>
    </w:p>
    <w:p w:rsidR="00163B28" w:rsidRDefault="00163B28" w:rsidP="00337119">
      <w:pPr>
        <w:rPr>
          <w:lang w:val="en-US"/>
        </w:rPr>
      </w:pPr>
    </w:p>
    <w:p w:rsidR="00163B28" w:rsidRDefault="00163B28" w:rsidP="00337119">
      <w:pPr>
        <w:rPr>
          <w:lang w:val="en-US"/>
        </w:rPr>
      </w:pPr>
    </w:p>
    <w:p w:rsidR="00163B28" w:rsidRDefault="00163B28" w:rsidP="00337119">
      <w:pPr>
        <w:rPr>
          <w:lang w:val="en-US"/>
        </w:rPr>
      </w:pPr>
    </w:p>
    <w:p w:rsidR="00163B28" w:rsidRDefault="00163B28" w:rsidP="00337119">
      <w:pPr>
        <w:rPr>
          <w:lang w:val="en-US"/>
        </w:rPr>
      </w:pPr>
    </w:p>
    <w:p w:rsidR="00163B28" w:rsidRDefault="00163B28" w:rsidP="00337119">
      <w:pPr>
        <w:rPr>
          <w:lang w:val="en-US"/>
        </w:rPr>
      </w:pPr>
    </w:p>
    <w:p w:rsidR="00163B28" w:rsidRDefault="00163B28" w:rsidP="00337119">
      <w:pPr>
        <w:rPr>
          <w:lang w:val="en-US"/>
        </w:rPr>
      </w:pPr>
    </w:p>
    <w:p w:rsidR="00163B28" w:rsidRDefault="00163B28" w:rsidP="00337119">
      <w:pPr>
        <w:spacing w:line="360" w:lineRule="auto"/>
        <w:rPr>
          <w:lang w:val="en-US"/>
        </w:rPr>
      </w:pPr>
      <w:r>
        <w:rPr>
          <w:lang w:val="en-US"/>
        </w:rPr>
        <w:t xml:space="preserve">The constructed model is an attempt to define an organization’s discursive process in the production of a text, representing its crisis response information communicated in a CSR related setting. The </w:t>
      </w:r>
      <w:r>
        <w:rPr>
          <w:i/>
          <w:lang w:val="en-US"/>
        </w:rPr>
        <w:t xml:space="preserve">crisis communication strategies </w:t>
      </w:r>
      <w:r>
        <w:rPr>
          <w:lang w:val="en-US"/>
        </w:rPr>
        <w:t xml:space="preserve">component (Benoit and Coombs) signifies the overall discursive frames/approaches, guiding the production of the text. The selection of a specific frame is determined by the </w:t>
      </w:r>
      <w:r w:rsidRPr="003A619A">
        <w:rPr>
          <w:i/>
          <w:lang w:val="en-US"/>
        </w:rPr>
        <w:t>context</w:t>
      </w:r>
      <w:r>
        <w:rPr>
          <w:lang w:val="en-US"/>
        </w:rPr>
        <w:t xml:space="preserve"> – more specifically the </w:t>
      </w:r>
      <w:r w:rsidRPr="00FD5621">
        <w:rPr>
          <w:i/>
          <w:lang w:val="en-US"/>
        </w:rPr>
        <w:t>situational context</w:t>
      </w:r>
      <w:r>
        <w:rPr>
          <w:lang w:val="en-US"/>
        </w:rPr>
        <w:t xml:space="preserve"> (type of crisis). In connection with the </w:t>
      </w:r>
      <w:r w:rsidRPr="009A13D5">
        <w:rPr>
          <w:i/>
          <w:lang w:val="en-US"/>
        </w:rPr>
        <w:t xml:space="preserve">CSR </w:t>
      </w:r>
      <w:r>
        <w:rPr>
          <w:lang w:val="en-US"/>
        </w:rPr>
        <w:t xml:space="preserve">component, the organization needs to define a clear and consistent CSR standpoint, building on organizational ethics and values, which are determined by the </w:t>
      </w:r>
      <w:r w:rsidRPr="00FD5621">
        <w:rPr>
          <w:i/>
          <w:lang w:val="en-US"/>
        </w:rPr>
        <w:t>institutional context</w:t>
      </w:r>
      <w:r>
        <w:rPr>
          <w:lang w:val="en-US"/>
        </w:rPr>
        <w:t xml:space="preserve">, and corresponding with the crisis type and issue. The established CSR considerations direct the content of the text, which is also influenced by the context (primarily the </w:t>
      </w:r>
      <w:r w:rsidRPr="002A71A4">
        <w:rPr>
          <w:i/>
          <w:lang w:val="en-US"/>
        </w:rPr>
        <w:t>societal context</w:t>
      </w:r>
      <w:r>
        <w:rPr>
          <w:lang w:val="en-US"/>
        </w:rPr>
        <w:t xml:space="preserve">), </w:t>
      </w:r>
      <w:r w:rsidRPr="002A71A4">
        <w:rPr>
          <w:i/>
          <w:lang w:val="en-US"/>
        </w:rPr>
        <w:t>medium</w:t>
      </w:r>
      <w:r>
        <w:rPr>
          <w:lang w:val="en-US"/>
        </w:rPr>
        <w:t xml:space="preserve"> and </w:t>
      </w:r>
      <w:r>
        <w:rPr>
          <w:i/>
          <w:lang w:val="en-US"/>
        </w:rPr>
        <w:t>genre</w:t>
      </w:r>
      <w:r w:rsidR="007D1254">
        <w:rPr>
          <w:i/>
          <w:lang w:val="en-US"/>
        </w:rPr>
        <w:t xml:space="preserve"> </w:t>
      </w:r>
      <w:r w:rsidR="007D1254">
        <w:rPr>
          <w:lang w:val="en-US"/>
        </w:rPr>
        <w:t>(</w:t>
      </w:r>
      <w:r w:rsidR="007C0278">
        <w:rPr>
          <w:lang w:val="en-US"/>
        </w:rPr>
        <w:t>4</w:t>
      </w:r>
      <w:r w:rsidR="007D1254">
        <w:rPr>
          <w:lang w:val="en-US"/>
        </w:rPr>
        <w:t>.6.2)</w:t>
      </w:r>
      <w:r>
        <w:rPr>
          <w:lang w:val="en-US"/>
        </w:rPr>
        <w:t xml:space="preserve">. </w:t>
      </w:r>
    </w:p>
    <w:p w:rsidR="00163B28" w:rsidRDefault="00163B28" w:rsidP="00337119">
      <w:pPr>
        <w:spacing w:line="360" w:lineRule="auto"/>
        <w:rPr>
          <w:lang w:val="en-US"/>
        </w:rPr>
      </w:pPr>
      <w:r>
        <w:rPr>
          <w:lang w:val="en-US"/>
        </w:rPr>
        <w:lastRenderedPageBreak/>
        <w:t>After the production of the text, based on the circumstances known to the organization, it is externally communicated (</w:t>
      </w:r>
      <w:r>
        <w:rPr>
          <w:i/>
          <w:lang w:val="en-US"/>
        </w:rPr>
        <w:t>Rhetorical Arena</w:t>
      </w:r>
      <w:r>
        <w:rPr>
          <w:lang w:val="en-US"/>
        </w:rPr>
        <w:t>), expectedly resulting in reactions from various stakeholders, providing the organization with new information, which may reevaluate the different parameters (components) and assist in the production of a new text.</w:t>
      </w:r>
    </w:p>
    <w:p w:rsidR="00096D1F" w:rsidRDefault="00163B28" w:rsidP="00CF205E">
      <w:pPr>
        <w:spacing w:line="360" w:lineRule="auto"/>
        <w:rPr>
          <w:lang w:val="en-US"/>
        </w:rPr>
      </w:pPr>
      <w:r>
        <w:rPr>
          <w:lang w:val="en-US"/>
        </w:rPr>
        <w:t xml:space="preserve">The model is a simple construction of a complex process, and therefore more to be seen as a hypothesis, where the study at hand falls short in providing sufficient answers. However, further examinations, following the theoretical lines of discourse theories, critical discourse analysis, CSR and crisis communication, can possibly provide </w:t>
      </w:r>
      <w:r w:rsidR="00676BD2">
        <w:rPr>
          <w:lang w:val="en-US"/>
        </w:rPr>
        <w:t xml:space="preserve">additional </w:t>
      </w:r>
      <w:r>
        <w:rPr>
          <w:lang w:val="en-US"/>
        </w:rPr>
        <w:t>valuable understandings of how an organization effectively can utilize its CSR to discursively structure a persuasive and efficient form of crisis communication.</w:t>
      </w:r>
      <w:r w:rsidR="00096D1F">
        <w:rPr>
          <w:lang w:val="en-US"/>
        </w:rPr>
        <w:br w:type="page"/>
      </w:r>
    </w:p>
    <w:bookmarkStart w:id="124" w:name="_Toc420761671" w:displacedByCustomXml="next"/>
    <w:bookmarkStart w:id="125" w:name="_Toc420075858" w:displacedByCustomXml="next"/>
    <w:sdt>
      <w:sdtPr>
        <w:rPr>
          <w:rFonts w:eastAsiaTheme="minorHAnsi" w:cstheme="minorBidi"/>
          <w:b w:val="0"/>
          <w:bCs w:val="0"/>
          <w:color w:val="auto"/>
          <w:spacing w:val="0"/>
          <w:kern w:val="0"/>
          <w:sz w:val="24"/>
          <w:szCs w:val="22"/>
        </w:rPr>
        <w:id w:val="1102608445"/>
        <w:docPartObj>
          <w:docPartGallery w:val="Bibliographies"/>
          <w:docPartUnique/>
        </w:docPartObj>
      </w:sdtPr>
      <w:sdtContent>
        <w:p w:rsidR="00096D1F" w:rsidRPr="00096D1F" w:rsidRDefault="00D471B6" w:rsidP="00337119">
          <w:pPr>
            <w:pStyle w:val="Overskrift1"/>
            <w:rPr>
              <w:lang w:val="en-US"/>
            </w:rPr>
          </w:pPr>
          <w:r>
            <w:rPr>
              <w:lang w:val="en-US"/>
            </w:rPr>
            <w:t>Bibliography</w:t>
          </w:r>
          <w:bookmarkEnd w:id="125"/>
          <w:bookmarkEnd w:id="124"/>
        </w:p>
        <w:sdt>
          <w:sdtPr>
            <w:id w:val="111145805"/>
            <w:bibliography/>
          </w:sdtPr>
          <w:sdtContent>
            <w:p w:rsidR="00F623D4" w:rsidRDefault="00096D1F" w:rsidP="00F623D4">
              <w:pPr>
                <w:pStyle w:val="Bibliografi"/>
                <w:ind w:left="720" w:hanging="720"/>
                <w:rPr>
                  <w:noProof/>
                  <w:lang w:val="en-US"/>
                </w:rPr>
              </w:pPr>
              <w:r>
                <w:fldChar w:fldCharType="begin"/>
              </w:r>
              <w:r w:rsidRPr="00096D1F">
                <w:rPr>
                  <w:lang w:val="en-US"/>
                </w:rPr>
                <w:instrText>BIBLIOGRAPHY</w:instrText>
              </w:r>
              <w:r>
                <w:fldChar w:fldCharType="separate"/>
              </w:r>
              <w:r w:rsidR="00F623D4">
                <w:rPr>
                  <w:noProof/>
                  <w:lang w:val="en-US"/>
                </w:rPr>
                <w:t xml:space="preserve">Baker, Mitchell. "Building a Global, Diverse, Inclusive Mozilla Project: Addressing Controversy." </w:t>
              </w:r>
              <w:r w:rsidR="00F623D4">
                <w:rPr>
                  <w:i/>
                  <w:iCs/>
                  <w:noProof/>
                  <w:lang w:val="en-US"/>
                </w:rPr>
                <w:t>Lizard Wrangler (Mozilla)</w:t>
              </w:r>
              <w:r w:rsidR="00F623D4">
                <w:rPr>
                  <w:noProof/>
                  <w:lang w:val="en-US"/>
                </w:rPr>
                <w:t>, March 26, 2014.</w:t>
              </w:r>
            </w:p>
            <w:p w:rsidR="00F623D4" w:rsidRDefault="00F623D4" w:rsidP="00F623D4">
              <w:pPr>
                <w:pStyle w:val="Bibliografi"/>
                <w:ind w:left="720" w:hanging="720"/>
                <w:rPr>
                  <w:noProof/>
                  <w:lang w:val="en-US"/>
                </w:rPr>
              </w:pPr>
              <w:r>
                <w:rPr>
                  <w:noProof/>
                  <w:lang w:val="en-US"/>
                </w:rPr>
                <w:t xml:space="preserve">—. "On Mozilla's Support for Marriage Equality." </w:t>
              </w:r>
              <w:r>
                <w:rPr>
                  <w:i/>
                  <w:iCs/>
                  <w:noProof/>
                  <w:lang w:val="en-US"/>
                </w:rPr>
                <w:t>Lizard Wrangler Mozilla Blog</w:t>
              </w:r>
              <w:r>
                <w:rPr>
                  <w:noProof/>
                  <w:lang w:val="en-US"/>
                </w:rPr>
                <w:t>, March 29, 2014.</w:t>
              </w:r>
            </w:p>
            <w:p w:rsidR="00F623D4" w:rsidRDefault="00F623D4" w:rsidP="00F623D4">
              <w:pPr>
                <w:pStyle w:val="Bibliografi"/>
                <w:ind w:left="720" w:hanging="720"/>
                <w:rPr>
                  <w:noProof/>
                  <w:lang w:val="en-US"/>
                </w:rPr>
              </w:pPr>
              <w:r>
                <w:rPr>
                  <w:noProof/>
                  <w:lang w:val="en-US"/>
                </w:rPr>
                <w:t xml:space="preserve">—. "Brendan Eich Steps Down as Mozilla CEO." </w:t>
              </w:r>
              <w:r>
                <w:rPr>
                  <w:i/>
                  <w:iCs/>
                  <w:noProof/>
                  <w:lang w:val="en-US"/>
                </w:rPr>
                <w:t>The Mozilla Blog</w:t>
              </w:r>
              <w:r>
                <w:rPr>
                  <w:noProof/>
                  <w:lang w:val="en-US"/>
                </w:rPr>
                <w:t>, April 3, 2014.</w:t>
              </w:r>
            </w:p>
            <w:p w:rsidR="00F623D4" w:rsidRDefault="00F623D4" w:rsidP="00F623D4">
              <w:pPr>
                <w:pStyle w:val="Bibliografi"/>
                <w:ind w:left="720" w:hanging="720"/>
                <w:rPr>
                  <w:noProof/>
                  <w:lang w:val="en-US"/>
                </w:rPr>
              </w:pPr>
              <w:r>
                <w:rPr>
                  <w:noProof/>
                  <w:lang w:val="en-US"/>
                </w:rPr>
                <w:t xml:space="preserve">Baker, Paul, and Sibonile Ellege. </w:t>
              </w:r>
              <w:r>
                <w:rPr>
                  <w:i/>
                  <w:iCs/>
                  <w:noProof/>
                  <w:lang w:val="en-US"/>
                </w:rPr>
                <w:t>Key Terms in Discourse Analysis.</w:t>
              </w:r>
              <w:r>
                <w:rPr>
                  <w:noProof/>
                  <w:lang w:val="en-US"/>
                </w:rPr>
                <w:t xml:space="preserve"> London: Continuum International Publishing Group, 2011.</w:t>
              </w:r>
            </w:p>
            <w:p w:rsidR="00F623D4" w:rsidRDefault="00F623D4" w:rsidP="00F623D4">
              <w:pPr>
                <w:pStyle w:val="Bibliografi"/>
                <w:ind w:left="720" w:hanging="720"/>
                <w:rPr>
                  <w:noProof/>
                  <w:lang w:val="en-US"/>
                </w:rPr>
              </w:pPr>
              <w:r>
                <w:rPr>
                  <w:noProof/>
                  <w:lang w:val="en-US"/>
                </w:rPr>
                <w:t xml:space="preserve">Ball, James. "Mozilla CEO insists he won't resign over 'private' support for gay marriage ban." </w:t>
              </w:r>
              <w:r>
                <w:rPr>
                  <w:i/>
                  <w:iCs/>
                  <w:noProof/>
                  <w:lang w:val="en-US"/>
                </w:rPr>
                <w:t>The Guardian</w:t>
              </w:r>
              <w:r>
                <w:rPr>
                  <w:noProof/>
                  <w:lang w:val="en-US"/>
                </w:rPr>
                <w:t>, April 2, 2014.</w:t>
              </w:r>
            </w:p>
            <w:p w:rsidR="00F623D4" w:rsidRDefault="00F623D4" w:rsidP="00F623D4">
              <w:pPr>
                <w:pStyle w:val="Bibliografi"/>
                <w:ind w:left="720" w:hanging="720"/>
                <w:rPr>
                  <w:noProof/>
                  <w:lang w:val="en-US"/>
                </w:rPr>
              </w:pPr>
              <w:r>
                <w:rPr>
                  <w:noProof/>
                  <w:lang w:val="en-US"/>
                </w:rPr>
                <w:t xml:space="preserve">Barr, Alistair. "Three Mozilla Board Members Resign over Choice of New CEO." </w:t>
              </w:r>
              <w:r>
                <w:rPr>
                  <w:i/>
                  <w:iCs/>
                  <w:noProof/>
                  <w:lang w:val="en-US"/>
                </w:rPr>
                <w:t>The Wall Street Journal</w:t>
              </w:r>
              <w:r>
                <w:rPr>
                  <w:noProof/>
                  <w:lang w:val="en-US"/>
                </w:rPr>
                <w:t>, March 28, 2014.</w:t>
              </w:r>
            </w:p>
            <w:p w:rsidR="00F623D4" w:rsidRDefault="00F623D4" w:rsidP="00F623D4">
              <w:pPr>
                <w:pStyle w:val="Bibliografi"/>
                <w:ind w:left="720" w:hanging="720"/>
                <w:rPr>
                  <w:noProof/>
                  <w:lang w:val="en-US"/>
                </w:rPr>
              </w:pPr>
              <w:r>
                <w:rPr>
                  <w:noProof/>
                  <w:lang w:val="en-US"/>
                </w:rPr>
                <w:t xml:space="preserve">Becker, John M. "Half of Mozilla's Board Resigns; Pressure Mounts on CEO." </w:t>
              </w:r>
              <w:r>
                <w:rPr>
                  <w:i/>
                  <w:iCs/>
                  <w:noProof/>
                  <w:lang w:val="en-US"/>
                </w:rPr>
                <w:t>The Bilerico Project</w:t>
              </w:r>
              <w:r>
                <w:rPr>
                  <w:noProof/>
                  <w:lang w:val="en-US"/>
                </w:rPr>
                <w:t>, March 31, 2014.</w:t>
              </w:r>
            </w:p>
            <w:p w:rsidR="00F623D4" w:rsidRDefault="00F623D4" w:rsidP="00F623D4">
              <w:pPr>
                <w:pStyle w:val="Bibliografi"/>
                <w:ind w:left="720" w:hanging="720"/>
                <w:rPr>
                  <w:noProof/>
                  <w:lang w:val="en-US"/>
                </w:rPr>
              </w:pPr>
              <w:r>
                <w:rPr>
                  <w:noProof/>
                  <w:lang w:val="en-US"/>
                </w:rPr>
                <w:t xml:space="preserve">Benoit, W. L. "Image repair discourse and crisis communication." </w:t>
              </w:r>
              <w:r>
                <w:rPr>
                  <w:i/>
                  <w:iCs/>
                  <w:noProof/>
                  <w:lang w:val="en-US"/>
                </w:rPr>
                <w:t>Public Relations Review</w:t>
              </w:r>
              <w:r>
                <w:rPr>
                  <w:noProof/>
                  <w:lang w:val="en-US"/>
                </w:rPr>
                <w:t>, 1997: 177-186.</w:t>
              </w:r>
            </w:p>
            <w:p w:rsidR="00F623D4" w:rsidRDefault="00F623D4" w:rsidP="00F623D4">
              <w:pPr>
                <w:pStyle w:val="Bibliografi"/>
                <w:ind w:left="720" w:hanging="720"/>
                <w:rPr>
                  <w:noProof/>
                  <w:lang w:val="en-US"/>
                </w:rPr>
              </w:pPr>
              <w:r>
                <w:rPr>
                  <w:noProof/>
                  <w:lang w:val="en-US"/>
                </w:rPr>
                <w:t xml:space="preserve">Benoit, William L. "Another visit to the theory of image restoration strategies." </w:t>
              </w:r>
              <w:r>
                <w:rPr>
                  <w:i/>
                  <w:iCs/>
                  <w:noProof/>
                  <w:lang w:val="en-US"/>
                </w:rPr>
                <w:t>Communication Quarterly Vol. 48.1</w:t>
              </w:r>
              <w:r>
                <w:rPr>
                  <w:noProof/>
                  <w:lang w:val="en-US"/>
                </w:rPr>
                <w:t>, 2000: 40-43.</w:t>
              </w:r>
            </w:p>
            <w:p w:rsidR="00F623D4" w:rsidRDefault="00F623D4" w:rsidP="00F623D4">
              <w:pPr>
                <w:pStyle w:val="Bibliografi"/>
                <w:ind w:left="720" w:hanging="720"/>
                <w:rPr>
                  <w:noProof/>
                  <w:lang w:val="en-US"/>
                </w:rPr>
              </w:pPr>
              <w:r>
                <w:rPr>
                  <w:noProof/>
                  <w:lang w:val="en-US"/>
                </w:rPr>
                <w:t xml:space="preserve">Benoit, William L. "Another Visit to the Theory of Image Restorations Strategies." </w:t>
              </w:r>
              <w:r>
                <w:rPr>
                  <w:i/>
                  <w:iCs/>
                  <w:noProof/>
                  <w:lang w:val="en-US"/>
                </w:rPr>
                <w:t>Communication Quarterly Vol. 48 No. 1</w:t>
              </w:r>
              <w:r>
                <w:rPr>
                  <w:noProof/>
                  <w:lang w:val="en-US"/>
                </w:rPr>
                <w:t>, 2000: 40-44.</w:t>
              </w:r>
            </w:p>
            <w:p w:rsidR="00F623D4" w:rsidRDefault="00F623D4" w:rsidP="00F623D4">
              <w:pPr>
                <w:pStyle w:val="Bibliografi"/>
                <w:ind w:left="720" w:hanging="720"/>
                <w:rPr>
                  <w:noProof/>
                  <w:lang w:val="en-US"/>
                </w:rPr>
              </w:pPr>
              <w:r>
                <w:rPr>
                  <w:noProof/>
                  <w:lang w:val="en-US"/>
                </w:rPr>
                <w:t xml:space="preserve">Benoit, William L. "Image Repair Discourse and Crisis Communication." </w:t>
              </w:r>
              <w:r>
                <w:rPr>
                  <w:i/>
                  <w:iCs/>
                  <w:noProof/>
                  <w:lang w:val="en-US"/>
                </w:rPr>
                <w:t>Public Relations Review Vol. 23</w:t>
              </w:r>
              <w:r>
                <w:rPr>
                  <w:noProof/>
                  <w:lang w:val="en-US"/>
                </w:rPr>
                <w:t>, 1997: 177-186.</w:t>
              </w:r>
            </w:p>
            <w:p w:rsidR="00F623D4" w:rsidRDefault="00F623D4" w:rsidP="00F623D4">
              <w:pPr>
                <w:pStyle w:val="Bibliografi"/>
                <w:ind w:left="720" w:hanging="720"/>
                <w:rPr>
                  <w:noProof/>
                  <w:lang w:val="en-US"/>
                </w:rPr>
              </w:pPr>
              <w:r>
                <w:rPr>
                  <w:noProof/>
                  <w:lang w:val="en-US"/>
                </w:rPr>
                <w:t xml:space="preserve">Benoit, William L. "Image Restoration Theory." In </w:t>
              </w:r>
              <w:r>
                <w:rPr>
                  <w:i/>
                  <w:iCs/>
                  <w:noProof/>
                  <w:lang w:val="en-US"/>
                </w:rPr>
                <w:t>Encyclopedia of Public Relations Vol. 1</w:t>
              </w:r>
              <w:r>
                <w:rPr>
                  <w:noProof/>
                  <w:lang w:val="en-US"/>
                </w:rPr>
                <w:t>, by Robert L. Heath, 407-410. Houston: SAGE Publications Inc., 2005.</w:t>
              </w:r>
            </w:p>
            <w:p w:rsidR="00F623D4" w:rsidRDefault="00F623D4" w:rsidP="00F623D4">
              <w:pPr>
                <w:pStyle w:val="Bibliografi"/>
                <w:ind w:left="720" w:hanging="720"/>
                <w:rPr>
                  <w:noProof/>
                  <w:lang w:val="en-US"/>
                </w:rPr>
              </w:pPr>
              <w:r>
                <w:rPr>
                  <w:noProof/>
                  <w:lang w:val="en-US"/>
                </w:rPr>
                <w:t xml:space="preserve">Benoit, William L., and Shirley Drew. "Appropriateness and Effectiveness of Image Repair Strategies." </w:t>
              </w:r>
              <w:r>
                <w:rPr>
                  <w:i/>
                  <w:iCs/>
                  <w:noProof/>
                  <w:lang w:val="en-US"/>
                </w:rPr>
                <w:t>Communication Reports, Volume 10, No. 2, Summer</w:t>
              </w:r>
              <w:r>
                <w:rPr>
                  <w:noProof/>
                  <w:lang w:val="en-US"/>
                </w:rPr>
                <w:t>, 1997: 153-163.</w:t>
              </w:r>
            </w:p>
            <w:p w:rsidR="00F623D4" w:rsidRDefault="00F623D4" w:rsidP="00F623D4">
              <w:pPr>
                <w:pStyle w:val="Bibliografi"/>
                <w:ind w:left="720" w:hanging="720"/>
                <w:rPr>
                  <w:noProof/>
                  <w:lang w:val="en-US"/>
                </w:rPr>
              </w:pPr>
              <w:r>
                <w:rPr>
                  <w:noProof/>
                  <w:lang w:val="en-US"/>
                </w:rPr>
                <w:t xml:space="preserve">Benoit, William, and Robert S. Hanczor. "The Tonya Harding controversy: An analysis of image restoration strategies." </w:t>
              </w:r>
              <w:r>
                <w:rPr>
                  <w:i/>
                  <w:iCs/>
                  <w:noProof/>
                  <w:lang w:val="en-US"/>
                </w:rPr>
                <w:t>Communication Quarterly Vol. 42,4</w:t>
              </w:r>
              <w:r>
                <w:rPr>
                  <w:noProof/>
                  <w:lang w:val="en-US"/>
                </w:rPr>
                <w:t>, 1994: 416-433.</w:t>
              </w:r>
            </w:p>
            <w:p w:rsidR="00F623D4" w:rsidRDefault="00F623D4" w:rsidP="00F623D4">
              <w:pPr>
                <w:pStyle w:val="Bibliografi"/>
                <w:ind w:left="720" w:hanging="720"/>
                <w:rPr>
                  <w:noProof/>
                  <w:lang w:val="en-US"/>
                </w:rPr>
              </w:pPr>
              <w:r>
                <w:rPr>
                  <w:noProof/>
                  <w:lang w:val="en-US"/>
                </w:rPr>
                <w:t xml:space="preserve">Berthon, Pierre R., Leyland F. Pitt, Kirk Plangger, and Daniel Shapiro. "Marketing meets Web 2.0, social media, and creative consumers: Implications for international marketing strategy." </w:t>
              </w:r>
              <w:r>
                <w:rPr>
                  <w:i/>
                  <w:iCs/>
                  <w:noProof/>
                  <w:lang w:val="en-US"/>
                </w:rPr>
                <w:t>Business Horizons</w:t>
              </w:r>
              <w:r>
                <w:rPr>
                  <w:noProof/>
                  <w:lang w:val="en-US"/>
                </w:rPr>
                <w:t>, 2012: 261-271.</w:t>
              </w:r>
            </w:p>
            <w:p w:rsidR="00F623D4" w:rsidRDefault="00F623D4" w:rsidP="00F623D4">
              <w:pPr>
                <w:pStyle w:val="Bibliografi"/>
                <w:ind w:left="720" w:hanging="720"/>
                <w:rPr>
                  <w:noProof/>
                  <w:lang w:val="en-US"/>
                </w:rPr>
              </w:pPr>
              <w:r>
                <w:rPr>
                  <w:noProof/>
                  <w:lang w:val="en-US"/>
                </w:rPr>
                <w:lastRenderedPageBreak/>
                <w:t xml:space="preserve">Blaikie, Norman. "Interpretivism." In </w:t>
              </w:r>
              <w:r>
                <w:rPr>
                  <w:i/>
                  <w:iCs/>
                  <w:noProof/>
                  <w:lang w:val="en-US"/>
                </w:rPr>
                <w:t>The SAGE Encyclopedia of Social Science Research Methods</w:t>
              </w:r>
              <w:r>
                <w:rPr>
                  <w:noProof/>
                  <w:lang w:val="en-US"/>
                </w:rPr>
                <w:t>, by Michael S. Lewis-Beck, Alan Bryman and Tim Futing Liao, 509-511. New York: SAGE Publications, Inc., 2004.</w:t>
              </w:r>
            </w:p>
            <w:p w:rsidR="00F623D4" w:rsidRDefault="00F623D4" w:rsidP="00F623D4">
              <w:pPr>
                <w:pStyle w:val="Bibliografi"/>
                <w:ind w:left="720" w:hanging="720"/>
                <w:rPr>
                  <w:noProof/>
                  <w:lang w:val="en-US"/>
                </w:rPr>
              </w:pPr>
              <w:r>
                <w:rPr>
                  <w:noProof/>
                  <w:lang w:val="en-US"/>
                </w:rPr>
                <w:t xml:space="preserve">Blindheim, Bjørn-Tore, and Oluf Langhelle. "A reinterpretation of the principles of CSR: a pragmatic approach." </w:t>
              </w:r>
              <w:r>
                <w:rPr>
                  <w:i/>
                  <w:iCs/>
                  <w:noProof/>
                  <w:lang w:val="en-US"/>
                </w:rPr>
                <w:t>Corporate Social Responsibility and Environmental Management</w:t>
              </w:r>
              <w:r>
                <w:rPr>
                  <w:noProof/>
                  <w:lang w:val="en-US"/>
                </w:rPr>
                <w:t>, 2010: 107-117.</w:t>
              </w:r>
            </w:p>
            <w:p w:rsidR="00F623D4" w:rsidRDefault="00F623D4" w:rsidP="00F623D4">
              <w:pPr>
                <w:pStyle w:val="Bibliografi"/>
                <w:ind w:left="720" w:hanging="720"/>
                <w:rPr>
                  <w:noProof/>
                  <w:lang w:val="en-US"/>
                </w:rPr>
              </w:pPr>
              <w:r>
                <w:rPr>
                  <w:noProof/>
                  <w:lang w:val="en-US"/>
                </w:rPr>
                <w:t xml:space="preserve">Bowen, Howard R. </w:t>
              </w:r>
              <w:r>
                <w:rPr>
                  <w:i/>
                  <w:iCs/>
                  <w:noProof/>
                  <w:lang w:val="en-US"/>
                </w:rPr>
                <w:t>Social Responsibility of the Businessman.</w:t>
              </w:r>
              <w:r>
                <w:rPr>
                  <w:noProof/>
                  <w:lang w:val="en-US"/>
                </w:rPr>
                <w:t xml:space="preserve"> New York: Harper &amp; Row, 1953.</w:t>
              </w:r>
            </w:p>
            <w:p w:rsidR="00F623D4" w:rsidRPr="00F623D4" w:rsidRDefault="00F623D4" w:rsidP="00F623D4">
              <w:pPr>
                <w:pStyle w:val="Bibliografi"/>
                <w:ind w:left="720" w:hanging="720"/>
                <w:rPr>
                  <w:noProof/>
                </w:rPr>
              </w:pPr>
              <w:r>
                <w:rPr>
                  <w:noProof/>
                  <w:lang w:val="en-US"/>
                </w:rPr>
                <w:t xml:space="preserve">Bradshaw, Paul. "An attempt to define blogging as a genre." </w:t>
              </w:r>
              <w:r w:rsidRPr="00F623D4">
                <w:rPr>
                  <w:i/>
                  <w:iCs/>
                  <w:noProof/>
                </w:rPr>
                <w:t>Online Jounalism Blog</w:t>
              </w:r>
              <w:r w:rsidRPr="00F623D4">
                <w:rPr>
                  <w:noProof/>
                </w:rPr>
                <w:t>, November 13, 2008.</w:t>
              </w:r>
            </w:p>
            <w:p w:rsidR="00F623D4" w:rsidRDefault="00F623D4" w:rsidP="00F623D4">
              <w:pPr>
                <w:pStyle w:val="Bibliografi"/>
                <w:ind w:left="720" w:hanging="720"/>
                <w:rPr>
                  <w:noProof/>
                  <w:lang w:val="en-US"/>
                </w:rPr>
              </w:pPr>
              <w:r w:rsidRPr="00F623D4">
                <w:rPr>
                  <w:noProof/>
                </w:rPr>
                <w:t xml:space="preserve">Brandom, Russell. </w:t>
              </w:r>
              <w:r>
                <w:rPr>
                  <w:noProof/>
                  <w:lang w:val="en-US"/>
                </w:rPr>
                <w:t xml:space="preserve">"OKCupid asks users to boycott Firefox because of CEO's gay rights stance." </w:t>
              </w:r>
              <w:r>
                <w:rPr>
                  <w:i/>
                  <w:iCs/>
                  <w:noProof/>
                  <w:lang w:val="en-US"/>
                </w:rPr>
                <w:t>The Verge</w:t>
              </w:r>
              <w:r>
                <w:rPr>
                  <w:noProof/>
                  <w:lang w:val="en-US"/>
                </w:rPr>
                <w:t>, March 31, 2014.</w:t>
              </w:r>
            </w:p>
            <w:p w:rsidR="00F623D4" w:rsidRDefault="00F623D4" w:rsidP="00F623D4">
              <w:pPr>
                <w:pStyle w:val="Bibliografi"/>
                <w:ind w:left="720" w:hanging="720"/>
                <w:rPr>
                  <w:noProof/>
                  <w:lang w:val="en-US"/>
                </w:rPr>
              </w:pPr>
              <w:r>
                <w:rPr>
                  <w:noProof/>
                  <w:lang w:val="en-US"/>
                </w:rPr>
                <w:t xml:space="preserve">Bryman, Alan. </w:t>
              </w:r>
              <w:r>
                <w:rPr>
                  <w:i/>
                  <w:iCs/>
                  <w:noProof/>
                  <w:lang w:val="en-US"/>
                </w:rPr>
                <w:t>Quantity and Quality in Social Research.</w:t>
              </w:r>
              <w:r>
                <w:rPr>
                  <w:noProof/>
                  <w:lang w:val="en-US"/>
                </w:rPr>
                <w:t xml:space="preserve"> New York: Routledge, 1988.</w:t>
              </w:r>
            </w:p>
            <w:p w:rsidR="00F623D4" w:rsidRDefault="00F623D4" w:rsidP="00F623D4">
              <w:pPr>
                <w:pStyle w:val="Bibliografi"/>
                <w:ind w:left="720" w:hanging="720"/>
                <w:rPr>
                  <w:noProof/>
                  <w:lang w:val="en-US"/>
                </w:rPr>
              </w:pPr>
              <w:r>
                <w:rPr>
                  <w:noProof/>
                  <w:lang w:val="en-US"/>
                </w:rPr>
                <w:t xml:space="preserve">Bryman, Alan. "The End of the Paradigm Wars?" In </w:t>
              </w:r>
              <w:r>
                <w:rPr>
                  <w:i/>
                  <w:iCs/>
                  <w:noProof/>
                  <w:lang w:val="en-US"/>
                </w:rPr>
                <w:t>The SAGE Handbook of Social Research Methods</w:t>
              </w:r>
              <w:r>
                <w:rPr>
                  <w:noProof/>
                  <w:lang w:val="en-US"/>
                </w:rPr>
                <w:t>, by Pertti Alasuutari, Leonard Bickman and Julia Brannen, 12-26. London: SAGE Publications Ltd, 2008.</w:t>
              </w:r>
            </w:p>
            <w:p w:rsidR="00F623D4" w:rsidRDefault="00F623D4" w:rsidP="00F623D4">
              <w:pPr>
                <w:pStyle w:val="Bibliografi"/>
                <w:ind w:left="720" w:hanging="720"/>
                <w:rPr>
                  <w:noProof/>
                  <w:lang w:val="en-US"/>
                </w:rPr>
              </w:pPr>
              <w:r>
                <w:rPr>
                  <w:noProof/>
                  <w:lang w:val="en-US"/>
                </w:rPr>
                <w:t xml:space="preserve">Burchell, Jon, and Joanne Cook. "Confronting the “corporate citizen”: Shaping the discourse of corporate social responsibility." </w:t>
              </w:r>
              <w:r>
                <w:rPr>
                  <w:i/>
                  <w:iCs/>
                  <w:noProof/>
                  <w:lang w:val="en-US"/>
                </w:rPr>
                <w:t>International Journal of Sociology and Social Policy</w:t>
              </w:r>
              <w:r>
                <w:rPr>
                  <w:noProof/>
                  <w:lang w:val="en-US"/>
                </w:rPr>
                <w:t>, 2006: 121-137.</w:t>
              </w:r>
            </w:p>
            <w:p w:rsidR="00F623D4" w:rsidRDefault="00F623D4" w:rsidP="00F623D4">
              <w:pPr>
                <w:pStyle w:val="Bibliografi"/>
                <w:ind w:left="720" w:hanging="720"/>
                <w:rPr>
                  <w:noProof/>
                  <w:lang w:val="en-US"/>
                </w:rPr>
              </w:pPr>
              <w:r>
                <w:rPr>
                  <w:noProof/>
                  <w:lang w:val="en-US"/>
                </w:rPr>
                <w:t xml:space="preserve">Burke, K. </w:t>
              </w:r>
              <w:r>
                <w:rPr>
                  <w:i/>
                  <w:iCs/>
                  <w:noProof/>
                  <w:lang w:val="en-US"/>
                </w:rPr>
                <w:t>Rhetoric of Religion.</w:t>
              </w:r>
              <w:r>
                <w:rPr>
                  <w:noProof/>
                  <w:lang w:val="en-US"/>
                </w:rPr>
                <w:t xml:space="preserve"> Berkeley: University of California Press, 1970.</w:t>
              </w:r>
            </w:p>
            <w:p w:rsidR="00F623D4" w:rsidRDefault="00F623D4" w:rsidP="00F623D4">
              <w:pPr>
                <w:pStyle w:val="Bibliografi"/>
                <w:ind w:left="720" w:hanging="720"/>
                <w:rPr>
                  <w:noProof/>
                  <w:lang w:val="en-US"/>
                </w:rPr>
              </w:pPr>
              <w:r>
                <w:rPr>
                  <w:noProof/>
                  <w:lang w:val="en-US"/>
                </w:rPr>
                <w:t xml:space="preserve">Burns, J. P, and M. S. Bruner. "Revisiting the theory of Image Restoration Strategies." </w:t>
              </w:r>
              <w:r>
                <w:rPr>
                  <w:i/>
                  <w:iCs/>
                  <w:noProof/>
                  <w:lang w:val="en-US"/>
                </w:rPr>
                <w:t>Communication Quarterly</w:t>
              </w:r>
              <w:r>
                <w:rPr>
                  <w:noProof/>
                  <w:lang w:val="en-US"/>
                </w:rPr>
                <w:t>, 2000.</w:t>
              </w:r>
            </w:p>
            <w:p w:rsidR="00F623D4" w:rsidRDefault="00F623D4" w:rsidP="00F623D4">
              <w:pPr>
                <w:pStyle w:val="Bibliografi"/>
                <w:ind w:left="720" w:hanging="720"/>
                <w:rPr>
                  <w:noProof/>
                  <w:lang w:val="en-US"/>
                </w:rPr>
              </w:pPr>
              <w:r>
                <w:rPr>
                  <w:noProof/>
                  <w:lang w:val="en-US"/>
                </w:rPr>
                <w:t xml:space="preserve">Catenaccio, Paola. "Press Releases as a Hybrid Genre: Addressing the Informative/Promotional Conundrum." </w:t>
              </w:r>
              <w:r>
                <w:rPr>
                  <w:i/>
                  <w:iCs/>
                  <w:noProof/>
                  <w:lang w:val="en-US"/>
                </w:rPr>
                <w:t>Pragmatics Vol 18 No. 1</w:t>
              </w:r>
              <w:r>
                <w:rPr>
                  <w:noProof/>
                  <w:lang w:val="en-US"/>
                </w:rPr>
                <w:t>, 2008: 9-31.</w:t>
              </w:r>
            </w:p>
            <w:p w:rsidR="00F623D4" w:rsidRDefault="00F623D4" w:rsidP="00F623D4">
              <w:pPr>
                <w:pStyle w:val="Bibliografi"/>
                <w:ind w:left="720" w:hanging="720"/>
                <w:rPr>
                  <w:noProof/>
                  <w:lang w:val="en-US"/>
                </w:rPr>
              </w:pPr>
              <w:r>
                <w:rPr>
                  <w:noProof/>
                  <w:lang w:val="en-US"/>
                </w:rPr>
                <w:t xml:space="preserve">Chia, Joy. "Communicating, Connecting and Developing Social Capital for Organisations and their Communities: Benefits for Socially Responsive Organisations." In </w:t>
              </w:r>
              <w:r>
                <w:rPr>
                  <w:i/>
                  <w:iCs/>
                  <w:noProof/>
                  <w:lang w:val="en-US"/>
                </w:rPr>
                <w:t>Communicating Corporate Social Responsibility: Perspectives and Practice</w:t>
              </w:r>
              <w:r>
                <w:rPr>
                  <w:noProof/>
                  <w:lang w:val="en-US"/>
                </w:rPr>
                <w:t>, by Ralph Tench, William Sun and Brian Jones, 41-58. Leeds: Emerald Group Publishing Limited, 2014.</w:t>
              </w:r>
            </w:p>
            <w:p w:rsidR="00F623D4" w:rsidRDefault="00F623D4" w:rsidP="00F623D4">
              <w:pPr>
                <w:pStyle w:val="Bibliografi"/>
                <w:ind w:left="720" w:hanging="720"/>
                <w:rPr>
                  <w:noProof/>
                  <w:lang w:val="en-US"/>
                </w:rPr>
              </w:pPr>
              <w:r>
                <w:rPr>
                  <w:noProof/>
                  <w:lang w:val="en-US"/>
                </w:rPr>
                <w:t xml:space="preserve">Collin, Finn. "Socialkonstruktivisme i Humaniora." In </w:t>
              </w:r>
              <w:r>
                <w:rPr>
                  <w:i/>
                  <w:iCs/>
                  <w:noProof/>
                  <w:lang w:val="en-US"/>
                </w:rPr>
                <w:t>Humanistisk Videnskabsteori</w:t>
              </w:r>
              <w:r>
                <w:rPr>
                  <w:noProof/>
                  <w:lang w:val="en-US"/>
                </w:rPr>
                <w:t>, by Finn Collin and Simo Køppe, 248-275. Viborg: DR Multimedie, 2003.</w:t>
              </w:r>
            </w:p>
            <w:p w:rsidR="00F623D4" w:rsidRDefault="00F623D4" w:rsidP="00F623D4">
              <w:pPr>
                <w:pStyle w:val="Bibliografi"/>
                <w:ind w:left="720" w:hanging="720"/>
                <w:rPr>
                  <w:noProof/>
                  <w:lang w:val="en-US"/>
                </w:rPr>
              </w:pPr>
              <w:r>
                <w:rPr>
                  <w:noProof/>
                  <w:lang w:val="en-US"/>
                </w:rPr>
                <w:t xml:space="preserve">Coombs, Timothy, and Sherry Holladay. "Helping Crisis Managers Protect Reputational Assets." </w:t>
              </w:r>
              <w:r>
                <w:rPr>
                  <w:i/>
                  <w:iCs/>
                  <w:noProof/>
                  <w:lang w:val="en-US"/>
                </w:rPr>
                <w:t>Management Communication Quarterly Vol 16</w:t>
              </w:r>
              <w:r>
                <w:rPr>
                  <w:noProof/>
                  <w:lang w:val="en-US"/>
                </w:rPr>
                <w:t>, 2002: 165-186.</w:t>
              </w:r>
            </w:p>
            <w:p w:rsidR="00F623D4" w:rsidRDefault="00F623D4" w:rsidP="00F623D4">
              <w:pPr>
                <w:pStyle w:val="Bibliografi"/>
                <w:ind w:left="720" w:hanging="720"/>
                <w:rPr>
                  <w:noProof/>
                  <w:lang w:val="en-US"/>
                </w:rPr>
              </w:pPr>
              <w:r>
                <w:rPr>
                  <w:noProof/>
                  <w:lang w:val="en-US"/>
                </w:rPr>
                <w:lastRenderedPageBreak/>
                <w:t xml:space="preserve">Coombs, W. Timothy. "Conceptualizing Crisis Communication." In </w:t>
              </w:r>
              <w:r>
                <w:rPr>
                  <w:i/>
                  <w:iCs/>
                  <w:noProof/>
                  <w:lang w:val="en-US"/>
                </w:rPr>
                <w:t>Handbook of Risk and Crisis Communication</w:t>
              </w:r>
              <w:r>
                <w:rPr>
                  <w:noProof/>
                  <w:lang w:val="en-US"/>
                </w:rPr>
                <w:t>, by Robert L.Heath and H.Dan O’Hair, 99-118. New York: Routledge, 2009.</w:t>
              </w:r>
            </w:p>
            <w:p w:rsidR="00F623D4" w:rsidRDefault="00F623D4" w:rsidP="00F623D4">
              <w:pPr>
                <w:pStyle w:val="Bibliografi"/>
                <w:ind w:left="720" w:hanging="720"/>
                <w:rPr>
                  <w:noProof/>
                  <w:lang w:val="en-US"/>
                </w:rPr>
              </w:pPr>
              <w:r>
                <w:rPr>
                  <w:noProof/>
                  <w:lang w:val="en-US"/>
                </w:rPr>
                <w:t xml:space="preserve">—. </w:t>
              </w:r>
              <w:r>
                <w:rPr>
                  <w:i/>
                  <w:iCs/>
                  <w:noProof/>
                  <w:lang w:val="en-US"/>
                </w:rPr>
                <w:t>Ongoing Crisis Communication: Planning, Managing and Responding - Fourth Edition.</w:t>
              </w:r>
              <w:r>
                <w:rPr>
                  <w:noProof/>
                  <w:lang w:val="en-US"/>
                </w:rPr>
                <w:t xml:space="preserve"> Thoudsand Oaks: SAGE Publications Inc., 2015.</w:t>
              </w:r>
            </w:p>
            <w:p w:rsidR="00F623D4" w:rsidRDefault="00F623D4" w:rsidP="00F623D4">
              <w:pPr>
                <w:pStyle w:val="Bibliografi"/>
                <w:ind w:left="720" w:hanging="720"/>
                <w:rPr>
                  <w:noProof/>
                  <w:lang w:val="en-US"/>
                </w:rPr>
              </w:pPr>
              <w:r>
                <w:rPr>
                  <w:noProof/>
                  <w:lang w:val="en-US"/>
                </w:rPr>
                <w:t xml:space="preserve">Coombs, W. Timothy. "Protecting Organization Reputations During a Crisis: The Development and Application of Situational Crisis Communication Theory." </w:t>
              </w:r>
              <w:r>
                <w:rPr>
                  <w:i/>
                  <w:iCs/>
                  <w:noProof/>
                  <w:lang w:val="en-US"/>
                </w:rPr>
                <w:t>Corporate Reputation Review Volume 10 Number 3</w:t>
              </w:r>
              <w:r>
                <w:rPr>
                  <w:noProof/>
                  <w:lang w:val="en-US"/>
                </w:rPr>
                <w:t>, 2007: 163-176.</w:t>
              </w:r>
            </w:p>
            <w:p w:rsidR="00F623D4" w:rsidRDefault="00F623D4" w:rsidP="00F623D4">
              <w:pPr>
                <w:pStyle w:val="Bibliografi"/>
                <w:ind w:left="720" w:hanging="720"/>
                <w:rPr>
                  <w:noProof/>
                  <w:lang w:val="en-US"/>
                </w:rPr>
              </w:pPr>
              <w:r>
                <w:rPr>
                  <w:noProof/>
                  <w:lang w:val="en-US"/>
                </w:rPr>
                <w:t xml:space="preserve">Coombs, W. Timothy, and J. Sherry Holladay. "The paracrisis: The challenges created by publicly managing crisis prevention." </w:t>
              </w:r>
              <w:r>
                <w:rPr>
                  <w:i/>
                  <w:iCs/>
                  <w:noProof/>
                  <w:lang w:val="en-US"/>
                </w:rPr>
                <w:t>Public Relations Review</w:t>
              </w:r>
              <w:r>
                <w:rPr>
                  <w:noProof/>
                  <w:lang w:val="en-US"/>
                </w:rPr>
                <w:t>, April 6, 2012: 408-215.</w:t>
              </w:r>
            </w:p>
            <w:p w:rsidR="00F623D4" w:rsidRDefault="00F623D4" w:rsidP="00F623D4">
              <w:pPr>
                <w:pStyle w:val="Bibliografi"/>
                <w:ind w:left="720" w:hanging="720"/>
                <w:rPr>
                  <w:noProof/>
                  <w:lang w:val="en-US"/>
                </w:rPr>
              </w:pPr>
              <w:r>
                <w:rPr>
                  <w:noProof/>
                  <w:lang w:val="en-US"/>
                </w:rPr>
                <w:t xml:space="preserve">Coombs, W. Timothy, and Sherry J. Holladay. "Conceptualizing Corporate Social Responsibility." In </w:t>
              </w:r>
              <w:r>
                <w:rPr>
                  <w:i/>
                  <w:iCs/>
                  <w:noProof/>
                  <w:lang w:val="en-US"/>
                </w:rPr>
                <w:t>Managing Corporate Social Responsibility: A Communication Approach, First Edition.</w:t>
              </w:r>
              <w:r>
                <w:rPr>
                  <w:noProof/>
                  <w:lang w:val="en-US"/>
                </w:rPr>
                <w:t>, by W. Timothy Coombs and Sherry J. Holladay, 1-27. Oxford: Blackwel lPublishing Ltd., 2012.</w:t>
              </w:r>
            </w:p>
            <w:p w:rsidR="00F623D4" w:rsidRDefault="00F623D4" w:rsidP="00F623D4">
              <w:pPr>
                <w:pStyle w:val="Bibliografi"/>
                <w:ind w:left="720" w:hanging="720"/>
                <w:rPr>
                  <w:noProof/>
                  <w:lang w:val="en-US"/>
                </w:rPr>
              </w:pPr>
              <w:r>
                <w:rPr>
                  <w:noProof/>
                  <w:lang w:val="en-US"/>
                </w:rPr>
                <w:t xml:space="preserve">—. </w:t>
              </w:r>
              <w:r>
                <w:rPr>
                  <w:i/>
                  <w:iCs/>
                  <w:noProof/>
                  <w:lang w:val="en-US"/>
                </w:rPr>
                <w:t>Managing Corporate Social Responsibility: A Communication Approach.</w:t>
              </w:r>
              <w:r>
                <w:rPr>
                  <w:noProof/>
                  <w:lang w:val="en-US"/>
                </w:rPr>
                <w:t xml:space="preserve"> Oxford: Blackwell Publications, 2012.</w:t>
              </w:r>
            </w:p>
            <w:p w:rsidR="00F623D4" w:rsidRDefault="00F623D4" w:rsidP="00F623D4">
              <w:pPr>
                <w:pStyle w:val="Bibliografi"/>
                <w:ind w:left="720" w:hanging="720"/>
                <w:rPr>
                  <w:noProof/>
                  <w:lang w:val="en-US"/>
                </w:rPr>
              </w:pPr>
              <w:r>
                <w:rPr>
                  <w:noProof/>
                  <w:lang w:val="en-US"/>
                </w:rPr>
                <w:t xml:space="preserve">Cornelissen, Joep. "Corporate Identity, Image and Reputation." In </w:t>
              </w:r>
              <w:r>
                <w:rPr>
                  <w:i/>
                  <w:iCs/>
                  <w:noProof/>
                  <w:lang w:val="en-US"/>
                </w:rPr>
                <w:t>Corporate Communication: A Guide to Theory and Practice</w:t>
              </w:r>
              <w:r>
                <w:rPr>
                  <w:noProof/>
                  <w:lang w:val="en-US"/>
                </w:rPr>
                <w:t>, by Joep Cornelissen, 59-79. London: SAGE Publications Ltd., 2011.</w:t>
              </w:r>
            </w:p>
            <w:p w:rsidR="00F623D4" w:rsidRDefault="00F623D4" w:rsidP="00F623D4">
              <w:pPr>
                <w:pStyle w:val="Bibliografi"/>
                <w:ind w:left="720" w:hanging="720"/>
                <w:rPr>
                  <w:noProof/>
                  <w:lang w:val="en-US"/>
                </w:rPr>
              </w:pPr>
              <w:r>
                <w:rPr>
                  <w:noProof/>
                  <w:lang w:val="en-US"/>
                </w:rPr>
                <w:t xml:space="preserve">Cornelissen, Joep. "Crisis Communication." In </w:t>
              </w:r>
              <w:r>
                <w:rPr>
                  <w:i/>
                  <w:iCs/>
                  <w:noProof/>
                  <w:lang w:val="en-US"/>
                </w:rPr>
                <w:t>Corporate Communication: A Guide to Theory and Practice</w:t>
              </w:r>
              <w:r>
                <w:rPr>
                  <w:noProof/>
                  <w:lang w:val="en-US"/>
                </w:rPr>
                <w:t>, by Joep Cornelissen, 199-213. London: SAGE Publications, 2011.</w:t>
              </w:r>
            </w:p>
            <w:p w:rsidR="00F623D4" w:rsidRDefault="00F623D4" w:rsidP="00F623D4">
              <w:pPr>
                <w:pStyle w:val="Bibliografi"/>
                <w:ind w:left="720" w:hanging="720"/>
                <w:rPr>
                  <w:noProof/>
                  <w:lang w:val="en-US"/>
                </w:rPr>
              </w:pPr>
              <w:r>
                <w:rPr>
                  <w:noProof/>
                  <w:lang w:val="en-US"/>
                </w:rPr>
                <w:t xml:space="preserve">Davis, Keith. "Can business afford to ignore social responsibility?" </w:t>
              </w:r>
              <w:r>
                <w:rPr>
                  <w:i/>
                  <w:iCs/>
                  <w:noProof/>
                  <w:lang w:val="en-US"/>
                </w:rPr>
                <w:t>California Management Review, 2</w:t>
              </w:r>
              <w:r>
                <w:rPr>
                  <w:noProof/>
                  <w:lang w:val="en-US"/>
                </w:rPr>
                <w:t>, 1960: 71-73.</w:t>
              </w:r>
            </w:p>
            <w:p w:rsidR="00F623D4" w:rsidRDefault="00F623D4" w:rsidP="00F623D4">
              <w:pPr>
                <w:pStyle w:val="Bibliografi"/>
                <w:ind w:left="720" w:hanging="720"/>
                <w:rPr>
                  <w:noProof/>
                  <w:lang w:val="en-US"/>
                </w:rPr>
              </w:pPr>
              <w:r>
                <w:rPr>
                  <w:noProof/>
                  <w:lang w:val="en-US"/>
                </w:rPr>
                <w:t xml:space="preserve">Dhanesh, Ganga S. "A Dialectical Approach to Analyzing Polyphonic Discourses of Corporate Social Responsibility." In </w:t>
              </w:r>
              <w:r>
                <w:rPr>
                  <w:i/>
                  <w:iCs/>
                  <w:noProof/>
                  <w:lang w:val="en-US"/>
                </w:rPr>
                <w:t>Communicating Corporate Social Responsibility: Perspectives and Practice</w:t>
              </w:r>
              <w:r>
                <w:rPr>
                  <w:noProof/>
                  <w:lang w:val="en-US"/>
                </w:rPr>
                <w:t>, by William Sun, Brian Jones Ralph Tench, 157-177. Leeds: Emerald Group Publishing Limited, 2014.</w:t>
              </w:r>
            </w:p>
            <w:p w:rsidR="00F623D4" w:rsidRDefault="00F623D4" w:rsidP="00F623D4">
              <w:pPr>
                <w:pStyle w:val="Bibliografi"/>
                <w:ind w:left="720" w:hanging="720"/>
                <w:rPr>
                  <w:noProof/>
                  <w:lang w:val="en-US"/>
                </w:rPr>
              </w:pPr>
              <w:r>
                <w:rPr>
                  <w:noProof/>
                  <w:lang w:val="en-US"/>
                </w:rPr>
                <w:t xml:space="preserve">Dijk, Teun Van. "Multidisiplinary CDA: A Pleas for Diversity." In </w:t>
              </w:r>
              <w:r>
                <w:rPr>
                  <w:i/>
                  <w:iCs/>
                  <w:noProof/>
                  <w:lang w:val="en-US"/>
                </w:rPr>
                <w:t>Methods of Critical Discourse Analysis</w:t>
              </w:r>
              <w:r>
                <w:rPr>
                  <w:noProof/>
                  <w:lang w:val="en-US"/>
                </w:rPr>
                <w:t>, by R. Wodak and M. Meyer, 95-120. London: Sage, 2001.</w:t>
              </w:r>
            </w:p>
            <w:p w:rsidR="00F623D4" w:rsidRDefault="00F623D4" w:rsidP="00F623D4">
              <w:pPr>
                <w:pStyle w:val="Bibliografi"/>
                <w:ind w:left="720" w:hanging="720"/>
                <w:rPr>
                  <w:noProof/>
                  <w:lang w:val="en-US"/>
                </w:rPr>
              </w:pPr>
              <w:r>
                <w:rPr>
                  <w:noProof/>
                  <w:lang w:val="en-US"/>
                </w:rPr>
                <w:t xml:space="preserve">Dobers, Peter, and Delyse Springett. "Corporate Social Responsibility: Discourse, Narratives and Communication." </w:t>
              </w:r>
              <w:r>
                <w:rPr>
                  <w:i/>
                  <w:iCs/>
                  <w:noProof/>
                  <w:lang w:val="en-US"/>
                </w:rPr>
                <w:t>Corporate Social Responsibility and Environmental Management - Volume 17, issue 2</w:t>
              </w:r>
              <w:r>
                <w:rPr>
                  <w:noProof/>
                  <w:lang w:val="en-US"/>
                </w:rPr>
                <w:t>, 2010: 63-69.</w:t>
              </w:r>
            </w:p>
            <w:p w:rsidR="00F623D4" w:rsidRDefault="00F623D4" w:rsidP="00F623D4">
              <w:pPr>
                <w:pStyle w:val="Bibliografi"/>
                <w:ind w:left="720" w:hanging="720"/>
                <w:rPr>
                  <w:noProof/>
                  <w:lang w:val="en-US"/>
                </w:rPr>
              </w:pPr>
              <w:r>
                <w:rPr>
                  <w:noProof/>
                  <w:lang w:val="en-US"/>
                </w:rPr>
                <w:t xml:space="preserve">Eich, Brendan. "Brendan Eich." </w:t>
              </w:r>
              <w:r>
                <w:rPr>
                  <w:i/>
                  <w:iCs/>
                  <w:noProof/>
                  <w:lang w:val="en-US"/>
                </w:rPr>
                <w:t>brendaneich.com.</w:t>
              </w:r>
              <w:r>
                <w:rPr>
                  <w:noProof/>
                  <w:lang w:val="en-US"/>
                </w:rPr>
                <w:t xml:space="preserve"> April 5, 2012. https://brendaneich.com/2012/04/community-and-diversity/ (accessed April 19, 2015).</w:t>
              </w:r>
            </w:p>
            <w:p w:rsidR="00F623D4" w:rsidRDefault="00F623D4" w:rsidP="00F623D4">
              <w:pPr>
                <w:pStyle w:val="Bibliografi"/>
                <w:ind w:left="720" w:hanging="720"/>
                <w:rPr>
                  <w:noProof/>
                  <w:lang w:val="en-US"/>
                </w:rPr>
              </w:pPr>
              <w:r>
                <w:rPr>
                  <w:noProof/>
                  <w:lang w:val="en-US"/>
                </w:rPr>
                <w:lastRenderedPageBreak/>
                <w:t xml:space="preserve">—. "The Next Mission." </w:t>
              </w:r>
              <w:r>
                <w:rPr>
                  <w:i/>
                  <w:iCs/>
                  <w:noProof/>
                  <w:lang w:val="en-US"/>
                </w:rPr>
                <w:t>Brendaneich (Mozilla)</w:t>
              </w:r>
              <w:r>
                <w:rPr>
                  <w:noProof/>
                  <w:lang w:val="en-US"/>
                </w:rPr>
                <w:t>, April 3, 2014.</w:t>
              </w:r>
            </w:p>
            <w:p w:rsidR="00F623D4" w:rsidRDefault="00F623D4" w:rsidP="00F623D4">
              <w:pPr>
                <w:pStyle w:val="Bibliografi"/>
                <w:ind w:left="720" w:hanging="720"/>
                <w:rPr>
                  <w:noProof/>
                  <w:lang w:val="en-US"/>
                </w:rPr>
              </w:pPr>
              <w:r>
                <w:rPr>
                  <w:noProof/>
                  <w:lang w:val="en-US"/>
                </w:rPr>
                <w:t xml:space="preserve">—. "Inclusiveness at Mozilla." </w:t>
              </w:r>
              <w:r>
                <w:rPr>
                  <w:i/>
                  <w:iCs/>
                  <w:noProof/>
                  <w:lang w:val="en-US"/>
                </w:rPr>
                <w:t>Mozilla Blog - Brendan Eich</w:t>
              </w:r>
              <w:r>
                <w:rPr>
                  <w:noProof/>
                  <w:lang w:val="en-US"/>
                </w:rPr>
                <w:t>, March 26, 2014.</w:t>
              </w:r>
            </w:p>
            <w:p w:rsidR="00F623D4" w:rsidRDefault="00F623D4" w:rsidP="00F623D4">
              <w:pPr>
                <w:pStyle w:val="Bibliografi"/>
                <w:ind w:left="720" w:hanging="720"/>
                <w:rPr>
                  <w:noProof/>
                  <w:lang w:val="en-US"/>
                </w:rPr>
              </w:pPr>
              <w:r>
                <w:rPr>
                  <w:noProof/>
                  <w:lang w:val="en-US"/>
                </w:rPr>
                <w:t xml:space="preserve">European Commission. </w:t>
              </w:r>
              <w:r>
                <w:rPr>
                  <w:i/>
                  <w:iCs/>
                  <w:noProof/>
                  <w:lang w:val="en-US"/>
                </w:rPr>
                <w:t>A renewed EU strategy 2011-14 for Corporate Social Responsibility.</w:t>
              </w:r>
              <w:r>
                <w:rPr>
                  <w:noProof/>
                  <w:lang w:val="en-US"/>
                </w:rPr>
                <w:t xml:space="preserve"> Communication from the Commission to the European Parliament, the Council, the European Economic and Social Committee and the Committee of the Regions, Brussels: European Commission, 2011.</w:t>
              </w:r>
            </w:p>
            <w:p w:rsidR="00F623D4" w:rsidRDefault="00F623D4" w:rsidP="00F623D4">
              <w:pPr>
                <w:pStyle w:val="Bibliografi"/>
                <w:ind w:left="720" w:hanging="720"/>
                <w:rPr>
                  <w:noProof/>
                  <w:lang w:val="en-US"/>
                </w:rPr>
              </w:pPr>
              <w:r>
                <w:rPr>
                  <w:noProof/>
                  <w:lang w:val="en-US"/>
                </w:rPr>
                <w:t xml:space="preserve">Fairbrass, Jenny, Linda O’Riordan, and Hafiz Mirza. </w:t>
              </w:r>
              <w:r>
                <w:rPr>
                  <w:i/>
                  <w:iCs/>
                  <w:noProof/>
                  <w:lang w:val="en-US"/>
                </w:rPr>
                <w:t>Corporate Social Responsibility: Differing definitions and Practices?</w:t>
              </w:r>
              <w:r>
                <w:rPr>
                  <w:noProof/>
                  <w:lang w:val="en-US"/>
                </w:rPr>
                <w:t xml:space="preserve"> Prepared for Business Strategy and the Environment Conference 2005, UK, Bradford: School of Management - University of Bradford, 2005.</w:t>
              </w:r>
            </w:p>
            <w:p w:rsidR="00F623D4" w:rsidRDefault="00F623D4" w:rsidP="00F623D4">
              <w:pPr>
                <w:pStyle w:val="Bibliografi"/>
                <w:ind w:left="720" w:hanging="720"/>
                <w:rPr>
                  <w:noProof/>
                  <w:lang w:val="en-US"/>
                </w:rPr>
              </w:pPr>
              <w:r>
                <w:rPr>
                  <w:noProof/>
                  <w:lang w:val="en-US"/>
                </w:rPr>
                <w:t xml:space="preserve">Faircloth, Kelly. "Tech Celeb Makes Prop-8 Donation; Internet Goes Berserk." </w:t>
              </w:r>
              <w:r>
                <w:rPr>
                  <w:i/>
                  <w:iCs/>
                  <w:noProof/>
                  <w:lang w:val="en-US"/>
                </w:rPr>
                <w:t>Observer</w:t>
              </w:r>
              <w:r>
                <w:rPr>
                  <w:noProof/>
                  <w:lang w:val="en-US"/>
                </w:rPr>
                <w:t>, April 9, 2012.</w:t>
              </w:r>
            </w:p>
            <w:p w:rsidR="00F623D4" w:rsidRDefault="00F623D4" w:rsidP="00F623D4">
              <w:pPr>
                <w:pStyle w:val="Bibliografi"/>
                <w:ind w:left="720" w:hanging="720"/>
                <w:rPr>
                  <w:noProof/>
                  <w:lang w:val="en-US"/>
                </w:rPr>
              </w:pPr>
              <w:r>
                <w:rPr>
                  <w:noProof/>
                  <w:lang w:val="en-US"/>
                </w:rPr>
                <w:t xml:space="preserve">Fairclough, Norman. </w:t>
              </w:r>
              <w:r>
                <w:rPr>
                  <w:i/>
                  <w:iCs/>
                  <w:noProof/>
                  <w:lang w:val="en-US"/>
                </w:rPr>
                <w:t>Critical Discourse Analysis.</w:t>
              </w:r>
              <w:r>
                <w:rPr>
                  <w:noProof/>
                  <w:lang w:val="en-US"/>
                </w:rPr>
                <w:t xml:space="preserve"> Longman, 2010.</w:t>
              </w:r>
            </w:p>
            <w:p w:rsidR="00F623D4" w:rsidRDefault="00F623D4" w:rsidP="00F623D4">
              <w:pPr>
                <w:pStyle w:val="Bibliografi"/>
                <w:ind w:left="720" w:hanging="720"/>
                <w:rPr>
                  <w:noProof/>
                  <w:lang w:val="en-US"/>
                </w:rPr>
              </w:pPr>
              <w:r>
                <w:rPr>
                  <w:noProof/>
                  <w:lang w:val="en-US"/>
                </w:rPr>
                <w:t xml:space="preserve">—. </w:t>
              </w:r>
              <w:r>
                <w:rPr>
                  <w:i/>
                  <w:iCs/>
                  <w:noProof/>
                  <w:lang w:val="en-US"/>
                </w:rPr>
                <w:t>Critical Discourse Analysis: The Critical Study of Language.</w:t>
              </w:r>
              <w:r>
                <w:rPr>
                  <w:noProof/>
                  <w:lang w:val="en-US"/>
                </w:rPr>
                <w:t xml:space="preserve"> Edinburgh: Pearson Education Limited, 2010.</w:t>
              </w:r>
            </w:p>
            <w:p w:rsidR="00F623D4" w:rsidRDefault="00F623D4" w:rsidP="00F623D4">
              <w:pPr>
                <w:pStyle w:val="Bibliografi"/>
                <w:ind w:left="720" w:hanging="720"/>
                <w:rPr>
                  <w:noProof/>
                  <w:lang w:val="en-US"/>
                </w:rPr>
              </w:pPr>
              <w:r>
                <w:rPr>
                  <w:noProof/>
                  <w:lang w:val="en-US"/>
                </w:rPr>
                <w:t xml:space="preserve">—. </w:t>
              </w:r>
              <w:r>
                <w:rPr>
                  <w:i/>
                  <w:iCs/>
                  <w:noProof/>
                  <w:lang w:val="en-US"/>
                </w:rPr>
                <w:t>Discourse and Social Change.</w:t>
              </w:r>
              <w:r>
                <w:rPr>
                  <w:noProof/>
                  <w:lang w:val="en-US"/>
                </w:rPr>
                <w:t xml:space="preserve"> Cambridge: Polity Press, 1992.</w:t>
              </w:r>
            </w:p>
            <w:p w:rsidR="00F623D4" w:rsidRDefault="00F623D4" w:rsidP="00F623D4">
              <w:pPr>
                <w:pStyle w:val="Bibliografi"/>
                <w:ind w:left="720" w:hanging="720"/>
                <w:rPr>
                  <w:noProof/>
                  <w:lang w:val="en-US"/>
                </w:rPr>
              </w:pPr>
              <w:r>
                <w:rPr>
                  <w:noProof/>
                  <w:lang w:val="en-US"/>
                </w:rPr>
                <w:t xml:space="preserve">—. </w:t>
              </w:r>
              <w:r>
                <w:rPr>
                  <w:i/>
                  <w:iCs/>
                  <w:noProof/>
                  <w:lang w:val="en-US"/>
                </w:rPr>
                <w:t>Media Discourse.</w:t>
              </w:r>
              <w:r>
                <w:rPr>
                  <w:noProof/>
                  <w:lang w:val="en-US"/>
                </w:rPr>
                <w:t xml:space="preserve"> London: Edward Arnold, 1995b.</w:t>
              </w:r>
            </w:p>
            <w:p w:rsidR="00F623D4" w:rsidRDefault="00F623D4" w:rsidP="00F623D4">
              <w:pPr>
                <w:pStyle w:val="Bibliografi"/>
                <w:ind w:left="720" w:hanging="720"/>
                <w:rPr>
                  <w:noProof/>
                  <w:lang w:val="en-US"/>
                </w:rPr>
              </w:pPr>
              <w:r>
                <w:rPr>
                  <w:noProof/>
                  <w:lang w:val="en-US"/>
                </w:rPr>
                <w:t xml:space="preserve">Fleming, Peter, and Marc T. Jones. </w:t>
              </w:r>
              <w:r>
                <w:rPr>
                  <w:i/>
                  <w:iCs/>
                  <w:noProof/>
                  <w:lang w:val="en-US"/>
                </w:rPr>
                <w:t>The End of Corporate Social Responsibility: Crisis &amp; Critique.</w:t>
              </w:r>
              <w:r>
                <w:rPr>
                  <w:noProof/>
                  <w:lang w:val="en-US"/>
                </w:rPr>
                <w:t xml:space="preserve"> London: SAGE Publications, 2013.</w:t>
              </w:r>
            </w:p>
            <w:p w:rsidR="00F623D4" w:rsidRDefault="00F623D4" w:rsidP="00F623D4">
              <w:pPr>
                <w:pStyle w:val="Bibliografi"/>
                <w:ind w:left="720" w:hanging="720"/>
                <w:rPr>
                  <w:noProof/>
                  <w:lang w:val="en-US"/>
                </w:rPr>
              </w:pPr>
              <w:r>
                <w:rPr>
                  <w:noProof/>
                  <w:lang w:val="en-US"/>
                </w:rPr>
                <w:t xml:space="preserve">Fombrun, C.J. "Building corporate reputation through CSR initiatives: Evolving standards." In </w:t>
              </w:r>
              <w:r>
                <w:rPr>
                  <w:i/>
                  <w:iCs/>
                  <w:noProof/>
                  <w:lang w:val="en-US"/>
                </w:rPr>
                <w:t>Corporate Reputation Review , 8 ( 1 )</w:t>
              </w:r>
              <w:r>
                <w:rPr>
                  <w:noProof/>
                  <w:lang w:val="en-US"/>
                </w:rPr>
                <w:t>, by Corporate Reputation Review, 7-11. Palgrave Macmillan Ltd., 2005.</w:t>
              </w:r>
            </w:p>
            <w:p w:rsidR="00F623D4" w:rsidRDefault="00F623D4" w:rsidP="00F623D4">
              <w:pPr>
                <w:pStyle w:val="Bibliografi"/>
                <w:ind w:left="720" w:hanging="720"/>
                <w:rPr>
                  <w:noProof/>
                  <w:lang w:val="en-US"/>
                </w:rPr>
              </w:pPr>
              <w:r>
                <w:rPr>
                  <w:noProof/>
                  <w:lang w:val="en-US"/>
                </w:rPr>
                <w:t xml:space="preserve">Foucault, Michel. </w:t>
              </w:r>
              <w:r>
                <w:rPr>
                  <w:i/>
                  <w:iCs/>
                  <w:noProof/>
                  <w:lang w:val="en-US"/>
                </w:rPr>
                <w:t>Archaeology of Knowledge.</w:t>
              </w:r>
              <w:r>
                <w:rPr>
                  <w:noProof/>
                  <w:lang w:val="en-US"/>
                </w:rPr>
                <w:t xml:space="preserve"> Hove: Psychology Press, 2002.</w:t>
              </w:r>
            </w:p>
            <w:p w:rsidR="00F623D4" w:rsidRDefault="00F623D4" w:rsidP="00F623D4">
              <w:pPr>
                <w:pStyle w:val="Bibliografi"/>
                <w:ind w:left="720" w:hanging="720"/>
                <w:rPr>
                  <w:noProof/>
                  <w:lang w:val="en-US"/>
                </w:rPr>
              </w:pPr>
              <w:r>
                <w:rPr>
                  <w:noProof/>
                  <w:lang w:val="en-US"/>
                </w:rPr>
                <w:t xml:space="preserve">Fowler, Roger, Robert Hodge, Gunter Kress, and Tony Trew. </w:t>
              </w:r>
              <w:r>
                <w:rPr>
                  <w:i/>
                  <w:iCs/>
                  <w:noProof/>
                  <w:lang w:val="en-US"/>
                </w:rPr>
                <w:t>Language and Control.</w:t>
              </w:r>
              <w:r>
                <w:rPr>
                  <w:noProof/>
                  <w:lang w:val="en-US"/>
                </w:rPr>
                <w:t xml:space="preserve"> London: Routledge, 1979.</w:t>
              </w:r>
            </w:p>
            <w:p w:rsidR="00F623D4" w:rsidRPr="00F623D4" w:rsidRDefault="00F623D4" w:rsidP="00F623D4">
              <w:pPr>
                <w:pStyle w:val="Bibliografi"/>
                <w:ind w:left="720" w:hanging="720"/>
                <w:rPr>
                  <w:noProof/>
                </w:rPr>
              </w:pPr>
              <w:r>
                <w:rPr>
                  <w:noProof/>
                  <w:lang w:val="en-US"/>
                </w:rPr>
                <w:t xml:space="preserve">Frandsen, Finn, and Winni Johansen. "Inside the Rhetorical Arena: Developing a multi-vocal approach to crisis communication." </w:t>
              </w:r>
              <w:r w:rsidRPr="00F623D4">
                <w:rPr>
                  <w:i/>
                  <w:iCs/>
                  <w:noProof/>
                </w:rPr>
                <w:t>Aarhus University.</w:t>
              </w:r>
              <w:r w:rsidRPr="00F623D4">
                <w:rPr>
                  <w:noProof/>
                </w:rPr>
                <w:t xml:space="preserve"> Örebro, November 30, 2012.</w:t>
              </w:r>
            </w:p>
            <w:p w:rsidR="00F623D4" w:rsidRDefault="00F623D4" w:rsidP="00F623D4">
              <w:pPr>
                <w:pStyle w:val="Bibliografi"/>
                <w:ind w:left="720" w:hanging="720"/>
                <w:rPr>
                  <w:noProof/>
                  <w:lang w:val="en-US"/>
                </w:rPr>
              </w:pPr>
              <w:r w:rsidRPr="00F623D4">
                <w:rPr>
                  <w:noProof/>
                </w:rPr>
                <w:t xml:space="preserve">—. </w:t>
              </w:r>
              <w:r w:rsidRPr="00F623D4">
                <w:rPr>
                  <w:i/>
                  <w:iCs/>
                  <w:noProof/>
                </w:rPr>
                <w:t>Krisekommunikation: når virksomhedens image og omdømme er truet.</w:t>
              </w:r>
              <w:r w:rsidRPr="00F623D4">
                <w:rPr>
                  <w:noProof/>
                </w:rPr>
                <w:t xml:space="preserve"> </w:t>
              </w:r>
              <w:r>
                <w:rPr>
                  <w:noProof/>
                  <w:lang w:val="en-US"/>
                </w:rPr>
                <w:t>Samfundslitteratur, 2007.</w:t>
              </w:r>
            </w:p>
            <w:p w:rsidR="00F623D4" w:rsidRDefault="00F623D4" w:rsidP="00F623D4">
              <w:pPr>
                <w:pStyle w:val="Bibliografi"/>
                <w:ind w:left="720" w:hanging="720"/>
                <w:rPr>
                  <w:noProof/>
                  <w:lang w:val="en-US"/>
                </w:rPr>
              </w:pPr>
              <w:r>
                <w:rPr>
                  <w:noProof/>
                  <w:lang w:val="en-US"/>
                </w:rPr>
                <w:t xml:space="preserve">Frandsen, Finn, and Winni Johansen. "Rhetorical Arena (Crisis Theory)." In </w:t>
              </w:r>
              <w:r>
                <w:rPr>
                  <w:i/>
                  <w:iCs/>
                  <w:noProof/>
                  <w:lang w:val="en-US"/>
                </w:rPr>
                <w:t>Encyclopedia of Public Relations</w:t>
              </w:r>
              <w:r>
                <w:rPr>
                  <w:noProof/>
                  <w:lang w:val="en-US"/>
                </w:rPr>
                <w:t>, by Robert L. Heath, 798-801. Thousand Oaks: SAGE Publications, 2013.</w:t>
              </w:r>
            </w:p>
            <w:p w:rsidR="00F623D4" w:rsidRDefault="00F623D4" w:rsidP="00F623D4">
              <w:pPr>
                <w:pStyle w:val="Bibliografi"/>
                <w:ind w:left="720" w:hanging="720"/>
                <w:rPr>
                  <w:noProof/>
                  <w:lang w:val="en-US"/>
                </w:rPr>
              </w:pPr>
              <w:r>
                <w:rPr>
                  <w:noProof/>
                  <w:lang w:val="en-US"/>
                </w:rPr>
                <w:t xml:space="preserve">Friedman, Milton. "The Social Responsibility of Business Is to Increase Its Profit ." </w:t>
              </w:r>
              <w:r>
                <w:rPr>
                  <w:i/>
                  <w:iCs/>
                  <w:noProof/>
                  <w:lang w:val="en-US"/>
                </w:rPr>
                <w:t>Business Ethics Now (originally New York Times Magazine)</w:t>
              </w:r>
              <w:r>
                <w:rPr>
                  <w:noProof/>
                  <w:lang w:val="en-US"/>
                </w:rPr>
                <w:t>, 1970: 211-214.</w:t>
              </w:r>
            </w:p>
            <w:p w:rsidR="00F623D4" w:rsidRDefault="00F623D4" w:rsidP="00F623D4">
              <w:pPr>
                <w:pStyle w:val="Bibliografi"/>
                <w:ind w:left="720" w:hanging="720"/>
                <w:rPr>
                  <w:noProof/>
                  <w:lang w:val="en-US"/>
                </w:rPr>
              </w:pPr>
              <w:r>
                <w:rPr>
                  <w:noProof/>
                  <w:lang w:val="en-US"/>
                </w:rPr>
                <w:lastRenderedPageBreak/>
                <w:t xml:space="preserve">Gadamer, Hans-Georg. </w:t>
              </w:r>
              <w:r>
                <w:rPr>
                  <w:i/>
                  <w:iCs/>
                  <w:noProof/>
                  <w:lang w:val="en-US"/>
                </w:rPr>
                <w:t>Truth and Method.</w:t>
              </w:r>
              <w:r>
                <w:rPr>
                  <w:noProof/>
                  <w:lang w:val="en-US"/>
                </w:rPr>
                <w:t xml:space="preserve"> London: Continuum, 2004.</w:t>
              </w:r>
            </w:p>
            <w:p w:rsidR="00F623D4" w:rsidRDefault="00F623D4" w:rsidP="00F623D4">
              <w:pPr>
                <w:pStyle w:val="Bibliografi"/>
                <w:ind w:left="720" w:hanging="720"/>
                <w:rPr>
                  <w:noProof/>
                  <w:lang w:val="en-US"/>
                </w:rPr>
              </w:pPr>
              <w:r>
                <w:rPr>
                  <w:noProof/>
                  <w:lang w:val="en-US"/>
                </w:rPr>
                <w:t xml:space="preserve">González-Herrero, Alfonzo, and S. Smith. "Crisis Communication management 2.0: Organizational principles to manage crisis in an online world." </w:t>
              </w:r>
              <w:r>
                <w:rPr>
                  <w:i/>
                  <w:iCs/>
                  <w:noProof/>
                  <w:lang w:val="en-US"/>
                </w:rPr>
                <w:t>Organizational Development Journal</w:t>
              </w:r>
              <w:r>
                <w:rPr>
                  <w:noProof/>
                  <w:lang w:val="en-US"/>
                </w:rPr>
                <w:t>, 2010: 97-105.</w:t>
              </w:r>
            </w:p>
            <w:p w:rsidR="00F623D4" w:rsidRDefault="00F623D4" w:rsidP="00F623D4">
              <w:pPr>
                <w:pStyle w:val="Bibliografi"/>
                <w:ind w:left="720" w:hanging="720"/>
                <w:rPr>
                  <w:noProof/>
                  <w:lang w:val="en-US"/>
                </w:rPr>
              </w:pPr>
              <w:r>
                <w:rPr>
                  <w:noProof/>
                  <w:lang w:val="en-US"/>
                </w:rPr>
                <w:t xml:space="preserve">Grabowski, Gene, and Samantha Kruse. "The Keys to Combining Crisis Communication and CSR." In </w:t>
              </w:r>
              <w:r>
                <w:rPr>
                  <w:i/>
                  <w:iCs/>
                  <w:noProof/>
                  <w:lang w:val="en-US"/>
                </w:rPr>
                <w:t>PR News' Corporate Social Responsibiity Guidebook Volume 6</w:t>
              </w:r>
              <w:r>
                <w:rPr>
                  <w:noProof/>
                  <w:lang w:val="en-US"/>
                </w:rPr>
                <w:t>, by PR News, 113-117. PR News Press, 2013.</w:t>
              </w:r>
            </w:p>
            <w:p w:rsidR="00F623D4" w:rsidRDefault="00F623D4" w:rsidP="00F623D4">
              <w:pPr>
                <w:pStyle w:val="Bibliografi"/>
                <w:ind w:left="720" w:hanging="720"/>
                <w:rPr>
                  <w:noProof/>
                  <w:lang w:val="en-US"/>
                </w:rPr>
              </w:pPr>
              <w:r>
                <w:rPr>
                  <w:noProof/>
                  <w:lang w:val="en-US"/>
                </w:rPr>
                <w:t xml:space="preserve">Gramsci, Antonio. </w:t>
              </w:r>
              <w:r>
                <w:rPr>
                  <w:i/>
                  <w:iCs/>
                  <w:noProof/>
                  <w:lang w:val="en-US"/>
                </w:rPr>
                <w:t>Selections from Prison Notebooks.</w:t>
              </w:r>
              <w:r>
                <w:rPr>
                  <w:noProof/>
                  <w:lang w:val="en-US"/>
                </w:rPr>
                <w:t xml:space="preserve"> London: Lawrence and Wishart, 1971.</w:t>
              </w:r>
            </w:p>
            <w:p w:rsidR="00F623D4" w:rsidRDefault="00F623D4" w:rsidP="00F623D4">
              <w:pPr>
                <w:pStyle w:val="Bibliografi"/>
                <w:ind w:left="720" w:hanging="720"/>
                <w:rPr>
                  <w:noProof/>
                  <w:lang w:val="en-US"/>
                </w:rPr>
              </w:pPr>
              <w:r>
                <w:rPr>
                  <w:noProof/>
                  <w:lang w:val="en-US"/>
                </w:rPr>
                <w:t xml:space="preserve">Hearit, K. M. "From "We Didn´t Do it" to "It´s not Our Fault"." In </w:t>
              </w:r>
              <w:r>
                <w:rPr>
                  <w:i/>
                  <w:iCs/>
                  <w:noProof/>
                  <w:lang w:val="en-US"/>
                </w:rPr>
                <w:t>Public Relations Inquiry as Rhetorical Criticism</w:t>
              </w:r>
              <w:r>
                <w:rPr>
                  <w:noProof/>
                  <w:lang w:val="en-US"/>
                </w:rPr>
                <w:t>, by W. N. Elwood. Westport: Praeger, 1995.</w:t>
              </w:r>
            </w:p>
            <w:p w:rsidR="00F623D4" w:rsidRDefault="00F623D4" w:rsidP="00F623D4">
              <w:pPr>
                <w:pStyle w:val="Bibliografi"/>
                <w:ind w:left="720" w:hanging="720"/>
                <w:rPr>
                  <w:noProof/>
                  <w:lang w:val="en-US"/>
                </w:rPr>
              </w:pPr>
              <w:r>
                <w:rPr>
                  <w:noProof/>
                  <w:lang w:val="en-US"/>
                </w:rPr>
                <w:t xml:space="preserve">Helm, Sabrina, and Julia Tolsdorf. "How Does Corporate Reputation Affect Customer Loyalty in a Corporate Crisis?" </w:t>
              </w:r>
              <w:r>
                <w:rPr>
                  <w:i/>
                  <w:iCs/>
                  <w:noProof/>
                  <w:lang w:val="en-US"/>
                </w:rPr>
                <w:t>Journal of Contingencies and Crisis Management Vol. 21, Issue 3</w:t>
              </w:r>
              <w:r>
                <w:rPr>
                  <w:noProof/>
                  <w:lang w:val="en-US"/>
                </w:rPr>
                <w:t>, 2013: 144-152.</w:t>
              </w:r>
            </w:p>
            <w:p w:rsidR="00F623D4" w:rsidRDefault="00F623D4" w:rsidP="00F623D4">
              <w:pPr>
                <w:pStyle w:val="Bibliografi"/>
                <w:ind w:left="720" w:hanging="720"/>
                <w:rPr>
                  <w:noProof/>
                  <w:lang w:val="en-US"/>
                </w:rPr>
              </w:pPr>
              <w:r>
                <w:rPr>
                  <w:noProof/>
                  <w:lang w:val="en-US"/>
                </w:rPr>
                <w:t xml:space="preserve">Humphreys, Michael, and Andrew D. Brown. "An Analysis of Corporate Social Responsibility at Credit: Line: A Narrative Approach." </w:t>
              </w:r>
              <w:r>
                <w:rPr>
                  <w:i/>
                  <w:iCs/>
                  <w:noProof/>
                  <w:lang w:val="en-US"/>
                </w:rPr>
                <w:t>Journal of Business Ethics Vol. 80</w:t>
              </w:r>
              <w:r>
                <w:rPr>
                  <w:noProof/>
                  <w:lang w:val="en-US"/>
                </w:rPr>
                <w:t>, May 27, 2007: 403-418.</w:t>
              </w:r>
            </w:p>
            <w:p w:rsidR="00F623D4" w:rsidRDefault="00F623D4" w:rsidP="00F623D4">
              <w:pPr>
                <w:pStyle w:val="Bibliografi"/>
                <w:ind w:left="720" w:hanging="720"/>
                <w:rPr>
                  <w:noProof/>
                  <w:lang w:val="en-US"/>
                </w:rPr>
              </w:pPr>
              <w:r>
                <w:rPr>
                  <w:noProof/>
                  <w:lang w:val="en-US"/>
                </w:rPr>
                <w:t xml:space="preserve">Itänen, Miia-Emilia. </w:t>
              </w:r>
              <w:r>
                <w:rPr>
                  <w:i/>
                  <w:iCs/>
                  <w:noProof/>
                  <w:lang w:val="en-US"/>
                </w:rPr>
                <w:t>CSR Discourse in Corporate Reports - Exploring the Socially Constructed Nature of Corporate Social Responsibility.</w:t>
              </w:r>
              <w:r>
                <w:rPr>
                  <w:noProof/>
                  <w:lang w:val="en-US"/>
                </w:rPr>
                <w:t xml:space="preserve"> Master's thesis, Espoo: Aalto University, 2011.</w:t>
              </w:r>
            </w:p>
            <w:p w:rsidR="00F623D4" w:rsidRDefault="00F623D4" w:rsidP="00F623D4">
              <w:pPr>
                <w:pStyle w:val="Bibliografi"/>
                <w:ind w:left="720" w:hanging="720"/>
                <w:rPr>
                  <w:noProof/>
                  <w:lang w:val="en-US"/>
                </w:rPr>
              </w:pPr>
              <w:r>
                <w:rPr>
                  <w:noProof/>
                  <w:lang w:val="en-US"/>
                </w:rPr>
                <w:t xml:space="preserve">Johnson, Harold. </w:t>
              </w:r>
              <w:r>
                <w:rPr>
                  <w:i/>
                  <w:iCs/>
                  <w:noProof/>
                  <w:lang w:val="en-US"/>
                </w:rPr>
                <w:t>Business in Comtempoary Society: Framework and issues.</w:t>
              </w:r>
              <w:r>
                <w:rPr>
                  <w:noProof/>
                  <w:lang w:val="en-US"/>
                </w:rPr>
                <w:t xml:space="preserve"> Belmont: CA: Wadsworth, 1971.</w:t>
              </w:r>
            </w:p>
            <w:p w:rsidR="00F623D4" w:rsidRDefault="00F623D4" w:rsidP="00F623D4">
              <w:pPr>
                <w:pStyle w:val="Bibliografi"/>
                <w:ind w:left="720" w:hanging="720"/>
                <w:rPr>
                  <w:noProof/>
                  <w:lang w:val="en-US"/>
                </w:rPr>
              </w:pPr>
              <w:r>
                <w:rPr>
                  <w:noProof/>
                  <w:lang w:val="en-US"/>
                </w:rPr>
                <w:t xml:space="preserve">Jørgensen, Marianne, and Louise J. Phillips. </w:t>
              </w:r>
              <w:r>
                <w:rPr>
                  <w:i/>
                  <w:iCs/>
                  <w:noProof/>
                  <w:lang w:val="en-US"/>
                </w:rPr>
                <w:t>Discourse Analysis as Theory and Method.</w:t>
              </w:r>
              <w:r>
                <w:rPr>
                  <w:noProof/>
                  <w:lang w:val="en-US"/>
                </w:rPr>
                <w:t xml:space="preserve"> London: SAGE Publications, 2002.</w:t>
              </w:r>
            </w:p>
            <w:p w:rsidR="00F623D4" w:rsidRDefault="00F623D4" w:rsidP="00F623D4">
              <w:pPr>
                <w:pStyle w:val="Bibliografi"/>
                <w:ind w:left="720" w:hanging="720"/>
                <w:rPr>
                  <w:noProof/>
                  <w:lang w:val="en-US"/>
                </w:rPr>
              </w:pPr>
              <w:r>
                <w:rPr>
                  <w:noProof/>
                  <w:lang w:val="en-US"/>
                </w:rPr>
                <w:t xml:space="preserve">Keddie, Vince. "Case Study Method." In </w:t>
              </w:r>
              <w:r>
                <w:rPr>
                  <w:i/>
                  <w:iCs/>
                  <w:noProof/>
                  <w:lang w:val="en-US"/>
                </w:rPr>
                <w:t>The SAGE dictionary of social research methods</w:t>
              </w:r>
              <w:r>
                <w:rPr>
                  <w:noProof/>
                  <w:lang w:val="en-US"/>
                </w:rPr>
                <w:t>, by Victor Jupp, 20-22. New York: SAGE Publications Inc., 2006.</w:t>
              </w:r>
            </w:p>
            <w:p w:rsidR="00F623D4" w:rsidRDefault="00F623D4" w:rsidP="00F623D4">
              <w:pPr>
                <w:pStyle w:val="Bibliografi"/>
                <w:ind w:left="720" w:hanging="720"/>
                <w:rPr>
                  <w:noProof/>
                  <w:lang w:val="en-US"/>
                </w:rPr>
              </w:pPr>
              <w:r>
                <w:rPr>
                  <w:noProof/>
                  <w:lang w:val="en-US"/>
                </w:rPr>
                <w:t xml:space="preserve">Keys, Tracey, Thomas W. Malnight, and Kees van der Graaf. "Making the most of corporate social responsibility." </w:t>
              </w:r>
              <w:r>
                <w:rPr>
                  <w:i/>
                  <w:iCs/>
                  <w:noProof/>
                  <w:lang w:val="en-US"/>
                </w:rPr>
                <w:t>Mckinsey&amp;Company</w:t>
              </w:r>
              <w:r>
                <w:rPr>
                  <w:noProof/>
                  <w:lang w:val="en-US"/>
                </w:rPr>
                <w:t>, December 2009: Insights &amp; Publications.</w:t>
              </w:r>
            </w:p>
            <w:p w:rsidR="00F623D4" w:rsidRDefault="00F623D4" w:rsidP="00F623D4">
              <w:pPr>
                <w:pStyle w:val="Bibliografi"/>
                <w:ind w:left="720" w:hanging="720"/>
                <w:rPr>
                  <w:noProof/>
                  <w:lang w:val="en-US"/>
                </w:rPr>
              </w:pPr>
              <w:r>
                <w:rPr>
                  <w:noProof/>
                  <w:lang w:val="en-US"/>
                </w:rPr>
                <w:t xml:space="preserve">Kohlbacher, Florian. </w:t>
              </w:r>
              <w:r>
                <w:rPr>
                  <w:i/>
                  <w:iCs/>
                  <w:noProof/>
                  <w:lang w:val="en-US"/>
                </w:rPr>
                <w:t>The Use of Qualitative Content Analysis in Case Study Research.</w:t>
              </w:r>
              <w:r>
                <w:rPr>
                  <w:noProof/>
                  <w:lang w:val="en-US"/>
                </w:rPr>
                <w:t xml:space="preserve"> Journal, Forum Qualitative Sozialforschung / Forum: Qualitative Social Research, 7(1), Art. 21, 2006.</w:t>
              </w:r>
            </w:p>
            <w:p w:rsidR="00F623D4" w:rsidRDefault="00F623D4" w:rsidP="00F623D4">
              <w:pPr>
                <w:pStyle w:val="Bibliografi"/>
                <w:ind w:left="720" w:hanging="720"/>
                <w:rPr>
                  <w:noProof/>
                  <w:lang w:val="en-US"/>
                </w:rPr>
              </w:pPr>
              <w:r>
                <w:rPr>
                  <w:noProof/>
                  <w:lang w:val="en-US"/>
                </w:rPr>
                <w:t xml:space="preserve">Laclau, Ernesto, and Chantal Mouffe. </w:t>
              </w:r>
              <w:r>
                <w:rPr>
                  <w:i/>
                  <w:iCs/>
                  <w:noProof/>
                  <w:lang w:val="en-US"/>
                </w:rPr>
                <w:t>Hegemony and socialist strategy : towards a radical democratic politics.</w:t>
              </w:r>
              <w:r>
                <w:rPr>
                  <w:noProof/>
                  <w:lang w:val="en-US"/>
                </w:rPr>
                <w:t xml:space="preserve"> London: Verso, 1985.</w:t>
              </w:r>
            </w:p>
            <w:p w:rsidR="00F623D4" w:rsidRDefault="00F623D4" w:rsidP="00F623D4">
              <w:pPr>
                <w:pStyle w:val="Bibliografi"/>
                <w:ind w:left="720" w:hanging="720"/>
                <w:rPr>
                  <w:noProof/>
                  <w:lang w:val="en-US"/>
                </w:rPr>
              </w:pPr>
              <w:r>
                <w:rPr>
                  <w:noProof/>
                  <w:lang w:val="en-US"/>
                </w:rPr>
                <w:t xml:space="preserve">Lin, Ann Chih. "Bridging Positivist and Interpretivist Approaches to Qualitative Methods." </w:t>
              </w:r>
              <w:r>
                <w:rPr>
                  <w:i/>
                  <w:iCs/>
                  <w:noProof/>
                  <w:lang w:val="en-US"/>
                </w:rPr>
                <w:t>Policy Studies Journal, Vol. 26, No. 1</w:t>
              </w:r>
              <w:r>
                <w:rPr>
                  <w:noProof/>
                  <w:lang w:val="en-US"/>
                </w:rPr>
                <w:t>, 1998: 162-180.</w:t>
              </w:r>
            </w:p>
            <w:p w:rsidR="00F623D4" w:rsidRDefault="00F623D4" w:rsidP="00F623D4">
              <w:pPr>
                <w:pStyle w:val="Bibliografi"/>
                <w:ind w:left="720" w:hanging="720"/>
                <w:rPr>
                  <w:noProof/>
                  <w:lang w:val="en-US"/>
                </w:rPr>
              </w:pPr>
              <w:r>
                <w:rPr>
                  <w:noProof/>
                  <w:lang w:val="en-US"/>
                </w:rPr>
                <w:lastRenderedPageBreak/>
                <w:t xml:space="preserve">Machin, David, and Andrea Mayr. </w:t>
              </w:r>
              <w:r>
                <w:rPr>
                  <w:i/>
                  <w:iCs/>
                  <w:noProof/>
                  <w:lang w:val="en-US"/>
                </w:rPr>
                <w:t>How To Do Critical Discourse Analysis: A Multivocal Introduction.</w:t>
              </w:r>
              <w:r>
                <w:rPr>
                  <w:noProof/>
                  <w:lang w:val="en-US"/>
                </w:rPr>
                <w:t xml:space="preserve"> London: SAGE Publications Ltd., 2012.</w:t>
              </w:r>
            </w:p>
            <w:p w:rsidR="00F623D4" w:rsidRDefault="00F623D4" w:rsidP="00F623D4">
              <w:pPr>
                <w:pStyle w:val="Bibliografi"/>
                <w:ind w:left="720" w:hanging="720"/>
                <w:rPr>
                  <w:noProof/>
                  <w:lang w:val="en-US"/>
                </w:rPr>
              </w:pPr>
              <w:r>
                <w:rPr>
                  <w:noProof/>
                  <w:lang w:val="en-US"/>
                </w:rPr>
                <w:t xml:space="preserve">Machkovech, Sam. "Gay Firefox developers boycott Mozilla to protest CEO hire." </w:t>
              </w:r>
              <w:r>
                <w:rPr>
                  <w:i/>
                  <w:iCs/>
                  <w:noProof/>
                  <w:lang w:val="en-US"/>
                </w:rPr>
                <w:t>Condé Nast</w:t>
              </w:r>
              <w:r>
                <w:rPr>
                  <w:noProof/>
                  <w:lang w:val="en-US"/>
                </w:rPr>
                <w:t>, March 25, 2014.</w:t>
              </w:r>
            </w:p>
            <w:p w:rsidR="00F623D4" w:rsidRDefault="00F623D4" w:rsidP="00F623D4">
              <w:pPr>
                <w:pStyle w:val="Bibliografi"/>
                <w:ind w:left="720" w:hanging="720"/>
                <w:rPr>
                  <w:noProof/>
                  <w:lang w:val="en-US"/>
                </w:rPr>
              </w:pPr>
              <w:r>
                <w:rPr>
                  <w:noProof/>
                  <w:lang w:val="en-US"/>
                </w:rPr>
                <w:t xml:space="preserve">—. "Mozilla employees tell Brendan Eich he needs to “step down”." </w:t>
              </w:r>
              <w:r>
                <w:rPr>
                  <w:i/>
                  <w:iCs/>
                  <w:noProof/>
                  <w:lang w:val="en-US"/>
                </w:rPr>
                <w:t>Condé Nast</w:t>
              </w:r>
              <w:r>
                <w:rPr>
                  <w:noProof/>
                  <w:lang w:val="en-US"/>
                </w:rPr>
                <w:t>, March 27, 2014.</w:t>
              </w:r>
            </w:p>
            <w:p w:rsidR="00F623D4" w:rsidRDefault="00F623D4" w:rsidP="00F623D4">
              <w:pPr>
                <w:pStyle w:val="Bibliografi"/>
                <w:ind w:left="720" w:hanging="720"/>
                <w:rPr>
                  <w:noProof/>
                  <w:lang w:val="en-US"/>
                </w:rPr>
              </w:pPr>
              <w:r>
                <w:rPr>
                  <w:noProof/>
                  <w:lang w:val="en-US"/>
                </w:rPr>
                <w:t xml:space="preserve">McKinley, Jesse. "Top Court in California Will Review Proposition 8." </w:t>
              </w:r>
              <w:r>
                <w:rPr>
                  <w:i/>
                  <w:iCs/>
                  <w:noProof/>
                  <w:lang w:val="en-US"/>
                </w:rPr>
                <w:t>The New York Times</w:t>
              </w:r>
              <w:r>
                <w:rPr>
                  <w:noProof/>
                  <w:lang w:val="en-US"/>
                </w:rPr>
                <w:t>, November 19, 2008.</w:t>
              </w:r>
            </w:p>
            <w:p w:rsidR="00F623D4" w:rsidRDefault="00F623D4" w:rsidP="00F623D4">
              <w:pPr>
                <w:pStyle w:val="Bibliografi"/>
                <w:ind w:left="720" w:hanging="720"/>
                <w:rPr>
                  <w:noProof/>
                  <w:lang w:val="en-US"/>
                </w:rPr>
              </w:pPr>
              <w:r>
                <w:rPr>
                  <w:noProof/>
                  <w:lang w:val="en-US"/>
                </w:rPr>
                <w:t xml:space="preserve">Michotte, Emmanuelle. </w:t>
              </w:r>
              <w:r>
                <w:rPr>
                  <w:i/>
                  <w:iCs/>
                  <w:noProof/>
                  <w:lang w:val="en-US"/>
                </w:rPr>
                <w:t>Controlling discourse on CSR: An analysis of the Belgian case.</w:t>
              </w:r>
              <w:r>
                <w:rPr>
                  <w:noProof/>
                  <w:lang w:val="en-US"/>
                </w:rPr>
                <w:t xml:space="preserve"> Paper, London: International Conference on Organizational Discourse: Translations, Transformations and Transgressions. , 2008.</w:t>
              </w:r>
            </w:p>
            <w:p w:rsidR="00F623D4" w:rsidRDefault="00F623D4" w:rsidP="00F623D4">
              <w:pPr>
                <w:pStyle w:val="Bibliografi"/>
                <w:ind w:left="720" w:hanging="720"/>
                <w:rPr>
                  <w:noProof/>
                  <w:lang w:val="en-US"/>
                </w:rPr>
              </w:pPr>
              <w:r>
                <w:rPr>
                  <w:noProof/>
                  <w:lang w:val="en-US"/>
                </w:rPr>
                <w:t xml:space="preserve">Mouffe, Chantal. </w:t>
              </w:r>
              <w:r>
                <w:rPr>
                  <w:i/>
                  <w:iCs/>
                  <w:noProof/>
                  <w:lang w:val="en-US"/>
                </w:rPr>
                <w:t>Critique as Counter-Hegemonic Intervention.</w:t>
              </w:r>
              <w:r>
                <w:rPr>
                  <w:noProof/>
                  <w:lang w:val="en-US"/>
                </w:rPr>
                <w:t xml:space="preserve"> Vienna: European Institute for Progressive Cultural Policies. April 2008. http://eipcp.net/transversal/0808/mouffe/en (accessed April 2, 2015).</w:t>
              </w:r>
            </w:p>
            <w:p w:rsidR="00F623D4" w:rsidRDefault="00F623D4" w:rsidP="00F623D4">
              <w:pPr>
                <w:pStyle w:val="Bibliografi"/>
                <w:ind w:left="720" w:hanging="720"/>
                <w:rPr>
                  <w:noProof/>
                  <w:lang w:val="en-US"/>
                </w:rPr>
              </w:pPr>
              <w:r>
                <w:rPr>
                  <w:noProof/>
                  <w:lang w:val="en-US"/>
                </w:rPr>
                <w:t xml:space="preserve">Mozilla Foundation. "Mozilla Statement on Diversity." </w:t>
              </w:r>
              <w:r>
                <w:rPr>
                  <w:i/>
                  <w:iCs/>
                  <w:noProof/>
                  <w:lang w:val="en-US"/>
                </w:rPr>
                <w:t>Mozilla Press Center</w:t>
              </w:r>
              <w:r>
                <w:rPr>
                  <w:noProof/>
                  <w:lang w:val="en-US"/>
                </w:rPr>
                <w:t>, March 25, 2014.</w:t>
              </w:r>
            </w:p>
            <w:p w:rsidR="00F623D4" w:rsidRDefault="00F623D4" w:rsidP="00F623D4">
              <w:pPr>
                <w:pStyle w:val="Bibliografi"/>
                <w:ind w:left="720" w:hanging="720"/>
                <w:rPr>
                  <w:noProof/>
                  <w:lang w:val="en-US"/>
                </w:rPr>
              </w:pPr>
              <w:r>
                <w:rPr>
                  <w:noProof/>
                  <w:lang w:val="en-US"/>
                </w:rPr>
                <w:t xml:space="preserve">—. </w:t>
              </w:r>
              <w:r>
                <w:rPr>
                  <w:i/>
                  <w:iCs/>
                  <w:noProof/>
                  <w:lang w:val="en-US"/>
                </w:rPr>
                <w:t>Mozilla.org.</w:t>
              </w:r>
              <w:r>
                <w:rPr>
                  <w:noProof/>
                  <w:lang w:val="en-US"/>
                </w:rPr>
                <w:t xml:space="preserve"> April 30, 2015. https://www.mozilla.org/en-US/about/manifesto/details/ (accessed April 30, 2015).</w:t>
              </w:r>
            </w:p>
            <w:p w:rsidR="00F623D4" w:rsidRDefault="00F623D4" w:rsidP="00F623D4">
              <w:pPr>
                <w:pStyle w:val="Bibliografi"/>
                <w:ind w:left="720" w:hanging="720"/>
                <w:rPr>
                  <w:noProof/>
                  <w:lang w:val="en-US"/>
                </w:rPr>
              </w:pPr>
              <w:r>
                <w:rPr>
                  <w:noProof/>
                  <w:lang w:val="en-US"/>
                </w:rPr>
                <w:t xml:space="preserve">—. "Community Participation Guidelines." </w:t>
              </w:r>
              <w:r>
                <w:rPr>
                  <w:i/>
                  <w:iCs/>
                  <w:noProof/>
                  <w:lang w:val="en-US"/>
                </w:rPr>
                <w:t>Mozilla.org</w:t>
              </w:r>
              <w:r>
                <w:rPr>
                  <w:noProof/>
                  <w:lang w:val="en-US"/>
                </w:rPr>
                <w:t>, January 7, 2013.</w:t>
              </w:r>
            </w:p>
            <w:p w:rsidR="00F623D4" w:rsidRDefault="00F623D4" w:rsidP="00F623D4">
              <w:pPr>
                <w:pStyle w:val="Bibliografi"/>
                <w:ind w:left="720" w:hanging="720"/>
                <w:rPr>
                  <w:noProof/>
                  <w:lang w:val="en-US"/>
                </w:rPr>
              </w:pPr>
              <w:r>
                <w:rPr>
                  <w:noProof/>
                  <w:lang w:val="en-US"/>
                </w:rPr>
                <w:t xml:space="preserve">—. "Mozilla Foundation Forms New Organization to Further the Creation of Free, Open Source Internet Software, Including the Award-Winning Mozilla Firefox Browser." </w:t>
              </w:r>
              <w:r>
                <w:rPr>
                  <w:i/>
                  <w:iCs/>
                  <w:noProof/>
                  <w:lang w:val="en-US"/>
                </w:rPr>
                <w:t>Mozilla.org</w:t>
              </w:r>
              <w:r>
                <w:rPr>
                  <w:noProof/>
                  <w:lang w:val="en-US"/>
                </w:rPr>
                <w:t>, August 3, 2005.</w:t>
              </w:r>
            </w:p>
            <w:p w:rsidR="00F623D4" w:rsidRDefault="00F623D4" w:rsidP="00F623D4">
              <w:pPr>
                <w:pStyle w:val="Bibliografi"/>
                <w:ind w:left="720" w:hanging="720"/>
                <w:rPr>
                  <w:noProof/>
                  <w:lang w:val="en-US"/>
                </w:rPr>
              </w:pPr>
              <w:r>
                <w:rPr>
                  <w:noProof/>
                  <w:lang w:val="en-US"/>
                </w:rPr>
                <w:t xml:space="preserve">—. "Mozilla Supports LGBT Equality." </w:t>
              </w:r>
              <w:r>
                <w:rPr>
                  <w:i/>
                  <w:iCs/>
                  <w:noProof/>
                  <w:lang w:val="en-US"/>
                </w:rPr>
                <w:t>The Mozilla Blog</w:t>
              </w:r>
              <w:r>
                <w:rPr>
                  <w:noProof/>
                  <w:lang w:val="en-US"/>
                </w:rPr>
                <w:t>, March 29, 2014.</w:t>
              </w:r>
            </w:p>
            <w:p w:rsidR="00F623D4" w:rsidRDefault="00F623D4" w:rsidP="00F623D4">
              <w:pPr>
                <w:pStyle w:val="Bibliografi"/>
                <w:ind w:left="720" w:hanging="720"/>
                <w:rPr>
                  <w:noProof/>
                  <w:lang w:val="en-US"/>
                </w:rPr>
              </w:pPr>
              <w:r>
                <w:rPr>
                  <w:noProof/>
                  <w:lang w:val="en-US"/>
                </w:rPr>
                <w:t xml:space="preserve">Mozilla. "Mozilla Press Center." </w:t>
              </w:r>
              <w:r>
                <w:rPr>
                  <w:i/>
                  <w:iCs/>
                  <w:noProof/>
                  <w:lang w:val="en-US"/>
                </w:rPr>
                <w:t>Webpage for Mozilla Press Center.</w:t>
              </w:r>
              <w:r>
                <w:rPr>
                  <w:noProof/>
                  <w:lang w:val="en-US"/>
                </w:rPr>
                <w:t xml:space="preserve"> March 24, 2014. https://blog.mozilla.org/press/2014/03/mozilla-leadership-changes/ (accessed April 19, 2015).</w:t>
              </w:r>
            </w:p>
            <w:p w:rsidR="00F623D4" w:rsidRDefault="00F623D4" w:rsidP="00F623D4">
              <w:pPr>
                <w:pStyle w:val="Bibliografi"/>
                <w:ind w:left="720" w:hanging="720"/>
                <w:rPr>
                  <w:noProof/>
                  <w:lang w:val="en-US"/>
                </w:rPr>
              </w:pPr>
              <w:r>
                <w:rPr>
                  <w:noProof/>
                  <w:lang w:val="en-US"/>
                </w:rPr>
                <w:t xml:space="preserve">—. "FAQ on CEO Resignation." </w:t>
              </w:r>
              <w:r>
                <w:rPr>
                  <w:i/>
                  <w:iCs/>
                  <w:noProof/>
                  <w:lang w:val="en-US"/>
                </w:rPr>
                <w:t>The Mozilla Blog</w:t>
              </w:r>
              <w:r>
                <w:rPr>
                  <w:noProof/>
                  <w:lang w:val="en-US"/>
                </w:rPr>
                <w:t>, April 5, 2014.</w:t>
              </w:r>
            </w:p>
            <w:p w:rsidR="00F623D4" w:rsidRDefault="00F623D4" w:rsidP="00F623D4">
              <w:pPr>
                <w:pStyle w:val="Bibliografi"/>
                <w:ind w:left="720" w:hanging="720"/>
                <w:rPr>
                  <w:noProof/>
                  <w:lang w:val="en-US"/>
                </w:rPr>
              </w:pPr>
              <w:r>
                <w:rPr>
                  <w:noProof/>
                  <w:lang w:val="en-US"/>
                </w:rPr>
                <w:t xml:space="preserve">Murphy, Priscilla. "Game Theory: A New Paradigm for the Public Relations Process." In </w:t>
              </w:r>
              <w:r>
                <w:rPr>
                  <w:i/>
                  <w:iCs/>
                  <w:noProof/>
                  <w:lang w:val="en-US"/>
                </w:rPr>
                <w:t>Public Relations Theory</w:t>
              </w:r>
              <w:r>
                <w:rPr>
                  <w:noProof/>
                  <w:lang w:val="en-US"/>
                </w:rPr>
                <w:t>, by C. Botan and V. Hazleton, 173-192. Hillsdale: Lawrence Erlbaum, 1989.</w:t>
              </w:r>
            </w:p>
            <w:p w:rsidR="00F623D4" w:rsidRDefault="00F623D4" w:rsidP="00F623D4">
              <w:pPr>
                <w:pStyle w:val="Bibliografi"/>
                <w:ind w:left="720" w:hanging="720"/>
                <w:rPr>
                  <w:noProof/>
                  <w:lang w:val="en-US"/>
                </w:rPr>
              </w:pPr>
              <w:r>
                <w:rPr>
                  <w:noProof/>
                  <w:lang w:val="en-US"/>
                </w:rPr>
                <w:t xml:space="preserve">Netburn, Deborah. "Brendan Eich's Prop. 8 contribution gets Twittersphere buzzing." </w:t>
              </w:r>
              <w:r>
                <w:rPr>
                  <w:i/>
                  <w:iCs/>
                  <w:noProof/>
                  <w:lang w:val="en-US"/>
                </w:rPr>
                <w:t>Los Angeles Times</w:t>
              </w:r>
              <w:r>
                <w:rPr>
                  <w:noProof/>
                  <w:lang w:val="en-US"/>
                </w:rPr>
                <w:t>, April 4, 2012.</w:t>
              </w:r>
            </w:p>
            <w:p w:rsidR="00F623D4" w:rsidRDefault="00F623D4" w:rsidP="00F623D4">
              <w:pPr>
                <w:pStyle w:val="Bibliografi"/>
                <w:ind w:left="720" w:hanging="720"/>
                <w:rPr>
                  <w:noProof/>
                  <w:lang w:val="en-US"/>
                </w:rPr>
              </w:pPr>
              <w:r>
                <w:rPr>
                  <w:noProof/>
                  <w:lang w:val="en-US"/>
                </w:rPr>
                <w:t xml:space="preserve">Oberlander, Kristin M. </w:t>
              </w:r>
              <w:r>
                <w:rPr>
                  <w:i/>
                  <w:iCs/>
                  <w:noProof/>
                  <w:lang w:val="en-US"/>
                </w:rPr>
                <w:t>Case Study: Firefox.</w:t>
              </w:r>
              <w:r>
                <w:rPr>
                  <w:noProof/>
                  <w:lang w:val="en-US"/>
                </w:rPr>
                <w:t xml:space="preserve"> May 7, 2014.</w:t>
              </w:r>
            </w:p>
            <w:p w:rsidR="00F623D4" w:rsidRDefault="00F623D4" w:rsidP="00F623D4">
              <w:pPr>
                <w:pStyle w:val="Bibliografi"/>
                <w:ind w:left="720" w:hanging="720"/>
                <w:rPr>
                  <w:noProof/>
                  <w:lang w:val="en-US"/>
                </w:rPr>
              </w:pPr>
              <w:r>
                <w:rPr>
                  <w:noProof/>
                  <w:lang w:val="en-US"/>
                </w:rPr>
                <w:lastRenderedPageBreak/>
                <w:t xml:space="preserve">Pahuus, Mogens. "Hermeneutik." In </w:t>
              </w:r>
              <w:r>
                <w:rPr>
                  <w:i/>
                  <w:iCs/>
                  <w:noProof/>
                  <w:lang w:val="en-US"/>
                </w:rPr>
                <w:t>Humanistisk Videnskabsteori</w:t>
              </w:r>
              <w:r>
                <w:rPr>
                  <w:noProof/>
                  <w:lang w:val="en-US"/>
                </w:rPr>
                <w:t>, by Finn Collin and Simo Køppe, 140-169. Viborg: DR Multimedie, 2003.</w:t>
              </w:r>
            </w:p>
            <w:p w:rsidR="00F623D4" w:rsidRDefault="00F623D4" w:rsidP="00F623D4">
              <w:pPr>
                <w:pStyle w:val="Bibliografi"/>
                <w:ind w:left="720" w:hanging="720"/>
                <w:rPr>
                  <w:noProof/>
                  <w:lang w:val="en-US"/>
                </w:rPr>
              </w:pPr>
              <w:r>
                <w:rPr>
                  <w:noProof/>
                  <w:lang w:val="en-US"/>
                </w:rPr>
                <w:t xml:space="preserve">Palenchar, Michael L. "Public Relations." In </w:t>
              </w:r>
              <w:r>
                <w:rPr>
                  <w:i/>
                  <w:iCs/>
                  <w:noProof/>
                  <w:lang w:val="en-US"/>
                </w:rPr>
                <w:t>Encyclopedia of Crisis Management Vol. 1</w:t>
              </w:r>
              <w:r>
                <w:rPr>
                  <w:noProof/>
                  <w:lang w:val="en-US"/>
                </w:rPr>
                <w:t>, by K. Bradley Penuel, Matt Statler and Ryan Hagen, 776-778. London: SAGE Publications Inc., 2013.</w:t>
              </w:r>
            </w:p>
            <w:p w:rsidR="00F623D4" w:rsidRDefault="00F623D4" w:rsidP="00F623D4">
              <w:pPr>
                <w:pStyle w:val="Bibliografi"/>
                <w:ind w:left="720" w:hanging="720"/>
                <w:rPr>
                  <w:noProof/>
                  <w:lang w:val="en-US"/>
                </w:rPr>
              </w:pPr>
              <w:r>
                <w:rPr>
                  <w:noProof/>
                  <w:lang w:val="en-US"/>
                </w:rPr>
                <w:t xml:space="preserve">Pew Research Center . "Among Muslims, Internet Use Goes Hand-in-Hand With More Open Views Toward Western Culture." </w:t>
              </w:r>
              <w:r>
                <w:rPr>
                  <w:i/>
                  <w:iCs/>
                  <w:noProof/>
                  <w:lang w:val="en-US"/>
                </w:rPr>
                <w:t>Pew Forum</w:t>
              </w:r>
              <w:r>
                <w:rPr>
                  <w:noProof/>
                  <w:lang w:val="en-US"/>
                </w:rPr>
                <w:t>, May 31, 2013.</w:t>
              </w:r>
            </w:p>
            <w:p w:rsidR="00F623D4" w:rsidRDefault="00F623D4" w:rsidP="00F623D4">
              <w:pPr>
                <w:pStyle w:val="Bibliografi"/>
                <w:ind w:left="720" w:hanging="720"/>
                <w:rPr>
                  <w:noProof/>
                  <w:lang w:val="en-US"/>
                </w:rPr>
              </w:pPr>
              <w:r>
                <w:rPr>
                  <w:noProof/>
                  <w:lang w:val="en-US"/>
                </w:rPr>
                <w:t xml:space="preserve">Saeed, Muhammad Mohtsham, and Faria Arshad. "Corporate social responsibility as a source of competitive advantage: The mediating role of social capital and reputational capital ." </w:t>
              </w:r>
              <w:r>
                <w:rPr>
                  <w:i/>
                  <w:iCs/>
                  <w:noProof/>
                  <w:lang w:val="en-US"/>
                </w:rPr>
                <w:t>Database Marketing &amp; Customer Strategy Management Vol. 19, 4</w:t>
              </w:r>
              <w:r>
                <w:rPr>
                  <w:noProof/>
                  <w:lang w:val="en-US"/>
                </w:rPr>
                <w:t>, June 14, 2012: 219-232.</w:t>
              </w:r>
            </w:p>
            <w:p w:rsidR="00F623D4" w:rsidRDefault="00F623D4" w:rsidP="00F623D4">
              <w:pPr>
                <w:pStyle w:val="Bibliografi"/>
                <w:ind w:left="720" w:hanging="720"/>
                <w:rPr>
                  <w:noProof/>
                  <w:lang w:val="en-US"/>
                </w:rPr>
              </w:pPr>
              <w:r>
                <w:rPr>
                  <w:noProof/>
                  <w:lang w:val="en-US"/>
                </w:rPr>
                <w:t xml:space="preserve">Schwartz, Mark S., and Archie B. Carroll. "Corporate Social Responsibility: A Three-Domain Approach." </w:t>
              </w:r>
              <w:r>
                <w:rPr>
                  <w:i/>
                  <w:iCs/>
                  <w:noProof/>
                  <w:lang w:val="en-US"/>
                </w:rPr>
                <w:t>Business Ethics Quarterly, Vol. 13, No. 4</w:t>
              </w:r>
              <w:r>
                <w:rPr>
                  <w:noProof/>
                  <w:lang w:val="en-US"/>
                </w:rPr>
                <w:t>, 2003: 503-530.</w:t>
              </w:r>
            </w:p>
            <w:p w:rsidR="00F623D4" w:rsidRDefault="00F623D4" w:rsidP="00F623D4">
              <w:pPr>
                <w:pStyle w:val="Bibliografi"/>
                <w:ind w:left="720" w:hanging="720"/>
                <w:rPr>
                  <w:noProof/>
                  <w:lang w:val="en-US"/>
                </w:rPr>
              </w:pPr>
              <w:r>
                <w:rPr>
                  <w:noProof/>
                  <w:lang w:val="en-US"/>
                </w:rPr>
                <w:t xml:space="preserve">Schwarz, Andreas. "Scapegoating." In </w:t>
              </w:r>
              <w:r>
                <w:rPr>
                  <w:i/>
                  <w:iCs/>
                  <w:noProof/>
                  <w:lang w:val="en-US"/>
                </w:rPr>
                <w:t>Encyclopedia of Crisis Management</w:t>
              </w:r>
              <w:r>
                <w:rPr>
                  <w:noProof/>
                  <w:lang w:val="en-US"/>
                </w:rPr>
                <w:t>, by K. Bradley Penuel, Matt Statler and Ryan Hagen. Thousand Oaks: SAGE Publications, Inc., 2013.</w:t>
              </w:r>
            </w:p>
            <w:p w:rsidR="00F623D4" w:rsidRDefault="00F623D4" w:rsidP="00F623D4">
              <w:pPr>
                <w:pStyle w:val="Bibliografi"/>
                <w:ind w:left="720" w:hanging="720"/>
                <w:rPr>
                  <w:noProof/>
                  <w:lang w:val="en-US"/>
                </w:rPr>
              </w:pPr>
              <w:r>
                <w:rPr>
                  <w:noProof/>
                  <w:lang w:val="en-US"/>
                </w:rPr>
                <w:t xml:space="preserve">Scott, M. H., and S. M. Lyman. "Accounts." </w:t>
              </w:r>
              <w:r>
                <w:rPr>
                  <w:i/>
                  <w:iCs/>
                  <w:noProof/>
                  <w:lang w:val="en-US"/>
                </w:rPr>
                <w:t>American Sociological Review, 33</w:t>
              </w:r>
              <w:r>
                <w:rPr>
                  <w:noProof/>
                  <w:lang w:val="en-US"/>
                </w:rPr>
                <w:t>, 1968: 46-62.</w:t>
              </w:r>
            </w:p>
            <w:p w:rsidR="00F623D4" w:rsidRDefault="00F623D4" w:rsidP="00F623D4">
              <w:pPr>
                <w:pStyle w:val="Bibliografi"/>
                <w:ind w:left="720" w:hanging="720"/>
                <w:rPr>
                  <w:noProof/>
                  <w:lang w:val="en-US"/>
                </w:rPr>
              </w:pPr>
              <w:r>
                <w:rPr>
                  <w:noProof/>
                  <w:lang w:val="en-US"/>
                </w:rPr>
                <w:t xml:space="preserve">Seeger, Mathew, Timothy Sellnow, and Robert Ulmer. </w:t>
              </w:r>
              <w:r>
                <w:rPr>
                  <w:i/>
                  <w:iCs/>
                  <w:noProof/>
                  <w:lang w:val="en-US"/>
                </w:rPr>
                <w:t>Communication and Organizational Crisis.</w:t>
              </w:r>
              <w:r>
                <w:rPr>
                  <w:noProof/>
                  <w:lang w:val="en-US"/>
                </w:rPr>
                <w:t xml:space="preserve"> Westport: Praeger, 2003.</w:t>
              </w:r>
            </w:p>
            <w:p w:rsidR="00F623D4" w:rsidRDefault="00F623D4" w:rsidP="00F623D4">
              <w:pPr>
                <w:pStyle w:val="Bibliografi"/>
                <w:ind w:left="720" w:hanging="720"/>
                <w:rPr>
                  <w:noProof/>
                  <w:lang w:val="en-US"/>
                </w:rPr>
              </w:pPr>
              <w:r>
                <w:rPr>
                  <w:noProof/>
                  <w:lang w:val="en-US"/>
                </w:rPr>
                <w:t xml:space="preserve">Sellnow, Timothy L., and Matthew W. Seeger. </w:t>
              </w:r>
              <w:r>
                <w:rPr>
                  <w:i/>
                  <w:iCs/>
                  <w:noProof/>
                  <w:lang w:val="en-US"/>
                </w:rPr>
                <w:t>Theorizing Crisis Communication.</w:t>
              </w:r>
              <w:r>
                <w:rPr>
                  <w:noProof/>
                  <w:lang w:val="en-US"/>
                </w:rPr>
                <w:t xml:space="preserve"> Chichester: Wiley-Blackwell, 2013.</w:t>
              </w:r>
            </w:p>
            <w:p w:rsidR="00F623D4" w:rsidRDefault="00F623D4" w:rsidP="00F623D4">
              <w:pPr>
                <w:pStyle w:val="Bibliografi"/>
                <w:ind w:left="720" w:hanging="720"/>
                <w:rPr>
                  <w:noProof/>
                  <w:lang w:val="en-US"/>
                </w:rPr>
              </w:pPr>
              <w:r>
                <w:rPr>
                  <w:noProof/>
                  <w:lang w:val="en-US"/>
                </w:rPr>
                <w:t xml:space="preserve">Sethi, S. P. "Dimensions of Corporate Social Performance: An Analytic Framework." </w:t>
              </w:r>
              <w:r>
                <w:rPr>
                  <w:i/>
                  <w:iCs/>
                  <w:noProof/>
                  <w:lang w:val="en-US"/>
                </w:rPr>
                <w:t>Carlifornia Management Review, 17</w:t>
              </w:r>
              <w:r>
                <w:rPr>
                  <w:noProof/>
                  <w:lang w:val="en-US"/>
                </w:rPr>
                <w:t>, 1975: 58-64.</w:t>
              </w:r>
            </w:p>
            <w:p w:rsidR="00F623D4" w:rsidRPr="00283C8B" w:rsidRDefault="00F623D4" w:rsidP="00F623D4">
              <w:pPr>
                <w:pStyle w:val="Bibliografi"/>
                <w:ind w:left="720" w:hanging="720"/>
                <w:rPr>
                  <w:noProof/>
                </w:rPr>
              </w:pPr>
              <w:r>
                <w:rPr>
                  <w:noProof/>
                  <w:lang w:val="en-US"/>
                </w:rPr>
                <w:t xml:space="preserve">Shankland, Stephen. "Objecting to new CEO, resignations sweep Mozilla board: Report." </w:t>
              </w:r>
              <w:r w:rsidRPr="00283C8B">
                <w:rPr>
                  <w:i/>
                  <w:iCs/>
                  <w:noProof/>
                </w:rPr>
                <w:t>CNet</w:t>
              </w:r>
              <w:r w:rsidRPr="00283C8B">
                <w:rPr>
                  <w:noProof/>
                </w:rPr>
                <w:t>, March 28, 2014.</w:t>
              </w:r>
            </w:p>
            <w:p w:rsidR="00F623D4" w:rsidRPr="00F623D4" w:rsidRDefault="00F623D4" w:rsidP="00F623D4">
              <w:pPr>
                <w:pStyle w:val="Bibliografi"/>
                <w:ind w:left="720" w:hanging="720"/>
                <w:rPr>
                  <w:noProof/>
                </w:rPr>
              </w:pPr>
              <w:r w:rsidRPr="00F623D4">
                <w:rPr>
                  <w:noProof/>
                </w:rPr>
                <w:t xml:space="preserve">Sørensen, Mikkel H., and Nicolai Peitersen. "CSR 2.0." </w:t>
              </w:r>
              <w:r w:rsidRPr="00F623D4">
                <w:rPr>
                  <w:i/>
                  <w:iCs/>
                  <w:noProof/>
                </w:rPr>
                <w:t>Social Ansvarlighed</w:t>
              </w:r>
              <w:r w:rsidRPr="00F623D4">
                <w:rPr>
                  <w:noProof/>
                </w:rPr>
                <w:t xml:space="preserve"> (Forlaget Andersen), 2007: Chapter 3.3 (1-8).</w:t>
              </w:r>
            </w:p>
            <w:p w:rsidR="00F623D4" w:rsidRDefault="00F623D4" w:rsidP="00F623D4">
              <w:pPr>
                <w:pStyle w:val="Bibliografi"/>
                <w:ind w:left="720" w:hanging="720"/>
                <w:rPr>
                  <w:noProof/>
                  <w:lang w:val="en-US"/>
                </w:rPr>
              </w:pPr>
              <w:r>
                <w:rPr>
                  <w:noProof/>
                  <w:lang w:val="en-US"/>
                </w:rPr>
                <w:t xml:space="preserve">Tench, Ralph, William Sun, and Brian Jones. </w:t>
              </w:r>
              <w:r w:rsidRPr="00F623D4">
                <w:rPr>
                  <w:i/>
                  <w:iCs/>
                  <w:noProof/>
                  <w:lang w:val="en-US"/>
                </w:rPr>
                <w:t>Communicating</w:t>
              </w:r>
              <w:r>
                <w:rPr>
                  <w:i/>
                  <w:iCs/>
                  <w:noProof/>
                  <w:lang w:val="en-US"/>
                </w:rPr>
                <w:t xml:space="preserve"> Corporate Social Responsibility: Perspectives and Practice.</w:t>
              </w:r>
              <w:r>
                <w:rPr>
                  <w:noProof/>
                  <w:lang w:val="en-US"/>
                </w:rPr>
                <w:t xml:space="preserve"> Leeds: Emerald Group Publishing Limited, 2014.</w:t>
              </w:r>
            </w:p>
            <w:p w:rsidR="00F623D4" w:rsidRDefault="00F623D4" w:rsidP="00F623D4">
              <w:pPr>
                <w:pStyle w:val="Bibliografi"/>
                <w:ind w:left="720" w:hanging="720"/>
                <w:rPr>
                  <w:noProof/>
                  <w:lang w:val="en-US"/>
                </w:rPr>
              </w:pPr>
              <w:r>
                <w:rPr>
                  <w:noProof/>
                  <w:lang w:val="en-US"/>
                </w:rPr>
                <w:t xml:space="preserve">Theofilou, Anastasios, and Tom Watson. "Sceptical Employees as CSR Ambassadors in Times of Financial Uncertainty." In </w:t>
              </w:r>
              <w:r>
                <w:rPr>
                  <w:i/>
                  <w:iCs/>
                  <w:noProof/>
                  <w:lang w:val="en-US"/>
                </w:rPr>
                <w:t>Communicating Corporate Social Responsibility: Perspectives and Practice</w:t>
              </w:r>
              <w:r>
                <w:rPr>
                  <w:noProof/>
                  <w:lang w:val="en-US"/>
                </w:rPr>
                <w:t>, by Ralph Tench, William Sun and Brian Jones, 355-382. Leeds: Emerald Group Publishing Limited, 2014.</w:t>
              </w:r>
            </w:p>
            <w:p w:rsidR="00F623D4" w:rsidRDefault="00F623D4" w:rsidP="00F623D4">
              <w:pPr>
                <w:pStyle w:val="Bibliografi"/>
                <w:ind w:left="720" w:hanging="720"/>
                <w:rPr>
                  <w:noProof/>
                  <w:lang w:val="en-US"/>
                </w:rPr>
              </w:pPr>
              <w:r>
                <w:rPr>
                  <w:noProof/>
                  <w:lang w:val="en-US"/>
                </w:rPr>
                <w:t xml:space="preserve">Thomas, Owen. "Brendan Eich: Just Apologize For Supporting Proposition 8." </w:t>
              </w:r>
              <w:r>
                <w:rPr>
                  <w:i/>
                  <w:iCs/>
                  <w:noProof/>
                  <w:lang w:val="en-US"/>
                </w:rPr>
                <w:t>Readwrite</w:t>
              </w:r>
              <w:r>
                <w:rPr>
                  <w:noProof/>
                  <w:lang w:val="en-US"/>
                </w:rPr>
                <w:t>, March 28, 2014.</w:t>
              </w:r>
            </w:p>
            <w:p w:rsidR="00F623D4" w:rsidRDefault="00F623D4" w:rsidP="00F623D4">
              <w:pPr>
                <w:pStyle w:val="Bibliografi"/>
                <w:ind w:left="720" w:hanging="720"/>
                <w:rPr>
                  <w:noProof/>
                  <w:lang w:val="en-US"/>
                </w:rPr>
              </w:pPr>
              <w:r>
                <w:rPr>
                  <w:noProof/>
                  <w:lang w:val="en-US"/>
                </w:rPr>
                <w:lastRenderedPageBreak/>
                <w:t xml:space="preserve">Tombs, Steve, and Denis Smith. "Corporate Social Responsibility and Crisis Management: the democratic organization and crisis prevention." </w:t>
              </w:r>
              <w:r>
                <w:rPr>
                  <w:i/>
                  <w:iCs/>
                  <w:noProof/>
                  <w:lang w:val="en-US"/>
                </w:rPr>
                <w:t>Journal of Contingencies &amp; Crisis Management</w:t>
              </w:r>
              <w:r>
                <w:rPr>
                  <w:noProof/>
                  <w:lang w:val="en-US"/>
                </w:rPr>
                <w:t>, September 1, 1995: 135-148.</w:t>
              </w:r>
            </w:p>
            <w:p w:rsidR="00F623D4" w:rsidRDefault="00F623D4" w:rsidP="00F623D4">
              <w:pPr>
                <w:pStyle w:val="Bibliografi"/>
                <w:ind w:left="720" w:hanging="720"/>
                <w:rPr>
                  <w:noProof/>
                  <w:lang w:val="en-US"/>
                </w:rPr>
              </w:pPr>
              <w:r>
                <w:rPr>
                  <w:noProof/>
                  <w:lang w:val="en-US"/>
                </w:rPr>
                <w:t xml:space="preserve">Torfing, Jacob. </w:t>
              </w:r>
              <w:r>
                <w:rPr>
                  <w:i/>
                  <w:iCs/>
                  <w:noProof/>
                  <w:lang w:val="en-US"/>
                </w:rPr>
                <w:t>New theories of discourse: Laclau, Mouffe and Zizek.</w:t>
              </w:r>
              <w:r>
                <w:rPr>
                  <w:noProof/>
                  <w:lang w:val="en-US"/>
                </w:rPr>
                <w:t xml:space="preserve"> Oxford: Blackwell Publishing Ltd, 1999.</w:t>
              </w:r>
            </w:p>
            <w:p w:rsidR="00F623D4" w:rsidRDefault="00F623D4" w:rsidP="00F623D4">
              <w:pPr>
                <w:pStyle w:val="Bibliografi"/>
                <w:ind w:left="720" w:hanging="720"/>
                <w:rPr>
                  <w:noProof/>
                  <w:lang w:val="en-US"/>
                </w:rPr>
              </w:pPr>
              <w:r>
                <w:rPr>
                  <w:noProof/>
                  <w:lang w:val="en-US"/>
                </w:rPr>
                <w:t xml:space="preserve">Täuschel, Alexander. </w:t>
              </w:r>
              <w:r>
                <w:rPr>
                  <w:i/>
                  <w:iCs/>
                  <w:noProof/>
                  <w:lang w:val="en-US"/>
                </w:rPr>
                <w:t>The Basic Concepts of Discourse Analysis.</w:t>
              </w:r>
              <w:r>
                <w:rPr>
                  <w:noProof/>
                  <w:lang w:val="en-US"/>
                </w:rPr>
                <w:t xml:space="preserve"> Seminar Paper, Frankfurt: University of Frankfurt (Main), 2004.</w:t>
              </w:r>
            </w:p>
            <w:p w:rsidR="00F623D4" w:rsidRDefault="00F623D4" w:rsidP="00F623D4">
              <w:pPr>
                <w:pStyle w:val="Bibliografi"/>
                <w:ind w:left="720" w:hanging="720"/>
                <w:rPr>
                  <w:noProof/>
                  <w:lang w:val="en-US"/>
                </w:rPr>
              </w:pPr>
              <w:r>
                <w:rPr>
                  <w:noProof/>
                  <w:lang w:val="en-US"/>
                </w:rPr>
                <w:t xml:space="preserve">Walter, Bernd Lorenz. "CorporateSocial Responsibility Communication: Towards a Phase Model of Strategic Planning." In </w:t>
              </w:r>
              <w:r>
                <w:rPr>
                  <w:i/>
                  <w:iCs/>
                  <w:noProof/>
                  <w:lang w:val="en-US"/>
                </w:rPr>
                <w:t>Communicating Corporate Social Responsibility: Perspectives and Practice</w:t>
              </w:r>
              <w:r>
                <w:rPr>
                  <w:noProof/>
                  <w:lang w:val="en-US"/>
                </w:rPr>
                <w:t>, by William Sun Ralph Tench and Brian Jones, 59-79. Leeds: Emerald Group Publishing Limited, 2014.</w:t>
              </w:r>
            </w:p>
            <w:p w:rsidR="00F623D4" w:rsidRDefault="00F623D4" w:rsidP="00F623D4">
              <w:pPr>
                <w:pStyle w:val="Bibliografi"/>
                <w:ind w:left="720" w:hanging="720"/>
                <w:rPr>
                  <w:noProof/>
                  <w:lang w:val="en-US"/>
                </w:rPr>
              </w:pPr>
              <w:r>
                <w:rPr>
                  <w:noProof/>
                  <w:lang w:val="en-US"/>
                </w:rPr>
                <w:t xml:space="preserve">Ware, B. L., and W. A. Linkugel. "They Spoke in Defense of Themselves: On the generic critisism of apoligia." </w:t>
              </w:r>
              <w:r>
                <w:rPr>
                  <w:i/>
                  <w:iCs/>
                  <w:noProof/>
                  <w:lang w:val="en-US"/>
                </w:rPr>
                <w:t>Quarterly Journal of Speech, 59</w:t>
              </w:r>
              <w:r>
                <w:rPr>
                  <w:noProof/>
                  <w:lang w:val="en-US"/>
                </w:rPr>
                <w:t>, 1973: 273-83.</w:t>
              </w:r>
            </w:p>
            <w:p w:rsidR="00F623D4" w:rsidRDefault="00F623D4" w:rsidP="00F623D4">
              <w:pPr>
                <w:pStyle w:val="Bibliografi"/>
                <w:ind w:left="720" w:hanging="720"/>
                <w:rPr>
                  <w:noProof/>
                  <w:lang w:val="en-US"/>
                </w:rPr>
              </w:pPr>
              <w:r>
                <w:rPr>
                  <w:noProof/>
                  <w:lang w:val="en-US"/>
                </w:rPr>
                <w:t xml:space="preserve">WBCSD. </w:t>
              </w:r>
              <w:r>
                <w:rPr>
                  <w:i/>
                  <w:iCs/>
                  <w:noProof/>
                  <w:lang w:val="en-US"/>
                </w:rPr>
                <w:t>Corporate Social Responsibility: Meeting changing expectations.</w:t>
              </w:r>
              <w:r>
                <w:rPr>
                  <w:noProof/>
                  <w:lang w:val="en-US"/>
                </w:rPr>
                <w:t xml:space="preserve"> CSR Report, Conches-Geneva: World Business Council for Sustainable Development, 2002.</w:t>
              </w:r>
            </w:p>
            <w:p w:rsidR="00F623D4" w:rsidRDefault="00F623D4" w:rsidP="00F623D4">
              <w:pPr>
                <w:pStyle w:val="Bibliografi"/>
                <w:ind w:left="720" w:hanging="720"/>
                <w:rPr>
                  <w:noProof/>
                  <w:lang w:val="en-US"/>
                </w:rPr>
              </w:pPr>
              <w:r>
                <w:rPr>
                  <w:noProof/>
                  <w:lang w:val="en-US"/>
                </w:rPr>
                <w:t xml:space="preserve">Weber, Steven. "The Rhetoric of Positivism Versus Interpretivism: A Personal View." </w:t>
              </w:r>
              <w:r>
                <w:rPr>
                  <w:i/>
                  <w:iCs/>
                  <w:noProof/>
                  <w:lang w:val="en-US"/>
                </w:rPr>
                <w:t>MIS Quarterly Vol. 28 No. 1/</w:t>
              </w:r>
              <w:r>
                <w:rPr>
                  <w:noProof/>
                  <w:lang w:val="en-US"/>
                </w:rPr>
                <w:t>, March 1, 2004.</w:t>
              </w:r>
            </w:p>
            <w:p w:rsidR="00F623D4" w:rsidRDefault="00F623D4" w:rsidP="00F623D4">
              <w:pPr>
                <w:pStyle w:val="Bibliografi"/>
                <w:ind w:left="720" w:hanging="720"/>
                <w:rPr>
                  <w:noProof/>
                  <w:lang w:val="en-US"/>
                </w:rPr>
              </w:pPr>
              <w:r>
                <w:rPr>
                  <w:noProof/>
                  <w:lang w:val="en-US"/>
                </w:rPr>
                <w:t xml:space="preserve">Wester, Misse. "Cause and Consequences of Crises: How Perception Can Influence Communication." </w:t>
              </w:r>
              <w:r>
                <w:rPr>
                  <w:i/>
                  <w:iCs/>
                  <w:noProof/>
                  <w:lang w:val="en-US"/>
                </w:rPr>
                <w:t>Journal of Contingencies and Crisis Management Vol. 17, Issue 2</w:t>
              </w:r>
              <w:r>
                <w:rPr>
                  <w:noProof/>
                  <w:lang w:val="en-US"/>
                </w:rPr>
                <w:t>, June 2009: 118-125.</w:t>
              </w:r>
            </w:p>
            <w:p w:rsidR="00F623D4" w:rsidRDefault="00F623D4" w:rsidP="00F623D4">
              <w:pPr>
                <w:pStyle w:val="Bibliografi"/>
                <w:ind w:left="720" w:hanging="720"/>
                <w:rPr>
                  <w:noProof/>
                  <w:lang w:val="en-US"/>
                </w:rPr>
              </w:pPr>
              <w:r>
                <w:rPr>
                  <w:noProof/>
                  <w:lang w:val="en-US"/>
                </w:rPr>
                <w:t>Western Culture Knowledge Center. "Western Culture Global." 2009. http://www.westerncultureglobal.org/what-is-western-culture.html (accessed April 30, 2015).</w:t>
              </w:r>
            </w:p>
            <w:p w:rsidR="00F623D4" w:rsidRDefault="00F623D4" w:rsidP="00F623D4">
              <w:pPr>
                <w:pStyle w:val="Bibliografi"/>
                <w:ind w:left="720" w:hanging="720"/>
                <w:rPr>
                  <w:noProof/>
                  <w:lang w:val="en-US"/>
                </w:rPr>
              </w:pPr>
              <w:r>
                <w:rPr>
                  <w:noProof/>
                  <w:lang w:val="en-US"/>
                </w:rPr>
                <w:t xml:space="preserve">"The Discourse-historical Approach." In </w:t>
              </w:r>
              <w:r>
                <w:rPr>
                  <w:i/>
                  <w:iCs/>
                  <w:noProof/>
                  <w:lang w:val="en-US"/>
                </w:rPr>
                <w:t>Methods of Critical Discourse Analysis</w:t>
              </w:r>
              <w:r>
                <w:rPr>
                  <w:noProof/>
                  <w:lang w:val="en-US"/>
                </w:rPr>
                <w:t>, by Ruth Wodak and M. Meyer, 87-122. London : Sage, 2001.</w:t>
              </w:r>
            </w:p>
            <w:p w:rsidR="00F623D4" w:rsidRDefault="00F623D4" w:rsidP="00F623D4">
              <w:pPr>
                <w:pStyle w:val="Bibliografi"/>
                <w:ind w:left="720" w:hanging="720"/>
                <w:rPr>
                  <w:noProof/>
                  <w:lang w:val="en-US"/>
                </w:rPr>
              </w:pPr>
              <w:r>
                <w:rPr>
                  <w:noProof/>
                  <w:lang w:val="en-US"/>
                </w:rPr>
                <w:t xml:space="preserve">Yin, Robert K. </w:t>
              </w:r>
              <w:r>
                <w:rPr>
                  <w:i/>
                  <w:iCs/>
                  <w:noProof/>
                  <w:lang w:val="en-US"/>
                </w:rPr>
                <w:t>Case Study Research: Design and Methods - Fourth Edition.</w:t>
              </w:r>
              <w:r>
                <w:rPr>
                  <w:noProof/>
                  <w:lang w:val="en-US"/>
                </w:rPr>
                <w:t xml:space="preserve"> London: SAGE Publications Ltd., 2009.</w:t>
              </w:r>
            </w:p>
            <w:p w:rsidR="00F623D4" w:rsidRDefault="00F623D4" w:rsidP="00F623D4">
              <w:pPr>
                <w:pStyle w:val="Bibliografi"/>
                <w:ind w:left="720" w:hanging="720"/>
                <w:rPr>
                  <w:noProof/>
                  <w:lang w:val="en-US"/>
                </w:rPr>
              </w:pPr>
              <w:r>
                <w:rPr>
                  <w:noProof/>
                  <w:lang w:val="en-US"/>
                </w:rPr>
                <w:t xml:space="preserve">Aasprong, Marius Lervåg. </w:t>
              </w:r>
              <w:r>
                <w:rPr>
                  <w:i/>
                  <w:iCs/>
                  <w:noProof/>
                  <w:lang w:val="en-US"/>
                </w:rPr>
                <w:t>Uncovering Corporate Social Responsibility: Deparadoxation of power in the CSR-discourse.</w:t>
              </w:r>
              <w:r>
                <w:rPr>
                  <w:noProof/>
                  <w:lang w:val="en-US"/>
                </w:rPr>
                <w:t xml:space="preserve"> Master's Thesis, Trondheim: Norwegian University of Science and Technology, 2012.</w:t>
              </w:r>
            </w:p>
            <w:p w:rsidR="00272E24" w:rsidRPr="00BE42D6" w:rsidRDefault="00096D1F" w:rsidP="00337119">
              <w:r>
                <w:rPr>
                  <w:b/>
                  <w:bCs/>
                </w:rPr>
                <w:fldChar w:fldCharType="end"/>
              </w:r>
              <w:r w:rsidR="00272E24">
                <w:rPr>
                  <w:lang w:val="en-US"/>
                </w:rPr>
                <w:br w:type="page"/>
              </w:r>
            </w:p>
          </w:sdtContent>
        </w:sdt>
      </w:sdtContent>
    </w:sdt>
    <w:p w:rsidR="00272E24" w:rsidRPr="002216BB" w:rsidRDefault="00272E24" w:rsidP="00337119">
      <w:pPr>
        <w:pStyle w:val="Overskrift1"/>
        <w:rPr>
          <w:lang w:val="en-US"/>
        </w:rPr>
      </w:pPr>
      <w:bookmarkStart w:id="126" w:name="_Toc420075859"/>
      <w:bookmarkStart w:id="127" w:name="_Toc420761672"/>
      <w:r w:rsidRPr="002216BB">
        <w:rPr>
          <w:lang w:val="en-US"/>
        </w:rPr>
        <w:lastRenderedPageBreak/>
        <w:t>Appendix</w:t>
      </w:r>
      <w:bookmarkEnd w:id="126"/>
      <w:bookmarkEnd w:id="127"/>
    </w:p>
    <w:p w:rsidR="00272E24" w:rsidRPr="002216BB" w:rsidRDefault="00272E24" w:rsidP="00337119">
      <w:pPr>
        <w:rPr>
          <w:lang w:val="en-US"/>
        </w:rPr>
      </w:pPr>
    </w:p>
    <w:p w:rsidR="00272E24" w:rsidRPr="009026B4" w:rsidRDefault="00272E24" w:rsidP="00337119">
      <w:pPr>
        <w:rPr>
          <w:b/>
          <w:szCs w:val="24"/>
          <w:lang w:val="en-US"/>
        </w:rPr>
      </w:pPr>
      <w:bookmarkStart w:id="128" w:name="_Toc420075860"/>
      <w:bookmarkStart w:id="129" w:name="_Toc420761673"/>
      <w:r w:rsidRPr="009026B4">
        <w:rPr>
          <w:rStyle w:val="Overskrift2Tegn"/>
          <w:sz w:val="24"/>
          <w:szCs w:val="24"/>
          <w:lang w:val="en-US"/>
        </w:rPr>
        <w:t>Appendix 1: Definitions of CDA Terms</w:t>
      </w:r>
      <w:bookmarkEnd w:id="128"/>
      <w:bookmarkEnd w:id="129"/>
      <w:r w:rsidRPr="009026B4">
        <w:rPr>
          <w:szCs w:val="24"/>
          <w:lang w:val="en-US"/>
        </w:rPr>
        <w:t xml:space="preserve"> </w:t>
      </w:r>
      <w:r w:rsidRPr="009026B4">
        <w:rPr>
          <w:b/>
          <w:szCs w:val="24"/>
          <w:lang w:val="en-US"/>
        </w:rPr>
        <w:t xml:space="preserve">(Machin and </w:t>
      </w:r>
      <w:proofErr w:type="spellStart"/>
      <w:r w:rsidRPr="009026B4">
        <w:rPr>
          <w:b/>
          <w:szCs w:val="24"/>
          <w:lang w:val="en-US"/>
        </w:rPr>
        <w:t>Mayr</w:t>
      </w:r>
      <w:proofErr w:type="spellEnd"/>
      <w:r w:rsidRPr="009026B4">
        <w:rPr>
          <w:b/>
          <w:szCs w:val="24"/>
          <w:lang w:val="en-US"/>
        </w:rPr>
        <w:t xml:space="preserve"> 2012, 32-190)</w:t>
      </w:r>
    </w:p>
    <w:p w:rsidR="00272E24" w:rsidRDefault="00272E24" w:rsidP="00337119">
      <w:pPr>
        <w:spacing w:line="360" w:lineRule="auto"/>
        <w:rPr>
          <w:lang w:val="en-US"/>
        </w:rPr>
      </w:pPr>
      <w:r>
        <w:rPr>
          <w:i/>
          <w:lang w:val="en-US"/>
        </w:rPr>
        <w:t>Word connotations</w:t>
      </w:r>
      <w:r>
        <w:rPr>
          <w:lang w:val="en-US"/>
        </w:rPr>
        <w:t xml:space="preserve">: The general meaning or connotation(s) one can derive from specific words in use – on the basis of how they influence certain sets of associations within a clause. Moreover, a valid approach can be to determine whether or not there is a predominance of particular types of words (neutral or highly value-laden words) (Ibid: 32). </w:t>
      </w:r>
    </w:p>
    <w:p w:rsidR="00272E24" w:rsidRDefault="00272E24" w:rsidP="00337119">
      <w:pPr>
        <w:spacing w:line="360" w:lineRule="auto"/>
        <w:rPr>
          <w:lang w:val="en-US"/>
        </w:rPr>
      </w:pPr>
      <w:proofErr w:type="spellStart"/>
      <w:r>
        <w:rPr>
          <w:i/>
          <w:lang w:val="en-US"/>
        </w:rPr>
        <w:t>Overlexicalization</w:t>
      </w:r>
      <w:proofErr w:type="spellEnd"/>
      <w:r>
        <w:rPr>
          <w:i/>
          <w:lang w:val="en-US"/>
        </w:rPr>
        <w:t>:</w:t>
      </w:r>
      <w:r>
        <w:rPr>
          <w:lang w:val="en-US"/>
        </w:rPr>
        <w:t xml:space="preserve"> The usage of a specific type of words and its synonyms to describe something or someone, indicating over-persuasion and reveals a plausible ideological contention (there is a sense of need to persuade) (Ibid: 37).</w:t>
      </w:r>
    </w:p>
    <w:p w:rsidR="00272E24" w:rsidRDefault="00272E24" w:rsidP="00337119">
      <w:pPr>
        <w:spacing w:line="360" w:lineRule="auto"/>
        <w:rPr>
          <w:lang w:val="en-US"/>
        </w:rPr>
      </w:pPr>
      <w:r>
        <w:rPr>
          <w:i/>
          <w:lang w:val="en-US"/>
        </w:rPr>
        <w:t xml:space="preserve">Suppression or lexical absence: </w:t>
      </w:r>
      <w:r>
        <w:rPr>
          <w:lang w:val="en-US"/>
        </w:rPr>
        <w:t>The obvious absence of elements within the text that would be expected to have been included (an example could be a response to a critique, where some points are not being addressed at all) (Ibid: 38).</w:t>
      </w:r>
    </w:p>
    <w:p w:rsidR="00272E24" w:rsidRDefault="00272E24" w:rsidP="00337119">
      <w:pPr>
        <w:spacing w:line="360" w:lineRule="auto"/>
        <w:rPr>
          <w:lang w:val="en-US"/>
        </w:rPr>
      </w:pPr>
      <w:r>
        <w:rPr>
          <w:i/>
          <w:lang w:val="en-US"/>
        </w:rPr>
        <w:t xml:space="preserve">Structural oppositions: </w:t>
      </w:r>
      <w:r>
        <w:rPr>
          <w:lang w:val="en-US"/>
        </w:rPr>
        <w:t>Usage of words or concepts that have a clear opposite (militant versus citizen) and therefore indirectly emphasizing the properties thereof (Ibid: 39).</w:t>
      </w:r>
    </w:p>
    <w:p w:rsidR="00272E24" w:rsidRDefault="00272E24" w:rsidP="00337119">
      <w:pPr>
        <w:spacing w:line="360" w:lineRule="auto"/>
        <w:rPr>
          <w:lang w:val="en-US"/>
        </w:rPr>
      </w:pPr>
      <w:r>
        <w:rPr>
          <w:i/>
          <w:lang w:val="en-US"/>
        </w:rPr>
        <w:t xml:space="preserve">Lexical choices: </w:t>
      </w:r>
      <w:r>
        <w:rPr>
          <w:lang w:val="en-US"/>
        </w:rPr>
        <w:t xml:space="preserve">To express a desired degree of authority (scientific sounding words, specialist comments, expert knowledge to express a high degree of authority contra everyday words to express equal status) (Ibid: 42). </w:t>
      </w:r>
    </w:p>
    <w:p w:rsidR="00272E24" w:rsidRDefault="00272E24" w:rsidP="00337119">
      <w:pPr>
        <w:spacing w:line="360" w:lineRule="auto"/>
        <w:rPr>
          <w:lang w:val="en-US"/>
        </w:rPr>
      </w:pPr>
      <w:r w:rsidRPr="000A50E2">
        <w:rPr>
          <w:i/>
          <w:lang w:val="en-US"/>
        </w:rPr>
        <w:t>Quoting verbs</w:t>
      </w:r>
      <w:r>
        <w:rPr>
          <w:i/>
          <w:lang w:val="en-US"/>
        </w:rPr>
        <w:t>:</w:t>
      </w:r>
      <w:r>
        <w:rPr>
          <w:lang w:val="en-US"/>
        </w:rPr>
        <w:t xml:space="preserve"> How the sender of the text choses to quote someone else (neutral (said) versus value-laden (shouted): a matter of how the sender wishes to portray the person and the quote in question (Ibid: 57).</w:t>
      </w:r>
    </w:p>
    <w:p w:rsidR="00272E24" w:rsidRDefault="00272E24" w:rsidP="00337119">
      <w:pPr>
        <w:spacing w:line="360" w:lineRule="auto"/>
        <w:rPr>
          <w:lang w:val="en-US"/>
        </w:rPr>
      </w:pPr>
      <w:r w:rsidRPr="003A494B">
        <w:rPr>
          <w:i/>
          <w:lang w:val="en-US"/>
        </w:rPr>
        <w:t>Representational strategies in language</w:t>
      </w:r>
      <w:r>
        <w:rPr>
          <w:lang w:val="en-US"/>
        </w:rPr>
        <w:t>: How the sender decides to represent a person (portraying his identity; the Muslim man contra the young man) (Ibid: 77).</w:t>
      </w:r>
    </w:p>
    <w:p w:rsidR="00272E24" w:rsidRDefault="00272E24" w:rsidP="00337119">
      <w:pPr>
        <w:spacing w:line="360" w:lineRule="auto"/>
        <w:rPr>
          <w:i/>
          <w:lang w:val="en-US"/>
        </w:rPr>
      </w:pPr>
      <w:r w:rsidRPr="009259B2">
        <w:rPr>
          <w:i/>
          <w:lang w:val="en-US"/>
        </w:rPr>
        <w:t>Classification of social actors:</w:t>
      </w:r>
    </w:p>
    <w:p w:rsidR="00272E24" w:rsidRDefault="00272E24" w:rsidP="00337119">
      <w:pPr>
        <w:spacing w:line="360" w:lineRule="auto"/>
        <w:ind w:left="1304" w:firstLine="1"/>
        <w:rPr>
          <w:lang w:val="en-US"/>
        </w:rPr>
      </w:pPr>
      <w:r w:rsidRPr="009259B2">
        <w:rPr>
          <w:i/>
          <w:lang w:val="en-US"/>
        </w:rPr>
        <w:t>Personalized v</w:t>
      </w:r>
      <w:r>
        <w:rPr>
          <w:i/>
          <w:lang w:val="en-US"/>
        </w:rPr>
        <w:t>ersu</w:t>
      </w:r>
      <w:r w:rsidRPr="009259B2">
        <w:rPr>
          <w:i/>
          <w:lang w:val="en-US"/>
        </w:rPr>
        <w:t>s impersonalized</w:t>
      </w:r>
      <w:r>
        <w:rPr>
          <w:lang w:val="en-US"/>
        </w:rPr>
        <w:t xml:space="preserve">: The opinion and voice of one specific person or an entire institution that may give extra weight to a particular statement. </w:t>
      </w:r>
    </w:p>
    <w:p w:rsidR="00272E24" w:rsidRDefault="00272E24" w:rsidP="00337119">
      <w:pPr>
        <w:spacing w:line="360" w:lineRule="auto"/>
        <w:ind w:left="1304" w:firstLine="1"/>
        <w:rPr>
          <w:lang w:val="en-US"/>
        </w:rPr>
      </w:pPr>
      <w:r w:rsidRPr="0056149A">
        <w:rPr>
          <w:i/>
          <w:lang w:val="en-US"/>
        </w:rPr>
        <w:lastRenderedPageBreak/>
        <w:t>Individualization v</w:t>
      </w:r>
      <w:r>
        <w:rPr>
          <w:i/>
          <w:lang w:val="en-US"/>
        </w:rPr>
        <w:t>ersu</w:t>
      </w:r>
      <w:r w:rsidRPr="0056149A">
        <w:rPr>
          <w:i/>
          <w:lang w:val="en-US"/>
        </w:rPr>
        <w:t>s collectivization</w:t>
      </w:r>
      <w:r>
        <w:rPr>
          <w:lang w:val="en-US"/>
        </w:rPr>
        <w:t>: Bringing forth the individual or bringing forth a group of a specific kind of people.</w:t>
      </w:r>
    </w:p>
    <w:p w:rsidR="00272E24" w:rsidRDefault="00272E24" w:rsidP="00337119">
      <w:pPr>
        <w:spacing w:line="360" w:lineRule="auto"/>
        <w:ind w:left="1304" w:firstLine="1"/>
        <w:rPr>
          <w:lang w:val="en-US"/>
        </w:rPr>
      </w:pPr>
      <w:r w:rsidRPr="0056149A">
        <w:rPr>
          <w:i/>
          <w:lang w:val="en-US"/>
        </w:rPr>
        <w:t>Specification and generalization</w:t>
      </w:r>
      <w:r>
        <w:rPr>
          <w:lang w:val="en-US"/>
        </w:rPr>
        <w:t>: Specific person or a type of person.</w:t>
      </w:r>
    </w:p>
    <w:p w:rsidR="00272E24" w:rsidRDefault="00272E24" w:rsidP="00337119">
      <w:pPr>
        <w:spacing w:line="360" w:lineRule="auto"/>
        <w:ind w:left="1304"/>
        <w:rPr>
          <w:lang w:val="en-US"/>
        </w:rPr>
      </w:pPr>
      <w:r w:rsidRPr="0023080F">
        <w:rPr>
          <w:i/>
          <w:lang w:val="en-US"/>
        </w:rPr>
        <w:t>Nomination and functionalization</w:t>
      </w:r>
      <w:r>
        <w:rPr>
          <w:lang w:val="en-US"/>
        </w:rPr>
        <w:t xml:space="preserve">: A person is defined by function (job title, activity). </w:t>
      </w:r>
    </w:p>
    <w:p w:rsidR="00272E24" w:rsidRDefault="00272E24" w:rsidP="00337119">
      <w:pPr>
        <w:spacing w:line="360" w:lineRule="auto"/>
        <w:ind w:left="1304"/>
        <w:rPr>
          <w:lang w:val="en-US"/>
        </w:rPr>
      </w:pPr>
      <w:proofErr w:type="spellStart"/>
      <w:r w:rsidRPr="00EB2C51">
        <w:rPr>
          <w:i/>
          <w:lang w:val="en-US"/>
        </w:rPr>
        <w:t>Objectivation</w:t>
      </w:r>
      <w:proofErr w:type="spellEnd"/>
      <w:r>
        <w:rPr>
          <w:i/>
          <w:lang w:val="en-US"/>
        </w:rPr>
        <w:t>:</w:t>
      </w:r>
      <w:r>
        <w:rPr>
          <w:lang w:val="en-US"/>
        </w:rPr>
        <w:t xml:space="preserve"> A social actor is represented through a feature (‘a beauty’ instead of a woman).</w:t>
      </w:r>
    </w:p>
    <w:p w:rsidR="00272E24" w:rsidRDefault="00272E24" w:rsidP="00337119">
      <w:pPr>
        <w:spacing w:line="360" w:lineRule="auto"/>
        <w:ind w:left="1304"/>
        <w:rPr>
          <w:lang w:val="en-US"/>
        </w:rPr>
      </w:pPr>
      <w:proofErr w:type="spellStart"/>
      <w:r w:rsidRPr="00EB2C51">
        <w:rPr>
          <w:i/>
          <w:lang w:val="en-US"/>
        </w:rPr>
        <w:t>Anonymization</w:t>
      </w:r>
      <w:proofErr w:type="spellEnd"/>
      <w:r>
        <w:rPr>
          <w:i/>
          <w:lang w:val="en-US"/>
        </w:rPr>
        <w:t xml:space="preserve">: </w:t>
      </w:r>
      <w:r>
        <w:rPr>
          <w:lang w:val="en-US"/>
        </w:rPr>
        <w:t>Social actors are not recognized (‘a source said’).</w:t>
      </w:r>
    </w:p>
    <w:p w:rsidR="00272E24" w:rsidRDefault="00272E24" w:rsidP="00337119">
      <w:pPr>
        <w:spacing w:line="360" w:lineRule="auto"/>
        <w:ind w:left="1304"/>
        <w:rPr>
          <w:lang w:val="en-US"/>
        </w:rPr>
      </w:pPr>
      <w:r>
        <w:rPr>
          <w:i/>
          <w:lang w:val="en-US"/>
        </w:rPr>
        <w:t xml:space="preserve">Pronouns: </w:t>
      </w:r>
      <w:r>
        <w:rPr>
          <w:lang w:val="en-US"/>
        </w:rPr>
        <w:t>The usage of pronouns instead of nouns (we, us, them), which can express the sender’s ideas as the same as the recipients (or a persuasion of the same).</w:t>
      </w:r>
    </w:p>
    <w:p w:rsidR="00272E24" w:rsidRDefault="00272E24" w:rsidP="00337119">
      <w:pPr>
        <w:spacing w:line="360" w:lineRule="auto"/>
        <w:ind w:left="1304"/>
        <w:rPr>
          <w:lang w:val="en-US"/>
        </w:rPr>
      </w:pPr>
      <w:r>
        <w:rPr>
          <w:i/>
          <w:lang w:val="en-US"/>
        </w:rPr>
        <w:t xml:space="preserve">Suppression: </w:t>
      </w:r>
      <w:r>
        <w:rPr>
          <w:lang w:val="en-US"/>
        </w:rPr>
        <w:t xml:space="preserve">No agents (social actors) are revealed in a clause, where particular concepts, theories or ideologies are portrayed as the agents (globalization, democracy) </w:t>
      </w:r>
      <w:sdt>
        <w:sdtPr>
          <w:rPr>
            <w:lang w:val="en-US"/>
          </w:rPr>
          <w:id w:val="-722979291"/>
          <w:citation/>
        </w:sdtPr>
        <w:sdtContent>
          <w:r>
            <w:rPr>
              <w:lang w:val="en-US"/>
            </w:rPr>
            <w:fldChar w:fldCharType="begin"/>
          </w:r>
          <w:r>
            <w:rPr>
              <w:lang w:val="en-US"/>
            </w:rPr>
            <w:instrText xml:space="preserve">CITATION Dav12 \p 79-85 \l 1030 </w:instrText>
          </w:r>
          <w:r>
            <w:rPr>
              <w:lang w:val="en-US"/>
            </w:rPr>
            <w:fldChar w:fldCharType="separate"/>
          </w:r>
          <w:r w:rsidR="00F623D4">
            <w:rPr>
              <w:noProof/>
              <w:lang w:val="en-US"/>
            </w:rPr>
            <w:t>(Machin and Mayr 2012, 79-85)</w:t>
          </w:r>
          <w:r>
            <w:rPr>
              <w:lang w:val="en-US"/>
            </w:rPr>
            <w:fldChar w:fldCharType="end"/>
          </w:r>
        </w:sdtContent>
      </w:sdt>
      <w:r>
        <w:rPr>
          <w:lang w:val="en-US"/>
        </w:rPr>
        <w:t>.</w:t>
      </w:r>
    </w:p>
    <w:p w:rsidR="00272E24" w:rsidRDefault="00272E24" w:rsidP="00337119">
      <w:pPr>
        <w:spacing w:line="360" w:lineRule="auto"/>
        <w:rPr>
          <w:lang w:val="en-US"/>
        </w:rPr>
      </w:pPr>
      <w:r w:rsidRPr="005A6167">
        <w:rPr>
          <w:i/>
          <w:lang w:val="en-US"/>
        </w:rPr>
        <w:t>Nominalization</w:t>
      </w:r>
      <w:r>
        <w:rPr>
          <w:lang w:val="en-US"/>
        </w:rPr>
        <w:t xml:space="preserve">: Actors are not mentioned within a clause, but merely the ‘victims’ and the actions themselves, which indicates no clear responsibility (the changed global economy) (Ibid: 137). </w:t>
      </w:r>
    </w:p>
    <w:p w:rsidR="00272E24" w:rsidRDefault="00272E24" w:rsidP="00337119">
      <w:pPr>
        <w:spacing w:line="360" w:lineRule="auto"/>
        <w:rPr>
          <w:lang w:val="en-US"/>
        </w:rPr>
      </w:pPr>
      <w:r w:rsidRPr="003B51CE">
        <w:rPr>
          <w:i/>
          <w:lang w:val="en-US"/>
        </w:rPr>
        <w:t>Presupposition</w:t>
      </w:r>
      <w:r>
        <w:rPr>
          <w:lang w:val="en-US"/>
        </w:rPr>
        <w:t>: Something (concepts, ideas, as for example ‘British culture’) is assumed to be understood without further explanation (Ibid: 153).</w:t>
      </w:r>
    </w:p>
    <w:p w:rsidR="00272E24" w:rsidRDefault="00272E24" w:rsidP="00337119">
      <w:pPr>
        <w:spacing w:line="360" w:lineRule="auto"/>
        <w:rPr>
          <w:lang w:val="en-US"/>
        </w:rPr>
      </w:pPr>
      <w:r>
        <w:rPr>
          <w:i/>
          <w:lang w:val="en-US"/>
        </w:rPr>
        <w:t>Transitivity:</w:t>
      </w:r>
      <w:r>
        <w:rPr>
          <w:lang w:val="en-US"/>
        </w:rPr>
        <w:t xml:space="preserve"> A term that refers to the depiction of actors/patients in terms of who does what to whom, and how (important actors within a clause are revealed). Significant aspects to consider are the participants, processes (material, mental, behavioral, verbal, relational and </w:t>
      </w:r>
      <w:proofErr w:type="spellStart"/>
      <w:r>
        <w:rPr>
          <w:lang w:val="en-US"/>
        </w:rPr>
        <w:t>existential´verbs</w:t>
      </w:r>
      <w:proofErr w:type="spellEnd"/>
      <w:r>
        <w:rPr>
          <w:lang w:val="en-US"/>
        </w:rPr>
        <w:t xml:space="preserve"> and verbal groups) and circumstances (adverbial groups or prepositional phrases) (Ibid: 104-112).   </w:t>
      </w:r>
    </w:p>
    <w:p w:rsidR="00272E24" w:rsidRDefault="00272E24" w:rsidP="00337119">
      <w:pPr>
        <w:spacing w:line="360" w:lineRule="auto"/>
        <w:rPr>
          <w:lang w:val="en-US"/>
        </w:rPr>
      </w:pPr>
      <w:r>
        <w:rPr>
          <w:lang w:val="en-US"/>
        </w:rPr>
        <w:t>Modality: Any unit of language that expresses the sender’s personal opinion or commitment to what they say, like hedging (I believe/think) and word units like ‘may’, which depicts the degree of certainty (Ibid: 186).</w:t>
      </w:r>
    </w:p>
    <w:p w:rsidR="00272E24" w:rsidRDefault="00272E24" w:rsidP="00337119">
      <w:pPr>
        <w:spacing w:line="360" w:lineRule="auto"/>
        <w:rPr>
          <w:lang w:val="en-US"/>
        </w:rPr>
      </w:pPr>
      <w:r w:rsidRPr="007C3895">
        <w:rPr>
          <w:i/>
          <w:lang w:val="en-US"/>
        </w:rPr>
        <w:t>Modals</w:t>
      </w:r>
      <w:r>
        <w:rPr>
          <w:lang w:val="en-US"/>
        </w:rPr>
        <w:t>: The use of modals in a sentence generates expressed degrees of power and authority of the author (‘you will’ versus ‘you should’) (Ibid: 190).</w:t>
      </w:r>
    </w:p>
    <w:p w:rsidR="00272E24" w:rsidRPr="002216BB" w:rsidRDefault="00272E24" w:rsidP="00337119">
      <w:pPr>
        <w:rPr>
          <w:b/>
          <w:bCs/>
          <w:lang w:val="en-US"/>
        </w:rPr>
      </w:pPr>
      <w:r w:rsidRPr="002216BB">
        <w:rPr>
          <w:lang w:val="en-US"/>
        </w:rPr>
        <w:br w:type="page"/>
      </w:r>
    </w:p>
    <w:p w:rsidR="00272E24" w:rsidRPr="00255908" w:rsidRDefault="001832C7" w:rsidP="00337119">
      <w:pPr>
        <w:rPr>
          <w:b/>
          <w:lang w:val="en-US"/>
        </w:rPr>
      </w:pPr>
      <w:bookmarkStart w:id="130" w:name="_Toc420075861"/>
      <w:r>
        <w:rPr>
          <w:noProof/>
          <w:lang w:eastAsia="da-DK"/>
        </w:rPr>
        <w:lastRenderedPageBreak/>
        <w:drawing>
          <wp:anchor distT="0" distB="0" distL="114300" distR="114300" simplePos="0" relativeHeight="251704320" behindDoc="1" locked="0" layoutInCell="1" allowOverlap="1" wp14:anchorId="60FC6FDD" wp14:editId="4F5C6952">
            <wp:simplePos x="0" y="0"/>
            <wp:positionH relativeFrom="column">
              <wp:posOffset>184150</wp:posOffset>
            </wp:positionH>
            <wp:positionV relativeFrom="paragraph">
              <wp:posOffset>310515</wp:posOffset>
            </wp:positionV>
            <wp:extent cx="5734050" cy="8124825"/>
            <wp:effectExtent l="0" t="0" r="0" b="9525"/>
            <wp:wrapTight wrapText="bothSides">
              <wp:wrapPolygon edited="0">
                <wp:start x="0" y="0"/>
                <wp:lineTo x="0" y="21575"/>
                <wp:lineTo x="21528" y="21575"/>
                <wp:lineTo x="21528" y="0"/>
                <wp:lineTo x="0" y="0"/>
              </wp:wrapPolygon>
            </wp:wrapTight>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ch 2012 statement.png"/>
                    <pic:cNvPicPr/>
                  </pic:nvPicPr>
                  <pic:blipFill>
                    <a:blip r:embed="rId41">
                      <a:extLst>
                        <a:ext uri="{28A0092B-C50C-407E-A947-70E740481C1C}">
                          <a14:useLocalDpi xmlns:a14="http://schemas.microsoft.com/office/drawing/2010/main" val="0"/>
                        </a:ext>
                      </a:extLst>
                    </a:blip>
                    <a:stretch>
                      <a:fillRect/>
                    </a:stretch>
                  </pic:blipFill>
                  <pic:spPr>
                    <a:xfrm>
                      <a:off x="0" y="0"/>
                      <a:ext cx="5734050" cy="8124825"/>
                    </a:xfrm>
                    <a:prstGeom prst="rect">
                      <a:avLst/>
                    </a:prstGeom>
                  </pic:spPr>
                </pic:pic>
              </a:graphicData>
            </a:graphic>
            <wp14:sizeRelH relativeFrom="page">
              <wp14:pctWidth>0</wp14:pctWidth>
            </wp14:sizeRelH>
            <wp14:sizeRelV relativeFrom="page">
              <wp14:pctHeight>0</wp14:pctHeight>
            </wp14:sizeRelV>
          </wp:anchor>
        </w:drawing>
      </w:r>
      <w:bookmarkStart w:id="131" w:name="_Toc420761674"/>
      <w:r w:rsidR="00272E24" w:rsidRPr="00C51FC3">
        <w:rPr>
          <w:rStyle w:val="Overskrift2Tegn"/>
          <w:sz w:val="24"/>
          <w:lang w:val="en-US"/>
        </w:rPr>
        <w:t xml:space="preserve">Appendix </w:t>
      </w:r>
      <w:r w:rsidR="00272E24">
        <w:rPr>
          <w:rStyle w:val="Overskrift2Tegn"/>
          <w:sz w:val="24"/>
          <w:lang w:val="en-US"/>
        </w:rPr>
        <w:t>2</w:t>
      </w:r>
      <w:r w:rsidR="00272E24" w:rsidRPr="00C51FC3">
        <w:rPr>
          <w:rStyle w:val="Overskrift2Tegn"/>
          <w:sz w:val="24"/>
          <w:lang w:val="en-US"/>
        </w:rPr>
        <w:t xml:space="preserve">: Brendan </w:t>
      </w:r>
      <w:proofErr w:type="spellStart"/>
      <w:r w:rsidR="00272E24" w:rsidRPr="00C51FC3">
        <w:rPr>
          <w:rStyle w:val="Overskrift2Tegn"/>
          <w:sz w:val="24"/>
          <w:lang w:val="en-US"/>
        </w:rPr>
        <w:t>Eich</w:t>
      </w:r>
      <w:proofErr w:type="spellEnd"/>
      <w:r w:rsidR="00272E24" w:rsidRPr="00C51FC3">
        <w:rPr>
          <w:rStyle w:val="Overskrift2Tegn"/>
          <w:sz w:val="24"/>
          <w:lang w:val="en-US"/>
        </w:rPr>
        <w:t xml:space="preserve"> responding to 2012 controversy</w:t>
      </w:r>
      <w:bookmarkEnd w:id="130"/>
      <w:bookmarkEnd w:id="131"/>
      <w:r w:rsidR="00272E24" w:rsidRPr="002F5607">
        <w:rPr>
          <w:b/>
          <w:sz w:val="22"/>
          <w:lang w:val="en-US"/>
        </w:rPr>
        <w:t xml:space="preserve"> </w:t>
      </w:r>
      <w:sdt>
        <w:sdtPr>
          <w:rPr>
            <w:b/>
            <w:lang w:val="en-US"/>
          </w:rPr>
          <w:id w:val="-1201017383"/>
          <w:citation/>
        </w:sdtPr>
        <w:sdtContent>
          <w:r w:rsidR="00272E24" w:rsidRPr="003D06BE">
            <w:rPr>
              <w:b/>
              <w:lang w:val="en-US"/>
            </w:rPr>
            <w:fldChar w:fldCharType="begin"/>
          </w:r>
          <w:r w:rsidR="006136B5" w:rsidRPr="003D06BE">
            <w:rPr>
              <w:b/>
              <w:lang w:val="en-US"/>
            </w:rPr>
            <w:instrText xml:space="preserve">CITATION Bre12 \t  \l 1030 </w:instrText>
          </w:r>
          <w:r w:rsidR="00272E24" w:rsidRPr="003D06BE">
            <w:rPr>
              <w:b/>
              <w:lang w:val="en-US"/>
            </w:rPr>
            <w:fldChar w:fldCharType="separate"/>
          </w:r>
          <w:r w:rsidR="00F623D4" w:rsidRPr="003D06BE">
            <w:rPr>
              <w:b/>
              <w:noProof/>
              <w:lang w:val="en-US"/>
            </w:rPr>
            <w:t>(Eich 2012)</w:t>
          </w:r>
          <w:r w:rsidR="00272E24" w:rsidRPr="003D06BE">
            <w:rPr>
              <w:b/>
              <w:lang w:val="en-US"/>
            </w:rPr>
            <w:fldChar w:fldCharType="end"/>
          </w:r>
        </w:sdtContent>
      </w:sdt>
      <w:r w:rsidR="00272E24" w:rsidRPr="002216BB">
        <w:rPr>
          <w:lang w:val="en-US"/>
        </w:rPr>
        <w:br w:type="page"/>
      </w:r>
    </w:p>
    <w:p w:rsidR="00272E24" w:rsidRPr="00F6389C" w:rsidRDefault="00A20CDE" w:rsidP="00337119">
      <w:pPr>
        <w:pStyle w:val="Ingenafstand"/>
        <w:ind w:left="1304" w:firstLine="1304"/>
        <w:jc w:val="both"/>
        <w:rPr>
          <w:b/>
          <w:lang w:val="en-US"/>
        </w:rPr>
      </w:pPr>
      <w:r>
        <w:rPr>
          <w:noProof/>
          <w:lang w:eastAsia="da-DK"/>
        </w:rPr>
        <w:lastRenderedPageBreak/>
        <mc:AlternateContent>
          <mc:Choice Requires="wps">
            <w:drawing>
              <wp:anchor distT="0" distB="0" distL="114300" distR="114300" simplePos="0" relativeHeight="251760640" behindDoc="0" locked="0" layoutInCell="1" allowOverlap="1" wp14:anchorId="3FA5C079" wp14:editId="54D5C0BE">
                <wp:simplePos x="0" y="0"/>
                <wp:positionH relativeFrom="column">
                  <wp:posOffset>1426845</wp:posOffset>
                </wp:positionH>
                <wp:positionV relativeFrom="paragraph">
                  <wp:posOffset>-83185</wp:posOffset>
                </wp:positionV>
                <wp:extent cx="2926080" cy="429260"/>
                <wp:effectExtent l="0" t="0" r="7620" b="8890"/>
                <wp:wrapTight wrapText="bothSides">
                  <wp:wrapPolygon edited="0">
                    <wp:start x="0" y="0"/>
                    <wp:lineTo x="0" y="21089"/>
                    <wp:lineTo x="21516" y="21089"/>
                    <wp:lineTo x="21516" y="0"/>
                    <wp:lineTo x="0" y="0"/>
                  </wp:wrapPolygon>
                </wp:wrapTight>
                <wp:docPr id="82" name="Tekstboks 82"/>
                <wp:cNvGraphicFramePr/>
                <a:graphic xmlns:a="http://schemas.openxmlformats.org/drawingml/2006/main">
                  <a:graphicData uri="http://schemas.microsoft.com/office/word/2010/wordprocessingShape">
                    <wps:wsp>
                      <wps:cNvSpPr txBox="1"/>
                      <wps:spPr>
                        <a:xfrm>
                          <a:off x="0" y="0"/>
                          <a:ext cx="2926080" cy="429260"/>
                        </a:xfrm>
                        <a:prstGeom prst="rect">
                          <a:avLst/>
                        </a:prstGeom>
                        <a:solidFill>
                          <a:prstClr val="white"/>
                        </a:solidFill>
                        <a:ln>
                          <a:noFill/>
                        </a:ln>
                        <a:effectLst/>
                      </wps:spPr>
                      <wps:txbx>
                        <w:txbxContent>
                          <w:p w:rsidR="00CF205E" w:rsidRPr="00A20CDE" w:rsidRDefault="00CF205E" w:rsidP="00A20CDE">
                            <w:pPr>
                              <w:pStyle w:val="Billedtekst"/>
                              <w:rPr>
                                <w:i/>
                                <w:noProof/>
                                <w:sz w:val="24"/>
                                <w:lang w:val="en-US"/>
                              </w:rPr>
                            </w:pPr>
                            <w:bookmarkStart w:id="132" w:name="_Toc420075862"/>
                            <w:bookmarkStart w:id="133" w:name="_Toc420761675"/>
                            <w:r w:rsidRPr="00CD203E">
                              <w:rPr>
                                <w:rStyle w:val="Overskrift2Tegn"/>
                                <w:b/>
                                <w:color w:val="auto"/>
                                <w:sz w:val="24"/>
                                <w:lang w:val="en-US"/>
                              </w:rPr>
                              <w:t>Appendix 3: Mozilla Firefox advertisement</w:t>
                            </w:r>
                            <w:bookmarkEnd w:id="132"/>
                            <w:bookmarkEnd w:id="133"/>
                            <w:r w:rsidRPr="00A20CDE">
                              <w:rPr>
                                <w:color w:val="auto"/>
                                <w:sz w:val="20"/>
                                <w:lang w:val="en-US"/>
                              </w:rPr>
                              <w:t xml:space="preserve"> </w:t>
                            </w:r>
                            <w:sdt>
                              <w:sdtPr>
                                <w:rPr>
                                  <w:b w:val="0"/>
                                  <w:color w:val="auto"/>
                                  <w:sz w:val="24"/>
                                </w:rPr>
                                <w:id w:val="1185102606"/>
                                <w:citation/>
                              </w:sdtPr>
                              <w:sdtContent>
                                <w:r w:rsidRPr="004C0CB7">
                                  <w:rPr>
                                    <w:b w:val="0"/>
                                    <w:color w:val="auto"/>
                                    <w:sz w:val="24"/>
                                  </w:rPr>
                                  <w:fldChar w:fldCharType="begin"/>
                                </w:r>
                                <w:r w:rsidRPr="004C0CB7">
                                  <w:rPr>
                                    <w:color w:val="auto"/>
                                    <w:sz w:val="24"/>
                                    <w:lang w:val="en-US"/>
                                  </w:rPr>
                                  <w:instrText xml:space="preserve"> CITATION Obe14 \l 1030 </w:instrText>
                                </w:r>
                                <w:r w:rsidRPr="004C0CB7">
                                  <w:rPr>
                                    <w:b w:val="0"/>
                                    <w:color w:val="auto"/>
                                    <w:sz w:val="24"/>
                                  </w:rPr>
                                  <w:fldChar w:fldCharType="separate"/>
                                </w:r>
                                <w:r w:rsidRPr="00F623D4">
                                  <w:rPr>
                                    <w:noProof/>
                                    <w:color w:val="auto"/>
                                    <w:sz w:val="24"/>
                                    <w:lang w:val="en-US"/>
                                  </w:rPr>
                                  <w:t>(Oberlander 2014)</w:t>
                                </w:r>
                                <w:r w:rsidRPr="004C0CB7">
                                  <w:rPr>
                                    <w:b w:val="0"/>
                                    <w:color w:val="auto"/>
                                    <w:sz w:val="24"/>
                                  </w:rPr>
                                  <w:fldChar w:fldCharType="end"/>
                                </w:r>
                              </w:sdtContent>
                            </w:sdt>
                            <w:r w:rsidRPr="00A20CDE">
                              <w:rPr>
                                <w:color w:val="auto"/>
                                <w:lang w:val="en-US"/>
                              </w:rPr>
                              <w:t xml:space="preserve"> </w:t>
                            </w:r>
                            <w:r w:rsidRPr="00F6389C">
                              <w:rPr>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82" o:spid="_x0000_s1046" type="#_x0000_t202" style="position:absolute;left:0;text-align:left;margin-left:112.35pt;margin-top:-6.55pt;width:230.4pt;height:33.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" stroked="f">
                <v:textbox inset="0,0,0,0">
                  <w:txbxContent>
                    <w:p w:rsidR="00CF205E" w:rsidRPr="00A20CDE" w:rsidRDefault="00CF205E" w:rsidP="00A20CDE">
                      <w:pPr>
                        <w:pStyle w:val="Billedtekst"/>
                        <w:rPr>
                          <w:i/>
                          <w:noProof/>
                          <w:sz w:val="24"/>
                          <w:lang w:val="en-US"/>
                        </w:rPr>
                      </w:pPr>
                      <w:bookmarkStart w:id="134" w:name="_Toc420075862"/>
                      <w:bookmarkStart w:id="135" w:name="_Toc420761675"/>
                      <w:r w:rsidRPr="00CD203E">
                        <w:rPr>
                          <w:rStyle w:val="Overskrift2Tegn"/>
                          <w:b/>
                          <w:color w:val="auto"/>
                          <w:sz w:val="24"/>
                          <w:lang w:val="en-US"/>
                        </w:rPr>
                        <w:t>Appendix 3: Mozilla Firefox advertisement</w:t>
                      </w:r>
                      <w:bookmarkEnd w:id="134"/>
                      <w:bookmarkEnd w:id="135"/>
                      <w:r w:rsidRPr="00A20CDE">
                        <w:rPr>
                          <w:color w:val="auto"/>
                          <w:sz w:val="20"/>
                          <w:lang w:val="en-US"/>
                        </w:rPr>
                        <w:t xml:space="preserve"> </w:t>
                      </w:r>
                      <w:sdt>
                        <w:sdtPr>
                          <w:rPr>
                            <w:b w:val="0"/>
                            <w:color w:val="auto"/>
                            <w:sz w:val="24"/>
                          </w:rPr>
                          <w:id w:val="1185102606"/>
                          <w:citation/>
                        </w:sdtPr>
                        <w:sdtContent>
                          <w:r w:rsidRPr="004C0CB7">
                            <w:rPr>
                              <w:b w:val="0"/>
                              <w:color w:val="auto"/>
                              <w:sz w:val="24"/>
                            </w:rPr>
                            <w:fldChar w:fldCharType="begin"/>
                          </w:r>
                          <w:r w:rsidRPr="004C0CB7">
                            <w:rPr>
                              <w:color w:val="auto"/>
                              <w:sz w:val="24"/>
                              <w:lang w:val="en-US"/>
                            </w:rPr>
                            <w:instrText xml:space="preserve"> CITATION Obe14 \l 1030 </w:instrText>
                          </w:r>
                          <w:r w:rsidRPr="004C0CB7">
                            <w:rPr>
                              <w:b w:val="0"/>
                              <w:color w:val="auto"/>
                              <w:sz w:val="24"/>
                            </w:rPr>
                            <w:fldChar w:fldCharType="separate"/>
                          </w:r>
                          <w:r w:rsidRPr="00F623D4">
                            <w:rPr>
                              <w:noProof/>
                              <w:color w:val="auto"/>
                              <w:sz w:val="24"/>
                              <w:lang w:val="en-US"/>
                            </w:rPr>
                            <w:t>(Oberlander 2014)</w:t>
                          </w:r>
                          <w:r w:rsidRPr="004C0CB7">
                            <w:rPr>
                              <w:b w:val="0"/>
                              <w:color w:val="auto"/>
                              <w:sz w:val="24"/>
                            </w:rPr>
                            <w:fldChar w:fldCharType="end"/>
                          </w:r>
                        </w:sdtContent>
                      </w:sdt>
                      <w:r w:rsidRPr="00A20CDE">
                        <w:rPr>
                          <w:color w:val="auto"/>
                          <w:lang w:val="en-US"/>
                        </w:rPr>
                        <w:t xml:space="preserve"> </w:t>
                      </w:r>
                      <w:r w:rsidRPr="00F6389C">
                        <w:rPr>
                          <w:lang w:val="en-US"/>
                        </w:rPr>
                        <w:tab/>
                      </w:r>
                    </w:p>
                  </w:txbxContent>
                </v:textbox>
                <w10:wrap type="tight"/>
              </v:shape>
            </w:pict>
          </mc:Fallback>
        </mc:AlternateContent>
      </w:r>
      <w:r w:rsidR="00272E24" w:rsidRPr="00F6389C">
        <w:rPr>
          <w:b/>
          <w:lang w:val="en-US"/>
        </w:rPr>
        <w:tab/>
      </w:r>
      <w:r w:rsidR="00272E24" w:rsidRPr="00F6389C">
        <w:rPr>
          <w:b/>
          <w:lang w:val="en-US"/>
        </w:rPr>
        <w:tab/>
      </w:r>
    </w:p>
    <w:p w:rsidR="00272E24" w:rsidRPr="002216BB" w:rsidRDefault="00272E24" w:rsidP="00337119">
      <w:pPr>
        <w:rPr>
          <w:lang w:val="en-US"/>
        </w:rPr>
      </w:pPr>
      <w:r>
        <w:rPr>
          <w:i/>
          <w:noProof/>
          <w:lang w:eastAsia="da-DK"/>
        </w:rPr>
        <w:drawing>
          <wp:anchor distT="0" distB="0" distL="114300" distR="114300" simplePos="0" relativeHeight="251705344" behindDoc="1" locked="0" layoutInCell="1" allowOverlap="1" wp14:anchorId="27500A3F" wp14:editId="44A5E8D4">
            <wp:simplePos x="0" y="0"/>
            <wp:positionH relativeFrom="column">
              <wp:posOffset>1432560</wp:posOffset>
            </wp:positionH>
            <wp:positionV relativeFrom="paragraph">
              <wp:posOffset>29845</wp:posOffset>
            </wp:positionV>
            <wp:extent cx="2926080" cy="4057650"/>
            <wp:effectExtent l="0" t="0" r="7620" b="0"/>
            <wp:wrapTight wrapText="bothSides">
              <wp:wrapPolygon edited="0">
                <wp:start x="0" y="0"/>
                <wp:lineTo x="0" y="21499"/>
                <wp:lineTo x="21516" y="21499"/>
                <wp:lineTo x="21516" y="0"/>
                <wp:lineTo x="0" y="0"/>
              </wp:wrapPolygon>
            </wp:wrapTight>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 Firefox post.png"/>
                    <pic:cNvPicPr/>
                  </pic:nvPicPr>
                  <pic:blipFill>
                    <a:blip r:embed="rId42">
                      <a:extLst>
                        <a:ext uri="{28A0092B-C50C-407E-A947-70E740481C1C}">
                          <a14:useLocalDpi xmlns:a14="http://schemas.microsoft.com/office/drawing/2010/main" val="0"/>
                        </a:ext>
                      </a:extLst>
                    </a:blip>
                    <a:stretch>
                      <a:fillRect/>
                    </a:stretch>
                  </pic:blipFill>
                  <pic:spPr>
                    <a:xfrm>
                      <a:off x="0" y="0"/>
                      <a:ext cx="2926080" cy="4057650"/>
                    </a:xfrm>
                    <a:prstGeom prst="rect">
                      <a:avLst/>
                    </a:prstGeom>
                  </pic:spPr>
                </pic:pic>
              </a:graphicData>
            </a:graphic>
            <wp14:sizeRelH relativeFrom="page">
              <wp14:pctWidth>0</wp14:pctWidth>
            </wp14:sizeRelH>
            <wp14:sizeRelV relativeFrom="page">
              <wp14:pctHeight>0</wp14:pctHeight>
            </wp14:sizeRelV>
          </wp:anchor>
        </w:drawing>
      </w:r>
    </w:p>
    <w:p w:rsidR="00554B91" w:rsidRDefault="00A20CDE" w:rsidP="00337119">
      <w:pPr>
        <w:rPr>
          <w:rFonts w:eastAsiaTheme="majorEastAsia" w:cstheme="majorBidi"/>
          <w:b/>
          <w:bCs/>
          <w:sz w:val="28"/>
          <w:szCs w:val="26"/>
          <w:lang w:val="en-US"/>
        </w:rPr>
      </w:pPr>
      <w:bookmarkStart w:id="136" w:name="_Toc420075864"/>
      <w:r>
        <w:rPr>
          <w:noProof/>
          <w:lang w:eastAsia="da-DK"/>
        </w:rPr>
        <mc:AlternateContent>
          <mc:Choice Requires="wps">
            <w:drawing>
              <wp:anchor distT="0" distB="0" distL="114300" distR="114300" simplePos="0" relativeHeight="251758592" behindDoc="0" locked="0" layoutInCell="1" allowOverlap="1" wp14:anchorId="3FBF5325" wp14:editId="29E57FEB">
                <wp:simplePos x="0" y="0"/>
                <wp:positionH relativeFrom="column">
                  <wp:posOffset>1489710</wp:posOffset>
                </wp:positionH>
                <wp:positionV relativeFrom="paragraph">
                  <wp:posOffset>3879850</wp:posOffset>
                </wp:positionV>
                <wp:extent cx="3220720" cy="457200"/>
                <wp:effectExtent l="0" t="0" r="0" b="0"/>
                <wp:wrapTight wrapText="bothSides">
                  <wp:wrapPolygon edited="0">
                    <wp:start x="0" y="0"/>
                    <wp:lineTo x="0" y="20700"/>
                    <wp:lineTo x="21464" y="20700"/>
                    <wp:lineTo x="21464" y="0"/>
                    <wp:lineTo x="0" y="0"/>
                  </wp:wrapPolygon>
                </wp:wrapTight>
                <wp:docPr id="81" name="Tekstboks 81"/>
                <wp:cNvGraphicFramePr/>
                <a:graphic xmlns:a="http://schemas.openxmlformats.org/drawingml/2006/main">
                  <a:graphicData uri="http://schemas.microsoft.com/office/word/2010/wordprocessingShape">
                    <wps:wsp>
                      <wps:cNvSpPr txBox="1"/>
                      <wps:spPr>
                        <a:xfrm>
                          <a:off x="0" y="0"/>
                          <a:ext cx="3220720" cy="457200"/>
                        </a:xfrm>
                        <a:prstGeom prst="rect">
                          <a:avLst/>
                        </a:prstGeom>
                        <a:solidFill>
                          <a:prstClr val="white"/>
                        </a:solidFill>
                        <a:ln>
                          <a:noFill/>
                        </a:ln>
                        <a:effectLst/>
                      </wps:spPr>
                      <wps:txbx>
                        <w:txbxContent>
                          <w:p w:rsidR="00CF205E" w:rsidRPr="00F6389C" w:rsidRDefault="00CF205E" w:rsidP="00A20CDE">
                            <w:pPr>
                              <w:pStyle w:val="Ingenafstand"/>
                              <w:rPr>
                                <w:b/>
                                <w:lang w:val="en-US"/>
                              </w:rPr>
                            </w:pPr>
                            <w:bookmarkStart w:id="137" w:name="_Toc420761676"/>
                            <w:r w:rsidRPr="00CD203E">
                              <w:rPr>
                                <w:rStyle w:val="Overskrift2Tegn"/>
                                <w:sz w:val="24"/>
                                <w:lang w:val="en-US"/>
                              </w:rPr>
                              <w:t>Appendix 4: Stakeholder comments on advertisement</w:t>
                            </w:r>
                            <w:bookmarkEnd w:id="137"/>
                            <w:r w:rsidRPr="00CD203E">
                              <w:rPr>
                                <w:rStyle w:val="Overskrift2Tegn"/>
                                <w:sz w:val="24"/>
                                <w:lang w:val="en-US"/>
                              </w:rPr>
                              <w:t xml:space="preserve"> </w:t>
                            </w:r>
                            <w:sdt>
                              <w:sdtPr>
                                <w:rPr>
                                  <w:b/>
                                </w:rPr>
                                <w:id w:val="-237636187"/>
                                <w:citation/>
                              </w:sdtPr>
                              <w:sdtContent>
                                <w:r w:rsidRPr="003D06BE">
                                  <w:rPr>
                                    <w:b/>
                                  </w:rPr>
                                  <w:fldChar w:fldCharType="begin"/>
                                </w:r>
                                <w:r w:rsidRPr="003D06BE">
                                  <w:rPr>
                                    <w:b/>
                                    <w:lang w:val="en-US"/>
                                  </w:rPr>
                                  <w:instrText xml:space="preserve"> CITATION Obe14 \l 1030 </w:instrText>
                                </w:r>
                                <w:r w:rsidRPr="003D06BE">
                                  <w:rPr>
                                    <w:b/>
                                  </w:rPr>
                                  <w:fldChar w:fldCharType="separate"/>
                                </w:r>
                                <w:r w:rsidRPr="003D06BE">
                                  <w:rPr>
                                    <w:b/>
                                    <w:noProof/>
                                    <w:lang w:val="en-US"/>
                                  </w:rPr>
                                  <w:t>(Oberlander 2014)</w:t>
                                </w:r>
                                <w:r w:rsidRPr="003D06BE">
                                  <w:rPr>
                                    <w:b/>
                                  </w:rPr>
                                  <w:fldChar w:fldCharType="end"/>
                                </w:r>
                              </w:sdtContent>
                            </w:sdt>
                            <w:r w:rsidRPr="00F6389C">
                              <w:rPr>
                                <w:b/>
                                <w:lang w:val="en-US"/>
                              </w:rPr>
                              <w:t xml:space="preserve"> </w:t>
                            </w:r>
                            <w:r w:rsidRPr="00F6389C">
                              <w:rPr>
                                <w:b/>
                                <w:lang w:val="en-US"/>
                              </w:rPr>
                              <w:tab/>
                            </w:r>
                            <w:r w:rsidRPr="00F6389C">
                              <w:rPr>
                                <w:b/>
                                <w:lang w:val="en-US"/>
                              </w:rPr>
                              <w:tab/>
                            </w:r>
                            <w:r w:rsidRPr="00F6389C">
                              <w:rPr>
                                <w:b/>
                                <w:lang w:val="en-US"/>
                              </w:rPr>
                              <w:tab/>
                              <w:t xml:space="preserve"> </w:t>
                            </w:r>
                          </w:p>
                          <w:p w:rsidR="00CF205E" w:rsidRPr="00A20CDE" w:rsidRDefault="00CF205E" w:rsidP="00A20CDE">
                            <w:pPr>
                              <w:pStyle w:val="Billedtekst"/>
                              <w:rPr>
                                <w:noProof/>
                                <w:sz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81" o:spid="_x0000_s1047" type="#_x0000_t202" style="position:absolute;left:0;text-align:left;margin-left:117.3pt;margin-top:305.5pt;width:253.6pt;height:3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" stroked="f">
                <v:textbox inset="0,0,0,0">
                  <w:txbxContent>
                    <w:p w:rsidR="00CF205E" w:rsidRPr="00F6389C" w:rsidRDefault="00CF205E" w:rsidP="00A20CDE">
                      <w:pPr>
                        <w:pStyle w:val="Ingenafstand"/>
                        <w:rPr>
                          <w:b/>
                          <w:lang w:val="en-US"/>
                        </w:rPr>
                      </w:pPr>
                      <w:bookmarkStart w:id="138" w:name="_Toc420761676"/>
                      <w:r w:rsidRPr="00CD203E">
                        <w:rPr>
                          <w:rStyle w:val="Overskrift2Tegn"/>
                          <w:sz w:val="24"/>
                          <w:lang w:val="en-US"/>
                        </w:rPr>
                        <w:t>Appendix 4: Stakeholder comments on advertisement</w:t>
                      </w:r>
                      <w:bookmarkEnd w:id="138"/>
                      <w:r w:rsidRPr="00CD203E">
                        <w:rPr>
                          <w:rStyle w:val="Overskrift2Tegn"/>
                          <w:sz w:val="24"/>
                          <w:lang w:val="en-US"/>
                        </w:rPr>
                        <w:t xml:space="preserve"> </w:t>
                      </w:r>
                      <w:sdt>
                        <w:sdtPr>
                          <w:rPr>
                            <w:b/>
                          </w:rPr>
                          <w:id w:val="-237636187"/>
                          <w:citation/>
                        </w:sdtPr>
                        <w:sdtContent>
                          <w:r w:rsidRPr="003D06BE">
                            <w:rPr>
                              <w:b/>
                            </w:rPr>
                            <w:fldChar w:fldCharType="begin"/>
                          </w:r>
                          <w:r w:rsidRPr="003D06BE">
                            <w:rPr>
                              <w:b/>
                              <w:lang w:val="en-US"/>
                            </w:rPr>
                            <w:instrText xml:space="preserve"> CITATION Obe14 \l 1030 </w:instrText>
                          </w:r>
                          <w:r w:rsidRPr="003D06BE">
                            <w:rPr>
                              <w:b/>
                            </w:rPr>
                            <w:fldChar w:fldCharType="separate"/>
                          </w:r>
                          <w:r w:rsidRPr="003D06BE">
                            <w:rPr>
                              <w:b/>
                              <w:noProof/>
                              <w:lang w:val="en-US"/>
                            </w:rPr>
                            <w:t>(Oberlander 2014)</w:t>
                          </w:r>
                          <w:r w:rsidRPr="003D06BE">
                            <w:rPr>
                              <w:b/>
                            </w:rPr>
                            <w:fldChar w:fldCharType="end"/>
                          </w:r>
                        </w:sdtContent>
                      </w:sdt>
                      <w:r w:rsidRPr="00F6389C">
                        <w:rPr>
                          <w:b/>
                          <w:lang w:val="en-US"/>
                        </w:rPr>
                        <w:t xml:space="preserve"> </w:t>
                      </w:r>
                      <w:r w:rsidRPr="00F6389C">
                        <w:rPr>
                          <w:b/>
                          <w:lang w:val="en-US"/>
                        </w:rPr>
                        <w:tab/>
                      </w:r>
                      <w:r w:rsidRPr="00F6389C">
                        <w:rPr>
                          <w:b/>
                          <w:lang w:val="en-US"/>
                        </w:rPr>
                        <w:tab/>
                      </w:r>
                      <w:r w:rsidRPr="00F6389C">
                        <w:rPr>
                          <w:b/>
                          <w:lang w:val="en-US"/>
                        </w:rPr>
                        <w:tab/>
                        <w:t xml:space="preserve"> </w:t>
                      </w:r>
                    </w:p>
                    <w:p w:rsidR="00CF205E" w:rsidRPr="00A20CDE" w:rsidRDefault="00CF205E" w:rsidP="00A20CDE">
                      <w:pPr>
                        <w:pStyle w:val="Billedtekst"/>
                        <w:rPr>
                          <w:noProof/>
                          <w:sz w:val="24"/>
                          <w:lang w:val="en-US"/>
                        </w:rPr>
                      </w:pPr>
                    </w:p>
                  </w:txbxContent>
                </v:textbox>
                <w10:wrap type="tight"/>
              </v:shape>
            </w:pict>
          </mc:Fallback>
        </mc:AlternateContent>
      </w:r>
      <w:r>
        <w:rPr>
          <w:noProof/>
          <w:lang w:eastAsia="da-DK"/>
        </w:rPr>
        <w:drawing>
          <wp:anchor distT="0" distB="0" distL="114300" distR="114300" simplePos="0" relativeHeight="251706368" behindDoc="1" locked="0" layoutInCell="1" allowOverlap="1" wp14:anchorId="64692D2A" wp14:editId="31F69972">
            <wp:simplePos x="0" y="0"/>
            <wp:positionH relativeFrom="column">
              <wp:posOffset>1426845</wp:posOffset>
            </wp:positionH>
            <wp:positionV relativeFrom="paragraph">
              <wp:posOffset>4342130</wp:posOffset>
            </wp:positionV>
            <wp:extent cx="3220720" cy="3573145"/>
            <wp:effectExtent l="0" t="0" r="0" b="8255"/>
            <wp:wrapTight wrapText="bothSides">
              <wp:wrapPolygon edited="0">
                <wp:start x="0" y="0"/>
                <wp:lineTo x="0" y="21535"/>
                <wp:lineTo x="21464" y="21535"/>
                <wp:lineTo x="21464"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 on Firefox post.png"/>
                    <pic:cNvPicPr/>
                  </pic:nvPicPr>
                  <pic:blipFill>
                    <a:blip r:embed="rId43">
                      <a:extLst>
                        <a:ext uri="{28A0092B-C50C-407E-A947-70E740481C1C}">
                          <a14:useLocalDpi xmlns:a14="http://schemas.microsoft.com/office/drawing/2010/main" val="0"/>
                        </a:ext>
                      </a:extLst>
                    </a:blip>
                    <a:stretch>
                      <a:fillRect/>
                    </a:stretch>
                  </pic:blipFill>
                  <pic:spPr>
                    <a:xfrm>
                      <a:off x="0" y="0"/>
                      <a:ext cx="3220720" cy="3573145"/>
                    </a:xfrm>
                    <a:prstGeom prst="rect">
                      <a:avLst/>
                    </a:prstGeom>
                  </pic:spPr>
                </pic:pic>
              </a:graphicData>
            </a:graphic>
            <wp14:sizeRelH relativeFrom="page">
              <wp14:pctWidth>0</wp14:pctWidth>
            </wp14:sizeRelH>
            <wp14:sizeRelV relativeFrom="page">
              <wp14:pctHeight>0</wp14:pctHeight>
            </wp14:sizeRelV>
          </wp:anchor>
        </w:drawing>
      </w:r>
      <w:r w:rsidR="00554B91">
        <w:rPr>
          <w:lang w:val="en-US"/>
        </w:rPr>
        <w:br w:type="page"/>
      </w:r>
    </w:p>
    <w:p w:rsidR="00272E24" w:rsidRDefault="00255908" w:rsidP="00D922C0">
      <w:pPr>
        <w:rPr>
          <w:lang w:val="en-US"/>
        </w:rPr>
      </w:pPr>
      <w:bookmarkStart w:id="139" w:name="_Toc420322723"/>
      <w:r>
        <w:rPr>
          <w:noProof/>
          <w:lang w:eastAsia="da-DK"/>
        </w:rPr>
        <w:lastRenderedPageBreak/>
        <mc:AlternateContent>
          <mc:Choice Requires="wps">
            <w:drawing>
              <wp:anchor distT="0" distB="0" distL="114300" distR="114300" simplePos="0" relativeHeight="251707392" behindDoc="0" locked="0" layoutInCell="1" allowOverlap="1" wp14:anchorId="5C69878C" wp14:editId="5781FD98">
                <wp:simplePos x="0" y="0"/>
                <wp:positionH relativeFrom="column">
                  <wp:posOffset>60960</wp:posOffset>
                </wp:positionH>
                <wp:positionV relativeFrom="paragraph">
                  <wp:posOffset>158115</wp:posOffset>
                </wp:positionV>
                <wp:extent cx="5791200" cy="276225"/>
                <wp:effectExtent l="0" t="0" r="0" b="9525"/>
                <wp:wrapTight wrapText="bothSides">
                  <wp:wrapPolygon edited="0">
                    <wp:start x="0" y="0"/>
                    <wp:lineTo x="0" y="20855"/>
                    <wp:lineTo x="21529" y="20855"/>
                    <wp:lineTo x="21529" y="0"/>
                    <wp:lineTo x="0" y="0"/>
                  </wp:wrapPolygon>
                </wp:wrapTight>
                <wp:docPr id="53" name="Tekstboks 53"/>
                <wp:cNvGraphicFramePr/>
                <a:graphic xmlns:a="http://schemas.openxmlformats.org/drawingml/2006/main">
                  <a:graphicData uri="http://schemas.microsoft.com/office/word/2010/wordprocessingShape">
                    <wps:wsp>
                      <wps:cNvSpPr txBox="1"/>
                      <wps:spPr>
                        <a:xfrm>
                          <a:off x="0" y="0"/>
                          <a:ext cx="5791200" cy="276225"/>
                        </a:xfrm>
                        <a:prstGeom prst="rect">
                          <a:avLst/>
                        </a:prstGeom>
                        <a:solidFill>
                          <a:prstClr val="white"/>
                        </a:solidFill>
                        <a:ln>
                          <a:noFill/>
                        </a:ln>
                        <a:effectLst/>
                      </wps:spPr>
                      <wps:txbx>
                        <w:txbxContent>
                          <w:p w:rsidR="00CF205E" w:rsidRPr="00335A59" w:rsidRDefault="00CF205E" w:rsidP="00554B91">
                            <w:pPr>
                              <w:rPr>
                                <w:noProof/>
                                <w:lang w:val="en-US"/>
                              </w:rPr>
                            </w:pPr>
                            <w:bookmarkStart w:id="140" w:name="_Toc420075863"/>
                            <w:bookmarkStart w:id="141" w:name="_Toc420245511"/>
                            <w:bookmarkStart w:id="142" w:name="_Toc420761677"/>
                            <w:r w:rsidRPr="00CD203E">
                              <w:rPr>
                                <w:rStyle w:val="Overskrift2Tegn"/>
                                <w:sz w:val="24"/>
                                <w:lang w:val="en-US"/>
                              </w:rPr>
                              <w:t xml:space="preserve">Appendix 5: </w:t>
                            </w:r>
                            <w:r>
                              <w:rPr>
                                <w:rStyle w:val="Overskrift2Tegn"/>
                                <w:sz w:val="24"/>
                                <w:lang w:val="en-US"/>
                              </w:rPr>
                              <w:t>Statement 1</w:t>
                            </w:r>
                            <w:bookmarkEnd w:id="142"/>
                            <w:r>
                              <w:rPr>
                                <w:rStyle w:val="Overskrift2Tegn"/>
                                <w:sz w:val="24"/>
                                <w:lang w:val="en-US"/>
                              </w:rPr>
                              <w:t xml:space="preserve"> </w:t>
                            </w:r>
                            <w:r w:rsidRPr="006839F2">
                              <w:rPr>
                                <w:b/>
                                <w:lang w:val="en-US"/>
                              </w:rPr>
                              <w:t>– Mozilla Statement on Diversity</w:t>
                            </w:r>
                            <w:r w:rsidRPr="00554B91">
                              <w:rPr>
                                <w:sz w:val="22"/>
                                <w:lang w:val="en-US"/>
                              </w:rPr>
                              <w:t xml:space="preserve"> </w:t>
                            </w:r>
                            <w:sdt>
                              <w:sdtPr>
                                <w:rPr>
                                  <w:b/>
                                </w:rPr>
                                <w:id w:val="-653761204"/>
                                <w:citation/>
                              </w:sdtPr>
                              <w:sdtContent>
                                <w:r w:rsidRPr="003D06BE">
                                  <w:rPr>
                                    <w:b/>
                                  </w:rPr>
                                  <w:fldChar w:fldCharType="begin"/>
                                </w:r>
                                <w:r w:rsidRPr="003D06BE">
                                  <w:rPr>
                                    <w:b/>
                                    <w:lang w:val="en-US"/>
                                  </w:rPr>
                                  <w:instrText xml:space="preserve"> CITATION Moz142 \l 1030 </w:instrText>
                                </w:r>
                                <w:r w:rsidRPr="003D06BE">
                                  <w:rPr>
                                    <w:b/>
                                  </w:rPr>
                                  <w:fldChar w:fldCharType="separate"/>
                                </w:r>
                                <w:r w:rsidRPr="003D06BE">
                                  <w:rPr>
                                    <w:b/>
                                    <w:noProof/>
                                    <w:lang w:val="en-US"/>
                                  </w:rPr>
                                  <w:t>(Mozilla Foundation 2014)</w:t>
                                </w:r>
                                <w:r w:rsidRPr="003D06BE">
                                  <w:rPr>
                                    <w:b/>
                                  </w:rPr>
                                  <w:fldChar w:fldCharType="end"/>
                                </w:r>
                              </w:sdtContent>
                            </w:sdt>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3" o:spid="_x0000_s1048" type="#_x0000_t202" style="position:absolute;left:0;text-align:left;margin-left:4.8pt;margin-top:12.45pt;width:456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" stroked="f">
                <v:textbox inset="0,0,0,0">
                  <w:txbxContent>
                    <w:p w:rsidR="00CF205E" w:rsidRPr="00335A59" w:rsidRDefault="00CF205E" w:rsidP="00554B91">
                      <w:pPr>
                        <w:rPr>
                          <w:noProof/>
                          <w:lang w:val="en-US"/>
                        </w:rPr>
                      </w:pPr>
                      <w:bookmarkStart w:id="143" w:name="_Toc420075863"/>
                      <w:bookmarkStart w:id="144" w:name="_Toc420245511"/>
                      <w:bookmarkStart w:id="145" w:name="_Toc420761677"/>
                      <w:r w:rsidRPr="00CD203E">
                        <w:rPr>
                          <w:rStyle w:val="Overskrift2Tegn"/>
                          <w:sz w:val="24"/>
                          <w:lang w:val="en-US"/>
                        </w:rPr>
                        <w:t xml:space="preserve">Appendix 5: </w:t>
                      </w:r>
                      <w:r>
                        <w:rPr>
                          <w:rStyle w:val="Overskrift2Tegn"/>
                          <w:sz w:val="24"/>
                          <w:lang w:val="en-US"/>
                        </w:rPr>
                        <w:t>Statement 1</w:t>
                      </w:r>
                      <w:bookmarkEnd w:id="145"/>
                      <w:r>
                        <w:rPr>
                          <w:rStyle w:val="Overskrift2Tegn"/>
                          <w:sz w:val="24"/>
                          <w:lang w:val="en-US"/>
                        </w:rPr>
                        <w:t xml:space="preserve"> </w:t>
                      </w:r>
                      <w:r w:rsidRPr="006839F2">
                        <w:rPr>
                          <w:b/>
                          <w:lang w:val="en-US"/>
                        </w:rPr>
                        <w:t>– Mozilla Statement on Diversity</w:t>
                      </w:r>
                      <w:r w:rsidRPr="00554B91">
                        <w:rPr>
                          <w:sz w:val="22"/>
                          <w:lang w:val="en-US"/>
                        </w:rPr>
                        <w:t xml:space="preserve"> </w:t>
                      </w:r>
                      <w:sdt>
                        <w:sdtPr>
                          <w:rPr>
                            <w:b/>
                          </w:rPr>
                          <w:id w:val="-653761204"/>
                          <w:citation/>
                        </w:sdtPr>
                        <w:sdtContent>
                          <w:r w:rsidRPr="003D06BE">
                            <w:rPr>
                              <w:b/>
                            </w:rPr>
                            <w:fldChar w:fldCharType="begin"/>
                          </w:r>
                          <w:r w:rsidRPr="003D06BE">
                            <w:rPr>
                              <w:b/>
                              <w:lang w:val="en-US"/>
                            </w:rPr>
                            <w:instrText xml:space="preserve"> CITATION Moz142 \l 1030 </w:instrText>
                          </w:r>
                          <w:r w:rsidRPr="003D06BE">
                            <w:rPr>
                              <w:b/>
                            </w:rPr>
                            <w:fldChar w:fldCharType="separate"/>
                          </w:r>
                          <w:r w:rsidRPr="003D06BE">
                            <w:rPr>
                              <w:b/>
                              <w:noProof/>
                              <w:lang w:val="en-US"/>
                            </w:rPr>
                            <w:t>(Mozilla Foundation 2014)</w:t>
                          </w:r>
                          <w:r w:rsidRPr="003D06BE">
                            <w:rPr>
                              <w:b/>
                            </w:rPr>
                            <w:fldChar w:fldCharType="end"/>
                          </w:r>
                        </w:sdtContent>
                      </w:sdt>
                      <w:bookmarkEnd w:id="143"/>
                      <w:bookmarkEnd w:id="144"/>
                    </w:p>
                  </w:txbxContent>
                </v:textbox>
                <w10:wrap type="tight"/>
              </v:shape>
            </w:pict>
          </mc:Fallback>
        </mc:AlternateContent>
      </w:r>
      <w:bookmarkEnd w:id="136"/>
      <w:bookmarkEnd w:id="139"/>
    </w:p>
    <w:p w:rsidR="00272E24" w:rsidRPr="00A36684" w:rsidRDefault="00E83D98" w:rsidP="00337119">
      <w:pPr>
        <w:rPr>
          <w:lang w:val="en-US"/>
        </w:rPr>
      </w:pPr>
      <w:r>
        <w:rPr>
          <w:noProof/>
          <w:lang w:eastAsia="da-DK"/>
        </w:rPr>
        <w:drawing>
          <wp:anchor distT="0" distB="0" distL="114300" distR="114300" simplePos="0" relativeHeight="251761664" behindDoc="1" locked="0" layoutInCell="1" allowOverlap="1" wp14:anchorId="30EA9419" wp14:editId="324061CB">
            <wp:simplePos x="0" y="0"/>
            <wp:positionH relativeFrom="column">
              <wp:posOffset>-5887720</wp:posOffset>
            </wp:positionH>
            <wp:positionV relativeFrom="paragraph">
              <wp:posOffset>356235</wp:posOffset>
            </wp:positionV>
            <wp:extent cx="6120130" cy="5264785"/>
            <wp:effectExtent l="0" t="0" r="0" b="0"/>
            <wp:wrapTight wrapText="bothSides">
              <wp:wrapPolygon edited="0">
                <wp:start x="0" y="0"/>
                <wp:lineTo x="0" y="21493"/>
                <wp:lineTo x="21515" y="21493"/>
                <wp:lineTo x="21515" y="0"/>
                <wp:lineTo x="0" y="0"/>
              </wp:wrapPolygon>
            </wp:wrapTight>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 statement on diversity.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5264785"/>
                    </a:xfrm>
                    <a:prstGeom prst="rect">
                      <a:avLst/>
                    </a:prstGeom>
                  </pic:spPr>
                </pic:pic>
              </a:graphicData>
            </a:graphic>
            <wp14:sizeRelH relativeFrom="page">
              <wp14:pctWidth>0</wp14:pctWidth>
            </wp14:sizeRelH>
            <wp14:sizeRelV relativeFrom="page">
              <wp14:pctHeight>0</wp14:pctHeight>
            </wp14:sizeRelV>
          </wp:anchor>
        </w:drawing>
      </w:r>
    </w:p>
    <w:p w:rsidR="00272E24" w:rsidRPr="00A36684" w:rsidRDefault="00272E24" w:rsidP="00337119">
      <w:pPr>
        <w:rPr>
          <w:lang w:val="en-US"/>
        </w:rPr>
      </w:pPr>
    </w:p>
    <w:p w:rsidR="00272E24" w:rsidRPr="00A36684" w:rsidRDefault="00272E24" w:rsidP="00337119">
      <w:pPr>
        <w:rPr>
          <w:lang w:val="en-US"/>
        </w:rPr>
      </w:pPr>
    </w:p>
    <w:p w:rsidR="00272E24" w:rsidRPr="00A36684" w:rsidRDefault="00272E24" w:rsidP="00337119">
      <w:pPr>
        <w:rPr>
          <w:lang w:val="en-US"/>
        </w:rPr>
      </w:pPr>
    </w:p>
    <w:p w:rsidR="00272E24" w:rsidRPr="00A36684" w:rsidRDefault="00272E24" w:rsidP="00337119">
      <w:pPr>
        <w:rPr>
          <w:lang w:val="en-US"/>
        </w:rPr>
      </w:pPr>
    </w:p>
    <w:p w:rsidR="00272E24" w:rsidRPr="00A36684" w:rsidRDefault="00272E24" w:rsidP="00337119">
      <w:pPr>
        <w:rPr>
          <w:lang w:val="en-US"/>
        </w:rPr>
      </w:pPr>
    </w:p>
    <w:p w:rsidR="00272E24" w:rsidRPr="00A36684" w:rsidRDefault="00272E24" w:rsidP="00337119">
      <w:pPr>
        <w:rPr>
          <w:lang w:val="en-US"/>
        </w:rPr>
      </w:pPr>
    </w:p>
    <w:p w:rsidR="00272E24" w:rsidRPr="00A36684" w:rsidRDefault="00272E24" w:rsidP="00337119">
      <w:pPr>
        <w:rPr>
          <w:lang w:val="en-US"/>
        </w:rPr>
      </w:pPr>
    </w:p>
    <w:p w:rsidR="00272E24" w:rsidRPr="00A36684" w:rsidRDefault="00272E24" w:rsidP="00337119">
      <w:pPr>
        <w:rPr>
          <w:lang w:val="en-US"/>
        </w:rPr>
      </w:pPr>
    </w:p>
    <w:p w:rsidR="001471ED" w:rsidRDefault="00692B27" w:rsidP="00337119">
      <w:pPr>
        <w:rPr>
          <w:lang w:val="en-US"/>
        </w:rPr>
      </w:pPr>
      <w:r>
        <w:rPr>
          <w:noProof/>
          <w:lang w:eastAsia="da-DK"/>
        </w:rPr>
        <mc:AlternateContent>
          <mc:Choice Requires="wps">
            <w:drawing>
              <wp:anchor distT="0" distB="0" distL="114300" distR="114300" simplePos="0" relativeHeight="251714560" behindDoc="0" locked="0" layoutInCell="1" allowOverlap="1" wp14:anchorId="1A76FA59" wp14:editId="616EF714">
                <wp:simplePos x="0" y="0"/>
                <wp:positionH relativeFrom="column">
                  <wp:posOffset>938530</wp:posOffset>
                </wp:positionH>
                <wp:positionV relativeFrom="paragraph">
                  <wp:posOffset>3810</wp:posOffset>
                </wp:positionV>
                <wp:extent cx="4238625" cy="504825"/>
                <wp:effectExtent l="0" t="0" r="9525" b="9525"/>
                <wp:wrapTight wrapText="bothSides">
                  <wp:wrapPolygon edited="0">
                    <wp:start x="0" y="0"/>
                    <wp:lineTo x="0" y="21192"/>
                    <wp:lineTo x="21551" y="21192"/>
                    <wp:lineTo x="21551" y="0"/>
                    <wp:lineTo x="0" y="0"/>
                  </wp:wrapPolygon>
                </wp:wrapTight>
                <wp:docPr id="54" name="Tekstboks 54"/>
                <wp:cNvGraphicFramePr/>
                <a:graphic xmlns:a="http://schemas.openxmlformats.org/drawingml/2006/main">
                  <a:graphicData uri="http://schemas.microsoft.com/office/word/2010/wordprocessingShape">
                    <wps:wsp>
                      <wps:cNvSpPr txBox="1"/>
                      <wps:spPr>
                        <a:xfrm>
                          <a:off x="0" y="0"/>
                          <a:ext cx="4238625" cy="504825"/>
                        </a:xfrm>
                        <a:prstGeom prst="rect">
                          <a:avLst/>
                        </a:prstGeom>
                        <a:solidFill>
                          <a:prstClr val="white"/>
                        </a:solidFill>
                        <a:ln>
                          <a:noFill/>
                        </a:ln>
                        <a:effectLst/>
                      </wps:spPr>
                      <wps:txbx>
                        <w:txbxContent>
                          <w:p w:rsidR="00CF205E" w:rsidRPr="002D2715" w:rsidRDefault="00CF205E" w:rsidP="00272E24">
                            <w:pPr>
                              <w:pStyle w:val="Ingenafstand"/>
                              <w:rPr>
                                <w:b/>
                                <w:noProof/>
                                <w:sz w:val="22"/>
                                <w:lang w:val="en-US"/>
                              </w:rPr>
                            </w:pPr>
                            <w:bookmarkStart w:id="146" w:name="_Toc420075865"/>
                            <w:bookmarkStart w:id="147" w:name="_Toc420245513"/>
                            <w:bookmarkStart w:id="148" w:name="_Toc420761678"/>
                            <w:r w:rsidRPr="00C51FC3">
                              <w:rPr>
                                <w:rStyle w:val="Overskrift2Tegn"/>
                                <w:sz w:val="24"/>
                                <w:lang w:val="en-US"/>
                              </w:rPr>
                              <w:t xml:space="preserve">Appendix </w:t>
                            </w:r>
                            <w:r>
                              <w:rPr>
                                <w:rStyle w:val="Overskrift2Tegn"/>
                                <w:sz w:val="24"/>
                                <w:lang w:val="en-US"/>
                              </w:rPr>
                              <w:t>6</w:t>
                            </w:r>
                            <w:r w:rsidRPr="00C51FC3">
                              <w:rPr>
                                <w:rStyle w:val="Overskrift2Tegn"/>
                                <w:sz w:val="24"/>
                                <w:lang w:val="en-US"/>
                              </w:rPr>
                              <w:t>: Official Mozilla and Firefox Tweets on March 26</w:t>
                            </w:r>
                            <w:bookmarkEnd w:id="146"/>
                            <w:bookmarkEnd w:id="147"/>
                            <w:bookmarkEnd w:id="148"/>
                            <w:r w:rsidRPr="002D2715">
                              <w:rPr>
                                <w:b/>
                                <w:sz w:val="22"/>
                                <w:lang w:val="en-US"/>
                              </w:rPr>
                              <w:t xml:space="preserve"> </w:t>
                            </w:r>
                            <w:sdt>
                              <w:sdtPr>
                                <w:rPr>
                                  <w:b/>
                                  <w:lang w:val="en-US"/>
                                </w:rPr>
                                <w:id w:val="2028203336"/>
                                <w:citation/>
                              </w:sdtPr>
                              <w:sdtContent>
                                <w:r w:rsidRPr="003D06BE">
                                  <w:rPr>
                                    <w:b/>
                                    <w:lang w:val="en-US"/>
                                  </w:rPr>
                                  <w:fldChar w:fldCharType="begin"/>
                                </w:r>
                                <w:r w:rsidRPr="003D06BE">
                                  <w:rPr>
                                    <w:b/>
                                    <w:lang w:val="en-US"/>
                                  </w:rPr>
                                  <w:instrText xml:space="preserve">CITATION Obe14 \p 7-8 \l 1030 </w:instrText>
                                </w:r>
                                <w:r w:rsidRPr="003D06BE">
                                  <w:rPr>
                                    <w:b/>
                                    <w:lang w:val="en-US"/>
                                  </w:rPr>
                                  <w:fldChar w:fldCharType="separate"/>
                                </w:r>
                                <w:r w:rsidRPr="003D06BE">
                                  <w:rPr>
                                    <w:b/>
                                    <w:noProof/>
                                    <w:lang w:val="en-US"/>
                                  </w:rPr>
                                  <w:t>(Oberlander 2014, 7-8)</w:t>
                                </w:r>
                                <w:r w:rsidRPr="003D06BE">
                                  <w:rPr>
                                    <w:b/>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54" o:spid="_x0000_s1049" type="#_x0000_t202" style="position:absolute;left:0;text-align:left;margin-left:73.9pt;margin-top:.3pt;width:333.75pt;height:39.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" stroked="f">
                <v:textbox inset="0,0,0,0">
                  <w:txbxContent>
                    <w:p w:rsidR="00CF205E" w:rsidRPr="002D2715" w:rsidRDefault="00CF205E" w:rsidP="00272E24">
                      <w:pPr>
                        <w:pStyle w:val="Ingenafstand"/>
                        <w:rPr>
                          <w:b/>
                          <w:noProof/>
                          <w:sz w:val="22"/>
                          <w:lang w:val="en-US"/>
                        </w:rPr>
                      </w:pPr>
                      <w:bookmarkStart w:id="149" w:name="_Toc420075865"/>
                      <w:bookmarkStart w:id="150" w:name="_Toc420245513"/>
                      <w:bookmarkStart w:id="151" w:name="_Toc420761678"/>
                      <w:r w:rsidRPr="00C51FC3">
                        <w:rPr>
                          <w:rStyle w:val="Overskrift2Tegn"/>
                          <w:sz w:val="24"/>
                          <w:lang w:val="en-US"/>
                        </w:rPr>
                        <w:t xml:space="preserve">Appendix </w:t>
                      </w:r>
                      <w:r>
                        <w:rPr>
                          <w:rStyle w:val="Overskrift2Tegn"/>
                          <w:sz w:val="24"/>
                          <w:lang w:val="en-US"/>
                        </w:rPr>
                        <w:t>6</w:t>
                      </w:r>
                      <w:r w:rsidRPr="00C51FC3">
                        <w:rPr>
                          <w:rStyle w:val="Overskrift2Tegn"/>
                          <w:sz w:val="24"/>
                          <w:lang w:val="en-US"/>
                        </w:rPr>
                        <w:t>: Official Mozilla and Firefox Tweets on March 26</w:t>
                      </w:r>
                      <w:bookmarkEnd w:id="149"/>
                      <w:bookmarkEnd w:id="150"/>
                      <w:bookmarkEnd w:id="151"/>
                      <w:r w:rsidRPr="002D2715">
                        <w:rPr>
                          <w:b/>
                          <w:sz w:val="22"/>
                          <w:lang w:val="en-US"/>
                        </w:rPr>
                        <w:t xml:space="preserve"> </w:t>
                      </w:r>
                      <w:sdt>
                        <w:sdtPr>
                          <w:rPr>
                            <w:b/>
                            <w:lang w:val="en-US"/>
                          </w:rPr>
                          <w:id w:val="2028203336"/>
                          <w:citation/>
                        </w:sdtPr>
                        <w:sdtContent>
                          <w:r w:rsidRPr="003D06BE">
                            <w:rPr>
                              <w:b/>
                              <w:lang w:val="en-US"/>
                            </w:rPr>
                            <w:fldChar w:fldCharType="begin"/>
                          </w:r>
                          <w:r w:rsidRPr="003D06BE">
                            <w:rPr>
                              <w:b/>
                              <w:lang w:val="en-US"/>
                            </w:rPr>
                            <w:instrText xml:space="preserve">CITATION Obe14 \p 7-8 \l 1030 </w:instrText>
                          </w:r>
                          <w:r w:rsidRPr="003D06BE">
                            <w:rPr>
                              <w:b/>
                              <w:lang w:val="en-US"/>
                            </w:rPr>
                            <w:fldChar w:fldCharType="separate"/>
                          </w:r>
                          <w:r w:rsidRPr="003D06BE">
                            <w:rPr>
                              <w:b/>
                              <w:noProof/>
                              <w:lang w:val="en-US"/>
                            </w:rPr>
                            <w:t>(Oberlander 2014, 7-8)</w:t>
                          </w:r>
                          <w:r w:rsidRPr="003D06BE">
                            <w:rPr>
                              <w:b/>
                              <w:lang w:val="en-US"/>
                            </w:rPr>
                            <w:fldChar w:fldCharType="end"/>
                          </w:r>
                        </w:sdtContent>
                      </w:sdt>
                    </w:p>
                  </w:txbxContent>
                </v:textbox>
                <w10:wrap type="tight"/>
              </v:shape>
            </w:pict>
          </mc:Fallback>
        </mc:AlternateContent>
      </w:r>
    </w:p>
    <w:p w:rsidR="001471ED" w:rsidRPr="001471ED" w:rsidRDefault="001471ED" w:rsidP="00337119">
      <w:pPr>
        <w:rPr>
          <w:lang w:val="en-US"/>
        </w:rPr>
      </w:pPr>
      <w:r>
        <w:rPr>
          <w:noProof/>
          <w:lang w:eastAsia="da-DK"/>
        </w:rPr>
        <w:drawing>
          <wp:anchor distT="0" distB="0" distL="114300" distR="114300" simplePos="0" relativeHeight="251767808" behindDoc="1" locked="0" layoutInCell="1" allowOverlap="1" wp14:anchorId="7909B6CB" wp14:editId="04B6859B">
            <wp:simplePos x="0" y="0"/>
            <wp:positionH relativeFrom="column">
              <wp:posOffset>826770</wp:posOffset>
            </wp:positionH>
            <wp:positionV relativeFrom="paragraph">
              <wp:posOffset>173990</wp:posOffset>
            </wp:positionV>
            <wp:extent cx="4238625" cy="2971800"/>
            <wp:effectExtent l="0" t="0" r="9525" b="0"/>
            <wp:wrapTight wrapText="bothSides">
              <wp:wrapPolygon edited="0">
                <wp:start x="0" y="0"/>
                <wp:lineTo x="0" y="21462"/>
                <wp:lineTo x="21551" y="21462"/>
                <wp:lineTo x="21551" y="0"/>
                <wp:lineTo x="0" y="0"/>
              </wp:wrapPolygon>
            </wp:wrapTight>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 and Firefox Tweets.png"/>
                    <pic:cNvPicPr/>
                  </pic:nvPicPr>
                  <pic:blipFill>
                    <a:blip r:embed="rId44">
                      <a:extLst>
                        <a:ext uri="{28A0092B-C50C-407E-A947-70E740481C1C}">
                          <a14:useLocalDpi xmlns:a14="http://schemas.microsoft.com/office/drawing/2010/main" val="0"/>
                        </a:ext>
                      </a:extLst>
                    </a:blip>
                    <a:stretch>
                      <a:fillRect/>
                    </a:stretch>
                  </pic:blipFill>
                  <pic:spPr>
                    <a:xfrm>
                      <a:off x="0" y="0"/>
                      <a:ext cx="4238625" cy="2971800"/>
                    </a:xfrm>
                    <a:prstGeom prst="rect">
                      <a:avLst/>
                    </a:prstGeom>
                  </pic:spPr>
                </pic:pic>
              </a:graphicData>
            </a:graphic>
            <wp14:sizeRelH relativeFrom="page">
              <wp14:pctWidth>0</wp14:pctWidth>
            </wp14:sizeRelH>
            <wp14:sizeRelV relativeFrom="page">
              <wp14:pctHeight>0</wp14:pctHeight>
            </wp14:sizeRelV>
          </wp:anchor>
        </w:drawing>
      </w:r>
    </w:p>
    <w:p w:rsidR="001471ED" w:rsidRDefault="001471ED" w:rsidP="00337119">
      <w:pPr>
        <w:rPr>
          <w:lang w:val="en-US"/>
        </w:rPr>
      </w:pPr>
    </w:p>
    <w:p w:rsidR="00272E24" w:rsidRPr="001471ED" w:rsidRDefault="00272E24" w:rsidP="00337119">
      <w:pPr>
        <w:ind w:firstLine="1304"/>
        <w:rPr>
          <w:lang w:val="en-US"/>
        </w:rPr>
      </w:pPr>
    </w:p>
    <w:p w:rsidR="00272E24" w:rsidRPr="00B17800" w:rsidRDefault="009E7A1A" w:rsidP="00337119">
      <w:pPr>
        <w:rPr>
          <w:lang w:val="en-US"/>
        </w:rPr>
      </w:pPr>
      <w:r>
        <w:rPr>
          <w:noProof/>
          <w:lang w:eastAsia="da-DK"/>
        </w:rPr>
        <w:lastRenderedPageBreak/>
        <w:drawing>
          <wp:anchor distT="0" distB="0" distL="114300" distR="114300" simplePos="0" relativeHeight="251762688" behindDoc="1" locked="0" layoutInCell="1" allowOverlap="1" wp14:anchorId="68CCD5B7" wp14:editId="152FAD2B">
            <wp:simplePos x="0" y="0"/>
            <wp:positionH relativeFrom="column">
              <wp:posOffset>3810</wp:posOffset>
            </wp:positionH>
            <wp:positionV relativeFrom="paragraph">
              <wp:posOffset>177165</wp:posOffset>
            </wp:positionV>
            <wp:extent cx="6229350" cy="8020050"/>
            <wp:effectExtent l="0" t="0" r="0" b="0"/>
            <wp:wrapTight wrapText="bothSides">
              <wp:wrapPolygon edited="0">
                <wp:start x="0" y="0"/>
                <wp:lineTo x="0" y="21549"/>
                <wp:lineTo x="21534" y="21549"/>
                <wp:lineTo x="21534" y="0"/>
                <wp:lineTo x="0" y="0"/>
              </wp:wrapPolygon>
            </wp:wrapTight>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veness at Mozilla.png"/>
                    <pic:cNvPicPr/>
                  </pic:nvPicPr>
                  <pic:blipFill>
                    <a:blip r:embed="rId34">
                      <a:extLst>
                        <a:ext uri="{28A0092B-C50C-407E-A947-70E740481C1C}">
                          <a14:useLocalDpi xmlns:a14="http://schemas.microsoft.com/office/drawing/2010/main" val="0"/>
                        </a:ext>
                      </a:extLst>
                    </a:blip>
                    <a:stretch>
                      <a:fillRect/>
                    </a:stretch>
                  </pic:blipFill>
                  <pic:spPr>
                    <a:xfrm>
                      <a:off x="0" y="0"/>
                      <a:ext cx="6229350" cy="8020050"/>
                    </a:xfrm>
                    <a:prstGeom prst="rect">
                      <a:avLst/>
                    </a:prstGeom>
                  </pic:spPr>
                </pic:pic>
              </a:graphicData>
            </a:graphic>
            <wp14:sizeRelH relativeFrom="page">
              <wp14:pctWidth>0</wp14:pctWidth>
            </wp14:sizeRelH>
            <wp14:sizeRelV relativeFrom="page">
              <wp14:pctHeight>0</wp14:pctHeight>
            </wp14:sizeRelV>
          </wp:anchor>
        </w:drawing>
      </w:r>
      <w:r w:rsidR="00554B91">
        <w:rPr>
          <w:noProof/>
          <w:lang w:eastAsia="da-DK"/>
        </w:rPr>
        <w:drawing>
          <wp:anchor distT="0" distB="0" distL="114300" distR="114300" simplePos="0" relativeHeight="251713536" behindDoc="1" locked="0" layoutInCell="1" allowOverlap="1" wp14:anchorId="0072D693" wp14:editId="509E6D1D">
            <wp:simplePos x="0" y="0"/>
            <wp:positionH relativeFrom="column">
              <wp:posOffset>842010</wp:posOffset>
            </wp:positionH>
            <wp:positionV relativeFrom="paragraph">
              <wp:posOffset>182880</wp:posOffset>
            </wp:positionV>
            <wp:extent cx="4238625" cy="2971800"/>
            <wp:effectExtent l="0" t="0" r="9525" b="0"/>
            <wp:wrapTight wrapText="bothSides">
              <wp:wrapPolygon edited="0">
                <wp:start x="0" y="0"/>
                <wp:lineTo x="0" y="21462"/>
                <wp:lineTo x="21551" y="21462"/>
                <wp:lineTo x="21551" y="0"/>
                <wp:lineTo x="0" y="0"/>
              </wp:wrapPolygon>
            </wp:wrapTight>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 and Firefox Tweets.png"/>
                    <pic:cNvPicPr/>
                  </pic:nvPicPr>
                  <pic:blipFill>
                    <a:blip r:embed="rId44">
                      <a:extLst>
                        <a:ext uri="{28A0092B-C50C-407E-A947-70E740481C1C}">
                          <a14:useLocalDpi xmlns:a14="http://schemas.microsoft.com/office/drawing/2010/main" val="0"/>
                        </a:ext>
                      </a:extLst>
                    </a:blip>
                    <a:stretch>
                      <a:fillRect/>
                    </a:stretch>
                  </pic:blipFill>
                  <pic:spPr>
                    <a:xfrm>
                      <a:off x="0" y="0"/>
                      <a:ext cx="4238625" cy="2971800"/>
                    </a:xfrm>
                    <a:prstGeom prst="rect">
                      <a:avLst/>
                    </a:prstGeom>
                  </pic:spPr>
                </pic:pic>
              </a:graphicData>
            </a:graphic>
            <wp14:sizeRelH relativeFrom="page">
              <wp14:pctWidth>0</wp14:pctWidth>
            </wp14:sizeRelH>
            <wp14:sizeRelV relativeFrom="page">
              <wp14:pctHeight>0</wp14:pctHeight>
            </wp14:sizeRelV>
          </wp:anchor>
        </w:drawing>
      </w:r>
      <w:r w:rsidR="00272E24">
        <w:rPr>
          <w:lang w:val="en-US"/>
        </w:rPr>
        <w:br w:type="page"/>
      </w:r>
      <w:r w:rsidR="00272E24">
        <w:rPr>
          <w:noProof/>
          <w:lang w:eastAsia="da-DK"/>
        </w:rPr>
        <mc:AlternateContent>
          <mc:Choice Requires="wps">
            <w:drawing>
              <wp:anchor distT="0" distB="0" distL="114300" distR="114300" simplePos="0" relativeHeight="251710464" behindDoc="0" locked="0" layoutInCell="1" allowOverlap="1" wp14:anchorId="5D4AADA2" wp14:editId="14F414F8">
                <wp:simplePos x="0" y="0"/>
                <wp:positionH relativeFrom="column">
                  <wp:posOffset>280035</wp:posOffset>
                </wp:positionH>
                <wp:positionV relativeFrom="paragraph">
                  <wp:posOffset>-89535</wp:posOffset>
                </wp:positionV>
                <wp:extent cx="6120130" cy="304800"/>
                <wp:effectExtent l="0" t="0" r="0" b="0"/>
                <wp:wrapTight wrapText="bothSides">
                  <wp:wrapPolygon edited="0">
                    <wp:start x="0" y="0"/>
                    <wp:lineTo x="0" y="20250"/>
                    <wp:lineTo x="21515" y="20250"/>
                    <wp:lineTo x="21515" y="0"/>
                    <wp:lineTo x="0" y="0"/>
                  </wp:wrapPolygon>
                </wp:wrapTight>
                <wp:docPr id="55" name="Tekstboks 55"/>
                <wp:cNvGraphicFramePr/>
                <a:graphic xmlns:a="http://schemas.openxmlformats.org/drawingml/2006/main">
                  <a:graphicData uri="http://schemas.microsoft.com/office/word/2010/wordprocessingShape">
                    <wps:wsp>
                      <wps:cNvSpPr txBox="1"/>
                      <wps:spPr>
                        <a:xfrm>
                          <a:off x="0" y="0"/>
                          <a:ext cx="6120130" cy="304800"/>
                        </a:xfrm>
                        <a:prstGeom prst="rect">
                          <a:avLst/>
                        </a:prstGeom>
                        <a:solidFill>
                          <a:prstClr val="white"/>
                        </a:solidFill>
                        <a:ln>
                          <a:noFill/>
                        </a:ln>
                        <a:effectLst/>
                      </wps:spPr>
                      <wps:txbx>
                        <w:txbxContent>
                          <w:p w:rsidR="00CF205E" w:rsidRPr="00A24556" w:rsidRDefault="00CF205E" w:rsidP="00272E24">
                            <w:pPr>
                              <w:rPr>
                                <w:noProof/>
                                <w:lang w:val="en-US"/>
                              </w:rPr>
                            </w:pPr>
                            <w:bookmarkStart w:id="152" w:name="_Toc420075866"/>
                            <w:bookmarkStart w:id="153" w:name="_Toc420245514"/>
                            <w:bookmarkStart w:id="154" w:name="_Toc420761679"/>
                            <w:r w:rsidRPr="00A24556">
                              <w:rPr>
                                <w:rStyle w:val="Overskrift2Tegn"/>
                                <w:sz w:val="24"/>
                                <w:lang w:val="en-US"/>
                              </w:rPr>
                              <w:t>Appendix 7: Statement 2</w:t>
                            </w:r>
                            <w:bookmarkEnd w:id="154"/>
                            <w:r w:rsidRPr="00A24556">
                              <w:rPr>
                                <w:rStyle w:val="Overskrift2Tegn"/>
                                <w:sz w:val="24"/>
                                <w:lang w:val="en-US"/>
                              </w:rPr>
                              <w:t xml:space="preserve"> </w:t>
                            </w:r>
                            <w:r w:rsidRPr="00A24556">
                              <w:rPr>
                                <w:b/>
                                <w:lang w:val="en-US"/>
                              </w:rPr>
                              <w:t xml:space="preserve">– Statement of Brendan </w:t>
                            </w:r>
                            <w:proofErr w:type="spellStart"/>
                            <w:r w:rsidRPr="00A24556">
                              <w:rPr>
                                <w:b/>
                                <w:lang w:val="en-US"/>
                              </w:rPr>
                              <w:t>Eich</w:t>
                            </w:r>
                            <w:bookmarkEnd w:id="152"/>
                            <w:bookmarkEnd w:id="153"/>
                            <w:proofErr w:type="spellEnd"/>
                            <w:r w:rsidRPr="00A24556">
                              <w:rPr>
                                <w:sz w:val="22"/>
                                <w:lang w:val="en-US"/>
                              </w:rPr>
                              <w:t xml:space="preserve"> </w:t>
                            </w:r>
                            <w:sdt>
                              <w:sdtPr>
                                <w:rPr>
                                  <w:sz w:val="22"/>
                                  <w:lang w:val="en-US"/>
                                </w:rPr>
                                <w:id w:val="1730418560"/>
                                <w:citation/>
                              </w:sdtPr>
                              <w:sdtContent>
                                <w:r w:rsidRPr="00DC1AD3">
                                  <w:rPr>
                                    <w:b/>
                                    <w:lang w:val="en-US"/>
                                  </w:rPr>
                                  <w:fldChar w:fldCharType="begin"/>
                                </w:r>
                                <w:r w:rsidRPr="00DC1AD3">
                                  <w:rPr>
                                    <w:b/>
                                    <w:lang w:val="en-US"/>
                                  </w:rPr>
                                  <w:instrText xml:space="preserve">CITATION Bre14 \t  \l 1030 </w:instrText>
                                </w:r>
                                <w:r w:rsidRPr="00DC1AD3">
                                  <w:rPr>
                                    <w:b/>
                                    <w:lang w:val="en-US"/>
                                  </w:rPr>
                                  <w:fldChar w:fldCharType="separate"/>
                                </w:r>
                                <w:r w:rsidRPr="00DC1AD3">
                                  <w:rPr>
                                    <w:b/>
                                    <w:noProof/>
                                    <w:lang w:val="en-US"/>
                                  </w:rPr>
                                  <w:t>(Eich 2014)</w:t>
                                </w:r>
                                <w:r w:rsidRPr="00DC1AD3">
                                  <w:rPr>
                                    <w:b/>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55" o:spid="_x0000_s1050" type="#_x0000_t202" style="position:absolute;left:0;text-align:left;margin-left:22.05pt;margin-top:-7.05pt;width:481.9pt;height: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" stroked="f">
                <v:textbox inset="0,0,0,0">
                  <w:txbxContent>
                    <w:p w:rsidR="00CF205E" w:rsidRPr="00A24556" w:rsidRDefault="00CF205E" w:rsidP="00272E24">
                      <w:pPr>
                        <w:rPr>
                          <w:noProof/>
                          <w:lang w:val="en-US"/>
                        </w:rPr>
                      </w:pPr>
                      <w:bookmarkStart w:id="155" w:name="_Toc420075866"/>
                      <w:bookmarkStart w:id="156" w:name="_Toc420245514"/>
                      <w:bookmarkStart w:id="157" w:name="_Toc420761679"/>
                      <w:r w:rsidRPr="00A24556">
                        <w:rPr>
                          <w:rStyle w:val="Overskrift2Tegn"/>
                          <w:sz w:val="24"/>
                          <w:lang w:val="en-US"/>
                        </w:rPr>
                        <w:t>Appendix 7: Statement 2</w:t>
                      </w:r>
                      <w:bookmarkEnd w:id="157"/>
                      <w:r w:rsidRPr="00A24556">
                        <w:rPr>
                          <w:rStyle w:val="Overskrift2Tegn"/>
                          <w:sz w:val="24"/>
                          <w:lang w:val="en-US"/>
                        </w:rPr>
                        <w:t xml:space="preserve"> </w:t>
                      </w:r>
                      <w:r w:rsidRPr="00A24556">
                        <w:rPr>
                          <w:b/>
                          <w:lang w:val="en-US"/>
                        </w:rPr>
                        <w:t xml:space="preserve">– Statement of Brendan </w:t>
                      </w:r>
                      <w:proofErr w:type="spellStart"/>
                      <w:r w:rsidRPr="00A24556">
                        <w:rPr>
                          <w:b/>
                          <w:lang w:val="en-US"/>
                        </w:rPr>
                        <w:t>Eich</w:t>
                      </w:r>
                      <w:bookmarkEnd w:id="155"/>
                      <w:bookmarkEnd w:id="156"/>
                      <w:proofErr w:type="spellEnd"/>
                      <w:r w:rsidRPr="00A24556">
                        <w:rPr>
                          <w:sz w:val="22"/>
                          <w:lang w:val="en-US"/>
                        </w:rPr>
                        <w:t xml:space="preserve"> </w:t>
                      </w:r>
                      <w:sdt>
                        <w:sdtPr>
                          <w:rPr>
                            <w:sz w:val="22"/>
                            <w:lang w:val="en-US"/>
                          </w:rPr>
                          <w:id w:val="1730418560"/>
                          <w:citation/>
                        </w:sdtPr>
                        <w:sdtContent>
                          <w:r w:rsidRPr="00DC1AD3">
                            <w:rPr>
                              <w:b/>
                              <w:lang w:val="en-US"/>
                            </w:rPr>
                            <w:fldChar w:fldCharType="begin"/>
                          </w:r>
                          <w:r w:rsidRPr="00DC1AD3">
                            <w:rPr>
                              <w:b/>
                              <w:lang w:val="en-US"/>
                            </w:rPr>
                            <w:instrText xml:space="preserve">CITATION Bre14 \t  \l 1030 </w:instrText>
                          </w:r>
                          <w:r w:rsidRPr="00DC1AD3">
                            <w:rPr>
                              <w:b/>
                              <w:lang w:val="en-US"/>
                            </w:rPr>
                            <w:fldChar w:fldCharType="separate"/>
                          </w:r>
                          <w:r w:rsidRPr="00DC1AD3">
                            <w:rPr>
                              <w:b/>
                              <w:noProof/>
                              <w:lang w:val="en-US"/>
                            </w:rPr>
                            <w:t>(Eich 2014)</w:t>
                          </w:r>
                          <w:r w:rsidRPr="00DC1AD3">
                            <w:rPr>
                              <w:b/>
                              <w:lang w:val="en-US"/>
                            </w:rPr>
                            <w:fldChar w:fldCharType="end"/>
                          </w:r>
                        </w:sdtContent>
                      </w:sdt>
                    </w:p>
                  </w:txbxContent>
                </v:textbox>
                <w10:wrap type="tight"/>
              </v:shape>
            </w:pict>
          </mc:Fallback>
        </mc:AlternateContent>
      </w:r>
    </w:p>
    <w:p w:rsidR="00272E24" w:rsidRPr="00B17800" w:rsidRDefault="00692B27" w:rsidP="00337119">
      <w:pPr>
        <w:rPr>
          <w:lang w:val="en-US"/>
        </w:rPr>
      </w:pPr>
      <w:r>
        <w:rPr>
          <w:noProof/>
          <w:lang w:eastAsia="da-DK"/>
        </w:rPr>
        <w:lastRenderedPageBreak/>
        <mc:AlternateContent>
          <mc:Choice Requires="wps">
            <w:drawing>
              <wp:anchor distT="0" distB="0" distL="114300" distR="114300" simplePos="0" relativeHeight="251712512" behindDoc="0" locked="0" layoutInCell="1" allowOverlap="1" wp14:anchorId="72D51DE5" wp14:editId="74E8D60C">
                <wp:simplePos x="0" y="0"/>
                <wp:positionH relativeFrom="column">
                  <wp:posOffset>622935</wp:posOffset>
                </wp:positionH>
                <wp:positionV relativeFrom="paragraph">
                  <wp:posOffset>91440</wp:posOffset>
                </wp:positionV>
                <wp:extent cx="5205095" cy="419100"/>
                <wp:effectExtent l="0" t="0" r="0" b="0"/>
                <wp:wrapTight wrapText="bothSides">
                  <wp:wrapPolygon edited="0">
                    <wp:start x="0" y="0"/>
                    <wp:lineTo x="0" y="20618"/>
                    <wp:lineTo x="21503" y="20618"/>
                    <wp:lineTo x="21503" y="0"/>
                    <wp:lineTo x="0" y="0"/>
                  </wp:wrapPolygon>
                </wp:wrapTight>
                <wp:docPr id="56" name="Tekstboks 56"/>
                <wp:cNvGraphicFramePr/>
                <a:graphic xmlns:a="http://schemas.openxmlformats.org/drawingml/2006/main">
                  <a:graphicData uri="http://schemas.microsoft.com/office/word/2010/wordprocessingShape">
                    <wps:wsp>
                      <wps:cNvSpPr txBox="1"/>
                      <wps:spPr>
                        <a:xfrm>
                          <a:off x="0" y="0"/>
                          <a:ext cx="5205095" cy="419100"/>
                        </a:xfrm>
                        <a:prstGeom prst="rect">
                          <a:avLst/>
                        </a:prstGeom>
                        <a:solidFill>
                          <a:prstClr val="white"/>
                        </a:solidFill>
                        <a:ln>
                          <a:noFill/>
                        </a:ln>
                        <a:effectLst/>
                      </wps:spPr>
                      <wps:txbx>
                        <w:txbxContent>
                          <w:p w:rsidR="00CF205E" w:rsidRPr="009C15FE" w:rsidRDefault="00CF205E" w:rsidP="00272E24">
                            <w:pPr>
                              <w:rPr>
                                <w:noProof/>
                                <w:sz w:val="32"/>
                                <w:lang w:val="en-US"/>
                              </w:rPr>
                            </w:pPr>
                            <w:bookmarkStart w:id="158" w:name="_Toc420075867"/>
                            <w:bookmarkStart w:id="159" w:name="_Toc420245515"/>
                            <w:bookmarkStart w:id="160" w:name="_Toc420761680"/>
                            <w:r w:rsidRPr="009C15FE">
                              <w:rPr>
                                <w:rStyle w:val="Overskrift2Tegn"/>
                                <w:sz w:val="24"/>
                                <w:lang w:val="en-US"/>
                              </w:rPr>
                              <w:t>Appendix 8: Statement 3</w:t>
                            </w:r>
                            <w:bookmarkEnd w:id="160"/>
                            <w:r w:rsidRPr="009C15FE">
                              <w:rPr>
                                <w:rStyle w:val="Overskrift2Tegn"/>
                                <w:sz w:val="24"/>
                                <w:lang w:val="en-US"/>
                              </w:rPr>
                              <w:t xml:space="preserve"> </w:t>
                            </w:r>
                            <w:r w:rsidRPr="009C15FE">
                              <w:rPr>
                                <w:b/>
                                <w:lang w:val="en-US"/>
                              </w:rPr>
                              <w:t>– Statement of Mitchell Baker</w:t>
                            </w:r>
                            <w:bookmarkEnd w:id="158"/>
                            <w:bookmarkEnd w:id="159"/>
                            <w:r w:rsidRPr="009C15FE">
                              <w:rPr>
                                <w:b/>
                                <w:lang w:val="en-US"/>
                              </w:rPr>
                              <w:t xml:space="preserve"> </w:t>
                            </w:r>
                            <w:sdt>
                              <w:sdtPr>
                                <w:rPr>
                                  <w:b/>
                                </w:rPr>
                                <w:id w:val="1375578118"/>
                                <w:citation/>
                              </w:sdtPr>
                              <w:sdtContent>
                                <w:r w:rsidRPr="003D06BE">
                                  <w:rPr>
                                    <w:b/>
                                  </w:rPr>
                                  <w:fldChar w:fldCharType="begin"/>
                                </w:r>
                                <w:r w:rsidRPr="003D06BE">
                                  <w:rPr>
                                    <w:b/>
                                    <w:lang w:val="en-US"/>
                                  </w:rPr>
                                  <w:instrText xml:space="preserve">CITATION Bak15 \t  \l 1030 </w:instrText>
                                </w:r>
                                <w:r w:rsidRPr="003D06BE">
                                  <w:rPr>
                                    <w:b/>
                                  </w:rPr>
                                  <w:fldChar w:fldCharType="separate"/>
                                </w:r>
                                <w:r w:rsidRPr="003D06BE">
                                  <w:rPr>
                                    <w:b/>
                                    <w:noProof/>
                                    <w:lang w:val="en-US"/>
                                  </w:rPr>
                                  <w:t>(M. Baker 2014)</w:t>
                                </w:r>
                                <w:r w:rsidRPr="003D06BE">
                                  <w:rPr>
                                    <w:b/>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56" o:spid="_x0000_s1051" type="#_x0000_t202" style="position:absolute;left:0;text-align:left;margin-left:49.05pt;margin-top:7.2pt;width:409.85pt;height:3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" stroked="f">
                <v:textbox inset="0,0,0,0">
                  <w:txbxContent>
                    <w:p w:rsidR="00CF205E" w:rsidRPr="009C15FE" w:rsidRDefault="00CF205E" w:rsidP="00272E24">
                      <w:pPr>
                        <w:rPr>
                          <w:noProof/>
                          <w:sz w:val="32"/>
                          <w:lang w:val="en-US"/>
                        </w:rPr>
                      </w:pPr>
                      <w:bookmarkStart w:id="161" w:name="_Toc420075867"/>
                      <w:bookmarkStart w:id="162" w:name="_Toc420245515"/>
                      <w:bookmarkStart w:id="163" w:name="_Toc420761680"/>
                      <w:r w:rsidRPr="009C15FE">
                        <w:rPr>
                          <w:rStyle w:val="Overskrift2Tegn"/>
                          <w:sz w:val="24"/>
                          <w:lang w:val="en-US"/>
                        </w:rPr>
                        <w:t>Appendix 8: Statement 3</w:t>
                      </w:r>
                      <w:bookmarkEnd w:id="163"/>
                      <w:r w:rsidRPr="009C15FE">
                        <w:rPr>
                          <w:rStyle w:val="Overskrift2Tegn"/>
                          <w:sz w:val="24"/>
                          <w:lang w:val="en-US"/>
                        </w:rPr>
                        <w:t xml:space="preserve"> </w:t>
                      </w:r>
                      <w:r w:rsidRPr="009C15FE">
                        <w:rPr>
                          <w:b/>
                          <w:lang w:val="en-US"/>
                        </w:rPr>
                        <w:t>– Statement of Mitchell Baker</w:t>
                      </w:r>
                      <w:bookmarkEnd w:id="161"/>
                      <w:bookmarkEnd w:id="162"/>
                      <w:r w:rsidRPr="009C15FE">
                        <w:rPr>
                          <w:b/>
                          <w:lang w:val="en-US"/>
                        </w:rPr>
                        <w:t xml:space="preserve"> </w:t>
                      </w:r>
                      <w:sdt>
                        <w:sdtPr>
                          <w:rPr>
                            <w:b/>
                          </w:rPr>
                          <w:id w:val="1375578118"/>
                          <w:citation/>
                        </w:sdtPr>
                        <w:sdtContent>
                          <w:r w:rsidRPr="003D06BE">
                            <w:rPr>
                              <w:b/>
                            </w:rPr>
                            <w:fldChar w:fldCharType="begin"/>
                          </w:r>
                          <w:r w:rsidRPr="003D06BE">
                            <w:rPr>
                              <w:b/>
                              <w:lang w:val="en-US"/>
                            </w:rPr>
                            <w:instrText xml:space="preserve">CITATION Bak15 \t  \l 1030 </w:instrText>
                          </w:r>
                          <w:r w:rsidRPr="003D06BE">
                            <w:rPr>
                              <w:b/>
                            </w:rPr>
                            <w:fldChar w:fldCharType="separate"/>
                          </w:r>
                          <w:r w:rsidRPr="003D06BE">
                            <w:rPr>
                              <w:b/>
                              <w:noProof/>
                              <w:lang w:val="en-US"/>
                            </w:rPr>
                            <w:t>(M. Baker 2014)</w:t>
                          </w:r>
                          <w:r w:rsidRPr="003D06BE">
                            <w:rPr>
                              <w:b/>
                            </w:rPr>
                            <w:fldChar w:fldCharType="end"/>
                          </w:r>
                        </w:sdtContent>
                      </w:sdt>
                    </w:p>
                  </w:txbxContent>
                </v:textbox>
                <w10:wrap type="tight"/>
              </v:shape>
            </w:pict>
          </mc:Fallback>
        </mc:AlternateContent>
      </w:r>
    </w:p>
    <w:p w:rsidR="00272E24" w:rsidRDefault="00692B27" w:rsidP="00337119">
      <w:pPr>
        <w:rPr>
          <w:lang w:val="en-US"/>
        </w:rPr>
      </w:pPr>
      <w:r>
        <w:rPr>
          <w:noProof/>
          <w:lang w:eastAsia="da-DK"/>
        </w:rPr>
        <w:drawing>
          <wp:anchor distT="0" distB="0" distL="114300" distR="114300" simplePos="0" relativeHeight="251763712" behindDoc="1" locked="0" layoutInCell="1" allowOverlap="1" wp14:anchorId="23686DF1" wp14:editId="784E7975">
            <wp:simplePos x="0" y="0"/>
            <wp:positionH relativeFrom="column">
              <wp:posOffset>484505</wp:posOffset>
            </wp:positionH>
            <wp:positionV relativeFrom="paragraph">
              <wp:posOffset>183515</wp:posOffset>
            </wp:positionV>
            <wp:extent cx="5029200" cy="8021320"/>
            <wp:effectExtent l="0" t="0" r="0" b="0"/>
            <wp:wrapTight wrapText="bothSides">
              <wp:wrapPolygon edited="0">
                <wp:start x="0" y="0"/>
                <wp:lineTo x="0" y="21545"/>
                <wp:lineTo x="21518" y="21545"/>
                <wp:lineTo x="21518" y="0"/>
                <wp:lineTo x="0" y="0"/>
              </wp:wrapPolygon>
            </wp:wrapTight>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chell Baker statement 1.png"/>
                    <pic:cNvPicPr/>
                  </pic:nvPicPr>
                  <pic:blipFill>
                    <a:blip r:embed="rId35">
                      <a:extLst>
                        <a:ext uri="{28A0092B-C50C-407E-A947-70E740481C1C}">
                          <a14:useLocalDpi xmlns:a14="http://schemas.microsoft.com/office/drawing/2010/main" val="0"/>
                        </a:ext>
                      </a:extLst>
                    </a:blip>
                    <a:stretch>
                      <a:fillRect/>
                    </a:stretch>
                  </pic:blipFill>
                  <pic:spPr>
                    <a:xfrm>
                      <a:off x="0" y="0"/>
                      <a:ext cx="5029200" cy="8021320"/>
                    </a:xfrm>
                    <a:prstGeom prst="rect">
                      <a:avLst/>
                    </a:prstGeom>
                  </pic:spPr>
                </pic:pic>
              </a:graphicData>
            </a:graphic>
            <wp14:sizeRelH relativeFrom="page">
              <wp14:pctWidth>0</wp14:pctWidth>
            </wp14:sizeRelH>
            <wp14:sizeRelV relativeFrom="page">
              <wp14:pctHeight>0</wp14:pctHeight>
            </wp14:sizeRelV>
          </wp:anchor>
        </w:drawing>
      </w:r>
    </w:p>
    <w:p w:rsidR="00272E24" w:rsidRDefault="00272E24" w:rsidP="00337119">
      <w:pPr>
        <w:rPr>
          <w:lang w:val="en-US"/>
        </w:rPr>
      </w:pPr>
    </w:p>
    <w:p w:rsidR="00272E24" w:rsidRDefault="00272E24" w:rsidP="00337119">
      <w:pPr>
        <w:rPr>
          <w:lang w:val="en-US"/>
        </w:rPr>
      </w:pPr>
      <w:r>
        <w:rPr>
          <w:lang w:val="en-US"/>
        </w:rPr>
        <w:br w:type="page"/>
      </w:r>
    </w:p>
    <w:p w:rsidR="00272E24" w:rsidRDefault="00272E24" w:rsidP="00337119">
      <w:pPr>
        <w:rPr>
          <w:lang w:val="en-US"/>
        </w:rPr>
      </w:pPr>
      <w:r>
        <w:rPr>
          <w:noProof/>
          <w:lang w:eastAsia="da-DK"/>
        </w:rPr>
        <w:lastRenderedPageBreak/>
        <mc:AlternateContent>
          <mc:Choice Requires="wps">
            <w:drawing>
              <wp:anchor distT="0" distB="0" distL="114300" distR="114300" simplePos="0" relativeHeight="251716608" behindDoc="0" locked="0" layoutInCell="1" allowOverlap="1" wp14:anchorId="75968592" wp14:editId="2A8F2CD9">
                <wp:simplePos x="0" y="0"/>
                <wp:positionH relativeFrom="column">
                  <wp:posOffset>889635</wp:posOffset>
                </wp:positionH>
                <wp:positionV relativeFrom="paragraph">
                  <wp:posOffset>196215</wp:posOffset>
                </wp:positionV>
                <wp:extent cx="4725035" cy="390525"/>
                <wp:effectExtent l="0" t="0" r="0" b="9525"/>
                <wp:wrapTight wrapText="bothSides">
                  <wp:wrapPolygon edited="0">
                    <wp:start x="0" y="0"/>
                    <wp:lineTo x="0" y="21073"/>
                    <wp:lineTo x="21510" y="21073"/>
                    <wp:lineTo x="21510" y="0"/>
                    <wp:lineTo x="0" y="0"/>
                  </wp:wrapPolygon>
                </wp:wrapTight>
                <wp:docPr id="57" name="Tekstboks 57"/>
                <wp:cNvGraphicFramePr/>
                <a:graphic xmlns:a="http://schemas.openxmlformats.org/drawingml/2006/main">
                  <a:graphicData uri="http://schemas.microsoft.com/office/word/2010/wordprocessingShape">
                    <wps:wsp>
                      <wps:cNvSpPr txBox="1"/>
                      <wps:spPr>
                        <a:xfrm>
                          <a:off x="0" y="0"/>
                          <a:ext cx="4725035" cy="390525"/>
                        </a:xfrm>
                        <a:prstGeom prst="rect">
                          <a:avLst/>
                        </a:prstGeom>
                        <a:solidFill>
                          <a:prstClr val="white"/>
                        </a:solidFill>
                        <a:ln>
                          <a:noFill/>
                        </a:ln>
                        <a:effectLst/>
                      </wps:spPr>
                      <wps:txbx>
                        <w:txbxContent>
                          <w:p w:rsidR="00CF205E" w:rsidRPr="00E902F2" w:rsidRDefault="00CF205E" w:rsidP="00272E24">
                            <w:pPr>
                              <w:rPr>
                                <w:noProof/>
                                <w:sz w:val="22"/>
                                <w:lang w:val="en-US"/>
                              </w:rPr>
                            </w:pPr>
                            <w:bookmarkStart w:id="164" w:name="_Toc420075868"/>
                            <w:bookmarkStart w:id="165" w:name="_Toc420245516"/>
                            <w:bookmarkStart w:id="166" w:name="_Toc420761681"/>
                            <w:r w:rsidRPr="00C51FC3">
                              <w:rPr>
                                <w:rStyle w:val="Overskrift2Tegn"/>
                                <w:sz w:val="24"/>
                                <w:lang w:val="en-US"/>
                              </w:rPr>
                              <w:t xml:space="preserve">Appendix </w:t>
                            </w:r>
                            <w:r>
                              <w:rPr>
                                <w:rStyle w:val="Overskrift2Tegn"/>
                                <w:sz w:val="24"/>
                                <w:lang w:val="en-US"/>
                              </w:rPr>
                              <w:t>9</w:t>
                            </w:r>
                            <w:r w:rsidRPr="00C51FC3">
                              <w:rPr>
                                <w:rStyle w:val="Overskrift2Tegn"/>
                                <w:sz w:val="24"/>
                                <w:lang w:val="en-US"/>
                              </w:rPr>
                              <w:t>: Employee Tweets on March 27</w:t>
                            </w:r>
                            <w:bookmarkEnd w:id="164"/>
                            <w:bookmarkEnd w:id="165"/>
                            <w:bookmarkEnd w:id="166"/>
                            <w:r w:rsidRPr="00B40646">
                              <w:rPr>
                                <w:sz w:val="22"/>
                                <w:lang w:val="en-US"/>
                              </w:rPr>
                              <w:t xml:space="preserve"> </w:t>
                            </w:r>
                            <w:sdt>
                              <w:sdtPr>
                                <w:rPr>
                                  <w:b/>
                                </w:rPr>
                                <w:id w:val="1438725715"/>
                                <w:citation/>
                              </w:sdtPr>
                              <w:sdtContent>
                                <w:r w:rsidRPr="003D06BE">
                                  <w:rPr>
                                    <w:b/>
                                  </w:rPr>
                                  <w:fldChar w:fldCharType="begin"/>
                                </w:r>
                                <w:r w:rsidRPr="003D06BE">
                                  <w:rPr>
                                    <w:b/>
                                    <w:lang w:val="en-US"/>
                                  </w:rPr>
                                  <w:instrText xml:space="preserve"> CITATION Obe14 \l 1030 </w:instrText>
                                </w:r>
                                <w:r w:rsidRPr="003D06BE">
                                  <w:rPr>
                                    <w:b/>
                                  </w:rPr>
                                  <w:fldChar w:fldCharType="separate"/>
                                </w:r>
                                <w:r w:rsidRPr="003D06BE">
                                  <w:rPr>
                                    <w:b/>
                                    <w:noProof/>
                                    <w:lang w:val="en-US"/>
                                  </w:rPr>
                                  <w:t>(Oberlander 2014)</w:t>
                                </w:r>
                                <w:r w:rsidRPr="003D06BE">
                                  <w:rPr>
                                    <w:b/>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7" o:spid="_x0000_s1052" type="#_x0000_t202" style="position:absolute;left:0;text-align:left;margin-left:70.05pt;margin-top:15.45pt;width:372.05pt;height:3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" stroked="f">
                <v:textbox inset="0,0,0,0">
                  <w:txbxContent>
                    <w:p w:rsidR="00CF205E" w:rsidRPr="00E902F2" w:rsidRDefault="00CF205E" w:rsidP="00272E24">
                      <w:pPr>
                        <w:rPr>
                          <w:noProof/>
                          <w:sz w:val="22"/>
                          <w:lang w:val="en-US"/>
                        </w:rPr>
                      </w:pPr>
                      <w:bookmarkStart w:id="167" w:name="_Toc420075868"/>
                      <w:bookmarkStart w:id="168" w:name="_Toc420245516"/>
                      <w:bookmarkStart w:id="169" w:name="_Toc420761681"/>
                      <w:r w:rsidRPr="00C51FC3">
                        <w:rPr>
                          <w:rStyle w:val="Overskrift2Tegn"/>
                          <w:sz w:val="24"/>
                          <w:lang w:val="en-US"/>
                        </w:rPr>
                        <w:t xml:space="preserve">Appendix </w:t>
                      </w:r>
                      <w:r>
                        <w:rPr>
                          <w:rStyle w:val="Overskrift2Tegn"/>
                          <w:sz w:val="24"/>
                          <w:lang w:val="en-US"/>
                        </w:rPr>
                        <w:t>9</w:t>
                      </w:r>
                      <w:r w:rsidRPr="00C51FC3">
                        <w:rPr>
                          <w:rStyle w:val="Overskrift2Tegn"/>
                          <w:sz w:val="24"/>
                          <w:lang w:val="en-US"/>
                        </w:rPr>
                        <w:t>: Employee Tweets on March 27</w:t>
                      </w:r>
                      <w:bookmarkEnd w:id="167"/>
                      <w:bookmarkEnd w:id="168"/>
                      <w:bookmarkEnd w:id="169"/>
                      <w:r w:rsidRPr="00B40646">
                        <w:rPr>
                          <w:sz w:val="22"/>
                          <w:lang w:val="en-US"/>
                        </w:rPr>
                        <w:t xml:space="preserve"> </w:t>
                      </w:r>
                      <w:sdt>
                        <w:sdtPr>
                          <w:rPr>
                            <w:b/>
                          </w:rPr>
                          <w:id w:val="1438725715"/>
                          <w:citation/>
                        </w:sdtPr>
                        <w:sdtContent>
                          <w:r w:rsidRPr="003D06BE">
                            <w:rPr>
                              <w:b/>
                            </w:rPr>
                            <w:fldChar w:fldCharType="begin"/>
                          </w:r>
                          <w:r w:rsidRPr="003D06BE">
                            <w:rPr>
                              <w:b/>
                              <w:lang w:val="en-US"/>
                            </w:rPr>
                            <w:instrText xml:space="preserve"> CITATION Obe14 \l 1030 </w:instrText>
                          </w:r>
                          <w:r w:rsidRPr="003D06BE">
                            <w:rPr>
                              <w:b/>
                            </w:rPr>
                            <w:fldChar w:fldCharType="separate"/>
                          </w:r>
                          <w:r w:rsidRPr="003D06BE">
                            <w:rPr>
                              <w:b/>
                              <w:noProof/>
                              <w:lang w:val="en-US"/>
                            </w:rPr>
                            <w:t>(Oberlander 2014)</w:t>
                          </w:r>
                          <w:r w:rsidRPr="003D06BE">
                            <w:rPr>
                              <w:b/>
                            </w:rPr>
                            <w:fldChar w:fldCharType="end"/>
                          </w:r>
                        </w:sdtContent>
                      </w:sdt>
                    </w:p>
                  </w:txbxContent>
                </v:textbox>
                <w10:wrap type="tight"/>
              </v:shape>
            </w:pict>
          </mc:Fallback>
        </mc:AlternateContent>
      </w:r>
      <w:r>
        <w:rPr>
          <w:noProof/>
          <w:lang w:eastAsia="da-DK"/>
        </w:rPr>
        <w:drawing>
          <wp:anchor distT="0" distB="0" distL="114300" distR="114300" simplePos="0" relativeHeight="251715584" behindDoc="1" locked="0" layoutInCell="1" allowOverlap="1" wp14:anchorId="51B84F95" wp14:editId="26D1DD4C">
            <wp:simplePos x="0" y="0"/>
            <wp:positionH relativeFrom="column">
              <wp:posOffset>718185</wp:posOffset>
            </wp:positionH>
            <wp:positionV relativeFrom="paragraph">
              <wp:posOffset>510540</wp:posOffset>
            </wp:positionV>
            <wp:extent cx="4658360" cy="7973060"/>
            <wp:effectExtent l="0" t="0" r="8890" b="8890"/>
            <wp:wrapTight wrapText="bothSides">
              <wp:wrapPolygon edited="0">
                <wp:start x="0" y="0"/>
                <wp:lineTo x="0" y="21572"/>
                <wp:lineTo x="21553" y="21572"/>
                <wp:lineTo x="21553" y="0"/>
                <wp:lineTo x="0" y="0"/>
              </wp:wrapPolygon>
            </wp:wrapTight>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 tweets about CEO.png"/>
                    <pic:cNvPicPr/>
                  </pic:nvPicPr>
                  <pic:blipFill>
                    <a:blip r:embed="rId45">
                      <a:extLst>
                        <a:ext uri="{28A0092B-C50C-407E-A947-70E740481C1C}">
                          <a14:useLocalDpi xmlns:a14="http://schemas.microsoft.com/office/drawing/2010/main" val="0"/>
                        </a:ext>
                      </a:extLst>
                    </a:blip>
                    <a:stretch>
                      <a:fillRect/>
                    </a:stretch>
                  </pic:blipFill>
                  <pic:spPr>
                    <a:xfrm>
                      <a:off x="0" y="0"/>
                      <a:ext cx="4658360" cy="7973060"/>
                    </a:xfrm>
                    <a:prstGeom prst="rect">
                      <a:avLst/>
                    </a:prstGeom>
                  </pic:spPr>
                </pic:pic>
              </a:graphicData>
            </a:graphic>
            <wp14:sizeRelH relativeFrom="page">
              <wp14:pctWidth>0</wp14:pctWidth>
            </wp14:sizeRelH>
            <wp14:sizeRelV relativeFrom="page">
              <wp14:pctHeight>0</wp14:pctHeight>
            </wp14:sizeRelV>
          </wp:anchor>
        </w:drawing>
      </w:r>
    </w:p>
    <w:p w:rsidR="00272E24" w:rsidRPr="00B92B06" w:rsidRDefault="00272E24" w:rsidP="00337119">
      <w:pPr>
        <w:rPr>
          <w:lang w:val="en-US"/>
        </w:rPr>
      </w:pPr>
    </w:p>
    <w:p w:rsidR="00272E24" w:rsidRPr="00B92B06" w:rsidRDefault="00272E24" w:rsidP="00337119">
      <w:pPr>
        <w:rPr>
          <w:lang w:val="en-US"/>
        </w:rPr>
      </w:pPr>
    </w:p>
    <w:p w:rsidR="00272E24" w:rsidRPr="00B92B06" w:rsidRDefault="00272E24" w:rsidP="00337119">
      <w:pPr>
        <w:rPr>
          <w:lang w:val="en-US"/>
        </w:rPr>
      </w:pPr>
    </w:p>
    <w:p w:rsidR="00272E24" w:rsidRPr="00B92B06" w:rsidRDefault="00272E24" w:rsidP="00337119">
      <w:pPr>
        <w:rPr>
          <w:lang w:val="en-US"/>
        </w:rPr>
      </w:pPr>
    </w:p>
    <w:p w:rsidR="00272E24" w:rsidRPr="00B92B06" w:rsidRDefault="00272E24" w:rsidP="00337119">
      <w:pPr>
        <w:rPr>
          <w:lang w:val="en-US"/>
        </w:rPr>
      </w:pPr>
    </w:p>
    <w:p w:rsidR="00272E24" w:rsidRPr="00B92B06" w:rsidRDefault="00272E24" w:rsidP="00337119">
      <w:pPr>
        <w:rPr>
          <w:lang w:val="en-US"/>
        </w:rPr>
      </w:pPr>
    </w:p>
    <w:p w:rsidR="00272E24" w:rsidRPr="00B92B06" w:rsidRDefault="00272E24" w:rsidP="00337119">
      <w:pPr>
        <w:rPr>
          <w:lang w:val="en-US"/>
        </w:rPr>
      </w:pPr>
    </w:p>
    <w:p w:rsidR="00272E24" w:rsidRPr="00B92B06" w:rsidRDefault="00272E24" w:rsidP="00337119">
      <w:pPr>
        <w:rPr>
          <w:lang w:val="en-US"/>
        </w:rPr>
      </w:pPr>
    </w:p>
    <w:p w:rsidR="00272E24" w:rsidRDefault="00272E24" w:rsidP="00337119">
      <w:pPr>
        <w:rPr>
          <w:lang w:val="en-US"/>
        </w:rPr>
      </w:pPr>
    </w:p>
    <w:p w:rsidR="00272E24" w:rsidRPr="00675C49" w:rsidRDefault="00272E24" w:rsidP="00337119">
      <w:pPr>
        <w:rPr>
          <w:lang w:val="en-US"/>
        </w:rPr>
      </w:pPr>
      <w:r>
        <w:rPr>
          <w:lang w:val="en-US"/>
        </w:rPr>
        <w:br w:type="page"/>
      </w:r>
    </w:p>
    <w:p w:rsidR="00272E24" w:rsidRDefault="00DC12F0" w:rsidP="00337119">
      <w:pPr>
        <w:rPr>
          <w:lang w:val="en-US"/>
        </w:rPr>
      </w:pPr>
      <w:r>
        <w:rPr>
          <w:noProof/>
          <w:lang w:eastAsia="da-DK"/>
        </w:rPr>
        <w:lastRenderedPageBreak/>
        <mc:AlternateContent>
          <mc:Choice Requires="wps">
            <w:drawing>
              <wp:anchor distT="0" distB="0" distL="114300" distR="114300" simplePos="0" relativeHeight="251720704" behindDoc="0" locked="0" layoutInCell="1" allowOverlap="1" wp14:anchorId="5C23821A" wp14:editId="594302F3">
                <wp:simplePos x="0" y="0"/>
                <wp:positionH relativeFrom="column">
                  <wp:posOffset>0</wp:posOffset>
                </wp:positionH>
                <wp:positionV relativeFrom="paragraph">
                  <wp:posOffset>5715</wp:posOffset>
                </wp:positionV>
                <wp:extent cx="5978525" cy="304800"/>
                <wp:effectExtent l="0" t="0" r="3175" b="0"/>
                <wp:wrapTight wrapText="bothSides">
                  <wp:wrapPolygon edited="0">
                    <wp:start x="0" y="0"/>
                    <wp:lineTo x="0" y="20250"/>
                    <wp:lineTo x="21543" y="20250"/>
                    <wp:lineTo x="21543" y="0"/>
                    <wp:lineTo x="0" y="0"/>
                  </wp:wrapPolygon>
                </wp:wrapTight>
                <wp:docPr id="58" name="Tekstboks 58"/>
                <wp:cNvGraphicFramePr/>
                <a:graphic xmlns:a="http://schemas.openxmlformats.org/drawingml/2006/main">
                  <a:graphicData uri="http://schemas.microsoft.com/office/word/2010/wordprocessingShape">
                    <wps:wsp>
                      <wps:cNvSpPr txBox="1"/>
                      <wps:spPr>
                        <a:xfrm>
                          <a:off x="0" y="0"/>
                          <a:ext cx="5978525" cy="304800"/>
                        </a:xfrm>
                        <a:prstGeom prst="rect">
                          <a:avLst/>
                        </a:prstGeom>
                        <a:solidFill>
                          <a:prstClr val="white"/>
                        </a:solidFill>
                        <a:ln>
                          <a:noFill/>
                        </a:ln>
                        <a:effectLst/>
                      </wps:spPr>
                      <wps:txbx>
                        <w:txbxContent>
                          <w:p w:rsidR="00CF205E" w:rsidRPr="0020708B" w:rsidRDefault="00CF205E" w:rsidP="00272E24">
                            <w:pPr>
                              <w:pStyle w:val="Billedtekst"/>
                              <w:rPr>
                                <w:noProof/>
                                <w:color w:val="auto"/>
                                <w:sz w:val="36"/>
                                <w:lang w:val="en-US"/>
                              </w:rPr>
                            </w:pPr>
                            <w:bookmarkStart w:id="170" w:name="_Toc420075869"/>
                            <w:bookmarkStart w:id="171" w:name="_Toc420245517"/>
                            <w:bookmarkStart w:id="172" w:name="_Toc420761682"/>
                            <w:r>
                              <w:rPr>
                                <w:rStyle w:val="Overskrift2Tegn"/>
                                <w:b/>
                                <w:color w:val="auto"/>
                                <w:sz w:val="24"/>
                                <w:lang w:val="en-US"/>
                              </w:rPr>
                              <w:t>Appendix 10</w:t>
                            </w:r>
                            <w:r w:rsidRPr="007040D0">
                              <w:rPr>
                                <w:rStyle w:val="Overskrift2Tegn"/>
                                <w:b/>
                                <w:color w:val="auto"/>
                                <w:sz w:val="24"/>
                                <w:lang w:val="en-US"/>
                              </w:rPr>
                              <w:t xml:space="preserve">: </w:t>
                            </w:r>
                            <w:r>
                              <w:rPr>
                                <w:rStyle w:val="Overskrift2Tegn"/>
                                <w:b/>
                                <w:color w:val="auto"/>
                                <w:sz w:val="24"/>
                                <w:lang w:val="en-US"/>
                              </w:rPr>
                              <w:t>Statement 4</w:t>
                            </w:r>
                            <w:bookmarkEnd w:id="172"/>
                            <w:r>
                              <w:rPr>
                                <w:rStyle w:val="Overskrift2Tegn"/>
                                <w:b/>
                                <w:color w:val="auto"/>
                                <w:sz w:val="24"/>
                                <w:lang w:val="en-US"/>
                              </w:rPr>
                              <w:t xml:space="preserve"> </w:t>
                            </w:r>
                            <w:r w:rsidRPr="006839F2">
                              <w:rPr>
                                <w:color w:val="auto"/>
                                <w:sz w:val="24"/>
                                <w:lang w:val="en-US"/>
                              </w:rPr>
                              <w:t>– Official Statement from Mozilla</w:t>
                            </w:r>
                            <w:bookmarkEnd w:id="170"/>
                            <w:bookmarkEnd w:id="171"/>
                            <w:r w:rsidRPr="007040D0">
                              <w:rPr>
                                <w:color w:val="auto"/>
                                <w:sz w:val="24"/>
                                <w:lang w:val="en-US"/>
                              </w:rPr>
                              <w:t xml:space="preserve"> </w:t>
                            </w:r>
                            <w:sdt>
                              <w:sdtPr>
                                <w:rPr>
                                  <w:color w:val="auto"/>
                                  <w:sz w:val="24"/>
                                </w:rPr>
                                <w:id w:val="1345210422"/>
                                <w:citation/>
                              </w:sdtPr>
                              <w:sdtContent>
                                <w:r w:rsidRPr="0020708B">
                                  <w:rPr>
                                    <w:color w:val="auto"/>
                                    <w:sz w:val="24"/>
                                  </w:rPr>
                                  <w:fldChar w:fldCharType="begin"/>
                                </w:r>
                                <w:r w:rsidRPr="0020708B">
                                  <w:rPr>
                                    <w:color w:val="auto"/>
                                    <w:sz w:val="24"/>
                                    <w:lang w:val="en-US"/>
                                  </w:rPr>
                                  <w:instrText xml:space="preserve"> CITATION Moz143 \l 1030 </w:instrText>
                                </w:r>
                                <w:r w:rsidRPr="0020708B">
                                  <w:rPr>
                                    <w:color w:val="auto"/>
                                    <w:sz w:val="24"/>
                                  </w:rPr>
                                  <w:fldChar w:fldCharType="separate"/>
                                </w:r>
                                <w:r w:rsidRPr="00F623D4">
                                  <w:rPr>
                                    <w:noProof/>
                                    <w:color w:val="auto"/>
                                    <w:sz w:val="24"/>
                                    <w:lang w:val="en-US"/>
                                  </w:rPr>
                                  <w:t>(Mozilla Foundation 2014)</w:t>
                                </w:r>
                                <w:r w:rsidRPr="0020708B">
                                  <w:rPr>
                                    <w:color w:val="auto"/>
                                    <w:sz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58" o:spid="_x0000_s1053" type="#_x0000_t202" style="position:absolute;left:0;text-align:left;margin-left:0;margin-top:.45pt;width:470.75pt;height:2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" stroked="f">
                <v:textbox inset="0,0,0,0">
                  <w:txbxContent>
                    <w:p w:rsidR="00CF205E" w:rsidRPr="0020708B" w:rsidRDefault="00CF205E" w:rsidP="00272E24">
                      <w:pPr>
                        <w:pStyle w:val="Billedtekst"/>
                        <w:rPr>
                          <w:noProof/>
                          <w:color w:val="auto"/>
                          <w:sz w:val="36"/>
                          <w:lang w:val="en-US"/>
                        </w:rPr>
                      </w:pPr>
                      <w:bookmarkStart w:id="173" w:name="_Toc420075869"/>
                      <w:bookmarkStart w:id="174" w:name="_Toc420245517"/>
                      <w:bookmarkStart w:id="175" w:name="_Toc420761682"/>
                      <w:r>
                        <w:rPr>
                          <w:rStyle w:val="Overskrift2Tegn"/>
                          <w:b/>
                          <w:color w:val="auto"/>
                          <w:sz w:val="24"/>
                          <w:lang w:val="en-US"/>
                        </w:rPr>
                        <w:t>Appendix 10</w:t>
                      </w:r>
                      <w:r w:rsidRPr="007040D0">
                        <w:rPr>
                          <w:rStyle w:val="Overskrift2Tegn"/>
                          <w:b/>
                          <w:color w:val="auto"/>
                          <w:sz w:val="24"/>
                          <w:lang w:val="en-US"/>
                        </w:rPr>
                        <w:t xml:space="preserve">: </w:t>
                      </w:r>
                      <w:r>
                        <w:rPr>
                          <w:rStyle w:val="Overskrift2Tegn"/>
                          <w:b/>
                          <w:color w:val="auto"/>
                          <w:sz w:val="24"/>
                          <w:lang w:val="en-US"/>
                        </w:rPr>
                        <w:t>Statement 4</w:t>
                      </w:r>
                      <w:bookmarkEnd w:id="175"/>
                      <w:r>
                        <w:rPr>
                          <w:rStyle w:val="Overskrift2Tegn"/>
                          <w:b/>
                          <w:color w:val="auto"/>
                          <w:sz w:val="24"/>
                          <w:lang w:val="en-US"/>
                        </w:rPr>
                        <w:t xml:space="preserve"> </w:t>
                      </w:r>
                      <w:r w:rsidRPr="006839F2">
                        <w:rPr>
                          <w:color w:val="auto"/>
                          <w:sz w:val="24"/>
                          <w:lang w:val="en-US"/>
                        </w:rPr>
                        <w:t>– Official Statement from Mozilla</w:t>
                      </w:r>
                      <w:bookmarkEnd w:id="173"/>
                      <w:bookmarkEnd w:id="174"/>
                      <w:r w:rsidRPr="007040D0">
                        <w:rPr>
                          <w:color w:val="auto"/>
                          <w:sz w:val="24"/>
                          <w:lang w:val="en-US"/>
                        </w:rPr>
                        <w:t xml:space="preserve"> </w:t>
                      </w:r>
                      <w:sdt>
                        <w:sdtPr>
                          <w:rPr>
                            <w:color w:val="auto"/>
                            <w:sz w:val="24"/>
                          </w:rPr>
                          <w:id w:val="1345210422"/>
                          <w:citation/>
                        </w:sdtPr>
                        <w:sdtContent>
                          <w:r w:rsidRPr="0020708B">
                            <w:rPr>
                              <w:color w:val="auto"/>
                              <w:sz w:val="24"/>
                            </w:rPr>
                            <w:fldChar w:fldCharType="begin"/>
                          </w:r>
                          <w:r w:rsidRPr="0020708B">
                            <w:rPr>
                              <w:color w:val="auto"/>
                              <w:sz w:val="24"/>
                              <w:lang w:val="en-US"/>
                            </w:rPr>
                            <w:instrText xml:space="preserve"> CITATION Moz143 \l 1030 </w:instrText>
                          </w:r>
                          <w:r w:rsidRPr="0020708B">
                            <w:rPr>
                              <w:color w:val="auto"/>
                              <w:sz w:val="24"/>
                            </w:rPr>
                            <w:fldChar w:fldCharType="separate"/>
                          </w:r>
                          <w:r w:rsidRPr="00F623D4">
                            <w:rPr>
                              <w:noProof/>
                              <w:color w:val="auto"/>
                              <w:sz w:val="24"/>
                              <w:lang w:val="en-US"/>
                            </w:rPr>
                            <w:t>(Mozilla Foundation 2014)</w:t>
                          </w:r>
                          <w:r w:rsidRPr="0020708B">
                            <w:rPr>
                              <w:color w:val="auto"/>
                              <w:sz w:val="24"/>
                            </w:rPr>
                            <w:fldChar w:fldCharType="end"/>
                          </w:r>
                        </w:sdtContent>
                      </w:sdt>
                    </w:p>
                  </w:txbxContent>
                </v:textbox>
                <w10:wrap type="tight"/>
              </v:shape>
            </w:pict>
          </mc:Fallback>
        </mc:AlternateContent>
      </w:r>
      <w:r>
        <w:rPr>
          <w:noProof/>
          <w:lang w:eastAsia="da-DK"/>
        </w:rPr>
        <w:drawing>
          <wp:inline distT="0" distB="0" distL="0" distR="0" wp14:anchorId="7AD50681" wp14:editId="59678816">
            <wp:extent cx="6120130" cy="7937500"/>
            <wp:effectExtent l="0" t="0" r="0" b="635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 official statement.png"/>
                    <pic:cNvPicPr/>
                  </pic:nvPicPr>
                  <pic:blipFill>
                    <a:blip r:embed="rId46">
                      <a:extLst>
                        <a:ext uri="{28A0092B-C50C-407E-A947-70E740481C1C}">
                          <a14:useLocalDpi xmlns:a14="http://schemas.microsoft.com/office/drawing/2010/main" val="0"/>
                        </a:ext>
                      </a:extLst>
                    </a:blip>
                    <a:stretch>
                      <a:fillRect/>
                    </a:stretch>
                  </pic:blipFill>
                  <pic:spPr>
                    <a:xfrm>
                      <a:off x="0" y="0"/>
                      <a:ext cx="6120130" cy="7937500"/>
                    </a:xfrm>
                    <a:prstGeom prst="rect">
                      <a:avLst/>
                    </a:prstGeom>
                  </pic:spPr>
                </pic:pic>
              </a:graphicData>
            </a:graphic>
          </wp:inline>
        </w:drawing>
      </w:r>
    </w:p>
    <w:p w:rsidR="00272E24" w:rsidRDefault="008E7008" w:rsidP="00337119">
      <w:pPr>
        <w:rPr>
          <w:lang w:val="en-US"/>
        </w:rPr>
      </w:pPr>
      <w:r>
        <w:rPr>
          <w:noProof/>
          <w:lang w:eastAsia="da-DK"/>
        </w:rPr>
        <w:lastRenderedPageBreak/>
        <w:drawing>
          <wp:anchor distT="0" distB="0" distL="114300" distR="114300" simplePos="0" relativeHeight="251764736" behindDoc="1" locked="0" layoutInCell="1" allowOverlap="1" wp14:anchorId="73DC8C54" wp14:editId="6F0078A2">
            <wp:simplePos x="0" y="0"/>
            <wp:positionH relativeFrom="column">
              <wp:posOffset>9525</wp:posOffset>
            </wp:positionH>
            <wp:positionV relativeFrom="paragraph">
              <wp:posOffset>470535</wp:posOffset>
            </wp:positionV>
            <wp:extent cx="6120130" cy="3073400"/>
            <wp:effectExtent l="0" t="0" r="0" b="0"/>
            <wp:wrapTight wrapText="bothSides">
              <wp:wrapPolygon edited="0">
                <wp:start x="0" y="0"/>
                <wp:lineTo x="0" y="21421"/>
                <wp:lineTo x="21515" y="21421"/>
                <wp:lineTo x="21515" y="0"/>
                <wp:lineTo x="0" y="0"/>
              </wp:wrapPolygon>
            </wp:wrapTight>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 second statement.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3073400"/>
                    </a:xfrm>
                    <a:prstGeom prst="rect">
                      <a:avLst/>
                    </a:prstGeom>
                  </pic:spPr>
                </pic:pic>
              </a:graphicData>
            </a:graphic>
            <wp14:sizeRelH relativeFrom="page">
              <wp14:pctWidth>0</wp14:pctWidth>
            </wp14:sizeRelH>
            <wp14:sizeRelV relativeFrom="page">
              <wp14:pctHeight>0</wp14:pctHeight>
            </wp14:sizeRelV>
          </wp:anchor>
        </w:drawing>
      </w:r>
      <w:r w:rsidR="00272E24">
        <w:rPr>
          <w:noProof/>
          <w:lang w:eastAsia="da-DK"/>
        </w:rPr>
        <mc:AlternateContent>
          <mc:Choice Requires="wps">
            <w:drawing>
              <wp:anchor distT="0" distB="0" distL="114300" distR="114300" simplePos="0" relativeHeight="251718656" behindDoc="0" locked="0" layoutInCell="1" allowOverlap="1" wp14:anchorId="0020E474" wp14:editId="08E8E486">
                <wp:simplePos x="0" y="0"/>
                <wp:positionH relativeFrom="column">
                  <wp:posOffset>10160</wp:posOffset>
                </wp:positionH>
                <wp:positionV relativeFrom="paragraph">
                  <wp:posOffset>18415</wp:posOffset>
                </wp:positionV>
                <wp:extent cx="6120130" cy="457200"/>
                <wp:effectExtent l="0" t="0" r="0" b="0"/>
                <wp:wrapTight wrapText="bothSides">
                  <wp:wrapPolygon edited="0">
                    <wp:start x="0" y="0"/>
                    <wp:lineTo x="0" y="20700"/>
                    <wp:lineTo x="21515" y="20700"/>
                    <wp:lineTo x="21515" y="0"/>
                    <wp:lineTo x="0" y="0"/>
                  </wp:wrapPolygon>
                </wp:wrapTight>
                <wp:docPr id="59" name="Tekstboks 59"/>
                <wp:cNvGraphicFramePr/>
                <a:graphic xmlns:a="http://schemas.openxmlformats.org/drawingml/2006/main">
                  <a:graphicData uri="http://schemas.microsoft.com/office/word/2010/wordprocessingShape">
                    <wps:wsp>
                      <wps:cNvSpPr txBox="1"/>
                      <wps:spPr>
                        <a:xfrm>
                          <a:off x="0" y="0"/>
                          <a:ext cx="6120130" cy="457200"/>
                        </a:xfrm>
                        <a:prstGeom prst="rect">
                          <a:avLst/>
                        </a:prstGeom>
                        <a:solidFill>
                          <a:prstClr val="white"/>
                        </a:solidFill>
                        <a:ln>
                          <a:noFill/>
                        </a:ln>
                        <a:effectLst/>
                      </wps:spPr>
                      <wps:txbx>
                        <w:txbxContent>
                          <w:p w:rsidR="00CF205E" w:rsidRPr="00E50EEE" w:rsidRDefault="00CF205E" w:rsidP="00272E24">
                            <w:pPr>
                              <w:pStyle w:val="Billedtekst"/>
                              <w:rPr>
                                <w:noProof/>
                                <w:color w:val="auto"/>
                                <w:sz w:val="36"/>
                                <w:lang w:val="en-US"/>
                              </w:rPr>
                            </w:pPr>
                            <w:bookmarkStart w:id="176" w:name="_Toc420075870"/>
                            <w:bookmarkStart w:id="177" w:name="_Toc420245518"/>
                            <w:bookmarkStart w:id="178" w:name="_Toc420761683"/>
                            <w:r>
                              <w:rPr>
                                <w:rStyle w:val="Overskrift2Tegn"/>
                                <w:b/>
                                <w:color w:val="auto"/>
                                <w:sz w:val="24"/>
                                <w:lang w:val="en-US"/>
                              </w:rPr>
                              <w:t>Appendix 11</w:t>
                            </w:r>
                            <w:r w:rsidRPr="00B92B06">
                              <w:rPr>
                                <w:rStyle w:val="Overskrift2Tegn"/>
                                <w:b/>
                                <w:color w:val="auto"/>
                                <w:sz w:val="24"/>
                                <w:lang w:val="en-US"/>
                              </w:rPr>
                              <w:t xml:space="preserve">: </w:t>
                            </w:r>
                            <w:r>
                              <w:rPr>
                                <w:rStyle w:val="Overskrift2Tegn"/>
                                <w:b/>
                                <w:color w:val="auto"/>
                                <w:sz w:val="24"/>
                                <w:lang w:val="en-US"/>
                              </w:rPr>
                              <w:t>Statement 5</w:t>
                            </w:r>
                            <w:bookmarkEnd w:id="178"/>
                            <w:r>
                              <w:rPr>
                                <w:rStyle w:val="Overskrift2Tegn"/>
                                <w:b/>
                                <w:color w:val="auto"/>
                                <w:sz w:val="24"/>
                                <w:lang w:val="en-US"/>
                              </w:rPr>
                              <w:t xml:space="preserve"> </w:t>
                            </w:r>
                            <w:r w:rsidRPr="00926113">
                              <w:rPr>
                                <w:color w:val="auto"/>
                                <w:sz w:val="24"/>
                                <w:lang w:val="en-US"/>
                              </w:rPr>
                              <w:t>– Second Statement from Mitchell Baker</w:t>
                            </w:r>
                            <w:bookmarkEnd w:id="176"/>
                            <w:bookmarkEnd w:id="177"/>
                            <w:r w:rsidRPr="00926113">
                              <w:rPr>
                                <w:color w:val="auto"/>
                                <w:sz w:val="32"/>
                                <w:lang w:val="en-US"/>
                              </w:rPr>
                              <w:t xml:space="preserve"> </w:t>
                            </w:r>
                            <w:sdt>
                              <w:sdtPr>
                                <w:rPr>
                                  <w:color w:val="auto"/>
                                  <w:sz w:val="24"/>
                                  <w:lang w:val="en-US"/>
                                </w:rPr>
                                <w:id w:val="-1876310614"/>
                                <w:citation/>
                              </w:sdtPr>
                              <w:sdtContent>
                                <w:r w:rsidRPr="00E50EEE">
                                  <w:rPr>
                                    <w:color w:val="auto"/>
                                    <w:sz w:val="24"/>
                                    <w:lang w:val="en-US"/>
                                  </w:rPr>
                                  <w:fldChar w:fldCharType="begin"/>
                                </w:r>
                                <w:r>
                                  <w:rPr>
                                    <w:color w:val="auto"/>
                                    <w:sz w:val="24"/>
                                    <w:lang w:val="en-US"/>
                                  </w:rPr>
                                  <w:instrText xml:space="preserve">CITATION Mit142 \t  \l 1030 </w:instrText>
                                </w:r>
                                <w:r w:rsidRPr="00E50EEE">
                                  <w:rPr>
                                    <w:color w:val="auto"/>
                                    <w:sz w:val="24"/>
                                    <w:lang w:val="en-US"/>
                                  </w:rPr>
                                  <w:fldChar w:fldCharType="separate"/>
                                </w:r>
                                <w:r w:rsidRPr="00F623D4">
                                  <w:rPr>
                                    <w:noProof/>
                                    <w:color w:val="auto"/>
                                    <w:sz w:val="24"/>
                                    <w:lang w:val="en-US"/>
                                  </w:rPr>
                                  <w:t>(M. Baker 2014)</w:t>
                                </w:r>
                                <w:r w:rsidRPr="00E50EEE">
                                  <w:rPr>
                                    <w:color w:val="auto"/>
                                    <w:sz w:val="24"/>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kstboks 59" o:spid="_x0000_s1054" type="#_x0000_t202" style="position:absolute;left:0;text-align:left;margin-left:.8pt;margin-top:1.45pt;width:481.9pt;height:3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" stroked="f">
                <v:textbox inset="0,0,0,0">
                  <w:txbxContent>
                    <w:p w:rsidR="00CF205E" w:rsidRPr="00E50EEE" w:rsidRDefault="00CF205E" w:rsidP="00272E24">
                      <w:pPr>
                        <w:pStyle w:val="Billedtekst"/>
                        <w:rPr>
                          <w:noProof/>
                          <w:color w:val="auto"/>
                          <w:sz w:val="36"/>
                          <w:lang w:val="en-US"/>
                        </w:rPr>
                      </w:pPr>
                      <w:bookmarkStart w:id="179" w:name="_Toc420075870"/>
                      <w:bookmarkStart w:id="180" w:name="_Toc420245518"/>
                      <w:bookmarkStart w:id="181" w:name="_Toc420761683"/>
                      <w:r>
                        <w:rPr>
                          <w:rStyle w:val="Overskrift2Tegn"/>
                          <w:b/>
                          <w:color w:val="auto"/>
                          <w:sz w:val="24"/>
                          <w:lang w:val="en-US"/>
                        </w:rPr>
                        <w:t>Appendix 11</w:t>
                      </w:r>
                      <w:r w:rsidRPr="00B92B06">
                        <w:rPr>
                          <w:rStyle w:val="Overskrift2Tegn"/>
                          <w:b/>
                          <w:color w:val="auto"/>
                          <w:sz w:val="24"/>
                          <w:lang w:val="en-US"/>
                        </w:rPr>
                        <w:t xml:space="preserve">: </w:t>
                      </w:r>
                      <w:r>
                        <w:rPr>
                          <w:rStyle w:val="Overskrift2Tegn"/>
                          <w:b/>
                          <w:color w:val="auto"/>
                          <w:sz w:val="24"/>
                          <w:lang w:val="en-US"/>
                        </w:rPr>
                        <w:t>Statement 5</w:t>
                      </w:r>
                      <w:bookmarkEnd w:id="181"/>
                      <w:r>
                        <w:rPr>
                          <w:rStyle w:val="Overskrift2Tegn"/>
                          <w:b/>
                          <w:color w:val="auto"/>
                          <w:sz w:val="24"/>
                          <w:lang w:val="en-US"/>
                        </w:rPr>
                        <w:t xml:space="preserve"> </w:t>
                      </w:r>
                      <w:r w:rsidRPr="00926113">
                        <w:rPr>
                          <w:color w:val="auto"/>
                          <w:sz w:val="24"/>
                          <w:lang w:val="en-US"/>
                        </w:rPr>
                        <w:t>– Second Statement from Mitchell Baker</w:t>
                      </w:r>
                      <w:bookmarkEnd w:id="179"/>
                      <w:bookmarkEnd w:id="180"/>
                      <w:r w:rsidRPr="00926113">
                        <w:rPr>
                          <w:color w:val="auto"/>
                          <w:sz w:val="32"/>
                          <w:lang w:val="en-US"/>
                        </w:rPr>
                        <w:t xml:space="preserve"> </w:t>
                      </w:r>
                      <w:sdt>
                        <w:sdtPr>
                          <w:rPr>
                            <w:color w:val="auto"/>
                            <w:sz w:val="24"/>
                            <w:lang w:val="en-US"/>
                          </w:rPr>
                          <w:id w:val="-1876310614"/>
                          <w:citation/>
                        </w:sdtPr>
                        <w:sdtContent>
                          <w:r w:rsidRPr="00E50EEE">
                            <w:rPr>
                              <w:color w:val="auto"/>
                              <w:sz w:val="24"/>
                              <w:lang w:val="en-US"/>
                            </w:rPr>
                            <w:fldChar w:fldCharType="begin"/>
                          </w:r>
                          <w:r>
                            <w:rPr>
                              <w:color w:val="auto"/>
                              <w:sz w:val="24"/>
                              <w:lang w:val="en-US"/>
                            </w:rPr>
                            <w:instrText xml:space="preserve">CITATION Mit142 \t  \l 1030 </w:instrText>
                          </w:r>
                          <w:r w:rsidRPr="00E50EEE">
                            <w:rPr>
                              <w:color w:val="auto"/>
                              <w:sz w:val="24"/>
                              <w:lang w:val="en-US"/>
                            </w:rPr>
                            <w:fldChar w:fldCharType="separate"/>
                          </w:r>
                          <w:r w:rsidRPr="00F623D4">
                            <w:rPr>
                              <w:noProof/>
                              <w:color w:val="auto"/>
                              <w:sz w:val="24"/>
                              <w:lang w:val="en-US"/>
                            </w:rPr>
                            <w:t>(M. Baker 2014)</w:t>
                          </w:r>
                          <w:r w:rsidRPr="00E50EEE">
                            <w:rPr>
                              <w:color w:val="auto"/>
                              <w:sz w:val="24"/>
                              <w:lang w:val="en-US"/>
                            </w:rPr>
                            <w:fldChar w:fldCharType="end"/>
                          </w:r>
                        </w:sdtContent>
                      </w:sdt>
                    </w:p>
                  </w:txbxContent>
                </v:textbox>
                <w10:wrap type="tight"/>
              </v:shape>
            </w:pict>
          </mc:Fallback>
        </mc:AlternateContent>
      </w:r>
      <w:r w:rsidR="00272E24">
        <w:rPr>
          <w:lang w:val="en-US"/>
        </w:rPr>
        <w:br w:type="page"/>
      </w:r>
    </w:p>
    <w:p w:rsidR="00272E24" w:rsidRDefault="00272E24" w:rsidP="00337119">
      <w:pPr>
        <w:rPr>
          <w:lang w:val="en-US"/>
        </w:rPr>
      </w:pPr>
      <w:r>
        <w:rPr>
          <w:noProof/>
          <w:lang w:eastAsia="da-DK"/>
        </w:rPr>
        <w:lastRenderedPageBreak/>
        <mc:AlternateContent>
          <mc:Choice Requires="wps">
            <w:drawing>
              <wp:anchor distT="0" distB="0" distL="114300" distR="114300" simplePos="0" relativeHeight="251726848" behindDoc="0" locked="0" layoutInCell="1" allowOverlap="1" wp14:anchorId="6993ACDD" wp14:editId="615B8DBD">
                <wp:simplePos x="0" y="0"/>
                <wp:positionH relativeFrom="column">
                  <wp:posOffset>251460</wp:posOffset>
                </wp:positionH>
                <wp:positionV relativeFrom="paragraph">
                  <wp:posOffset>-70485</wp:posOffset>
                </wp:positionV>
                <wp:extent cx="5620385" cy="457200"/>
                <wp:effectExtent l="0" t="0" r="0" b="0"/>
                <wp:wrapTight wrapText="bothSides">
                  <wp:wrapPolygon edited="0">
                    <wp:start x="0" y="0"/>
                    <wp:lineTo x="0" y="20700"/>
                    <wp:lineTo x="21524" y="20700"/>
                    <wp:lineTo x="21524" y="0"/>
                    <wp:lineTo x="0" y="0"/>
                  </wp:wrapPolygon>
                </wp:wrapTight>
                <wp:docPr id="60" name="Tekstboks 60"/>
                <wp:cNvGraphicFramePr/>
                <a:graphic xmlns:a="http://schemas.openxmlformats.org/drawingml/2006/main">
                  <a:graphicData uri="http://schemas.microsoft.com/office/word/2010/wordprocessingShape">
                    <wps:wsp>
                      <wps:cNvSpPr txBox="1"/>
                      <wps:spPr>
                        <a:xfrm>
                          <a:off x="0" y="0"/>
                          <a:ext cx="5620385" cy="457200"/>
                        </a:xfrm>
                        <a:prstGeom prst="rect">
                          <a:avLst/>
                        </a:prstGeom>
                        <a:solidFill>
                          <a:prstClr val="white"/>
                        </a:solidFill>
                        <a:ln>
                          <a:noFill/>
                        </a:ln>
                        <a:effectLst/>
                      </wps:spPr>
                      <wps:txbx>
                        <w:txbxContent>
                          <w:p w:rsidR="00CF205E" w:rsidRPr="001230D1" w:rsidRDefault="00CF205E" w:rsidP="00272E24">
                            <w:pPr>
                              <w:pStyle w:val="Billedtekst"/>
                              <w:rPr>
                                <w:noProof/>
                                <w:sz w:val="24"/>
                                <w:lang w:val="en-US"/>
                              </w:rPr>
                            </w:pPr>
                            <w:bookmarkStart w:id="182" w:name="_Toc420075871"/>
                            <w:bookmarkStart w:id="183" w:name="_Toc420245519"/>
                            <w:bookmarkStart w:id="184" w:name="_Toc420761684"/>
                            <w:r w:rsidRPr="001230D1">
                              <w:rPr>
                                <w:rStyle w:val="Overskrift2Tegn"/>
                                <w:b/>
                                <w:color w:val="auto"/>
                                <w:sz w:val="24"/>
                                <w:lang w:val="en-US"/>
                              </w:rPr>
                              <w:t>Appendix 1</w:t>
                            </w:r>
                            <w:r>
                              <w:rPr>
                                <w:rStyle w:val="Overskrift2Tegn"/>
                                <w:b/>
                                <w:color w:val="auto"/>
                                <w:sz w:val="24"/>
                                <w:lang w:val="en-US"/>
                              </w:rPr>
                              <w:t>2</w:t>
                            </w:r>
                            <w:r w:rsidRPr="001230D1">
                              <w:rPr>
                                <w:rStyle w:val="Overskrift2Tegn"/>
                                <w:b/>
                                <w:color w:val="auto"/>
                                <w:sz w:val="24"/>
                                <w:lang w:val="en-US"/>
                              </w:rPr>
                              <w:t xml:space="preserve">: Statement from CREDO, Concerning Petition </w:t>
                            </w:r>
                            <w:r w:rsidRPr="00463BC4">
                              <w:rPr>
                                <w:rStyle w:val="Overskrift2Tegn"/>
                                <w:b/>
                                <w:color w:val="auto"/>
                                <w:sz w:val="24"/>
                                <w:lang w:val="en-US"/>
                              </w:rPr>
                              <w:t>Campaign</w:t>
                            </w:r>
                            <w:bookmarkEnd w:id="182"/>
                            <w:bookmarkEnd w:id="183"/>
                            <w:bookmarkEnd w:id="184"/>
                            <w:r w:rsidRPr="001230D1">
                              <w:rPr>
                                <w:color w:val="auto"/>
                                <w:sz w:val="16"/>
                                <w:lang w:val="en-US"/>
                              </w:rPr>
                              <w:t xml:space="preserve"> </w:t>
                            </w:r>
                            <w:sdt>
                              <w:sdtPr>
                                <w:rPr>
                                  <w:color w:val="auto"/>
                                  <w:sz w:val="24"/>
                                  <w:lang w:val="en-US"/>
                                </w:rPr>
                                <w:id w:val="1446581811"/>
                                <w:citation/>
                              </w:sdtPr>
                              <w:sdtContent>
                                <w:r w:rsidRPr="001230D1">
                                  <w:rPr>
                                    <w:color w:val="auto"/>
                                    <w:sz w:val="24"/>
                                    <w:lang w:val="en-US"/>
                                  </w:rPr>
                                  <w:fldChar w:fldCharType="begin"/>
                                </w:r>
                                <w:r w:rsidRPr="001230D1">
                                  <w:rPr>
                                    <w:color w:val="auto"/>
                                    <w:sz w:val="24"/>
                                    <w:lang w:val="en-US"/>
                                  </w:rPr>
                                  <w:instrText xml:space="preserve"> CITATION Joh14 \l 1030 </w:instrText>
                                </w:r>
                                <w:r w:rsidRPr="001230D1">
                                  <w:rPr>
                                    <w:color w:val="auto"/>
                                    <w:sz w:val="24"/>
                                    <w:lang w:val="en-US"/>
                                  </w:rPr>
                                  <w:fldChar w:fldCharType="separate"/>
                                </w:r>
                                <w:r w:rsidRPr="00F623D4">
                                  <w:rPr>
                                    <w:noProof/>
                                    <w:color w:val="auto"/>
                                    <w:sz w:val="24"/>
                                    <w:lang w:val="en-US"/>
                                  </w:rPr>
                                  <w:t>(Becker 2014)</w:t>
                                </w:r>
                                <w:r w:rsidRPr="001230D1">
                                  <w:rPr>
                                    <w:color w:val="auto"/>
                                    <w:sz w:val="24"/>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kstboks 60" o:spid="_x0000_s1055" type="#_x0000_t202" style="position:absolute;left:0;text-align:left;margin-left:19.8pt;margin-top:-5.55pt;width:442.55pt;height:3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" stroked="f">
                <v:textbox inset="0,0,0,0">
                  <w:txbxContent>
                    <w:p w:rsidR="00CF205E" w:rsidRPr="001230D1" w:rsidRDefault="00CF205E" w:rsidP="00272E24">
                      <w:pPr>
                        <w:pStyle w:val="Billedtekst"/>
                        <w:rPr>
                          <w:noProof/>
                          <w:sz w:val="24"/>
                          <w:lang w:val="en-US"/>
                        </w:rPr>
                      </w:pPr>
                      <w:bookmarkStart w:id="185" w:name="_Toc420075871"/>
                      <w:bookmarkStart w:id="186" w:name="_Toc420245519"/>
                      <w:bookmarkStart w:id="187" w:name="_Toc420761684"/>
                      <w:r w:rsidRPr="001230D1">
                        <w:rPr>
                          <w:rStyle w:val="Overskrift2Tegn"/>
                          <w:b/>
                          <w:color w:val="auto"/>
                          <w:sz w:val="24"/>
                          <w:lang w:val="en-US"/>
                        </w:rPr>
                        <w:t>Appendix 1</w:t>
                      </w:r>
                      <w:r>
                        <w:rPr>
                          <w:rStyle w:val="Overskrift2Tegn"/>
                          <w:b/>
                          <w:color w:val="auto"/>
                          <w:sz w:val="24"/>
                          <w:lang w:val="en-US"/>
                        </w:rPr>
                        <w:t>2</w:t>
                      </w:r>
                      <w:r w:rsidRPr="001230D1">
                        <w:rPr>
                          <w:rStyle w:val="Overskrift2Tegn"/>
                          <w:b/>
                          <w:color w:val="auto"/>
                          <w:sz w:val="24"/>
                          <w:lang w:val="en-US"/>
                        </w:rPr>
                        <w:t xml:space="preserve">: Statement from CREDO, Concerning Petition </w:t>
                      </w:r>
                      <w:r w:rsidRPr="00463BC4">
                        <w:rPr>
                          <w:rStyle w:val="Overskrift2Tegn"/>
                          <w:b/>
                          <w:color w:val="auto"/>
                          <w:sz w:val="24"/>
                          <w:lang w:val="en-US"/>
                        </w:rPr>
                        <w:t>Campaign</w:t>
                      </w:r>
                      <w:bookmarkEnd w:id="185"/>
                      <w:bookmarkEnd w:id="186"/>
                      <w:bookmarkEnd w:id="187"/>
                      <w:r w:rsidRPr="001230D1">
                        <w:rPr>
                          <w:color w:val="auto"/>
                          <w:sz w:val="16"/>
                          <w:lang w:val="en-US"/>
                        </w:rPr>
                        <w:t xml:space="preserve"> </w:t>
                      </w:r>
                      <w:sdt>
                        <w:sdtPr>
                          <w:rPr>
                            <w:color w:val="auto"/>
                            <w:sz w:val="24"/>
                            <w:lang w:val="en-US"/>
                          </w:rPr>
                          <w:id w:val="1446581811"/>
                          <w:citation/>
                        </w:sdtPr>
                        <w:sdtContent>
                          <w:r w:rsidRPr="001230D1">
                            <w:rPr>
                              <w:color w:val="auto"/>
                              <w:sz w:val="24"/>
                              <w:lang w:val="en-US"/>
                            </w:rPr>
                            <w:fldChar w:fldCharType="begin"/>
                          </w:r>
                          <w:r w:rsidRPr="001230D1">
                            <w:rPr>
                              <w:color w:val="auto"/>
                              <w:sz w:val="24"/>
                              <w:lang w:val="en-US"/>
                            </w:rPr>
                            <w:instrText xml:space="preserve"> CITATION Joh14 \l 1030 </w:instrText>
                          </w:r>
                          <w:r w:rsidRPr="001230D1">
                            <w:rPr>
                              <w:color w:val="auto"/>
                              <w:sz w:val="24"/>
                              <w:lang w:val="en-US"/>
                            </w:rPr>
                            <w:fldChar w:fldCharType="separate"/>
                          </w:r>
                          <w:r w:rsidRPr="00F623D4">
                            <w:rPr>
                              <w:noProof/>
                              <w:color w:val="auto"/>
                              <w:sz w:val="24"/>
                              <w:lang w:val="en-US"/>
                            </w:rPr>
                            <w:t>(Becker 2014)</w:t>
                          </w:r>
                          <w:r w:rsidRPr="001230D1">
                            <w:rPr>
                              <w:color w:val="auto"/>
                              <w:sz w:val="24"/>
                              <w:lang w:val="en-US"/>
                            </w:rPr>
                            <w:fldChar w:fldCharType="end"/>
                          </w:r>
                        </w:sdtContent>
                      </w:sdt>
                    </w:p>
                  </w:txbxContent>
                </v:textbox>
                <w10:wrap type="tight"/>
              </v:shape>
            </w:pict>
          </mc:Fallback>
        </mc:AlternateContent>
      </w:r>
      <w:r>
        <w:rPr>
          <w:noProof/>
          <w:lang w:eastAsia="da-DK"/>
        </w:rPr>
        <w:drawing>
          <wp:anchor distT="0" distB="0" distL="114300" distR="114300" simplePos="0" relativeHeight="251725824" behindDoc="1" locked="0" layoutInCell="1" allowOverlap="1" wp14:anchorId="1059790F" wp14:editId="5385EF6B">
            <wp:simplePos x="0" y="0"/>
            <wp:positionH relativeFrom="column">
              <wp:posOffset>251460</wp:posOffset>
            </wp:positionH>
            <wp:positionV relativeFrom="paragraph">
              <wp:posOffset>386715</wp:posOffset>
            </wp:positionV>
            <wp:extent cx="5620385" cy="2124075"/>
            <wp:effectExtent l="0" t="0" r="0" b="9525"/>
            <wp:wrapTight wrapText="bothSides">
              <wp:wrapPolygon edited="0">
                <wp:start x="0" y="0"/>
                <wp:lineTo x="0" y="21503"/>
                <wp:lineTo x="21524" y="21503"/>
                <wp:lineTo x="21524" y="0"/>
                <wp:lineTo x="0" y="0"/>
              </wp:wrapPolygon>
            </wp:wrapTight>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O Statement.png"/>
                    <pic:cNvPicPr/>
                  </pic:nvPicPr>
                  <pic:blipFill>
                    <a:blip r:embed="rId47">
                      <a:extLst>
                        <a:ext uri="{28A0092B-C50C-407E-A947-70E740481C1C}">
                          <a14:useLocalDpi xmlns:a14="http://schemas.microsoft.com/office/drawing/2010/main" val="0"/>
                        </a:ext>
                      </a:extLst>
                    </a:blip>
                    <a:stretch>
                      <a:fillRect/>
                    </a:stretch>
                  </pic:blipFill>
                  <pic:spPr>
                    <a:xfrm>
                      <a:off x="0" y="0"/>
                      <a:ext cx="5620385" cy="2124075"/>
                    </a:xfrm>
                    <a:prstGeom prst="rect">
                      <a:avLst/>
                    </a:prstGeom>
                  </pic:spPr>
                </pic:pic>
              </a:graphicData>
            </a:graphic>
            <wp14:sizeRelH relativeFrom="page">
              <wp14:pctWidth>0</wp14:pctWidth>
            </wp14:sizeRelH>
            <wp14:sizeRelV relativeFrom="page">
              <wp14:pctHeight>0</wp14:pctHeight>
            </wp14:sizeRelV>
          </wp:anchor>
        </w:drawing>
      </w:r>
      <w:r>
        <w:rPr>
          <w:lang w:val="en-US"/>
        </w:rPr>
        <w:br w:type="page"/>
      </w:r>
    </w:p>
    <w:p w:rsidR="00272E24" w:rsidRDefault="00272E24" w:rsidP="00337119">
      <w:pPr>
        <w:rPr>
          <w:lang w:val="en-US"/>
        </w:rPr>
      </w:pPr>
      <w:r>
        <w:rPr>
          <w:noProof/>
          <w:lang w:eastAsia="da-DK"/>
        </w:rPr>
        <w:lastRenderedPageBreak/>
        <mc:AlternateContent>
          <mc:Choice Requires="wps">
            <w:drawing>
              <wp:anchor distT="0" distB="0" distL="114300" distR="114300" simplePos="0" relativeHeight="251722752" behindDoc="0" locked="0" layoutInCell="1" allowOverlap="1" wp14:anchorId="543EB3D6" wp14:editId="0485FC07">
                <wp:simplePos x="0" y="0"/>
                <wp:positionH relativeFrom="column">
                  <wp:posOffset>794385</wp:posOffset>
                </wp:positionH>
                <wp:positionV relativeFrom="paragraph">
                  <wp:posOffset>-60960</wp:posOffset>
                </wp:positionV>
                <wp:extent cx="4526915" cy="457200"/>
                <wp:effectExtent l="0" t="0" r="0" b="0"/>
                <wp:wrapTight wrapText="bothSides">
                  <wp:wrapPolygon edited="0">
                    <wp:start x="0" y="0"/>
                    <wp:lineTo x="0" y="20700"/>
                    <wp:lineTo x="21542" y="20700"/>
                    <wp:lineTo x="21542" y="0"/>
                    <wp:lineTo x="0" y="0"/>
                  </wp:wrapPolygon>
                </wp:wrapTight>
                <wp:docPr id="61" name="Tekstboks 61"/>
                <wp:cNvGraphicFramePr/>
                <a:graphic xmlns:a="http://schemas.openxmlformats.org/drawingml/2006/main">
                  <a:graphicData uri="http://schemas.microsoft.com/office/word/2010/wordprocessingShape">
                    <wps:wsp>
                      <wps:cNvSpPr txBox="1"/>
                      <wps:spPr>
                        <a:xfrm>
                          <a:off x="0" y="0"/>
                          <a:ext cx="4526915" cy="457200"/>
                        </a:xfrm>
                        <a:prstGeom prst="rect">
                          <a:avLst/>
                        </a:prstGeom>
                        <a:solidFill>
                          <a:prstClr val="white"/>
                        </a:solidFill>
                        <a:ln>
                          <a:noFill/>
                        </a:ln>
                        <a:effectLst/>
                      </wps:spPr>
                      <wps:txbx>
                        <w:txbxContent>
                          <w:p w:rsidR="00CF205E" w:rsidRPr="00B61EC6" w:rsidRDefault="00CF205E" w:rsidP="00272E24">
                            <w:pPr>
                              <w:pStyle w:val="Billedtekst"/>
                              <w:rPr>
                                <w:noProof/>
                                <w:sz w:val="24"/>
                              </w:rPr>
                            </w:pPr>
                            <w:bookmarkStart w:id="188" w:name="_Toc420075872"/>
                            <w:bookmarkStart w:id="189" w:name="_Toc420245520"/>
                            <w:bookmarkStart w:id="190" w:name="_Toc420761685"/>
                            <w:proofErr w:type="spellStart"/>
                            <w:r w:rsidRPr="001A46EB">
                              <w:rPr>
                                <w:rStyle w:val="Overskrift2Tegn"/>
                                <w:b/>
                                <w:color w:val="auto"/>
                                <w:sz w:val="24"/>
                              </w:rPr>
                              <w:t>Appendix</w:t>
                            </w:r>
                            <w:proofErr w:type="spellEnd"/>
                            <w:r w:rsidRPr="001A46EB">
                              <w:rPr>
                                <w:rStyle w:val="Overskrift2Tegn"/>
                                <w:b/>
                                <w:color w:val="auto"/>
                                <w:sz w:val="24"/>
                              </w:rPr>
                              <w:t xml:space="preserve"> 1</w:t>
                            </w:r>
                            <w:r>
                              <w:rPr>
                                <w:rStyle w:val="Overskrift2Tegn"/>
                                <w:b/>
                                <w:color w:val="auto"/>
                                <w:sz w:val="24"/>
                              </w:rPr>
                              <w:t>3</w:t>
                            </w:r>
                            <w:r w:rsidRPr="001A46EB">
                              <w:rPr>
                                <w:rStyle w:val="Overskrift2Tegn"/>
                                <w:b/>
                                <w:color w:val="auto"/>
                                <w:sz w:val="24"/>
                              </w:rPr>
                              <w:t xml:space="preserve">: </w:t>
                            </w:r>
                            <w:proofErr w:type="spellStart"/>
                            <w:r w:rsidRPr="001A46EB">
                              <w:rPr>
                                <w:rStyle w:val="Overskrift2Tegn"/>
                                <w:b/>
                                <w:color w:val="auto"/>
                                <w:sz w:val="24"/>
                              </w:rPr>
                              <w:t>Okcupid</w:t>
                            </w:r>
                            <w:proofErr w:type="spellEnd"/>
                            <w:r w:rsidRPr="001A46EB">
                              <w:rPr>
                                <w:rStyle w:val="Overskrift2Tegn"/>
                                <w:b/>
                                <w:color w:val="auto"/>
                                <w:sz w:val="24"/>
                              </w:rPr>
                              <w:t xml:space="preserve"> </w:t>
                            </w:r>
                            <w:proofErr w:type="spellStart"/>
                            <w:r w:rsidRPr="001A46EB">
                              <w:rPr>
                                <w:rStyle w:val="Overskrift2Tegn"/>
                                <w:b/>
                                <w:color w:val="auto"/>
                                <w:sz w:val="24"/>
                              </w:rPr>
                              <w:t>Boycott</w:t>
                            </w:r>
                            <w:proofErr w:type="spellEnd"/>
                            <w:r w:rsidRPr="001A46EB">
                              <w:rPr>
                                <w:rStyle w:val="Overskrift2Tegn"/>
                                <w:b/>
                                <w:color w:val="auto"/>
                                <w:sz w:val="24"/>
                              </w:rPr>
                              <w:t xml:space="preserve"> Notification</w:t>
                            </w:r>
                            <w:bookmarkEnd w:id="188"/>
                            <w:bookmarkEnd w:id="189"/>
                            <w:bookmarkEnd w:id="190"/>
                            <w:r w:rsidRPr="001A46EB">
                              <w:rPr>
                                <w:color w:val="auto"/>
                                <w:sz w:val="16"/>
                              </w:rPr>
                              <w:t xml:space="preserve"> </w:t>
                            </w:r>
                            <w:sdt>
                              <w:sdtPr>
                                <w:rPr>
                                  <w:color w:val="auto"/>
                                  <w:sz w:val="24"/>
                                  <w:lang w:val="en-US"/>
                                </w:rPr>
                                <w:id w:val="1183481256"/>
                                <w:citation/>
                              </w:sdtPr>
                              <w:sdtContent>
                                <w:r w:rsidRPr="001A46EB">
                                  <w:rPr>
                                    <w:color w:val="auto"/>
                                    <w:sz w:val="24"/>
                                    <w:lang w:val="en-US"/>
                                  </w:rPr>
                                  <w:fldChar w:fldCharType="begin"/>
                                </w:r>
                                <w:r w:rsidRPr="001A46EB">
                                  <w:rPr>
                                    <w:color w:val="auto"/>
                                    <w:sz w:val="24"/>
                                    <w:lang w:val="en-US"/>
                                  </w:rPr>
                                  <w:instrText xml:space="preserve"> CITATION Rus14 \l 1030 </w:instrText>
                                </w:r>
                                <w:r w:rsidRPr="001A46EB">
                                  <w:rPr>
                                    <w:color w:val="auto"/>
                                    <w:sz w:val="24"/>
                                    <w:lang w:val="en-US"/>
                                  </w:rPr>
                                  <w:fldChar w:fldCharType="separate"/>
                                </w:r>
                                <w:r w:rsidRPr="00F623D4">
                                  <w:rPr>
                                    <w:noProof/>
                                    <w:color w:val="auto"/>
                                    <w:sz w:val="24"/>
                                    <w:lang w:val="en-US"/>
                                  </w:rPr>
                                  <w:t>(Brandom 2014)</w:t>
                                </w:r>
                                <w:r w:rsidRPr="001A46EB">
                                  <w:rPr>
                                    <w:color w:val="auto"/>
                                    <w:sz w:val="24"/>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kstboks 61" o:spid="_x0000_s1056" type="#_x0000_t202" style="position:absolute;left:0;text-align:left;margin-left:62.55pt;margin-top:-4.8pt;width:356.45pt;height:3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" stroked="f">
                <v:textbox inset="0,0,0,0">
                  <w:txbxContent>
                    <w:p w:rsidR="00CF205E" w:rsidRPr="00B61EC6" w:rsidRDefault="00CF205E" w:rsidP="00272E24">
                      <w:pPr>
                        <w:pStyle w:val="Billedtekst"/>
                        <w:rPr>
                          <w:noProof/>
                          <w:sz w:val="24"/>
                        </w:rPr>
                      </w:pPr>
                      <w:bookmarkStart w:id="191" w:name="_Toc420075872"/>
                      <w:bookmarkStart w:id="192" w:name="_Toc420245520"/>
                      <w:bookmarkStart w:id="193" w:name="_Toc420761685"/>
                      <w:proofErr w:type="spellStart"/>
                      <w:r w:rsidRPr="001A46EB">
                        <w:rPr>
                          <w:rStyle w:val="Overskrift2Tegn"/>
                          <w:b/>
                          <w:color w:val="auto"/>
                          <w:sz w:val="24"/>
                        </w:rPr>
                        <w:t>Appendix</w:t>
                      </w:r>
                      <w:proofErr w:type="spellEnd"/>
                      <w:r w:rsidRPr="001A46EB">
                        <w:rPr>
                          <w:rStyle w:val="Overskrift2Tegn"/>
                          <w:b/>
                          <w:color w:val="auto"/>
                          <w:sz w:val="24"/>
                        </w:rPr>
                        <w:t xml:space="preserve"> 1</w:t>
                      </w:r>
                      <w:r>
                        <w:rPr>
                          <w:rStyle w:val="Overskrift2Tegn"/>
                          <w:b/>
                          <w:color w:val="auto"/>
                          <w:sz w:val="24"/>
                        </w:rPr>
                        <w:t>3</w:t>
                      </w:r>
                      <w:r w:rsidRPr="001A46EB">
                        <w:rPr>
                          <w:rStyle w:val="Overskrift2Tegn"/>
                          <w:b/>
                          <w:color w:val="auto"/>
                          <w:sz w:val="24"/>
                        </w:rPr>
                        <w:t xml:space="preserve">: </w:t>
                      </w:r>
                      <w:proofErr w:type="spellStart"/>
                      <w:r w:rsidRPr="001A46EB">
                        <w:rPr>
                          <w:rStyle w:val="Overskrift2Tegn"/>
                          <w:b/>
                          <w:color w:val="auto"/>
                          <w:sz w:val="24"/>
                        </w:rPr>
                        <w:t>Okcupid</w:t>
                      </w:r>
                      <w:proofErr w:type="spellEnd"/>
                      <w:r w:rsidRPr="001A46EB">
                        <w:rPr>
                          <w:rStyle w:val="Overskrift2Tegn"/>
                          <w:b/>
                          <w:color w:val="auto"/>
                          <w:sz w:val="24"/>
                        </w:rPr>
                        <w:t xml:space="preserve"> </w:t>
                      </w:r>
                      <w:proofErr w:type="spellStart"/>
                      <w:r w:rsidRPr="001A46EB">
                        <w:rPr>
                          <w:rStyle w:val="Overskrift2Tegn"/>
                          <w:b/>
                          <w:color w:val="auto"/>
                          <w:sz w:val="24"/>
                        </w:rPr>
                        <w:t>Boycott</w:t>
                      </w:r>
                      <w:proofErr w:type="spellEnd"/>
                      <w:r w:rsidRPr="001A46EB">
                        <w:rPr>
                          <w:rStyle w:val="Overskrift2Tegn"/>
                          <w:b/>
                          <w:color w:val="auto"/>
                          <w:sz w:val="24"/>
                        </w:rPr>
                        <w:t xml:space="preserve"> Notification</w:t>
                      </w:r>
                      <w:bookmarkEnd w:id="191"/>
                      <w:bookmarkEnd w:id="192"/>
                      <w:bookmarkEnd w:id="193"/>
                      <w:r w:rsidRPr="001A46EB">
                        <w:rPr>
                          <w:color w:val="auto"/>
                          <w:sz w:val="16"/>
                        </w:rPr>
                        <w:t xml:space="preserve"> </w:t>
                      </w:r>
                      <w:sdt>
                        <w:sdtPr>
                          <w:rPr>
                            <w:color w:val="auto"/>
                            <w:sz w:val="24"/>
                            <w:lang w:val="en-US"/>
                          </w:rPr>
                          <w:id w:val="1183481256"/>
                          <w:citation/>
                        </w:sdtPr>
                        <w:sdtContent>
                          <w:r w:rsidRPr="001A46EB">
                            <w:rPr>
                              <w:color w:val="auto"/>
                              <w:sz w:val="24"/>
                              <w:lang w:val="en-US"/>
                            </w:rPr>
                            <w:fldChar w:fldCharType="begin"/>
                          </w:r>
                          <w:r w:rsidRPr="001A46EB">
                            <w:rPr>
                              <w:color w:val="auto"/>
                              <w:sz w:val="24"/>
                              <w:lang w:val="en-US"/>
                            </w:rPr>
                            <w:instrText xml:space="preserve"> CITATION Rus14 \l 1030 </w:instrText>
                          </w:r>
                          <w:r w:rsidRPr="001A46EB">
                            <w:rPr>
                              <w:color w:val="auto"/>
                              <w:sz w:val="24"/>
                              <w:lang w:val="en-US"/>
                            </w:rPr>
                            <w:fldChar w:fldCharType="separate"/>
                          </w:r>
                          <w:r w:rsidRPr="00F623D4">
                            <w:rPr>
                              <w:noProof/>
                              <w:color w:val="auto"/>
                              <w:sz w:val="24"/>
                              <w:lang w:val="en-US"/>
                            </w:rPr>
                            <w:t>(Brandom 2014)</w:t>
                          </w:r>
                          <w:r w:rsidRPr="001A46EB">
                            <w:rPr>
                              <w:color w:val="auto"/>
                              <w:sz w:val="24"/>
                              <w:lang w:val="en-US"/>
                            </w:rPr>
                            <w:fldChar w:fldCharType="end"/>
                          </w:r>
                        </w:sdtContent>
                      </w:sdt>
                    </w:p>
                  </w:txbxContent>
                </v:textbox>
                <w10:wrap type="tight"/>
              </v:shape>
            </w:pict>
          </mc:Fallback>
        </mc:AlternateContent>
      </w:r>
      <w:r>
        <w:rPr>
          <w:noProof/>
          <w:lang w:eastAsia="da-DK"/>
        </w:rPr>
        <w:drawing>
          <wp:anchor distT="0" distB="0" distL="114300" distR="114300" simplePos="0" relativeHeight="251721728" behindDoc="1" locked="0" layoutInCell="1" allowOverlap="1" wp14:anchorId="23223F82" wp14:editId="73EB2315">
            <wp:simplePos x="0" y="0"/>
            <wp:positionH relativeFrom="column">
              <wp:posOffset>794385</wp:posOffset>
            </wp:positionH>
            <wp:positionV relativeFrom="paragraph">
              <wp:posOffset>396240</wp:posOffset>
            </wp:positionV>
            <wp:extent cx="4526915" cy="6562725"/>
            <wp:effectExtent l="0" t="0" r="6985" b="9525"/>
            <wp:wrapTight wrapText="bothSides">
              <wp:wrapPolygon edited="0">
                <wp:start x="0" y="0"/>
                <wp:lineTo x="0" y="21569"/>
                <wp:lineTo x="21542" y="21569"/>
                <wp:lineTo x="21542" y="0"/>
                <wp:lineTo x="0" y="0"/>
              </wp:wrapPolygon>
            </wp:wrapTight>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Cupid notification.png"/>
                    <pic:cNvPicPr/>
                  </pic:nvPicPr>
                  <pic:blipFill>
                    <a:blip r:embed="rId48">
                      <a:extLst>
                        <a:ext uri="{28A0092B-C50C-407E-A947-70E740481C1C}">
                          <a14:useLocalDpi xmlns:a14="http://schemas.microsoft.com/office/drawing/2010/main" val="0"/>
                        </a:ext>
                      </a:extLst>
                    </a:blip>
                    <a:stretch>
                      <a:fillRect/>
                    </a:stretch>
                  </pic:blipFill>
                  <pic:spPr>
                    <a:xfrm>
                      <a:off x="0" y="0"/>
                      <a:ext cx="4526915" cy="6562725"/>
                    </a:xfrm>
                    <a:prstGeom prst="rect">
                      <a:avLst/>
                    </a:prstGeom>
                  </pic:spPr>
                </pic:pic>
              </a:graphicData>
            </a:graphic>
            <wp14:sizeRelH relativeFrom="page">
              <wp14:pctWidth>0</wp14:pctWidth>
            </wp14:sizeRelH>
            <wp14:sizeRelV relativeFrom="page">
              <wp14:pctHeight>0</wp14:pctHeight>
            </wp14:sizeRelV>
          </wp:anchor>
        </w:drawing>
      </w: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Pr="002E777E" w:rsidRDefault="00272E24" w:rsidP="00337119">
      <w:pPr>
        <w:rPr>
          <w:lang w:val="en-US"/>
        </w:rPr>
      </w:pPr>
    </w:p>
    <w:p w:rsidR="00272E24" w:rsidRDefault="00272E24" w:rsidP="00337119">
      <w:pPr>
        <w:rPr>
          <w:lang w:val="en-US"/>
        </w:rPr>
      </w:pPr>
    </w:p>
    <w:p w:rsidR="00272E24" w:rsidRDefault="00272E24" w:rsidP="00337119">
      <w:pPr>
        <w:rPr>
          <w:lang w:val="en-US"/>
        </w:rPr>
      </w:pPr>
    </w:p>
    <w:p w:rsidR="00272E24" w:rsidRDefault="00272E24" w:rsidP="00337119">
      <w:pPr>
        <w:rPr>
          <w:lang w:val="en-US"/>
        </w:rPr>
      </w:pPr>
      <w:r>
        <w:rPr>
          <w:lang w:val="en-US"/>
        </w:rPr>
        <w:br w:type="page"/>
      </w:r>
    </w:p>
    <w:p w:rsidR="00272E24" w:rsidRDefault="00272E24" w:rsidP="00337119">
      <w:pPr>
        <w:rPr>
          <w:lang w:val="en-US"/>
        </w:rPr>
      </w:pPr>
      <w:bookmarkStart w:id="194" w:name="_Toc420075873"/>
      <w:bookmarkStart w:id="195" w:name="_Toc420761686"/>
      <w:r w:rsidRPr="00463BC4">
        <w:rPr>
          <w:rStyle w:val="Overskrift2Tegn"/>
          <w:sz w:val="24"/>
          <w:lang w:val="en-US"/>
        </w:rPr>
        <w:lastRenderedPageBreak/>
        <w:t>Appendix 1</w:t>
      </w:r>
      <w:r>
        <w:rPr>
          <w:rStyle w:val="Overskrift2Tegn"/>
          <w:sz w:val="24"/>
          <w:lang w:val="en-US"/>
        </w:rPr>
        <w:t>4</w:t>
      </w:r>
      <w:r w:rsidRPr="00463BC4">
        <w:rPr>
          <w:rStyle w:val="Overskrift2Tegn"/>
          <w:sz w:val="24"/>
          <w:lang w:val="en-US"/>
        </w:rPr>
        <w:t xml:space="preserve">: Brendan </w:t>
      </w:r>
      <w:proofErr w:type="spellStart"/>
      <w:r w:rsidRPr="00463BC4">
        <w:rPr>
          <w:rStyle w:val="Overskrift2Tegn"/>
          <w:sz w:val="24"/>
          <w:lang w:val="en-US"/>
        </w:rPr>
        <w:t>Eich’s</w:t>
      </w:r>
      <w:proofErr w:type="spellEnd"/>
      <w:r w:rsidRPr="00463BC4">
        <w:rPr>
          <w:rStyle w:val="Overskrift2Tegn"/>
          <w:sz w:val="24"/>
          <w:lang w:val="en-US"/>
        </w:rPr>
        <w:t xml:space="preserve"> Comments in an Interview with the Guardian</w:t>
      </w:r>
      <w:bookmarkEnd w:id="194"/>
      <w:bookmarkEnd w:id="195"/>
      <w:r w:rsidRPr="007D559D">
        <w:rPr>
          <w:sz w:val="22"/>
          <w:lang w:val="en-US"/>
        </w:rPr>
        <w:t xml:space="preserve"> </w:t>
      </w:r>
      <w:sdt>
        <w:sdtPr>
          <w:rPr>
            <w:b/>
          </w:rPr>
          <w:id w:val="936719097"/>
          <w:citation/>
        </w:sdtPr>
        <w:sdtContent>
          <w:r w:rsidRPr="003D06BE">
            <w:rPr>
              <w:b/>
            </w:rPr>
            <w:fldChar w:fldCharType="begin"/>
          </w:r>
          <w:r w:rsidRPr="003D06BE">
            <w:rPr>
              <w:b/>
              <w:lang w:val="en-US"/>
            </w:rPr>
            <w:instrText xml:space="preserve"> CITATION Jam141 \l 1030 </w:instrText>
          </w:r>
          <w:r w:rsidRPr="003D06BE">
            <w:rPr>
              <w:b/>
            </w:rPr>
            <w:fldChar w:fldCharType="separate"/>
          </w:r>
          <w:r w:rsidR="00F623D4" w:rsidRPr="003D06BE">
            <w:rPr>
              <w:b/>
              <w:noProof/>
              <w:lang w:val="en-US"/>
            </w:rPr>
            <w:t>(Ball 2014)</w:t>
          </w:r>
          <w:r w:rsidRPr="003D06BE">
            <w:rPr>
              <w:b/>
            </w:rPr>
            <w:fldChar w:fldCharType="end"/>
          </w:r>
        </w:sdtContent>
      </w:sdt>
    </w:p>
    <w:p w:rsidR="00272E24" w:rsidRDefault="00272E24" w:rsidP="00337119">
      <w:pPr>
        <w:rPr>
          <w:i/>
          <w:lang w:val="en-US"/>
        </w:rPr>
      </w:pPr>
      <w:r w:rsidRPr="007D559D">
        <w:rPr>
          <w:i/>
          <w:lang w:val="en-US"/>
        </w:rPr>
        <w:t>“So I don't want to talk about my personal beliefs because I kept them out of Mozilla all these 15 years we've been going,”</w:t>
      </w:r>
      <w:r w:rsidRPr="007D559D">
        <w:rPr>
          <w:lang w:val="en-US"/>
        </w:rPr>
        <w:t xml:space="preserve"> he told the Guardian. </w:t>
      </w:r>
      <w:r w:rsidRPr="007D559D">
        <w:rPr>
          <w:i/>
          <w:lang w:val="en-US"/>
        </w:rPr>
        <w:t>“I don't believe they're relevant.”</w:t>
      </w:r>
    </w:p>
    <w:p w:rsidR="00272E24" w:rsidRPr="007D559D" w:rsidRDefault="00272E24" w:rsidP="00337119">
      <w:pPr>
        <w:rPr>
          <w:i/>
          <w:lang w:val="en-US"/>
        </w:rPr>
      </w:pPr>
      <w:r w:rsidRPr="007D559D">
        <w:rPr>
          <w:i/>
          <w:lang w:val="en-US"/>
        </w:rPr>
        <w:t>“I agree with people who say it wasn't private, but it was personal,”</w:t>
      </w:r>
      <w:r w:rsidRPr="007D559D">
        <w:rPr>
          <w:lang w:val="en-US"/>
        </w:rPr>
        <w:t xml:space="preserve"> he said of the donation. </w:t>
      </w:r>
      <w:r w:rsidRPr="007D559D">
        <w:rPr>
          <w:i/>
          <w:lang w:val="en-US"/>
        </w:rPr>
        <w:t xml:space="preserve">“But the principle that I have operated by, that is </w:t>
      </w:r>
      <w:proofErr w:type="spellStart"/>
      <w:r w:rsidRPr="007D559D">
        <w:rPr>
          <w:i/>
          <w:lang w:val="en-US"/>
        </w:rPr>
        <w:t>formalised</w:t>
      </w:r>
      <w:proofErr w:type="spellEnd"/>
      <w:r w:rsidRPr="007D559D">
        <w:rPr>
          <w:i/>
          <w:lang w:val="en-US"/>
        </w:rPr>
        <w:t xml:space="preserve"> in our code of conduct at Mozilla, is it's really about keeping anything that's not central to our mission out of our office.</w:t>
      </w:r>
      <w:r>
        <w:rPr>
          <w:i/>
          <w:lang w:val="en-US"/>
        </w:rPr>
        <w:t>”</w:t>
      </w:r>
    </w:p>
    <w:p w:rsidR="00272E24" w:rsidRDefault="00272E24" w:rsidP="00337119">
      <w:pPr>
        <w:rPr>
          <w:i/>
          <w:lang w:val="en-US"/>
        </w:rPr>
      </w:pPr>
      <w:r w:rsidRPr="007D559D">
        <w:rPr>
          <w:i/>
          <w:lang w:val="en-US"/>
        </w:rPr>
        <w:t>“If I stop doing that now I think I would be doing wrong that code of conduct and doing a disservice to Mozilla. And I really do think it's an important principle of inclusiveness for Mozilla to succeed.”</w:t>
      </w:r>
    </w:p>
    <w:p w:rsidR="00272E24" w:rsidRPr="00345523" w:rsidRDefault="00272E24" w:rsidP="00337119">
      <w:pPr>
        <w:rPr>
          <w:i/>
          <w:lang w:val="en-US"/>
        </w:rPr>
      </w:pPr>
      <w:r w:rsidRPr="00345523">
        <w:rPr>
          <w:i/>
          <w:lang w:val="en-US"/>
        </w:rPr>
        <w:t xml:space="preserve">“With the board of directors departures, two of them were already planning to depart … those are before any of the current news about me came out,” </w:t>
      </w:r>
      <w:r w:rsidRPr="00345523">
        <w:rPr>
          <w:lang w:val="en-US"/>
        </w:rPr>
        <w:t>he said.</w:t>
      </w:r>
      <w:r w:rsidRPr="00345523">
        <w:rPr>
          <w:i/>
          <w:lang w:val="en-US"/>
        </w:rPr>
        <w:t xml:space="preserve"> “I would also say that </w:t>
      </w:r>
      <w:proofErr w:type="spellStart"/>
      <w:r w:rsidRPr="00345523">
        <w:rPr>
          <w:i/>
          <w:lang w:val="en-US"/>
        </w:rPr>
        <w:t>OkCupid</w:t>
      </w:r>
      <w:proofErr w:type="spellEnd"/>
      <w:r w:rsidRPr="00345523">
        <w:rPr>
          <w:i/>
          <w:lang w:val="en-US"/>
        </w:rPr>
        <w:t xml:space="preserve"> is a good example. I think there's a chance that we could actually turn that around. I th</w:t>
      </w:r>
      <w:r>
        <w:rPr>
          <w:i/>
          <w:lang w:val="en-US"/>
        </w:rPr>
        <w:t>ink they acted a little rashly”.</w:t>
      </w:r>
    </w:p>
    <w:p w:rsidR="00272E24" w:rsidRDefault="00272E24" w:rsidP="00337119">
      <w:pPr>
        <w:rPr>
          <w:i/>
          <w:lang w:val="en-US"/>
        </w:rPr>
      </w:pPr>
      <w:r w:rsidRPr="00345523">
        <w:rPr>
          <w:i/>
          <w:lang w:val="en-US"/>
        </w:rPr>
        <w:t xml:space="preserve">“I don't think they were aware of the statement </w:t>
      </w:r>
      <w:r w:rsidRPr="00345523">
        <w:rPr>
          <w:lang w:val="en-US"/>
        </w:rPr>
        <w:t>[Mozilla foundation chair]</w:t>
      </w:r>
      <w:r w:rsidRPr="00345523">
        <w:rPr>
          <w:i/>
          <w:lang w:val="en-US"/>
        </w:rPr>
        <w:t xml:space="preserve"> Mitchell Baker made at the weekend </w:t>
      </w:r>
      <w:r w:rsidRPr="00345523">
        <w:rPr>
          <w:lang w:val="en-US"/>
        </w:rPr>
        <w:t>[that]</w:t>
      </w:r>
      <w:r w:rsidRPr="00345523">
        <w:rPr>
          <w:i/>
          <w:lang w:val="en-US"/>
        </w:rPr>
        <w:t xml:space="preserve"> Mozilla as an </w:t>
      </w:r>
      <w:proofErr w:type="spellStart"/>
      <w:r w:rsidRPr="00345523">
        <w:rPr>
          <w:i/>
          <w:lang w:val="en-US"/>
        </w:rPr>
        <w:t>organisation</w:t>
      </w:r>
      <w:proofErr w:type="spellEnd"/>
      <w:r w:rsidRPr="00345523">
        <w:rPr>
          <w:i/>
          <w:lang w:val="en-US"/>
        </w:rPr>
        <w:t xml:space="preserve"> believes in LGBT equality, and I've heard from a lot of people that </w:t>
      </w:r>
      <w:proofErr w:type="spellStart"/>
      <w:r w:rsidRPr="00345523">
        <w:rPr>
          <w:i/>
          <w:lang w:val="en-US"/>
        </w:rPr>
        <w:t>OkCupid</w:t>
      </w:r>
      <w:proofErr w:type="spellEnd"/>
      <w:r w:rsidRPr="00345523">
        <w:rPr>
          <w:i/>
          <w:lang w:val="en-US"/>
        </w:rPr>
        <w:t xml:space="preserve"> had actually not been aware of that. So I think we can actually turn that around.”</w:t>
      </w:r>
    </w:p>
    <w:p w:rsidR="00272E24" w:rsidRDefault="00272E24" w:rsidP="00337119">
      <w:pPr>
        <w:rPr>
          <w:i/>
          <w:lang w:val="en-US"/>
        </w:rPr>
      </w:pPr>
      <w:r w:rsidRPr="00D96D07">
        <w:rPr>
          <w:i/>
          <w:lang w:val="en-US"/>
        </w:rPr>
        <w:t>“There's a difference here between the company, the foundation, as an employer and an entity, versus the project and community at large, which is not under any constraints to agree on LGBT equality or any other thing that is not central to the mission or the Mozilla manifesto.”</w:t>
      </w:r>
    </w:p>
    <w:p w:rsidR="00272E24" w:rsidRDefault="00272E24" w:rsidP="00337119">
      <w:pPr>
        <w:rPr>
          <w:i/>
          <w:lang w:val="en-US"/>
        </w:rPr>
      </w:pPr>
      <w:r w:rsidRPr="00DA6699">
        <w:rPr>
          <w:i/>
          <w:lang w:val="en-US"/>
        </w:rPr>
        <w:t xml:space="preserve">“So far we've been able to bring people together of diverse beliefs including on things like marriage equality,” </w:t>
      </w:r>
      <w:r w:rsidRPr="00DA6699">
        <w:rPr>
          <w:lang w:val="en-US"/>
        </w:rPr>
        <w:t>he said.</w:t>
      </w:r>
      <w:r w:rsidRPr="00DA6699">
        <w:rPr>
          <w:i/>
          <w:lang w:val="en-US"/>
        </w:rPr>
        <w:t xml:space="preserve"> “We couldn't have done this, we couldn't have done Firefox One. I would've been excluded, someone else would've been excluded because of me – I wouldn't have done that personally, they'd have just left. So imagine a world without Firefox: not good.”</w:t>
      </w:r>
      <w:r w:rsidRPr="00345523">
        <w:rPr>
          <w:i/>
          <w:lang w:val="en-US"/>
        </w:rPr>
        <w:t xml:space="preserve"> </w:t>
      </w:r>
    </w:p>
    <w:p w:rsidR="00272E24" w:rsidRPr="00DA6699" w:rsidRDefault="00272E24" w:rsidP="00337119">
      <w:pPr>
        <w:rPr>
          <w:i/>
          <w:lang w:val="en-US"/>
        </w:rPr>
      </w:pPr>
      <w:r w:rsidRPr="00DA6699">
        <w:rPr>
          <w:i/>
          <w:lang w:val="en-US"/>
        </w:rPr>
        <w:t xml:space="preserve">“If you think about how networks evolve you get superpowers, Yahoo then Google, Facebook on social, and that can be a good thing,” </w:t>
      </w:r>
      <w:r w:rsidRPr="00DA6699">
        <w:rPr>
          <w:lang w:val="en-US"/>
        </w:rPr>
        <w:t>he said.</w:t>
      </w:r>
      <w:r w:rsidRPr="00DA6699">
        <w:rPr>
          <w:i/>
          <w:lang w:val="en-US"/>
        </w:rPr>
        <w:t xml:space="preserve"> “But because they have network power, users have to go in there and put their data inside walled gardens. Mozilla as a browser has the potential to </w:t>
      </w:r>
      <w:proofErr w:type="spellStart"/>
      <w:r w:rsidRPr="00DA6699">
        <w:rPr>
          <w:i/>
          <w:lang w:val="en-US"/>
        </w:rPr>
        <w:t>unionise</w:t>
      </w:r>
      <w:proofErr w:type="spellEnd"/>
      <w:r w:rsidRPr="00DA6699">
        <w:rPr>
          <w:i/>
          <w:lang w:val="en-US"/>
        </w:rPr>
        <w:t xml:space="preserve"> our users, and if we do that we get collective bargaining rights over our data. That's one of the corn</w:t>
      </w:r>
      <w:r>
        <w:rPr>
          <w:i/>
          <w:lang w:val="en-US"/>
        </w:rPr>
        <w:t>ers I think I can help us turn.</w:t>
      </w:r>
    </w:p>
    <w:p w:rsidR="00272E24" w:rsidRPr="00DA6699" w:rsidRDefault="00272E24" w:rsidP="00337119">
      <w:pPr>
        <w:rPr>
          <w:i/>
          <w:lang w:val="en-US"/>
        </w:rPr>
      </w:pPr>
      <w:r w:rsidRPr="00DA6699">
        <w:rPr>
          <w:i/>
          <w:lang w:val="en-US"/>
        </w:rPr>
        <w:t>“I think I'm the best person for the job and I'm doing the job.”</w:t>
      </w:r>
    </w:p>
    <w:p w:rsidR="00272E24" w:rsidRPr="007D559D" w:rsidRDefault="00272E24" w:rsidP="00337119">
      <w:pPr>
        <w:rPr>
          <w:i/>
          <w:lang w:val="en-US"/>
        </w:rPr>
      </w:pPr>
      <w:r w:rsidRPr="00DA6699">
        <w:rPr>
          <w:i/>
          <w:lang w:val="en-US"/>
        </w:rPr>
        <w:t xml:space="preserve"> </w:t>
      </w:r>
      <w:r w:rsidRPr="007D559D">
        <w:rPr>
          <w:i/>
          <w:lang w:val="en-US"/>
        </w:rPr>
        <w:br w:type="page"/>
      </w:r>
    </w:p>
    <w:p w:rsidR="00272E24" w:rsidRDefault="0058312E" w:rsidP="00337119">
      <w:pPr>
        <w:ind w:firstLine="1304"/>
        <w:rPr>
          <w:lang w:val="en-US"/>
        </w:rPr>
      </w:pPr>
      <w:r>
        <w:rPr>
          <w:noProof/>
          <w:lang w:eastAsia="da-DK"/>
        </w:rPr>
        <w:lastRenderedPageBreak/>
        <w:drawing>
          <wp:anchor distT="0" distB="0" distL="114300" distR="114300" simplePos="0" relativeHeight="251765760" behindDoc="1" locked="0" layoutInCell="1" allowOverlap="1" wp14:anchorId="3AE96B02" wp14:editId="27BB0EB5">
            <wp:simplePos x="0" y="0"/>
            <wp:positionH relativeFrom="column">
              <wp:posOffset>346710</wp:posOffset>
            </wp:positionH>
            <wp:positionV relativeFrom="paragraph">
              <wp:posOffset>235585</wp:posOffset>
            </wp:positionV>
            <wp:extent cx="5262245" cy="8159750"/>
            <wp:effectExtent l="0" t="0" r="0" b="0"/>
            <wp:wrapTight wrapText="bothSides">
              <wp:wrapPolygon edited="0">
                <wp:start x="0" y="0"/>
                <wp:lineTo x="0" y="21533"/>
                <wp:lineTo x="21504" y="21533"/>
                <wp:lineTo x="21504" y="0"/>
                <wp:lineTo x="0" y="0"/>
              </wp:wrapPolygon>
            </wp:wrapTight>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Mozilla statement.png"/>
                    <pic:cNvPicPr/>
                  </pic:nvPicPr>
                  <pic:blipFill>
                    <a:blip r:embed="rId38">
                      <a:extLst>
                        <a:ext uri="{28A0092B-C50C-407E-A947-70E740481C1C}">
                          <a14:useLocalDpi xmlns:a14="http://schemas.microsoft.com/office/drawing/2010/main" val="0"/>
                        </a:ext>
                      </a:extLst>
                    </a:blip>
                    <a:stretch>
                      <a:fillRect/>
                    </a:stretch>
                  </pic:blipFill>
                  <pic:spPr>
                    <a:xfrm>
                      <a:off x="0" y="0"/>
                      <a:ext cx="5262245" cy="8159750"/>
                    </a:xfrm>
                    <a:prstGeom prst="rect">
                      <a:avLst/>
                    </a:prstGeom>
                  </pic:spPr>
                </pic:pic>
              </a:graphicData>
            </a:graphic>
            <wp14:sizeRelH relativeFrom="page">
              <wp14:pctWidth>0</wp14:pctWidth>
            </wp14:sizeRelH>
            <wp14:sizeRelV relativeFrom="page">
              <wp14:pctHeight>0</wp14:pctHeight>
            </wp14:sizeRelV>
          </wp:anchor>
        </w:drawing>
      </w:r>
      <w:r w:rsidR="001832C7">
        <w:rPr>
          <w:noProof/>
          <w:lang w:eastAsia="da-DK"/>
        </w:rPr>
        <mc:AlternateContent>
          <mc:Choice Requires="wps">
            <w:drawing>
              <wp:anchor distT="0" distB="0" distL="114300" distR="114300" simplePos="0" relativeHeight="251724800" behindDoc="0" locked="0" layoutInCell="1" allowOverlap="1" wp14:anchorId="4E300D92" wp14:editId="24856F62">
                <wp:simplePos x="0" y="0"/>
                <wp:positionH relativeFrom="column">
                  <wp:posOffset>489585</wp:posOffset>
                </wp:positionH>
                <wp:positionV relativeFrom="paragraph">
                  <wp:posOffset>-232410</wp:posOffset>
                </wp:positionV>
                <wp:extent cx="4918075" cy="400050"/>
                <wp:effectExtent l="0" t="0" r="0" b="0"/>
                <wp:wrapTight wrapText="bothSides">
                  <wp:wrapPolygon edited="0">
                    <wp:start x="0" y="0"/>
                    <wp:lineTo x="0" y="20571"/>
                    <wp:lineTo x="21502" y="20571"/>
                    <wp:lineTo x="21502" y="0"/>
                    <wp:lineTo x="0" y="0"/>
                  </wp:wrapPolygon>
                </wp:wrapTight>
                <wp:docPr id="62" name="Tekstboks 62"/>
                <wp:cNvGraphicFramePr/>
                <a:graphic xmlns:a="http://schemas.openxmlformats.org/drawingml/2006/main">
                  <a:graphicData uri="http://schemas.microsoft.com/office/word/2010/wordprocessingShape">
                    <wps:wsp>
                      <wps:cNvSpPr txBox="1"/>
                      <wps:spPr>
                        <a:xfrm>
                          <a:off x="0" y="0"/>
                          <a:ext cx="4918075" cy="400050"/>
                        </a:xfrm>
                        <a:prstGeom prst="rect">
                          <a:avLst/>
                        </a:prstGeom>
                        <a:solidFill>
                          <a:prstClr val="white"/>
                        </a:solidFill>
                        <a:ln>
                          <a:noFill/>
                        </a:ln>
                        <a:effectLst/>
                      </wps:spPr>
                      <wps:txbx>
                        <w:txbxContent>
                          <w:p w:rsidR="00CF205E" w:rsidRPr="002E777E" w:rsidRDefault="00CF205E" w:rsidP="00272E24">
                            <w:pPr>
                              <w:pStyle w:val="Ingenafstand"/>
                              <w:rPr>
                                <w:noProof/>
                                <w:sz w:val="22"/>
                                <w:lang w:val="en-US"/>
                              </w:rPr>
                            </w:pPr>
                            <w:bookmarkStart w:id="196" w:name="_Toc420075874"/>
                            <w:bookmarkStart w:id="197" w:name="_Toc420761687"/>
                            <w:r w:rsidRPr="00C51FC3">
                              <w:rPr>
                                <w:rStyle w:val="Overskrift2Tegn"/>
                                <w:sz w:val="24"/>
                                <w:lang w:val="en-US"/>
                              </w:rPr>
                              <w:t>Appendix</w:t>
                            </w:r>
                            <w:r>
                              <w:rPr>
                                <w:rStyle w:val="Overskrift2Tegn"/>
                                <w:sz w:val="24"/>
                                <w:lang w:val="en-US"/>
                              </w:rPr>
                              <w:t xml:space="preserve"> 15</w:t>
                            </w:r>
                            <w:r w:rsidRPr="00C51FC3">
                              <w:rPr>
                                <w:rStyle w:val="Overskrift2Tegn"/>
                                <w:sz w:val="24"/>
                                <w:lang w:val="en-US"/>
                              </w:rPr>
                              <w:t xml:space="preserve">: </w:t>
                            </w:r>
                            <w:r>
                              <w:rPr>
                                <w:rStyle w:val="Overskrift2Tegn"/>
                                <w:sz w:val="24"/>
                                <w:lang w:val="en-US"/>
                              </w:rPr>
                              <w:t>Statement 6</w:t>
                            </w:r>
                            <w:bookmarkEnd w:id="197"/>
                            <w:r>
                              <w:rPr>
                                <w:rStyle w:val="Overskrift2Tegn"/>
                                <w:sz w:val="24"/>
                                <w:lang w:val="en-US"/>
                              </w:rPr>
                              <w:t xml:space="preserve"> </w:t>
                            </w:r>
                            <w:r w:rsidRPr="006839F2">
                              <w:rPr>
                                <w:b/>
                                <w:lang w:val="en-US"/>
                              </w:rPr>
                              <w:t>– Last Official Statement from Mozilla and Mitchell Baker</w:t>
                            </w:r>
                            <w:bookmarkEnd w:id="196"/>
                            <w:r w:rsidRPr="002E777E">
                              <w:rPr>
                                <w:sz w:val="22"/>
                                <w:lang w:val="en-US"/>
                              </w:rPr>
                              <w:t xml:space="preserve"> </w:t>
                            </w:r>
                            <w:sdt>
                              <w:sdtPr>
                                <w:rPr>
                                  <w:b/>
                                  <w:sz w:val="22"/>
                                  <w:lang w:val="en-US"/>
                                </w:rPr>
                                <w:id w:val="466939142"/>
                                <w:citation/>
                              </w:sdtPr>
                              <w:sdtContent>
                                <w:r w:rsidRPr="003D06BE">
                                  <w:rPr>
                                    <w:b/>
                                    <w:lang w:val="en-US"/>
                                  </w:rPr>
                                  <w:fldChar w:fldCharType="begin"/>
                                </w:r>
                                <w:r w:rsidRPr="003D06BE">
                                  <w:rPr>
                                    <w:b/>
                                    <w:lang w:val="en-US"/>
                                  </w:rPr>
                                  <w:instrText xml:space="preserve">CITATION Mit144 \t  \l 1030 </w:instrText>
                                </w:r>
                                <w:r w:rsidRPr="003D06BE">
                                  <w:rPr>
                                    <w:b/>
                                    <w:lang w:val="en-US"/>
                                  </w:rPr>
                                  <w:fldChar w:fldCharType="separate"/>
                                </w:r>
                                <w:r w:rsidRPr="003D06BE">
                                  <w:rPr>
                                    <w:b/>
                                    <w:noProof/>
                                    <w:lang w:val="en-US"/>
                                  </w:rPr>
                                  <w:t>(M. Baker 2014)</w:t>
                                </w:r>
                                <w:r w:rsidRPr="003D06BE">
                                  <w:rPr>
                                    <w:b/>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62" o:spid="_x0000_s1057" type="#_x0000_t202" style="position:absolute;left:0;text-align:left;margin-left:38.55pt;margin-top:-18.3pt;width:387.25pt;height:31.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" stroked="f">
                <v:textbox inset="0,0,0,0">
                  <w:txbxContent>
                    <w:p w:rsidR="00CF205E" w:rsidRPr="002E777E" w:rsidRDefault="00CF205E" w:rsidP="00272E24">
                      <w:pPr>
                        <w:pStyle w:val="Ingenafstand"/>
                        <w:rPr>
                          <w:noProof/>
                          <w:sz w:val="22"/>
                          <w:lang w:val="en-US"/>
                        </w:rPr>
                      </w:pPr>
                      <w:bookmarkStart w:id="198" w:name="_Toc420075874"/>
                      <w:bookmarkStart w:id="199" w:name="_Toc420761687"/>
                      <w:r w:rsidRPr="00C51FC3">
                        <w:rPr>
                          <w:rStyle w:val="Overskrift2Tegn"/>
                          <w:sz w:val="24"/>
                          <w:lang w:val="en-US"/>
                        </w:rPr>
                        <w:t>Appendix</w:t>
                      </w:r>
                      <w:r>
                        <w:rPr>
                          <w:rStyle w:val="Overskrift2Tegn"/>
                          <w:sz w:val="24"/>
                          <w:lang w:val="en-US"/>
                        </w:rPr>
                        <w:t xml:space="preserve"> 15</w:t>
                      </w:r>
                      <w:r w:rsidRPr="00C51FC3">
                        <w:rPr>
                          <w:rStyle w:val="Overskrift2Tegn"/>
                          <w:sz w:val="24"/>
                          <w:lang w:val="en-US"/>
                        </w:rPr>
                        <w:t xml:space="preserve">: </w:t>
                      </w:r>
                      <w:r>
                        <w:rPr>
                          <w:rStyle w:val="Overskrift2Tegn"/>
                          <w:sz w:val="24"/>
                          <w:lang w:val="en-US"/>
                        </w:rPr>
                        <w:t>Statement 6</w:t>
                      </w:r>
                      <w:bookmarkEnd w:id="199"/>
                      <w:r>
                        <w:rPr>
                          <w:rStyle w:val="Overskrift2Tegn"/>
                          <w:sz w:val="24"/>
                          <w:lang w:val="en-US"/>
                        </w:rPr>
                        <w:t xml:space="preserve"> </w:t>
                      </w:r>
                      <w:r w:rsidRPr="006839F2">
                        <w:rPr>
                          <w:b/>
                          <w:lang w:val="en-US"/>
                        </w:rPr>
                        <w:t>– Last Official Statement from Mozilla and Mitchell Baker</w:t>
                      </w:r>
                      <w:bookmarkEnd w:id="198"/>
                      <w:r w:rsidRPr="002E777E">
                        <w:rPr>
                          <w:sz w:val="22"/>
                          <w:lang w:val="en-US"/>
                        </w:rPr>
                        <w:t xml:space="preserve"> </w:t>
                      </w:r>
                      <w:sdt>
                        <w:sdtPr>
                          <w:rPr>
                            <w:b/>
                            <w:sz w:val="22"/>
                            <w:lang w:val="en-US"/>
                          </w:rPr>
                          <w:id w:val="466939142"/>
                          <w:citation/>
                        </w:sdtPr>
                        <w:sdtContent>
                          <w:r w:rsidRPr="003D06BE">
                            <w:rPr>
                              <w:b/>
                              <w:lang w:val="en-US"/>
                            </w:rPr>
                            <w:fldChar w:fldCharType="begin"/>
                          </w:r>
                          <w:r w:rsidRPr="003D06BE">
                            <w:rPr>
                              <w:b/>
                              <w:lang w:val="en-US"/>
                            </w:rPr>
                            <w:instrText xml:space="preserve">CITATION Mit144 \t  \l 1030 </w:instrText>
                          </w:r>
                          <w:r w:rsidRPr="003D06BE">
                            <w:rPr>
                              <w:b/>
                              <w:lang w:val="en-US"/>
                            </w:rPr>
                            <w:fldChar w:fldCharType="separate"/>
                          </w:r>
                          <w:r w:rsidRPr="003D06BE">
                            <w:rPr>
                              <w:b/>
                              <w:noProof/>
                              <w:lang w:val="en-US"/>
                            </w:rPr>
                            <w:t>(M. Baker 2014)</w:t>
                          </w:r>
                          <w:r w:rsidRPr="003D06BE">
                            <w:rPr>
                              <w:b/>
                              <w:lang w:val="en-US"/>
                            </w:rPr>
                            <w:fldChar w:fldCharType="end"/>
                          </w:r>
                        </w:sdtContent>
                      </w:sdt>
                    </w:p>
                  </w:txbxContent>
                </v:textbox>
                <w10:wrap type="tight"/>
              </v:shape>
            </w:pict>
          </mc:Fallback>
        </mc:AlternateContent>
      </w: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Pr="008F6E2F" w:rsidRDefault="00272E24" w:rsidP="00337119">
      <w:pPr>
        <w:rPr>
          <w:lang w:val="en-US"/>
        </w:rPr>
      </w:pPr>
    </w:p>
    <w:p w:rsidR="00272E24" w:rsidRDefault="00272E24" w:rsidP="00337119">
      <w:pPr>
        <w:rPr>
          <w:lang w:val="en-US"/>
        </w:rPr>
      </w:pPr>
    </w:p>
    <w:p w:rsidR="00272E24" w:rsidRDefault="00272E24" w:rsidP="00337119">
      <w:pPr>
        <w:rPr>
          <w:lang w:val="en-US"/>
        </w:rPr>
      </w:pPr>
      <w:r>
        <w:rPr>
          <w:lang w:val="en-US"/>
        </w:rPr>
        <w:br w:type="page"/>
      </w:r>
    </w:p>
    <w:p w:rsidR="005D3C0F" w:rsidRPr="008F6E2F" w:rsidRDefault="0058312E" w:rsidP="00337119">
      <w:pPr>
        <w:rPr>
          <w:lang w:val="en-US"/>
        </w:rPr>
      </w:pPr>
      <w:r>
        <w:rPr>
          <w:noProof/>
          <w:lang w:eastAsia="da-DK"/>
        </w:rPr>
        <w:lastRenderedPageBreak/>
        <mc:AlternateContent>
          <mc:Choice Requires="wps">
            <w:drawing>
              <wp:anchor distT="0" distB="0" distL="114300" distR="114300" simplePos="0" relativeHeight="251729920" behindDoc="0" locked="0" layoutInCell="1" allowOverlap="1" wp14:anchorId="2E0ED82C" wp14:editId="0A87D419">
                <wp:simplePos x="0" y="0"/>
                <wp:positionH relativeFrom="column">
                  <wp:posOffset>164465</wp:posOffset>
                </wp:positionH>
                <wp:positionV relativeFrom="paragraph">
                  <wp:posOffset>-27305</wp:posOffset>
                </wp:positionV>
                <wp:extent cx="5895975" cy="371475"/>
                <wp:effectExtent l="0" t="0" r="9525" b="9525"/>
                <wp:wrapTight wrapText="bothSides">
                  <wp:wrapPolygon edited="0">
                    <wp:start x="0" y="0"/>
                    <wp:lineTo x="0" y="21046"/>
                    <wp:lineTo x="21565" y="21046"/>
                    <wp:lineTo x="21565" y="0"/>
                    <wp:lineTo x="0" y="0"/>
                  </wp:wrapPolygon>
                </wp:wrapTight>
                <wp:docPr id="75" name="Tekstboks 75"/>
                <wp:cNvGraphicFramePr/>
                <a:graphic xmlns:a="http://schemas.openxmlformats.org/drawingml/2006/main">
                  <a:graphicData uri="http://schemas.microsoft.com/office/word/2010/wordprocessingShape">
                    <wps:wsp>
                      <wps:cNvSpPr txBox="1"/>
                      <wps:spPr>
                        <a:xfrm>
                          <a:off x="0" y="0"/>
                          <a:ext cx="5895975" cy="371475"/>
                        </a:xfrm>
                        <a:prstGeom prst="rect">
                          <a:avLst/>
                        </a:prstGeom>
                        <a:solidFill>
                          <a:prstClr val="white"/>
                        </a:solidFill>
                        <a:ln>
                          <a:noFill/>
                        </a:ln>
                        <a:effectLst/>
                      </wps:spPr>
                      <wps:txbx>
                        <w:txbxContent>
                          <w:p w:rsidR="00CF205E" w:rsidRPr="008B0AD0" w:rsidRDefault="00CF205E" w:rsidP="005D3C0F">
                            <w:pPr>
                              <w:pStyle w:val="Billedtekst"/>
                              <w:rPr>
                                <w:noProof/>
                                <w:color w:val="auto"/>
                                <w:sz w:val="36"/>
                                <w:lang w:val="en-US"/>
                              </w:rPr>
                            </w:pPr>
                            <w:bookmarkStart w:id="200" w:name="_Toc420075875"/>
                            <w:bookmarkStart w:id="201" w:name="_Toc420761688"/>
                            <w:r w:rsidRPr="008B0AD0">
                              <w:rPr>
                                <w:rStyle w:val="Overskrift2Tegn"/>
                                <w:b/>
                                <w:color w:val="auto"/>
                                <w:sz w:val="24"/>
                                <w:lang w:val="en-US"/>
                              </w:rPr>
                              <w:t>Appendix 16: Statement 7</w:t>
                            </w:r>
                            <w:bookmarkEnd w:id="201"/>
                            <w:r w:rsidRPr="008B0AD0">
                              <w:rPr>
                                <w:rStyle w:val="Overskrift2Tegn"/>
                                <w:b/>
                                <w:color w:val="auto"/>
                                <w:sz w:val="24"/>
                                <w:lang w:val="en-US"/>
                              </w:rPr>
                              <w:t xml:space="preserve"> </w:t>
                            </w:r>
                            <w:r w:rsidRPr="008B0AD0">
                              <w:rPr>
                                <w:color w:val="auto"/>
                                <w:sz w:val="24"/>
                                <w:lang w:val="en-US"/>
                              </w:rPr>
                              <w:t xml:space="preserve">– </w:t>
                            </w:r>
                            <w:proofErr w:type="spellStart"/>
                            <w:r w:rsidRPr="008B0AD0">
                              <w:rPr>
                                <w:color w:val="auto"/>
                                <w:sz w:val="24"/>
                                <w:lang w:val="en-US"/>
                              </w:rPr>
                              <w:t>Eich’s</w:t>
                            </w:r>
                            <w:proofErr w:type="spellEnd"/>
                            <w:r w:rsidRPr="008B0AD0">
                              <w:rPr>
                                <w:color w:val="auto"/>
                                <w:sz w:val="24"/>
                                <w:lang w:val="en-US"/>
                              </w:rPr>
                              <w:t xml:space="preserve"> Statement of Resignation</w:t>
                            </w:r>
                            <w:bookmarkEnd w:id="200"/>
                            <w:r w:rsidRPr="008B0AD0">
                              <w:rPr>
                                <w:color w:val="auto"/>
                                <w:sz w:val="32"/>
                                <w:lang w:val="en-US"/>
                              </w:rPr>
                              <w:t xml:space="preserve"> </w:t>
                            </w:r>
                            <w:sdt>
                              <w:sdtPr>
                                <w:rPr>
                                  <w:color w:val="auto"/>
                                  <w:sz w:val="32"/>
                                </w:rPr>
                                <w:id w:val="711697590"/>
                                <w:citation/>
                              </w:sdtPr>
                              <w:sdtContent>
                                <w:r w:rsidRPr="008B0AD0">
                                  <w:rPr>
                                    <w:color w:val="auto"/>
                                    <w:sz w:val="24"/>
                                  </w:rPr>
                                  <w:fldChar w:fldCharType="begin"/>
                                </w:r>
                                <w:r w:rsidRPr="008B0AD0">
                                  <w:rPr>
                                    <w:color w:val="auto"/>
                                    <w:sz w:val="24"/>
                                    <w:lang w:val="en-US"/>
                                  </w:rPr>
                                  <w:instrText xml:space="preserve">CITATION Bre141 \t  \l 1030 </w:instrText>
                                </w:r>
                                <w:r w:rsidRPr="008B0AD0">
                                  <w:rPr>
                                    <w:color w:val="auto"/>
                                    <w:sz w:val="24"/>
                                  </w:rPr>
                                  <w:fldChar w:fldCharType="separate"/>
                                </w:r>
                                <w:r w:rsidRPr="00F623D4">
                                  <w:rPr>
                                    <w:noProof/>
                                    <w:color w:val="auto"/>
                                    <w:sz w:val="24"/>
                                    <w:lang w:val="en-US"/>
                                  </w:rPr>
                                  <w:t>(Eich 2014)</w:t>
                                </w:r>
                                <w:r w:rsidRPr="008B0AD0">
                                  <w:rPr>
                                    <w:color w:val="auto"/>
                                    <w:sz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75" o:spid="_x0000_s1058" type="#_x0000_t202" style="position:absolute;left:0;text-align:left;margin-left:12.95pt;margin-top:-2.15pt;width:464.25pt;height:29.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" stroked="f">
                <v:textbox inset="0,0,0,0">
                  <w:txbxContent>
                    <w:p w:rsidR="00CF205E" w:rsidRPr="008B0AD0" w:rsidRDefault="00CF205E" w:rsidP="005D3C0F">
                      <w:pPr>
                        <w:pStyle w:val="Billedtekst"/>
                        <w:rPr>
                          <w:noProof/>
                          <w:color w:val="auto"/>
                          <w:sz w:val="36"/>
                          <w:lang w:val="en-US"/>
                        </w:rPr>
                      </w:pPr>
                      <w:bookmarkStart w:id="202" w:name="_Toc420075875"/>
                      <w:bookmarkStart w:id="203" w:name="_Toc420761688"/>
                      <w:r w:rsidRPr="008B0AD0">
                        <w:rPr>
                          <w:rStyle w:val="Overskrift2Tegn"/>
                          <w:b/>
                          <w:color w:val="auto"/>
                          <w:sz w:val="24"/>
                          <w:lang w:val="en-US"/>
                        </w:rPr>
                        <w:t>Appendix 16: Statement 7</w:t>
                      </w:r>
                      <w:bookmarkEnd w:id="203"/>
                      <w:r w:rsidRPr="008B0AD0">
                        <w:rPr>
                          <w:rStyle w:val="Overskrift2Tegn"/>
                          <w:b/>
                          <w:color w:val="auto"/>
                          <w:sz w:val="24"/>
                          <w:lang w:val="en-US"/>
                        </w:rPr>
                        <w:t xml:space="preserve"> </w:t>
                      </w:r>
                      <w:r w:rsidRPr="008B0AD0">
                        <w:rPr>
                          <w:color w:val="auto"/>
                          <w:sz w:val="24"/>
                          <w:lang w:val="en-US"/>
                        </w:rPr>
                        <w:t xml:space="preserve">– </w:t>
                      </w:r>
                      <w:proofErr w:type="spellStart"/>
                      <w:r w:rsidRPr="008B0AD0">
                        <w:rPr>
                          <w:color w:val="auto"/>
                          <w:sz w:val="24"/>
                          <w:lang w:val="en-US"/>
                        </w:rPr>
                        <w:t>Eich’s</w:t>
                      </w:r>
                      <w:proofErr w:type="spellEnd"/>
                      <w:r w:rsidRPr="008B0AD0">
                        <w:rPr>
                          <w:color w:val="auto"/>
                          <w:sz w:val="24"/>
                          <w:lang w:val="en-US"/>
                        </w:rPr>
                        <w:t xml:space="preserve"> Statement of Resignation</w:t>
                      </w:r>
                      <w:bookmarkEnd w:id="202"/>
                      <w:r w:rsidRPr="008B0AD0">
                        <w:rPr>
                          <w:color w:val="auto"/>
                          <w:sz w:val="32"/>
                          <w:lang w:val="en-US"/>
                        </w:rPr>
                        <w:t xml:space="preserve"> </w:t>
                      </w:r>
                      <w:sdt>
                        <w:sdtPr>
                          <w:rPr>
                            <w:color w:val="auto"/>
                            <w:sz w:val="32"/>
                          </w:rPr>
                          <w:id w:val="711697590"/>
                          <w:citation/>
                        </w:sdtPr>
                        <w:sdtContent>
                          <w:r w:rsidRPr="008B0AD0">
                            <w:rPr>
                              <w:color w:val="auto"/>
                              <w:sz w:val="24"/>
                            </w:rPr>
                            <w:fldChar w:fldCharType="begin"/>
                          </w:r>
                          <w:r w:rsidRPr="008B0AD0">
                            <w:rPr>
                              <w:color w:val="auto"/>
                              <w:sz w:val="24"/>
                              <w:lang w:val="en-US"/>
                            </w:rPr>
                            <w:instrText xml:space="preserve">CITATION Bre141 \t  \l 1030 </w:instrText>
                          </w:r>
                          <w:r w:rsidRPr="008B0AD0">
                            <w:rPr>
                              <w:color w:val="auto"/>
                              <w:sz w:val="24"/>
                            </w:rPr>
                            <w:fldChar w:fldCharType="separate"/>
                          </w:r>
                          <w:r w:rsidRPr="00F623D4">
                            <w:rPr>
                              <w:noProof/>
                              <w:color w:val="auto"/>
                              <w:sz w:val="24"/>
                              <w:lang w:val="en-US"/>
                            </w:rPr>
                            <w:t>(Eich 2014)</w:t>
                          </w:r>
                          <w:r w:rsidRPr="008B0AD0">
                            <w:rPr>
                              <w:color w:val="auto"/>
                              <w:sz w:val="24"/>
                            </w:rPr>
                            <w:fldChar w:fldCharType="end"/>
                          </w:r>
                        </w:sdtContent>
                      </w:sdt>
                    </w:p>
                  </w:txbxContent>
                </v:textbox>
                <w10:wrap type="tight"/>
              </v:shape>
            </w:pict>
          </mc:Fallback>
        </mc:AlternateContent>
      </w:r>
      <w:r>
        <w:rPr>
          <w:noProof/>
          <w:lang w:eastAsia="da-DK"/>
        </w:rPr>
        <w:drawing>
          <wp:anchor distT="0" distB="0" distL="114300" distR="114300" simplePos="0" relativeHeight="251766784" behindDoc="1" locked="0" layoutInCell="1" allowOverlap="1" wp14:anchorId="17E07AD5" wp14:editId="19D4F641">
            <wp:simplePos x="0" y="0"/>
            <wp:positionH relativeFrom="column">
              <wp:posOffset>62865</wp:posOffset>
            </wp:positionH>
            <wp:positionV relativeFrom="paragraph">
              <wp:posOffset>332740</wp:posOffset>
            </wp:positionV>
            <wp:extent cx="6120130" cy="5300980"/>
            <wp:effectExtent l="0" t="0" r="0" b="0"/>
            <wp:wrapTight wrapText="bothSides">
              <wp:wrapPolygon edited="0">
                <wp:start x="0" y="0"/>
                <wp:lineTo x="0" y="21502"/>
                <wp:lineTo x="21515" y="21502"/>
                <wp:lineTo x="21515" y="0"/>
                <wp:lineTo x="0" y="0"/>
              </wp:wrapPolygon>
            </wp:wrapTight>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chs statment of resignation.png"/>
                    <pic:cNvPicPr/>
                  </pic:nvPicPr>
                  <pic:blipFill>
                    <a:blip r:embed="rId39">
                      <a:extLst>
                        <a:ext uri="{28A0092B-C50C-407E-A947-70E740481C1C}">
                          <a14:useLocalDpi xmlns:a14="http://schemas.microsoft.com/office/drawing/2010/main" val="0"/>
                        </a:ext>
                      </a:extLst>
                    </a:blip>
                    <a:stretch>
                      <a:fillRect/>
                    </a:stretch>
                  </pic:blipFill>
                  <pic:spPr>
                    <a:xfrm>
                      <a:off x="0" y="0"/>
                      <a:ext cx="6120130" cy="5300980"/>
                    </a:xfrm>
                    <a:prstGeom prst="rect">
                      <a:avLst/>
                    </a:prstGeom>
                  </pic:spPr>
                </pic:pic>
              </a:graphicData>
            </a:graphic>
            <wp14:sizeRelH relativeFrom="page">
              <wp14:pctWidth>0</wp14:pctWidth>
            </wp14:sizeRelH>
            <wp14:sizeRelV relativeFrom="page">
              <wp14:pctHeight>0</wp14:pctHeight>
            </wp14:sizeRelV>
          </wp:anchor>
        </w:drawing>
      </w:r>
    </w:p>
    <w:p w:rsidR="004230E4" w:rsidRPr="004230E4" w:rsidRDefault="004230E4" w:rsidP="00337119">
      <w:pPr>
        <w:spacing w:line="360" w:lineRule="auto"/>
        <w:rPr>
          <w:lang w:val="en-US"/>
        </w:rPr>
      </w:pPr>
    </w:p>
    <w:sectPr w:rsidR="004230E4" w:rsidRPr="004230E4" w:rsidSect="00BA7D91">
      <w:footerReference w:type="even" r:id="rId49"/>
      <w:footerReference w:type="default" r:id="rId5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05E" w:rsidRDefault="00CF205E" w:rsidP="005D0B45">
      <w:pPr>
        <w:spacing w:after="0" w:line="240" w:lineRule="auto"/>
      </w:pPr>
      <w:r>
        <w:separator/>
      </w:r>
    </w:p>
  </w:endnote>
  <w:endnote w:type="continuationSeparator" w:id="0">
    <w:p w:rsidR="00CF205E" w:rsidRDefault="00CF205E" w:rsidP="005D0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820071"/>
      <w:docPartObj>
        <w:docPartGallery w:val="Page Numbers (Bottom of Page)"/>
        <w:docPartUnique/>
      </w:docPartObj>
    </w:sdtPr>
    <w:sdtContent>
      <w:sdt>
        <w:sdtPr>
          <w:id w:val="-429352313"/>
          <w:docPartObj>
            <w:docPartGallery w:val="Page Numbers (Top of Page)"/>
            <w:docPartUnique/>
          </w:docPartObj>
        </w:sdtPr>
        <w:sdtContent>
          <w:p w:rsidR="00CF205E" w:rsidRDefault="00CF205E">
            <w:pPr>
              <w:pStyle w:val="Sidefod"/>
              <w:jc w:val="right"/>
            </w:pPr>
            <w:r>
              <w:t xml:space="preserve">Page </w:t>
            </w:r>
            <w:r>
              <w:rPr>
                <w:b/>
                <w:bCs/>
                <w:szCs w:val="24"/>
              </w:rPr>
              <w:fldChar w:fldCharType="begin"/>
            </w:r>
            <w:r>
              <w:rPr>
                <w:b/>
                <w:bCs/>
              </w:rPr>
              <w:instrText>PAGE</w:instrText>
            </w:r>
            <w:r>
              <w:rPr>
                <w:b/>
                <w:bCs/>
                <w:szCs w:val="24"/>
              </w:rPr>
              <w:fldChar w:fldCharType="separate"/>
            </w:r>
            <w:r w:rsidR="00DC67EC">
              <w:rPr>
                <w:b/>
                <w:bCs/>
                <w:noProof/>
              </w:rPr>
              <w:t>2</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sidR="00DC67EC">
              <w:rPr>
                <w:b/>
                <w:bCs/>
                <w:noProof/>
              </w:rPr>
              <w:t>113</w:t>
            </w:r>
            <w:r>
              <w:rPr>
                <w:b/>
                <w:bCs/>
                <w:szCs w:val="24"/>
              </w:rPr>
              <w:fldChar w:fldCharType="end"/>
            </w:r>
          </w:p>
        </w:sdtContent>
      </w:sdt>
    </w:sdtContent>
  </w:sdt>
  <w:p w:rsidR="00CF205E" w:rsidRPr="00E726CC" w:rsidRDefault="00CF205E" w:rsidP="00BA7D91">
    <w:pPr>
      <w:pStyle w:val="Sidefod"/>
    </w:pPr>
    <w:r w:rsidRPr="00E726CC">
      <w:t>Jens Mathias Kjær Jensen, June 2015</w:t>
    </w:r>
  </w:p>
  <w:p w:rsidR="00CF205E" w:rsidRDefault="00CF205E">
    <w:pPr>
      <w:pStyle w:val="Sidefod"/>
    </w:pPr>
    <w:r>
      <w:t xml:space="preserve">Aalborg </w:t>
    </w:r>
    <w:proofErr w:type="spellStart"/>
    <w:r>
      <w:t>University</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633832"/>
      <w:docPartObj>
        <w:docPartGallery w:val="Page Numbers (Bottom of Page)"/>
        <w:docPartUnique/>
      </w:docPartObj>
    </w:sdtPr>
    <w:sdtContent>
      <w:sdt>
        <w:sdtPr>
          <w:id w:val="860082579"/>
          <w:docPartObj>
            <w:docPartGallery w:val="Page Numbers (Top of Page)"/>
            <w:docPartUnique/>
          </w:docPartObj>
        </w:sdtPr>
        <w:sdtContent>
          <w:p w:rsidR="00CF205E" w:rsidRPr="00FC075D" w:rsidRDefault="00CF205E" w:rsidP="00F764C1">
            <w:pPr>
              <w:pStyle w:val="Sidefod"/>
              <w:ind w:firstLine="1304"/>
              <w:jc w:val="right"/>
              <w:rPr>
                <w:lang w:val="en-US"/>
              </w:rPr>
            </w:pPr>
            <w:r w:rsidRPr="00FC075D">
              <w:rPr>
                <w:lang w:val="en-US"/>
              </w:rPr>
              <w:t xml:space="preserve">Page </w:t>
            </w:r>
            <w:r>
              <w:rPr>
                <w:b/>
                <w:bCs/>
                <w:szCs w:val="24"/>
              </w:rPr>
              <w:fldChar w:fldCharType="begin"/>
            </w:r>
            <w:r w:rsidRPr="00FC075D">
              <w:rPr>
                <w:b/>
                <w:bCs/>
                <w:lang w:val="en-US"/>
              </w:rPr>
              <w:instrText>PAGE</w:instrText>
            </w:r>
            <w:r>
              <w:rPr>
                <w:b/>
                <w:bCs/>
                <w:szCs w:val="24"/>
              </w:rPr>
              <w:fldChar w:fldCharType="separate"/>
            </w:r>
            <w:r w:rsidR="00DC67EC">
              <w:rPr>
                <w:b/>
                <w:bCs/>
                <w:noProof/>
                <w:lang w:val="en-US"/>
              </w:rPr>
              <w:t>1</w:t>
            </w:r>
            <w:r>
              <w:rPr>
                <w:b/>
                <w:bCs/>
                <w:szCs w:val="24"/>
              </w:rPr>
              <w:fldChar w:fldCharType="end"/>
            </w:r>
            <w:r w:rsidRPr="00FC075D">
              <w:rPr>
                <w:lang w:val="en-US"/>
              </w:rPr>
              <w:t xml:space="preserve"> of </w:t>
            </w:r>
            <w:r>
              <w:rPr>
                <w:b/>
                <w:bCs/>
                <w:szCs w:val="24"/>
              </w:rPr>
              <w:fldChar w:fldCharType="begin"/>
            </w:r>
            <w:r w:rsidRPr="00FC075D">
              <w:rPr>
                <w:b/>
                <w:bCs/>
                <w:lang w:val="en-US"/>
              </w:rPr>
              <w:instrText>NUMPAGES</w:instrText>
            </w:r>
            <w:r>
              <w:rPr>
                <w:b/>
                <w:bCs/>
                <w:szCs w:val="24"/>
              </w:rPr>
              <w:fldChar w:fldCharType="separate"/>
            </w:r>
            <w:r w:rsidR="00DC67EC">
              <w:rPr>
                <w:b/>
                <w:bCs/>
                <w:noProof/>
                <w:lang w:val="en-US"/>
              </w:rPr>
              <w:t>113</w:t>
            </w:r>
            <w:r>
              <w:rPr>
                <w:b/>
                <w:bCs/>
                <w:szCs w:val="24"/>
              </w:rPr>
              <w:fldChar w:fldCharType="end"/>
            </w:r>
          </w:p>
        </w:sdtContent>
      </w:sdt>
    </w:sdtContent>
  </w:sdt>
  <w:p w:rsidR="00CF205E" w:rsidRPr="005C5858" w:rsidRDefault="00CF205E" w:rsidP="005C5858">
    <w:pPr>
      <w:pStyle w:val="Sidefod"/>
      <w:rPr>
        <w:lang w:val="en-US"/>
      </w:rPr>
    </w:pPr>
    <w:r w:rsidRPr="005C5858">
      <w:rPr>
        <w:lang w:val="en-US"/>
      </w:rPr>
      <w:t>English and International Business Communication</w:t>
    </w:r>
  </w:p>
  <w:p w:rsidR="00CF205E" w:rsidRPr="005C5858" w:rsidRDefault="00CF205E" w:rsidP="005C5858">
    <w:pPr>
      <w:pStyle w:val="Sidefod"/>
      <w:rPr>
        <w:lang w:val="en-US"/>
      </w:rPr>
    </w:pPr>
    <w:r w:rsidRPr="005C5858">
      <w:rPr>
        <w:lang w:val="en-US"/>
      </w:rPr>
      <w:t>Master</w:t>
    </w:r>
    <w:r>
      <w:rPr>
        <w:lang w:val="en-US"/>
      </w:rPr>
      <w:t>’s</w:t>
    </w:r>
    <w:r w:rsidRPr="005C5858">
      <w:rPr>
        <w:lang w:val="en-US"/>
      </w:rPr>
      <w:t xml:space="preserve"> Thesis, June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05E" w:rsidRDefault="00CF205E" w:rsidP="005D0B45">
      <w:pPr>
        <w:spacing w:after="0" w:line="240" w:lineRule="auto"/>
      </w:pPr>
      <w:r>
        <w:separator/>
      </w:r>
    </w:p>
  </w:footnote>
  <w:footnote w:type="continuationSeparator" w:id="0">
    <w:p w:rsidR="00CF205E" w:rsidRDefault="00CF205E" w:rsidP="005D0B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0F3BEA"/>
    <w:multiLevelType w:val="hybridMultilevel"/>
    <w:tmpl w:val="245EAA6C"/>
    <w:lvl w:ilvl="0" w:tplc="70944742">
      <w:start w:val="4"/>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304"/>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4E5"/>
    <w:rsid w:val="00002E99"/>
    <w:rsid w:val="000062A8"/>
    <w:rsid w:val="00017376"/>
    <w:rsid w:val="0002339A"/>
    <w:rsid w:val="000240E1"/>
    <w:rsid w:val="000246CD"/>
    <w:rsid w:val="00025002"/>
    <w:rsid w:val="00027D42"/>
    <w:rsid w:val="000372E2"/>
    <w:rsid w:val="00053BE7"/>
    <w:rsid w:val="00057F18"/>
    <w:rsid w:val="00060F0E"/>
    <w:rsid w:val="00071AD7"/>
    <w:rsid w:val="000747E8"/>
    <w:rsid w:val="00075B22"/>
    <w:rsid w:val="00076DEF"/>
    <w:rsid w:val="000836BE"/>
    <w:rsid w:val="00084251"/>
    <w:rsid w:val="00086048"/>
    <w:rsid w:val="000914F5"/>
    <w:rsid w:val="0009506B"/>
    <w:rsid w:val="0009565D"/>
    <w:rsid w:val="0009662E"/>
    <w:rsid w:val="00096CFA"/>
    <w:rsid w:val="00096D1F"/>
    <w:rsid w:val="000B09E7"/>
    <w:rsid w:val="000C6C7C"/>
    <w:rsid w:val="000D52F0"/>
    <w:rsid w:val="000E2AF0"/>
    <w:rsid w:val="000E3D0A"/>
    <w:rsid w:val="000E6E0B"/>
    <w:rsid w:val="000E7FF0"/>
    <w:rsid w:val="000F080C"/>
    <w:rsid w:val="000F29E3"/>
    <w:rsid w:val="000F3FB9"/>
    <w:rsid w:val="000F6093"/>
    <w:rsid w:val="000F781E"/>
    <w:rsid w:val="0010299C"/>
    <w:rsid w:val="00107EAA"/>
    <w:rsid w:val="001167A3"/>
    <w:rsid w:val="00116D3A"/>
    <w:rsid w:val="0012075D"/>
    <w:rsid w:val="00127A51"/>
    <w:rsid w:val="00132723"/>
    <w:rsid w:val="0013362B"/>
    <w:rsid w:val="00135250"/>
    <w:rsid w:val="00135A98"/>
    <w:rsid w:val="00135AF5"/>
    <w:rsid w:val="00142231"/>
    <w:rsid w:val="00145D52"/>
    <w:rsid w:val="001471ED"/>
    <w:rsid w:val="00147FE1"/>
    <w:rsid w:val="00156C21"/>
    <w:rsid w:val="001612AB"/>
    <w:rsid w:val="00163B28"/>
    <w:rsid w:val="0016534C"/>
    <w:rsid w:val="00172394"/>
    <w:rsid w:val="00181105"/>
    <w:rsid w:val="001832C7"/>
    <w:rsid w:val="0018673C"/>
    <w:rsid w:val="001868ED"/>
    <w:rsid w:val="00186C16"/>
    <w:rsid w:val="00190AB7"/>
    <w:rsid w:val="001A0917"/>
    <w:rsid w:val="001A1A72"/>
    <w:rsid w:val="001A7A1E"/>
    <w:rsid w:val="001B4E75"/>
    <w:rsid w:val="001C16CC"/>
    <w:rsid w:val="001C4BA9"/>
    <w:rsid w:val="001D6EE6"/>
    <w:rsid w:val="001D73D8"/>
    <w:rsid w:val="001E07F2"/>
    <w:rsid w:val="001E1314"/>
    <w:rsid w:val="001E1344"/>
    <w:rsid w:val="001E2785"/>
    <w:rsid w:val="001F3D0C"/>
    <w:rsid w:val="0020049A"/>
    <w:rsid w:val="00203FC0"/>
    <w:rsid w:val="00205798"/>
    <w:rsid w:val="00221823"/>
    <w:rsid w:val="0022615B"/>
    <w:rsid w:val="0023002F"/>
    <w:rsid w:val="00234198"/>
    <w:rsid w:val="0023468E"/>
    <w:rsid w:val="00236C37"/>
    <w:rsid w:val="002378F9"/>
    <w:rsid w:val="0024105F"/>
    <w:rsid w:val="0025076A"/>
    <w:rsid w:val="0025344B"/>
    <w:rsid w:val="00255908"/>
    <w:rsid w:val="00260B03"/>
    <w:rsid w:val="00260F3E"/>
    <w:rsid w:val="00265117"/>
    <w:rsid w:val="00270E7F"/>
    <w:rsid w:val="002720D2"/>
    <w:rsid w:val="00272E24"/>
    <w:rsid w:val="00274AF2"/>
    <w:rsid w:val="00281FE2"/>
    <w:rsid w:val="00283C19"/>
    <w:rsid w:val="00283C8B"/>
    <w:rsid w:val="002935A0"/>
    <w:rsid w:val="002944E1"/>
    <w:rsid w:val="002A103A"/>
    <w:rsid w:val="002A5A8D"/>
    <w:rsid w:val="002B0351"/>
    <w:rsid w:val="002B07AE"/>
    <w:rsid w:val="002B1553"/>
    <w:rsid w:val="002B3741"/>
    <w:rsid w:val="002B7D0C"/>
    <w:rsid w:val="002B7EE8"/>
    <w:rsid w:val="002C0658"/>
    <w:rsid w:val="002C093A"/>
    <w:rsid w:val="002C1452"/>
    <w:rsid w:val="002C1CC6"/>
    <w:rsid w:val="002C4C77"/>
    <w:rsid w:val="002C5318"/>
    <w:rsid w:val="002D58DA"/>
    <w:rsid w:val="002D5FEF"/>
    <w:rsid w:val="002E6730"/>
    <w:rsid w:val="002E6B22"/>
    <w:rsid w:val="002E7DEB"/>
    <w:rsid w:val="002F2146"/>
    <w:rsid w:val="002F4D29"/>
    <w:rsid w:val="002F6CF2"/>
    <w:rsid w:val="00300BE0"/>
    <w:rsid w:val="00305C3C"/>
    <w:rsid w:val="00306991"/>
    <w:rsid w:val="003118EF"/>
    <w:rsid w:val="003160AA"/>
    <w:rsid w:val="0032053E"/>
    <w:rsid w:val="00320581"/>
    <w:rsid w:val="003208D3"/>
    <w:rsid w:val="00322407"/>
    <w:rsid w:val="00322D9F"/>
    <w:rsid w:val="0032354A"/>
    <w:rsid w:val="00323769"/>
    <w:rsid w:val="003276FC"/>
    <w:rsid w:val="0033311B"/>
    <w:rsid w:val="003359C2"/>
    <w:rsid w:val="00336E17"/>
    <w:rsid w:val="00337119"/>
    <w:rsid w:val="00337667"/>
    <w:rsid w:val="00343EAA"/>
    <w:rsid w:val="0034460E"/>
    <w:rsid w:val="00344E8D"/>
    <w:rsid w:val="003470A6"/>
    <w:rsid w:val="003474E9"/>
    <w:rsid w:val="00347911"/>
    <w:rsid w:val="00350C53"/>
    <w:rsid w:val="00351C93"/>
    <w:rsid w:val="003539F1"/>
    <w:rsid w:val="003543E9"/>
    <w:rsid w:val="00354954"/>
    <w:rsid w:val="003571B8"/>
    <w:rsid w:val="00387BFC"/>
    <w:rsid w:val="00390660"/>
    <w:rsid w:val="00391329"/>
    <w:rsid w:val="00391D76"/>
    <w:rsid w:val="00394E6D"/>
    <w:rsid w:val="003976CB"/>
    <w:rsid w:val="003A1679"/>
    <w:rsid w:val="003A25E0"/>
    <w:rsid w:val="003A641F"/>
    <w:rsid w:val="003B09C6"/>
    <w:rsid w:val="003B4A47"/>
    <w:rsid w:val="003B784A"/>
    <w:rsid w:val="003C358C"/>
    <w:rsid w:val="003C3908"/>
    <w:rsid w:val="003C5277"/>
    <w:rsid w:val="003C5D89"/>
    <w:rsid w:val="003D06BE"/>
    <w:rsid w:val="003D508E"/>
    <w:rsid w:val="003D61FC"/>
    <w:rsid w:val="003D679C"/>
    <w:rsid w:val="003E1D1B"/>
    <w:rsid w:val="003E7167"/>
    <w:rsid w:val="003F0F7C"/>
    <w:rsid w:val="00400196"/>
    <w:rsid w:val="00401265"/>
    <w:rsid w:val="00404428"/>
    <w:rsid w:val="00410820"/>
    <w:rsid w:val="0041318D"/>
    <w:rsid w:val="004230E4"/>
    <w:rsid w:val="0042481E"/>
    <w:rsid w:val="0042649E"/>
    <w:rsid w:val="00427CF4"/>
    <w:rsid w:val="00427F51"/>
    <w:rsid w:val="004325E9"/>
    <w:rsid w:val="00435B42"/>
    <w:rsid w:val="00444E2E"/>
    <w:rsid w:val="00446797"/>
    <w:rsid w:val="004514A0"/>
    <w:rsid w:val="00452A0F"/>
    <w:rsid w:val="00456136"/>
    <w:rsid w:val="00461A4C"/>
    <w:rsid w:val="004630B9"/>
    <w:rsid w:val="0046648D"/>
    <w:rsid w:val="004820B0"/>
    <w:rsid w:val="00484ED1"/>
    <w:rsid w:val="004906DF"/>
    <w:rsid w:val="00492288"/>
    <w:rsid w:val="004A5638"/>
    <w:rsid w:val="004A6C83"/>
    <w:rsid w:val="004B375D"/>
    <w:rsid w:val="004C0CB7"/>
    <w:rsid w:val="004C1260"/>
    <w:rsid w:val="004C6D5F"/>
    <w:rsid w:val="004C7700"/>
    <w:rsid w:val="004D2F4F"/>
    <w:rsid w:val="004D4B73"/>
    <w:rsid w:val="004E09F7"/>
    <w:rsid w:val="004E142B"/>
    <w:rsid w:val="004E1AD5"/>
    <w:rsid w:val="004E440B"/>
    <w:rsid w:val="004E6746"/>
    <w:rsid w:val="004E69B7"/>
    <w:rsid w:val="00500A5C"/>
    <w:rsid w:val="005068F4"/>
    <w:rsid w:val="00506D40"/>
    <w:rsid w:val="00507759"/>
    <w:rsid w:val="005135F4"/>
    <w:rsid w:val="00514A6F"/>
    <w:rsid w:val="00517612"/>
    <w:rsid w:val="005279D1"/>
    <w:rsid w:val="00535DF4"/>
    <w:rsid w:val="00540BEA"/>
    <w:rsid w:val="0054509B"/>
    <w:rsid w:val="00546079"/>
    <w:rsid w:val="005508A1"/>
    <w:rsid w:val="00551D22"/>
    <w:rsid w:val="00554B91"/>
    <w:rsid w:val="00560F56"/>
    <w:rsid w:val="005705AC"/>
    <w:rsid w:val="0058312E"/>
    <w:rsid w:val="00583443"/>
    <w:rsid w:val="00583D6A"/>
    <w:rsid w:val="005849BD"/>
    <w:rsid w:val="00585B3E"/>
    <w:rsid w:val="00590E13"/>
    <w:rsid w:val="00592C4F"/>
    <w:rsid w:val="00594AF1"/>
    <w:rsid w:val="00596B5F"/>
    <w:rsid w:val="005A14DE"/>
    <w:rsid w:val="005A21CF"/>
    <w:rsid w:val="005A2398"/>
    <w:rsid w:val="005B21D5"/>
    <w:rsid w:val="005B2F16"/>
    <w:rsid w:val="005B4546"/>
    <w:rsid w:val="005C5858"/>
    <w:rsid w:val="005D01C5"/>
    <w:rsid w:val="005D02DE"/>
    <w:rsid w:val="005D0951"/>
    <w:rsid w:val="005D0B45"/>
    <w:rsid w:val="005D3C0F"/>
    <w:rsid w:val="005D4BFB"/>
    <w:rsid w:val="005D754B"/>
    <w:rsid w:val="005E151A"/>
    <w:rsid w:val="005F048C"/>
    <w:rsid w:val="005F11CE"/>
    <w:rsid w:val="005F304A"/>
    <w:rsid w:val="005F30FE"/>
    <w:rsid w:val="005F3C3C"/>
    <w:rsid w:val="005F54FF"/>
    <w:rsid w:val="005F69E2"/>
    <w:rsid w:val="005F7CDE"/>
    <w:rsid w:val="00600D2E"/>
    <w:rsid w:val="00603CC5"/>
    <w:rsid w:val="0061173D"/>
    <w:rsid w:val="006136B5"/>
    <w:rsid w:val="0061548C"/>
    <w:rsid w:val="00615774"/>
    <w:rsid w:val="00617C8D"/>
    <w:rsid w:val="00626C8C"/>
    <w:rsid w:val="00631CF6"/>
    <w:rsid w:val="00633B7C"/>
    <w:rsid w:val="00633CEE"/>
    <w:rsid w:val="0063411A"/>
    <w:rsid w:val="0064041F"/>
    <w:rsid w:val="00641A70"/>
    <w:rsid w:val="006458DF"/>
    <w:rsid w:val="0064590C"/>
    <w:rsid w:val="00646E5F"/>
    <w:rsid w:val="00655848"/>
    <w:rsid w:val="00655C20"/>
    <w:rsid w:val="0067313D"/>
    <w:rsid w:val="00674431"/>
    <w:rsid w:val="00675B31"/>
    <w:rsid w:val="00676BD2"/>
    <w:rsid w:val="00677F5D"/>
    <w:rsid w:val="006832CC"/>
    <w:rsid w:val="006839F2"/>
    <w:rsid w:val="00684533"/>
    <w:rsid w:val="006903FD"/>
    <w:rsid w:val="00692AE4"/>
    <w:rsid w:val="00692B27"/>
    <w:rsid w:val="00697CB9"/>
    <w:rsid w:val="006A0E35"/>
    <w:rsid w:val="006A1B15"/>
    <w:rsid w:val="006A26A8"/>
    <w:rsid w:val="006A57B1"/>
    <w:rsid w:val="006A6666"/>
    <w:rsid w:val="006A7169"/>
    <w:rsid w:val="006A7608"/>
    <w:rsid w:val="006B6244"/>
    <w:rsid w:val="006C0D96"/>
    <w:rsid w:val="006C322A"/>
    <w:rsid w:val="006C327E"/>
    <w:rsid w:val="006C3310"/>
    <w:rsid w:val="006C68A2"/>
    <w:rsid w:val="006D1E61"/>
    <w:rsid w:val="006D434C"/>
    <w:rsid w:val="006E46BA"/>
    <w:rsid w:val="006E57A6"/>
    <w:rsid w:val="006E695D"/>
    <w:rsid w:val="006F514C"/>
    <w:rsid w:val="006F7C71"/>
    <w:rsid w:val="0071292C"/>
    <w:rsid w:val="007233C2"/>
    <w:rsid w:val="00731894"/>
    <w:rsid w:val="00733540"/>
    <w:rsid w:val="00733FF2"/>
    <w:rsid w:val="0073689E"/>
    <w:rsid w:val="00740554"/>
    <w:rsid w:val="00740D9F"/>
    <w:rsid w:val="00741345"/>
    <w:rsid w:val="00746949"/>
    <w:rsid w:val="0074703E"/>
    <w:rsid w:val="007550C6"/>
    <w:rsid w:val="00762725"/>
    <w:rsid w:val="00774D8B"/>
    <w:rsid w:val="0077628E"/>
    <w:rsid w:val="00781247"/>
    <w:rsid w:val="007838F7"/>
    <w:rsid w:val="00784BF4"/>
    <w:rsid w:val="0079288F"/>
    <w:rsid w:val="00796BAF"/>
    <w:rsid w:val="007A6D6C"/>
    <w:rsid w:val="007B0210"/>
    <w:rsid w:val="007B3C24"/>
    <w:rsid w:val="007C0278"/>
    <w:rsid w:val="007C2E87"/>
    <w:rsid w:val="007C7219"/>
    <w:rsid w:val="007D1254"/>
    <w:rsid w:val="007D3A1A"/>
    <w:rsid w:val="007D3C18"/>
    <w:rsid w:val="007D4AF8"/>
    <w:rsid w:val="007E495F"/>
    <w:rsid w:val="007E56C8"/>
    <w:rsid w:val="007F4FBB"/>
    <w:rsid w:val="007F561A"/>
    <w:rsid w:val="007F7FF1"/>
    <w:rsid w:val="008003A7"/>
    <w:rsid w:val="0080217A"/>
    <w:rsid w:val="008059F3"/>
    <w:rsid w:val="0081553E"/>
    <w:rsid w:val="008206F8"/>
    <w:rsid w:val="008311A5"/>
    <w:rsid w:val="00832522"/>
    <w:rsid w:val="00836C75"/>
    <w:rsid w:val="008371C2"/>
    <w:rsid w:val="00841A86"/>
    <w:rsid w:val="0084437E"/>
    <w:rsid w:val="00846631"/>
    <w:rsid w:val="00846FE5"/>
    <w:rsid w:val="0085255D"/>
    <w:rsid w:val="00857991"/>
    <w:rsid w:val="00864610"/>
    <w:rsid w:val="00864CA8"/>
    <w:rsid w:val="00872AE2"/>
    <w:rsid w:val="0087667D"/>
    <w:rsid w:val="008806D4"/>
    <w:rsid w:val="00881AB7"/>
    <w:rsid w:val="008864D5"/>
    <w:rsid w:val="008910E0"/>
    <w:rsid w:val="0089200D"/>
    <w:rsid w:val="00893921"/>
    <w:rsid w:val="00894AC1"/>
    <w:rsid w:val="00897CDA"/>
    <w:rsid w:val="008B04DF"/>
    <w:rsid w:val="008B0ABC"/>
    <w:rsid w:val="008B0AD0"/>
    <w:rsid w:val="008B13A4"/>
    <w:rsid w:val="008B1414"/>
    <w:rsid w:val="008B1516"/>
    <w:rsid w:val="008B197D"/>
    <w:rsid w:val="008B2156"/>
    <w:rsid w:val="008B426F"/>
    <w:rsid w:val="008B6266"/>
    <w:rsid w:val="008C1BE1"/>
    <w:rsid w:val="008C1C66"/>
    <w:rsid w:val="008C3B34"/>
    <w:rsid w:val="008C6C5E"/>
    <w:rsid w:val="008D54C4"/>
    <w:rsid w:val="008D55CA"/>
    <w:rsid w:val="008E00E7"/>
    <w:rsid w:val="008E234B"/>
    <w:rsid w:val="008E586A"/>
    <w:rsid w:val="008E6D4E"/>
    <w:rsid w:val="008E7008"/>
    <w:rsid w:val="008F1EEA"/>
    <w:rsid w:val="008F59AE"/>
    <w:rsid w:val="008F780A"/>
    <w:rsid w:val="009026B4"/>
    <w:rsid w:val="00903005"/>
    <w:rsid w:val="00907386"/>
    <w:rsid w:val="00907AEF"/>
    <w:rsid w:val="00911319"/>
    <w:rsid w:val="009249CB"/>
    <w:rsid w:val="00924C75"/>
    <w:rsid w:val="00926113"/>
    <w:rsid w:val="00926632"/>
    <w:rsid w:val="0092679E"/>
    <w:rsid w:val="00926E91"/>
    <w:rsid w:val="009277D4"/>
    <w:rsid w:val="00931327"/>
    <w:rsid w:val="009356EB"/>
    <w:rsid w:val="00940147"/>
    <w:rsid w:val="009448EB"/>
    <w:rsid w:val="00957AB7"/>
    <w:rsid w:val="00962B66"/>
    <w:rsid w:val="00962E97"/>
    <w:rsid w:val="00963D5A"/>
    <w:rsid w:val="00967AB0"/>
    <w:rsid w:val="00971CE5"/>
    <w:rsid w:val="00973440"/>
    <w:rsid w:val="00973738"/>
    <w:rsid w:val="0097412C"/>
    <w:rsid w:val="00976809"/>
    <w:rsid w:val="00976DCB"/>
    <w:rsid w:val="0098066E"/>
    <w:rsid w:val="00980776"/>
    <w:rsid w:val="009819FD"/>
    <w:rsid w:val="00986F35"/>
    <w:rsid w:val="00990D6C"/>
    <w:rsid w:val="00996110"/>
    <w:rsid w:val="009A6840"/>
    <w:rsid w:val="009A7486"/>
    <w:rsid w:val="009B5911"/>
    <w:rsid w:val="009B5CF0"/>
    <w:rsid w:val="009B7A92"/>
    <w:rsid w:val="009C15FE"/>
    <w:rsid w:val="009C6745"/>
    <w:rsid w:val="009D1BEE"/>
    <w:rsid w:val="009D38F9"/>
    <w:rsid w:val="009D6125"/>
    <w:rsid w:val="009D63DE"/>
    <w:rsid w:val="009D796F"/>
    <w:rsid w:val="009E1492"/>
    <w:rsid w:val="009E7A1A"/>
    <w:rsid w:val="009F0958"/>
    <w:rsid w:val="009F7170"/>
    <w:rsid w:val="00A0467D"/>
    <w:rsid w:val="00A06BF4"/>
    <w:rsid w:val="00A10AAE"/>
    <w:rsid w:val="00A126BA"/>
    <w:rsid w:val="00A13974"/>
    <w:rsid w:val="00A13B06"/>
    <w:rsid w:val="00A20CDE"/>
    <w:rsid w:val="00A2239A"/>
    <w:rsid w:val="00A2309A"/>
    <w:rsid w:val="00A24556"/>
    <w:rsid w:val="00A30494"/>
    <w:rsid w:val="00A358E0"/>
    <w:rsid w:val="00A3625E"/>
    <w:rsid w:val="00A41708"/>
    <w:rsid w:val="00A54028"/>
    <w:rsid w:val="00A60615"/>
    <w:rsid w:val="00A63B47"/>
    <w:rsid w:val="00A724D2"/>
    <w:rsid w:val="00A753E6"/>
    <w:rsid w:val="00A75453"/>
    <w:rsid w:val="00A75D0B"/>
    <w:rsid w:val="00A7792D"/>
    <w:rsid w:val="00A8460A"/>
    <w:rsid w:val="00A84D9C"/>
    <w:rsid w:val="00A86608"/>
    <w:rsid w:val="00A870FA"/>
    <w:rsid w:val="00A9181E"/>
    <w:rsid w:val="00A92572"/>
    <w:rsid w:val="00A92D86"/>
    <w:rsid w:val="00A935F1"/>
    <w:rsid w:val="00AA0C29"/>
    <w:rsid w:val="00AA0F69"/>
    <w:rsid w:val="00AA37D5"/>
    <w:rsid w:val="00AA447F"/>
    <w:rsid w:val="00AA4C98"/>
    <w:rsid w:val="00AA6388"/>
    <w:rsid w:val="00AA7A87"/>
    <w:rsid w:val="00AB7E06"/>
    <w:rsid w:val="00AC072C"/>
    <w:rsid w:val="00AC2470"/>
    <w:rsid w:val="00AC7940"/>
    <w:rsid w:val="00AC7C09"/>
    <w:rsid w:val="00AD2C23"/>
    <w:rsid w:val="00AD7035"/>
    <w:rsid w:val="00AE0F1A"/>
    <w:rsid w:val="00AE325C"/>
    <w:rsid w:val="00AE4200"/>
    <w:rsid w:val="00AE7018"/>
    <w:rsid w:val="00AF446E"/>
    <w:rsid w:val="00AF6CA4"/>
    <w:rsid w:val="00AF7F3E"/>
    <w:rsid w:val="00B00989"/>
    <w:rsid w:val="00B061AC"/>
    <w:rsid w:val="00B07165"/>
    <w:rsid w:val="00B104AC"/>
    <w:rsid w:val="00B13E4E"/>
    <w:rsid w:val="00B151A0"/>
    <w:rsid w:val="00B170F6"/>
    <w:rsid w:val="00B17159"/>
    <w:rsid w:val="00B17165"/>
    <w:rsid w:val="00B173B0"/>
    <w:rsid w:val="00B17B6D"/>
    <w:rsid w:val="00B20934"/>
    <w:rsid w:val="00B22963"/>
    <w:rsid w:val="00B237B6"/>
    <w:rsid w:val="00B23843"/>
    <w:rsid w:val="00B26006"/>
    <w:rsid w:val="00B36C0C"/>
    <w:rsid w:val="00B370E1"/>
    <w:rsid w:val="00B428BC"/>
    <w:rsid w:val="00B4738B"/>
    <w:rsid w:val="00B51712"/>
    <w:rsid w:val="00B52676"/>
    <w:rsid w:val="00B534E5"/>
    <w:rsid w:val="00B56ED7"/>
    <w:rsid w:val="00B57823"/>
    <w:rsid w:val="00B603D1"/>
    <w:rsid w:val="00B62451"/>
    <w:rsid w:val="00B6351D"/>
    <w:rsid w:val="00B659C1"/>
    <w:rsid w:val="00B729A6"/>
    <w:rsid w:val="00B821C1"/>
    <w:rsid w:val="00B95683"/>
    <w:rsid w:val="00B9638D"/>
    <w:rsid w:val="00BA0BEA"/>
    <w:rsid w:val="00BA2DD4"/>
    <w:rsid w:val="00BA4173"/>
    <w:rsid w:val="00BA575D"/>
    <w:rsid w:val="00BA788B"/>
    <w:rsid w:val="00BA7D91"/>
    <w:rsid w:val="00BB0DFB"/>
    <w:rsid w:val="00BB1270"/>
    <w:rsid w:val="00BC5AFC"/>
    <w:rsid w:val="00BD0548"/>
    <w:rsid w:val="00BD0F93"/>
    <w:rsid w:val="00BD1D81"/>
    <w:rsid w:val="00BD22F7"/>
    <w:rsid w:val="00BD2F8A"/>
    <w:rsid w:val="00BD5AF6"/>
    <w:rsid w:val="00BD7E0F"/>
    <w:rsid w:val="00BE0CDB"/>
    <w:rsid w:val="00BE1732"/>
    <w:rsid w:val="00BE19E2"/>
    <w:rsid w:val="00BE2C64"/>
    <w:rsid w:val="00BE42D6"/>
    <w:rsid w:val="00BF057B"/>
    <w:rsid w:val="00BF11D6"/>
    <w:rsid w:val="00BF2485"/>
    <w:rsid w:val="00BF6145"/>
    <w:rsid w:val="00C07111"/>
    <w:rsid w:val="00C0780E"/>
    <w:rsid w:val="00C1073C"/>
    <w:rsid w:val="00C12F0A"/>
    <w:rsid w:val="00C147D0"/>
    <w:rsid w:val="00C14982"/>
    <w:rsid w:val="00C25214"/>
    <w:rsid w:val="00C2559D"/>
    <w:rsid w:val="00C25C18"/>
    <w:rsid w:val="00C27BF3"/>
    <w:rsid w:val="00C52475"/>
    <w:rsid w:val="00C60C5E"/>
    <w:rsid w:val="00C63002"/>
    <w:rsid w:val="00C70698"/>
    <w:rsid w:val="00C71D53"/>
    <w:rsid w:val="00C73F79"/>
    <w:rsid w:val="00C74BA6"/>
    <w:rsid w:val="00C76E96"/>
    <w:rsid w:val="00C77D2B"/>
    <w:rsid w:val="00C77F7F"/>
    <w:rsid w:val="00C80D14"/>
    <w:rsid w:val="00C90539"/>
    <w:rsid w:val="00C90D4A"/>
    <w:rsid w:val="00C94608"/>
    <w:rsid w:val="00C966B3"/>
    <w:rsid w:val="00C96B24"/>
    <w:rsid w:val="00C97443"/>
    <w:rsid w:val="00C97DBC"/>
    <w:rsid w:val="00CA1C8F"/>
    <w:rsid w:val="00CB00D0"/>
    <w:rsid w:val="00CB3399"/>
    <w:rsid w:val="00CC3084"/>
    <w:rsid w:val="00CC4999"/>
    <w:rsid w:val="00CC4EDD"/>
    <w:rsid w:val="00CC7A6F"/>
    <w:rsid w:val="00CC7CBB"/>
    <w:rsid w:val="00CD203E"/>
    <w:rsid w:val="00CD36DD"/>
    <w:rsid w:val="00CD44BE"/>
    <w:rsid w:val="00CD45AF"/>
    <w:rsid w:val="00CD4ECE"/>
    <w:rsid w:val="00CD764A"/>
    <w:rsid w:val="00CE46EE"/>
    <w:rsid w:val="00CE56C4"/>
    <w:rsid w:val="00CE59E0"/>
    <w:rsid w:val="00CE6957"/>
    <w:rsid w:val="00CF02AA"/>
    <w:rsid w:val="00CF109F"/>
    <w:rsid w:val="00CF205E"/>
    <w:rsid w:val="00CF51AA"/>
    <w:rsid w:val="00D02430"/>
    <w:rsid w:val="00D03815"/>
    <w:rsid w:val="00D04B31"/>
    <w:rsid w:val="00D0594B"/>
    <w:rsid w:val="00D06F1F"/>
    <w:rsid w:val="00D10EB3"/>
    <w:rsid w:val="00D116BE"/>
    <w:rsid w:val="00D12244"/>
    <w:rsid w:val="00D147F9"/>
    <w:rsid w:val="00D30364"/>
    <w:rsid w:val="00D351A2"/>
    <w:rsid w:val="00D40D28"/>
    <w:rsid w:val="00D42A2E"/>
    <w:rsid w:val="00D439B2"/>
    <w:rsid w:val="00D44EFD"/>
    <w:rsid w:val="00D45023"/>
    <w:rsid w:val="00D45896"/>
    <w:rsid w:val="00D4628A"/>
    <w:rsid w:val="00D471B6"/>
    <w:rsid w:val="00D5098D"/>
    <w:rsid w:val="00D538D0"/>
    <w:rsid w:val="00D57592"/>
    <w:rsid w:val="00D60EC3"/>
    <w:rsid w:val="00D634F4"/>
    <w:rsid w:val="00D65576"/>
    <w:rsid w:val="00D65599"/>
    <w:rsid w:val="00D65AE4"/>
    <w:rsid w:val="00D7170A"/>
    <w:rsid w:val="00D85EFA"/>
    <w:rsid w:val="00D91DEB"/>
    <w:rsid w:val="00D922C0"/>
    <w:rsid w:val="00D953F3"/>
    <w:rsid w:val="00D97A82"/>
    <w:rsid w:val="00DA552A"/>
    <w:rsid w:val="00DC118A"/>
    <w:rsid w:val="00DC12F0"/>
    <w:rsid w:val="00DC1AD3"/>
    <w:rsid w:val="00DC6637"/>
    <w:rsid w:val="00DC67EC"/>
    <w:rsid w:val="00DD33A6"/>
    <w:rsid w:val="00DD532D"/>
    <w:rsid w:val="00DE646B"/>
    <w:rsid w:val="00DF21BF"/>
    <w:rsid w:val="00DF47F6"/>
    <w:rsid w:val="00DF53AA"/>
    <w:rsid w:val="00E026E9"/>
    <w:rsid w:val="00E0387D"/>
    <w:rsid w:val="00E078E0"/>
    <w:rsid w:val="00E07CB2"/>
    <w:rsid w:val="00E102D4"/>
    <w:rsid w:val="00E15657"/>
    <w:rsid w:val="00E15B68"/>
    <w:rsid w:val="00E210EC"/>
    <w:rsid w:val="00E26127"/>
    <w:rsid w:val="00E26FB3"/>
    <w:rsid w:val="00E37124"/>
    <w:rsid w:val="00E37F63"/>
    <w:rsid w:val="00E408A0"/>
    <w:rsid w:val="00E40E33"/>
    <w:rsid w:val="00E438B1"/>
    <w:rsid w:val="00E43E3C"/>
    <w:rsid w:val="00E508CC"/>
    <w:rsid w:val="00E523FA"/>
    <w:rsid w:val="00E53210"/>
    <w:rsid w:val="00E57F4F"/>
    <w:rsid w:val="00E61E16"/>
    <w:rsid w:val="00E64BE5"/>
    <w:rsid w:val="00E65A4A"/>
    <w:rsid w:val="00E7187E"/>
    <w:rsid w:val="00E71954"/>
    <w:rsid w:val="00E726CC"/>
    <w:rsid w:val="00E73417"/>
    <w:rsid w:val="00E74415"/>
    <w:rsid w:val="00E75C87"/>
    <w:rsid w:val="00E77468"/>
    <w:rsid w:val="00E83D98"/>
    <w:rsid w:val="00E85F6B"/>
    <w:rsid w:val="00E96DE3"/>
    <w:rsid w:val="00E97E72"/>
    <w:rsid w:val="00EA095A"/>
    <w:rsid w:val="00EA1DEE"/>
    <w:rsid w:val="00EB2839"/>
    <w:rsid w:val="00EC0528"/>
    <w:rsid w:val="00EC0EA6"/>
    <w:rsid w:val="00EC2C1A"/>
    <w:rsid w:val="00EC4184"/>
    <w:rsid w:val="00ED334A"/>
    <w:rsid w:val="00ED63E2"/>
    <w:rsid w:val="00EE24BD"/>
    <w:rsid w:val="00EE7150"/>
    <w:rsid w:val="00EF026C"/>
    <w:rsid w:val="00EF448E"/>
    <w:rsid w:val="00EF4B99"/>
    <w:rsid w:val="00EF584F"/>
    <w:rsid w:val="00F0255F"/>
    <w:rsid w:val="00F031E4"/>
    <w:rsid w:val="00F03921"/>
    <w:rsid w:val="00F0729B"/>
    <w:rsid w:val="00F10DC2"/>
    <w:rsid w:val="00F1402A"/>
    <w:rsid w:val="00F20AAD"/>
    <w:rsid w:val="00F20ED0"/>
    <w:rsid w:val="00F22C74"/>
    <w:rsid w:val="00F23A98"/>
    <w:rsid w:val="00F24AD8"/>
    <w:rsid w:val="00F24E44"/>
    <w:rsid w:val="00F25113"/>
    <w:rsid w:val="00F42775"/>
    <w:rsid w:val="00F44044"/>
    <w:rsid w:val="00F44F65"/>
    <w:rsid w:val="00F44FEF"/>
    <w:rsid w:val="00F50F63"/>
    <w:rsid w:val="00F543B3"/>
    <w:rsid w:val="00F623D4"/>
    <w:rsid w:val="00F7240D"/>
    <w:rsid w:val="00F74335"/>
    <w:rsid w:val="00F761CA"/>
    <w:rsid w:val="00F764C1"/>
    <w:rsid w:val="00F80B86"/>
    <w:rsid w:val="00F84186"/>
    <w:rsid w:val="00F84FFF"/>
    <w:rsid w:val="00F93CCE"/>
    <w:rsid w:val="00F93EEB"/>
    <w:rsid w:val="00F958BA"/>
    <w:rsid w:val="00F97A1E"/>
    <w:rsid w:val="00FA0C96"/>
    <w:rsid w:val="00FA495E"/>
    <w:rsid w:val="00FA560A"/>
    <w:rsid w:val="00FB3218"/>
    <w:rsid w:val="00FB68F0"/>
    <w:rsid w:val="00FC075D"/>
    <w:rsid w:val="00FC23F3"/>
    <w:rsid w:val="00FC6DDB"/>
    <w:rsid w:val="00FD0DD4"/>
    <w:rsid w:val="00FD46CE"/>
    <w:rsid w:val="00FD4A83"/>
    <w:rsid w:val="00FD4BE5"/>
    <w:rsid w:val="00FF0DCE"/>
    <w:rsid w:val="00FF493D"/>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8A2"/>
    <w:pPr>
      <w:jc w:val="both"/>
    </w:pPr>
    <w:rPr>
      <w:rFonts w:ascii="Times New Roman" w:hAnsi="Times New Roman"/>
      <w:sz w:val="24"/>
    </w:rPr>
  </w:style>
  <w:style w:type="paragraph" w:styleId="Overskrift1">
    <w:name w:val="heading 1"/>
    <w:basedOn w:val="Normal"/>
    <w:next w:val="Normal"/>
    <w:link w:val="Overskrift1Tegn"/>
    <w:uiPriority w:val="9"/>
    <w:qFormat/>
    <w:rsid w:val="00762725"/>
    <w:pPr>
      <w:keepNext/>
      <w:keepLines/>
      <w:spacing w:before="600" w:after="120"/>
      <w:outlineLvl w:val="0"/>
    </w:pPr>
    <w:rPr>
      <w:rFonts w:eastAsiaTheme="majorEastAsia" w:cstheme="majorBidi"/>
      <w:b/>
      <w:bCs/>
      <w:color w:val="000000" w:themeColor="text1"/>
      <w:spacing w:val="5"/>
      <w:kern w:val="28"/>
      <w:sz w:val="32"/>
      <w:szCs w:val="28"/>
    </w:rPr>
  </w:style>
  <w:style w:type="paragraph" w:styleId="Overskrift2">
    <w:name w:val="heading 2"/>
    <w:basedOn w:val="Normal"/>
    <w:next w:val="Normal"/>
    <w:link w:val="Overskrift2Tegn"/>
    <w:autoRedefine/>
    <w:uiPriority w:val="9"/>
    <w:unhideWhenUsed/>
    <w:qFormat/>
    <w:rsid w:val="00762725"/>
    <w:pPr>
      <w:keepNext/>
      <w:keepLines/>
      <w:spacing w:before="200" w:after="0"/>
      <w:outlineLvl w:val="1"/>
    </w:pPr>
    <w:rPr>
      <w:rFonts w:eastAsiaTheme="majorEastAsia" w:cstheme="majorBidi"/>
      <w:b/>
      <w:bCs/>
      <w:sz w:val="28"/>
      <w:szCs w:val="26"/>
    </w:rPr>
  </w:style>
  <w:style w:type="paragraph" w:styleId="Overskrift3">
    <w:name w:val="heading 3"/>
    <w:basedOn w:val="Normal"/>
    <w:next w:val="Normal"/>
    <w:link w:val="Overskrift3Tegn"/>
    <w:uiPriority w:val="9"/>
    <w:unhideWhenUsed/>
    <w:qFormat/>
    <w:rsid w:val="00762725"/>
    <w:pPr>
      <w:keepNext/>
      <w:keepLines/>
      <w:spacing w:before="200" w:after="0"/>
      <w:outlineLvl w:val="2"/>
    </w:pPr>
    <w:rPr>
      <w:rFonts w:eastAsiaTheme="majorEastAsia" w:cstheme="majorBidi"/>
      <w:b/>
      <w:bCs/>
      <w:sz w:val="26"/>
    </w:rPr>
  </w:style>
  <w:style w:type="paragraph" w:styleId="Overskrift4">
    <w:name w:val="heading 4"/>
    <w:basedOn w:val="Normal"/>
    <w:next w:val="Normal"/>
    <w:link w:val="Overskrift4Tegn"/>
    <w:uiPriority w:val="9"/>
    <w:unhideWhenUsed/>
    <w:qFormat/>
    <w:rsid w:val="00762725"/>
    <w:pPr>
      <w:keepNext/>
      <w:keepLines/>
      <w:spacing w:before="200" w:after="0"/>
      <w:outlineLvl w:val="3"/>
    </w:pPr>
    <w:rPr>
      <w:rFonts w:eastAsiaTheme="majorEastAsia" w:cstheme="majorBidi"/>
      <w:b/>
      <w:bCs/>
      <w:iCs/>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62725"/>
    <w:rPr>
      <w:rFonts w:ascii="Times New Roman" w:eastAsiaTheme="majorEastAsia" w:hAnsi="Times New Roman" w:cstheme="majorBidi"/>
      <w:b/>
      <w:bCs/>
      <w:color w:val="000000" w:themeColor="text1"/>
      <w:spacing w:val="5"/>
      <w:kern w:val="28"/>
      <w:sz w:val="32"/>
      <w:szCs w:val="28"/>
    </w:rPr>
  </w:style>
  <w:style w:type="character" w:customStyle="1" w:styleId="Overskrift2Tegn">
    <w:name w:val="Overskrift 2 Tegn"/>
    <w:basedOn w:val="Standardskrifttypeiafsnit"/>
    <w:link w:val="Overskrift2"/>
    <w:uiPriority w:val="9"/>
    <w:rsid w:val="00762725"/>
    <w:rPr>
      <w:rFonts w:ascii="Times New Roman" w:eastAsiaTheme="majorEastAsia" w:hAnsi="Times New Roman" w:cstheme="majorBidi"/>
      <w:b/>
      <w:bCs/>
      <w:sz w:val="28"/>
      <w:szCs w:val="26"/>
    </w:rPr>
  </w:style>
  <w:style w:type="character" w:customStyle="1" w:styleId="Overskrift3Tegn">
    <w:name w:val="Overskrift 3 Tegn"/>
    <w:basedOn w:val="Standardskrifttypeiafsnit"/>
    <w:link w:val="Overskrift3"/>
    <w:uiPriority w:val="9"/>
    <w:rsid w:val="00762725"/>
    <w:rPr>
      <w:rFonts w:ascii="Times New Roman" w:eastAsiaTheme="majorEastAsia" w:hAnsi="Times New Roman" w:cstheme="majorBidi"/>
      <w:b/>
      <w:bCs/>
      <w:sz w:val="26"/>
    </w:rPr>
  </w:style>
  <w:style w:type="character" w:customStyle="1" w:styleId="Overskrift4Tegn">
    <w:name w:val="Overskrift 4 Tegn"/>
    <w:basedOn w:val="Standardskrifttypeiafsnit"/>
    <w:link w:val="Overskrift4"/>
    <w:uiPriority w:val="9"/>
    <w:rsid w:val="00762725"/>
    <w:rPr>
      <w:rFonts w:ascii="Times New Roman" w:eastAsiaTheme="majorEastAsia" w:hAnsi="Times New Roman" w:cstheme="majorBidi"/>
      <w:b/>
      <w:bCs/>
      <w:iCs/>
      <w:color w:val="000000" w:themeColor="text1"/>
      <w:sz w:val="24"/>
    </w:rPr>
  </w:style>
  <w:style w:type="paragraph" w:styleId="Markeringsbobletekst">
    <w:name w:val="Balloon Text"/>
    <w:basedOn w:val="Normal"/>
    <w:link w:val="MarkeringsbobletekstTegn"/>
    <w:uiPriority w:val="99"/>
    <w:semiHidden/>
    <w:unhideWhenUsed/>
    <w:rsid w:val="00897CD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7CDA"/>
    <w:rPr>
      <w:rFonts w:ascii="Tahoma" w:hAnsi="Tahoma" w:cs="Tahoma"/>
      <w:sz w:val="16"/>
      <w:szCs w:val="16"/>
    </w:rPr>
  </w:style>
  <w:style w:type="character" w:customStyle="1" w:styleId="SidehovedTegn">
    <w:name w:val="Sidehoved Tegn"/>
    <w:basedOn w:val="Standardskrifttypeiafsnit"/>
    <w:link w:val="Sidehoved"/>
    <w:uiPriority w:val="99"/>
    <w:rsid w:val="00762725"/>
    <w:rPr>
      <w:rFonts w:ascii="Times New Roman" w:hAnsi="Times New Roman"/>
      <w:sz w:val="24"/>
    </w:rPr>
  </w:style>
  <w:style w:type="paragraph" w:styleId="Sidehoved">
    <w:name w:val="header"/>
    <w:basedOn w:val="Normal"/>
    <w:link w:val="SidehovedTegn"/>
    <w:uiPriority w:val="99"/>
    <w:unhideWhenUsed/>
    <w:rsid w:val="0076272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62725"/>
    <w:rPr>
      <w:rFonts w:ascii="Times New Roman" w:hAnsi="Times New Roman"/>
      <w:sz w:val="24"/>
    </w:rPr>
  </w:style>
  <w:style w:type="paragraph" w:styleId="Sidefod">
    <w:name w:val="footer"/>
    <w:basedOn w:val="Normal"/>
    <w:link w:val="SidefodTegn"/>
    <w:uiPriority w:val="99"/>
    <w:unhideWhenUsed/>
    <w:rsid w:val="00762725"/>
    <w:pPr>
      <w:tabs>
        <w:tab w:val="center" w:pos="4819"/>
        <w:tab w:val="right" w:pos="9638"/>
      </w:tabs>
      <w:spacing w:after="0" w:line="240" w:lineRule="auto"/>
    </w:pPr>
  </w:style>
  <w:style w:type="paragraph" w:styleId="Titel">
    <w:name w:val="Title"/>
    <w:basedOn w:val="Normal"/>
    <w:next w:val="Normal"/>
    <w:link w:val="TitelTegn"/>
    <w:uiPriority w:val="10"/>
    <w:qFormat/>
    <w:rsid w:val="007627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62725"/>
    <w:rPr>
      <w:rFonts w:asciiTheme="majorHAnsi" w:eastAsiaTheme="majorEastAsia" w:hAnsiTheme="majorHAnsi" w:cstheme="majorBidi"/>
      <w:color w:val="17365D" w:themeColor="text2" w:themeShade="BF"/>
      <w:spacing w:val="5"/>
      <w:kern w:val="28"/>
      <w:sz w:val="52"/>
      <w:szCs w:val="52"/>
    </w:rPr>
  </w:style>
  <w:style w:type="paragraph" w:styleId="Billedtekst">
    <w:name w:val="caption"/>
    <w:basedOn w:val="Normal"/>
    <w:next w:val="Normal"/>
    <w:uiPriority w:val="35"/>
    <w:unhideWhenUsed/>
    <w:qFormat/>
    <w:rsid w:val="00762725"/>
    <w:pPr>
      <w:spacing w:line="240" w:lineRule="auto"/>
    </w:pPr>
    <w:rPr>
      <w:b/>
      <w:bCs/>
      <w:color w:val="4F81BD" w:themeColor="accent1"/>
      <w:sz w:val="18"/>
      <w:szCs w:val="18"/>
    </w:rPr>
  </w:style>
  <w:style w:type="paragraph" w:styleId="Listeafsnit">
    <w:name w:val="List Paragraph"/>
    <w:basedOn w:val="Normal"/>
    <w:uiPriority w:val="34"/>
    <w:qFormat/>
    <w:rsid w:val="00583D6A"/>
    <w:pPr>
      <w:ind w:left="720"/>
      <w:contextualSpacing/>
    </w:pPr>
  </w:style>
  <w:style w:type="paragraph" w:styleId="Bibliografi">
    <w:name w:val="Bibliography"/>
    <w:basedOn w:val="Normal"/>
    <w:next w:val="Normal"/>
    <w:uiPriority w:val="37"/>
    <w:unhideWhenUsed/>
    <w:rsid w:val="00096D1F"/>
  </w:style>
  <w:style w:type="paragraph" w:styleId="Ingenafstand">
    <w:name w:val="No Spacing"/>
    <w:uiPriority w:val="1"/>
    <w:qFormat/>
    <w:rsid w:val="00272E24"/>
    <w:pPr>
      <w:spacing w:after="0" w:line="240" w:lineRule="auto"/>
    </w:pPr>
    <w:rPr>
      <w:rFonts w:ascii="Times New Roman" w:hAnsi="Times New Roman"/>
      <w:sz w:val="24"/>
    </w:rPr>
  </w:style>
  <w:style w:type="paragraph" w:styleId="Overskrift">
    <w:name w:val="TOC Heading"/>
    <w:basedOn w:val="Overskrift1"/>
    <w:next w:val="Normal"/>
    <w:uiPriority w:val="39"/>
    <w:unhideWhenUsed/>
    <w:qFormat/>
    <w:rsid w:val="00F44FEF"/>
    <w:pPr>
      <w:spacing w:before="480" w:after="0"/>
      <w:outlineLvl w:val="9"/>
    </w:pPr>
    <w:rPr>
      <w:rFonts w:asciiTheme="majorHAnsi" w:hAnsiTheme="majorHAnsi"/>
      <w:color w:val="365F91" w:themeColor="accent1" w:themeShade="BF"/>
      <w:spacing w:val="0"/>
      <w:kern w:val="0"/>
      <w:sz w:val="28"/>
      <w:lang w:eastAsia="da-DK"/>
    </w:rPr>
  </w:style>
  <w:style w:type="paragraph" w:styleId="Indholdsfortegnelse1">
    <w:name w:val="toc 1"/>
    <w:basedOn w:val="Normal"/>
    <w:next w:val="Normal"/>
    <w:autoRedefine/>
    <w:uiPriority w:val="39"/>
    <w:unhideWhenUsed/>
    <w:qFormat/>
    <w:rsid w:val="00F44FEF"/>
    <w:pPr>
      <w:spacing w:after="100"/>
    </w:pPr>
  </w:style>
  <w:style w:type="paragraph" w:styleId="Indholdsfortegnelse2">
    <w:name w:val="toc 2"/>
    <w:basedOn w:val="Normal"/>
    <w:next w:val="Normal"/>
    <w:autoRedefine/>
    <w:uiPriority w:val="39"/>
    <w:unhideWhenUsed/>
    <w:qFormat/>
    <w:rsid w:val="00F44FEF"/>
    <w:pPr>
      <w:spacing w:after="100"/>
      <w:ind w:left="240"/>
    </w:pPr>
  </w:style>
  <w:style w:type="paragraph" w:styleId="Indholdsfortegnelse3">
    <w:name w:val="toc 3"/>
    <w:basedOn w:val="Normal"/>
    <w:next w:val="Normal"/>
    <w:autoRedefine/>
    <w:uiPriority w:val="39"/>
    <w:unhideWhenUsed/>
    <w:qFormat/>
    <w:rsid w:val="00F44FEF"/>
    <w:pPr>
      <w:spacing w:after="100"/>
      <w:ind w:left="480"/>
    </w:pPr>
  </w:style>
  <w:style w:type="character" w:styleId="Hyperlink">
    <w:name w:val="Hyperlink"/>
    <w:basedOn w:val="Standardskrifttypeiafsnit"/>
    <w:uiPriority w:val="99"/>
    <w:unhideWhenUsed/>
    <w:rsid w:val="00F44FEF"/>
    <w:rPr>
      <w:color w:val="0000FF" w:themeColor="hyperlink"/>
      <w:u w:val="single"/>
    </w:rPr>
  </w:style>
  <w:style w:type="paragraph" w:styleId="Indholdsfortegnelse4">
    <w:name w:val="toc 4"/>
    <w:basedOn w:val="Normal"/>
    <w:next w:val="Normal"/>
    <w:autoRedefine/>
    <w:uiPriority w:val="39"/>
    <w:unhideWhenUsed/>
    <w:rsid w:val="002B0351"/>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8A2"/>
    <w:pPr>
      <w:jc w:val="both"/>
    </w:pPr>
    <w:rPr>
      <w:rFonts w:ascii="Times New Roman" w:hAnsi="Times New Roman"/>
      <w:sz w:val="24"/>
    </w:rPr>
  </w:style>
  <w:style w:type="paragraph" w:styleId="Overskrift1">
    <w:name w:val="heading 1"/>
    <w:basedOn w:val="Normal"/>
    <w:next w:val="Normal"/>
    <w:link w:val="Overskrift1Tegn"/>
    <w:uiPriority w:val="9"/>
    <w:qFormat/>
    <w:rsid w:val="00762725"/>
    <w:pPr>
      <w:keepNext/>
      <w:keepLines/>
      <w:spacing w:before="600" w:after="120"/>
      <w:outlineLvl w:val="0"/>
    </w:pPr>
    <w:rPr>
      <w:rFonts w:eastAsiaTheme="majorEastAsia" w:cstheme="majorBidi"/>
      <w:b/>
      <w:bCs/>
      <w:color w:val="000000" w:themeColor="text1"/>
      <w:spacing w:val="5"/>
      <w:kern w:val="28"/>
      <w:sz w:val="32"/>
      <w:szCs w:val="28"/>
    </w:rPr>
  </w:style>
  <w:style w:type="paragraph" w:styleId="Overskrift2">
    <w:name w:val="heading 2"/>
    <w:basedOn w:val="Normal"/>
    <w:next w:val="Normal"/>
    <w:link w:val="Overskrift2Tegn"/>
    <w:autoRedefine/>
    <w:uiPriority w:val="9"/>
    <w:unhideWhenUsed/>
    <w:qFormat/>
    <w:rsid w:val="00762725"/>
    <w:pPr>
      <w:keepNext/>
      <w:keepLines/>
      <w:spacing w:before="200" w:after="0"/>
      <w:outlineLvl w:val="1"/>
    </w:pPr>
    <w:rPr>
      <w:rFonts w:eastAsiaTheme="majorEastAsia" w:cstheme="majorBidi"/>
      <w:b/>
      <w:bCs/>
      <w:sz w:val="28"/>
      <w:szCs w:val="26"/>
    </w:rPr>
  </w:style>
  <w:style w:type="paragraph" w:styleId="Overskrift3">
    <w:name w:val="heading 3"/>
    <w:basedOn w:val="Normal"/>
    <w:next w:val="Normal"/>
    <w:link w:val="Overskrift3Tegn"/>
    <w:uiPriority w:val="9"/>
    <w:unhideWhenUsed/>
    <w:qFormat/>
    <w:rsid w:val="00762725"/>
    <w:pPr>
      <w:keepNext/>
      <w:keepLines/>
      <w:spacing w:before="200" w:after="0"/>
      <w:outlineLvl w:val="2"/>
    </w:pPr>
    <w:rPr>
      <w:rFonts w:eastAsiaTheme="majorEastAsia" w:cstheme="majorBidi"/>
      <w:b/>
      <w:bCs/>
      <w:sz w:val="26"/>
    </w:rPr>
  </w:style>
  <w:style w:type="paragraph" w:styleId="Overskrift4">
    <w:name w:val="heading 4"/>
    <w:basedOn w:val="Normal"/>
    <w:next w:val="Normal"/>
    <w:link w:val="Overskrift4Tegn"/>
    <w:uiPriority w:val="9"/>
    <w:unhideWhenUsed/>
    <w:qFormat/>
    <w:rsid w:val="00762725"/>
    <w:pPr>
      <w:keepNext/>
      <w:keepLines/>
      <w:spacing w:before="200" w:after="0"/>
      <w:outlineLvl w:val="3"/>
    </w:pPr>
    <w:rPr>
      <w:rFonts w:eastAsiaTheme="majorEastAsia" w:cstheme="majorBidi"/>
      <w:b/>
      <w:bCs/>
      <w:iCs/>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62725"/>
    <w:rPr>
      <w:rFonts w:ascii="Times New Roman" w:eastAsiaTheme="majorEastAsia" w:hAnsi="Times New Roman" w:cstheme="majorBidi"/>
      <w:b/>
      <w:bCs/>
      <w:color w:val="000000" w:themeColor="text1"/>
      <w:spacing w:val="5"/>
      <w:kern w:val="28"/>
      <w:sz w:val="32"/>
      <w:szCs w:val="28"/>
    </w:rPr>
  </w:style>
  <w:style w:type="character" w:customStyle="1" w:styleId="Overskrift2Tegn">
    <w:name w:val="Overskrift 2 Tegn"/>
    <w:basedOn w:val="Standardskrifttypeiafsnit"/>
    <w:link w:val="Overskrift2"/>
    <w:uiPriority w:val="9"/>
    <w:rsid w:val="00762725"/>
    <w:rPr>
      <w:rFonts w:ascii="Times New Roman" w:eastAsiaTheme="majorEastAsia" w:hAnsi="Times New Roman" w:cstheme="majorBidi"/>
      <w:b/>
      <w:bCs/>
      <w:sz w:val="28"/>
      <w:szCs w:val="26"/>
    </w:rPr>
  </w:style>
  <w:style w:type="character" w:customStyle="1" w:styleId="Overskrift3Tegn">
    <w:name w:val="Overskrift 3 Tegn"/>
    <w:basedOn w:val="Standardskrifttypeiafsnit"/>
    <w:link w:val="Overskrift3"/>
    <w:uiPriority w:val="9"/>
    <w:rsid w:val="00762725"/>
    <w:rPr>
      <w:rFonts w:ascii="Times New Roman" w:eastAsiaTheme="majorEastAsia" w:hAnsi="Times New Roman" w:cstheme="majorBidi"/>
      <w:b/>
      <w:bCs/>
      <w:sz w:val="26"/>
    </w:rPr>
  </w:style>
  <w:style w:type="character" w:customStyle="1" w:styleId="Overskrift4Tegn">
    <w:name w:val="Overskrift 4 Tegn"/>
    <w:basedOn w:val="Standardskrifttypeiafsnit"/>
    <w:link w:val="Overskrift4"/>
    <w:uiPriority w:val="9"/>
    <w:rsid w:val="00762725"/>
    <w:rPr>
      <w:rFonts w:ascii="Times New Roman" w:eastAsiaTheme="majorEastAsia" w:hAnsi="Times New Roman" w:cstheme="majorBidi"/>
      <w:b/>
      <w:bCs/>
      <w:iCs/>
      <w:color w:val="000000" w:themeColor="text1"/>
      <w:sz w:val="24"/>
    </w:rPr>
  </w:style>
  <w:style w:type="paragraph" w:styleId="Markeringsbobletekst">
    <w:name w:val="Balloon Text"/>
    <w:basedOn w:val="Normal"/>
    <w:link w:val="MarkeringsbobletekstTegn"/>
    <w:uiPriority w:val="99"/>
    <w:semiHidden/>
    <w:unhideWhenUsed/>
    <w:rsid w:val="00897CD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7CDA"/>
    <w:rPr>
      <w:rFonts w:ascii="Tahoma" w:hAnsi="Tahoma" w:cs="Tahoma"/>
      <w:sz w:val="16"/>
      <w:szCs w:val="16"/>
    </w:rPr>
  </w:style>
  <w:style w:type="character" w:customStyle="1" w:styleId="SidehovedTegn">
    <w:name w:val="Sidehoved Tegn"/>
    <w:basedOn w:val="Standardskrifttypeiafsnit"/>
    <w:link w:val="Sidehoved"/>
    <w:uiPriority w:val="99"/>
    <w:rsid w:val="00762725"/>
    <w:rPr>
      <w:rFonts w:ascii="Times New Roman" w:hAnsi="Times New Roman"/>
      <w:sz w:val="24"/>
    </w:rPr>
  </w:style>
  <w:style w:type="paragraph" w:styleId="Sidehoved">
    <w:name w:val="header"/>
    <w:basedOn w:val="Normal"/>
    <w:link w:val="SidehovedTegn"/>
    <w:uiPriority w:val="99"/>
    <w:unhideWhenUsed/>
    <w:rsid w:val="0076272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62725"/>
    <w:rPr>
      <w:rFonts w:ascii="Times New Roman" w:hAnsi="Times New Roman"/>
      <w:sz w:val="24"/>
    </w:rPr>
  </w:style>
  <w:style w:type="paragraph" w:styleId="Sidefod">
    <w:name w:val="footer"/>
    <w:basedOn w:val="Normal"/>
    <w:link w:val="SidefodTegn"/>
    <w:uiPriority w:val="99"/>
    <w:unhideWhenUsed/>
    <w:rsid w:val="00762725"/>
    <w:pPr>
      <w:tabs>
        <w:tab w:val="center" w:pos="4819"/>
        <w:tab w:val="right" w:pos="9638"/>
      </w:tabs>
      <w:spacing w:after="0" w:line="240" w:lineRule="auto"/>
    </w:pPr>
  </w:style>
  <w:style w:type="paragraph" w:styleId="Titel">
    <w:name w:val="Title"/>
    <w:basedOn w:val="Normal"/>
    <w:next w:val="Normal"/>
    <w:link w:val="TitelTegn"/>
    <w:uiPriority w:val="10"/>
    <w:qFormat/>
    <w:rsid w:val="007627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62725"/>
    <w:rPr>
      <w:rFonts w:asciiTheme="majorHAnsi" w:eastAsiaTheme="majorEastAsia" w:hAnsiTheme="majorHAnsi" w:cstheme="majorBidi"/>
      <w:color w:val="17365D" w:themeColor="text2" w:themeShade="BF"/>
      <w:spacing w:val="5"/>
      <w:kern w:val="28"/>
      <w:sz w:val="52"/>
      <w:szCs w:val="52"/>
    </w:rPr>
  </w:style>
  <w:style w:type="paragraph" w:styleId="Billedtekst">
    <w:name w:val="caption"/>
    <w:basedOn w:val="Normal"/>
    <w:next w:val="Normal"/>
    <w:uiPriority w:val="35"/>
    <w:unhideWhenUsed/>
    <w:qFormat/>
    <w:rsid w:val="00762725"/>
    <w:pPr>
      <w:spacing w:line="240" w:lineRule="auto"/>
    </w:pPr>
    <w:rPr>
      <w:b/>
      <w:bCs/>
      <w:color w:val="4F81BD" w:themeColor="accent1"/>
      <w:sz w:val="18"/>
      <w:szCs w:val="18"/>
    </w:rPr>
  </w:style>
  <w:style w:type="paragraph" w:styleId="Listeafsnit">
    <w:name w:val="List Paragraph"/>
    <w:basedOn w:val="Normal"/>
    <w:uiPriority w:val="34"/>
    <w:qFormat/>
    <w:rsid w:val="00583D6A"/>
    <w:pPr>
      <w:ind w:left="720"/>
      <w:contextualSpacing/>
    </w:pPr>
  </w:style>
  <w:style w:type="paragraph" w:styleId="Bibliografi">
    <w:name w:val="Bibliography"/>
    <w:basedOn w:val="Normal"/>
    <w:next w:val="Normal"/>
    <w:uiPriority w:val="37"/>
    <w:unhideWhenUsed/>
    <w:rsid w:val="00096D1F"/>
  </w:style>
  <w:style w:type="paragraph" w:styleId="Ingenafstand">
    <w:name w:val="No Spacing"/>
    <w:uiPriority w:val="1"/>
    <w:qFormat/>
    <w:rsid w:val="00272E24"/>
    <w:pPr>
      <w:spacing w:after="0" w:line="240" w:lineRule="auto"/>
    </w:pPr>
    <w:rPr>
      <w:rFonts w:ascii="Times New Roman" w:hAnsi="Times New Roman"/>
      <w:sz w:val="24"/>
    </w:rPr>
  </w:style>
  <w:style w:type="paragraph" w:styleId="Overskrift">
    <w:name w:val="TOC Heading"/>
    <w:basedOn w:val="Overskrift1"/>
    <w:next w:val="Normal"/>
    <w:uiPriority w:val="39"/>
    <w:unhideWhenUsed/>
    <w:qFormat/>
    <w:rsid w:val="00F44FEF"/>
    <w:pPr>
      <w:spacing w:before="480" w:after="0"/>
      <w:outlineLvl w:val="9"/>
    </w:pPr>
    <w:rPr>
      <w:rFonts w:asciiTheme="majorHAnsi" w:hAnsiTheme="majorHAnsi"/>
      <w:color w:val="365F91" w:themeColor="accent1" w:themeShade="BF"/>
      <w:spacing w:val="0"/>
      <w:kern w:val="0"/>
      <w:sz w:val="28"/>
      <w:lang w:eastAsia="da-DK"/>
    </w:rPr>
  </w:style>
  <w:style w:type="paragraph" w:styleId="Indholdsfortegnelse1">
    <w:name w:val="toc 1"/>
    <w:basedOn w:val="Normal"/>
    <w:next w:val="Normal"/>
    <w:autoRedefine/>
    <w:uiPriority w:val="39"/>
    <w:unhideWhenUsed/>
    <w:qFormat/>
    <w:rsid w:val="00F44FEF"/>
    <w:pPr>
      <w:spacing w:after="100"/>
    </w:pPr>
  </w:style>
  <w:style w:type="paragraph" w:styleId="Indholdsfortegnelse2">
    <w:name w:val="toc 2"/>
    <w:basedOn w:val="Normal"/>
    <w:next w:val="Normal"/>
    <w:autoRedefine/>
    <w:uiPriority w:val="39"/>
    <w:unhideWhenUsed/>
    <w:qFormat/>
    <w:rsid w:val="00F44FEF"/>
    <w:pPr>
      <w:spacing w:after="100"/>
      <w:ind w:left="240"/>
    </w:pPr>
  </w:style>
  <w:style w:type="paragraph" w:styleId="Indholdsfortegnelse3">
    <w:name w:val="toc 3"/>
    <w:basedOn w:val="Normal"/>
    <w:next w:val="Normal"/>
    <w:autoRedefine/>
    <w:uiPriority w:val="39"/>
    <w:unhideWhenUsed/>
    <w:qFormat/>
    <w:rsid w:val="00F44FEF"/>
    <w:pPr>
      <w:spacing w:after="100"/>
      <w:ind w:left="480"/>
    </w:pPr>
  </w:style>
  <w:style w:type="character" w:styleId="Hyperlink">
    <w:name w:val="Hyperlink"/>
    <w:basedOn w:val="Standardskrifttypeiafsnit"/>
    <w:uiPriority w:val="99"/>
    <w:unhideWhenUsed/>
    <w:rsid w:val="00F44FEF"/>
    <w:rPr>
      <w:color w:val="0000FF" w:themeColor="hyperlink"/>
      <w:u w:val="single"/>
    </w:rPr>
  </w:style>
  <w:style w:type="paragraph" w:styleId="Indholdsfortegnelse4">
    <w:name w:val="toc 4"/>
    <w:basedOn w:val="Normal"/>
    <w:next w:val="Normal"/>
    <w:autoRedefine/>
    <w:uiPriority w:val="39"/>
    <w:unhideWhenUsed/>
    <w:rsid w:val="002B0351"/>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044645">
      <w:bodyDiv w:val="1"/>
      <w:marLeft w:val="0"/>
      <w:marRight w:val="0"/>
      <w:marTop w:val="0"/>
      <w:marBottom w:val="0"/>
      <w:divBdr>
        <w:top w:val="none" w:sz="0" w:space="0" w:color="auto"/>
        <w:left w:val="none" w:sz="0" w:space="0" w:color="auto"/>
        <w:bottom w:val="none" w:sz="0" w:space="0" w:color="auto"/>
        <w:right w:val="none" w:sz="0" w:space="0" w:color="auto"/>
      </w:divBdr>
    </w:div>
    <w:div w:id="141724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eej\Desktop\Privat\Mathias\Final\CSR%20Discourse%20in%20Crisis%20Communication2.docx" TargetMode="External"/><Relationship Id="rId18" Type="http://schemas.openxmlformats.org/officeDocument/2006/relationships/hyperlink" Target="file:///C:\Users\jeej\Desktop\Privat\Mathias\Final\CSR%20Discourse%20in%20Crisis%20Communication2.docx"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file:///C:\Users\jeej\Desktop\Privat\Mathias\Final\CSR%20Discourse%20in%20Crisis%20Communication2.docx"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C:\Users\jeej\Desktop\Privat\Mathias\Final\CSR%20Discourse%20in%20Crisis%20Communication2.docx" TargetMode="External"/><Relationship Id="rId17" Type="http://schemas.openxmlformats.org/officeDocument/2006/relationships/hyperlink" Target="file:///C:\Users\jeej\Desktop\Privat\Mathias\Final\CSR%20Discourse%20in%20Crisis%20Communication2.docx"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file:///C:\Users\jeej\Desktop\Privat\Mathias\Final\CSR%20Discourse%20in%20Crisis%20Communication2.docx" TargetMode="External"/><Relationship Id="rId20" Type="http://schemas.openxmlformats.org/officeDocument/2006/relationships/hyperlink" Target="file:///C:\Users\jeej\Desktop\Privat\Mathias\Final\CSR%20Discourse%20in%20Crisis%20Communication2.docx"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jeej\Desktop\Privat\Mathias\Final\CSR%20Discourse%20in%20Crisis%20Communication2.docx" TargetMode="External"/><Relationship Id="rId24" Type="http://schemas.openxmlformats.org/officeDocument/2006/relationships/image" Target="media/image3.png"/><Relationship Id="rId32" Type="http://schemas.openxmlformats.org/officeDocument/2006/relationships/image" Target="media/image11.jp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yperlink" Target="file:///C:\Users\jeej\Desktop\Privat\Mathias\Final\CSR%20Discourse%20in%20Crisis%20Communication2.docx" TargetMode="External"/><Relationship Id="rId23" Type="http://schemas.openxmlformats.org/officeDocument/2006/relationships/image" Target="media/image2.jp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1.xml"/><Relationship Id="rId10" Type="http://schemas.openxmlformats.org/officeDocument/2006/relationships/hyperlink" Target="file:///C:\Users\jeej\Desktop\Privat\Mathias\Final\CSR%20Discourse%20in%20Crisis%20Communication2.docx" TargetMode="External"/><Relationship Id="rId19" Type="http://schemas.openxmlformats.org/officeDocument/2006/relationships/hyperlink" Target="file:///C:\Users\jeej\Desktop\Privat\Mathias\Final\CSR%20Discourse%20in%20Crisis%20Communication2.docx"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Users\jeej\Desktop\Privat\Mathias\Final\CSR%20Discourse%20in%20Crisis%20Communication2.docx" TargetMode="External"/><Relationship Id="rId14" Type="http://schemas.openxmlformats.org/officeDocument/2006/relationships/hyperlink" Target="file:///C:\Users\jeej\Desktop\Privat\Mathias\Final\CSR%20Discourse%20in%20Crisis%20Communication2.docx"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Ala08</b:Tag>
    <b:SourceType>BookSection</b:SourceType>
    <b:Guid>{D1F17717-F258-47D6-BF24-B1085B5F39B9}</b:Guid>
    <b:Title>The End of the Paradigm Wars?</b:Title>
    <b:Year>2008</b:Year>
    <b:Pages>12-26</b:Pages>
    <b:LCID>en-US</b:LCID>
    <b:Author>
      <b:Author>
        <b:NameList>
          <b:Person>
            <b:Last>Bryman</b:Last>
            <b:First>Alan</b:First>
          </b:Person>
        </b:NameList>
      </b:Author>
      <b:BookAuthor>
        <b:NameList>
          <b:Person>
            <b:Last>Alasuutari</b:Last>
            <b:First>Pertti</b:First>
          </b:Person>
          <b:Person>
            <b:Last>Bickman</b:Last>
            <b:First>Leonard</b:First>
          </b:Person>
          <b:Person>
            <b:Last>Brannen</b:Last>
            <b:First>Julia</b:First>
          </b:Person>
        </b:NameList>
      </b:BookAuthor>
    </b:Author>
    <b:BookTitle>The SAGE Handbook of Social Research Methods</b:BookTitle>
    <b:City>London</b:City>
    <b:Publisher>SAGE Publications Ltd</b:Publisher>
    <b:RefOrder>10</b:RefOrder>
  </b:Source>
  <b:Source>
    <b:Tag>Ste04</b:Tag>
    <b:SourceType>ArticleInAPeriodical</b:SourceType>
    <b:Guid>{38881A14-520F-4082-9907-EB753A2CC2C6}</b:Guid>
    <b:Title>The Rhetoric of Positivism Versus Interpretivism: A Personal View</b:Title>
    <b:Year>2004</b:Year>
    <b:LCID>en-US</b:LCID>
    <b:Author>
      <b:Author>
        <b:NameList>
          <b:Person>
            <b:Last>Weber</b:Last>
            <b:First>Steven</b:First>
          </b:Person>
        </b:NameList>
      </b:Author>
    </b:Author>
    <b:PeriodicalTitle>MIS Quarterly Vol. 28 No. 1/</b:PeriodicalTitle>
    <b:Month>March</b:Month>
    <b:Day>1</b:Day>
    <b:RefOrder>11</b:RefOrder>
  </b:Source>
  <b:Source>
    <b:Tag>Ala88</b:Tag>
    <b:SourceType>Book</b:SourceType>
    <b:Guid>{2EF7DC54-F1F5-47E7-AEED-0632E4F639D2}</b:Guid>
    <b:Title>Quantity and Quality in Social Research</b:Title>
    <b:Year>1988</b:Year>
    <b:LCID>en-US</b:LCID>
    <b:Author>
      <b:Author>
        <b:NameList>
          <b:Person>
            <b:Last>Bryman</b:Last>
            <b:First>Alan</b:First>
          </b:Person>
        </b:NameList>
      </b:Author>
    </b:Author>
    <b:City>New York</b:City>
    <b:Publisher>Routledge</b:Publisher>
    <b:RefOrder>12</b:RefOrder>
  </b:Source>
  <b:Source>
    <b:Tag>Ann98</b:Tag>
    <b:SourceType>JournalArticle</b:SourceType>
    <b:Guid>{EABDABD3-6BEC-48D0-9D44-4321C7434AE3}</b:Guid>
    <b:Title>Bridging Positivist and Interpretivist Approaches to Qualitative Methods</b:Title>
    <b:Year>1998</b:Year>
    <b:LCID>en-US</b:LCID>
    <b:Author>
      <b:Author>
        <b:NameList>
          <b:Person>
            <b:Last>Lin</b:Last>
            <b:First>Ann</b:First>
            <b:Middle>Chih</b:Middle>
          </b:Person>
        </b:NameList>
      </b:Author>
    </b:Author>
    <b:JournalName>Policy Studies Journal, Vol. 26, No. 1</b:JournalName>
    <b:Pages>162-180</b:Pages>
    <b:RefOrder>13</b:RefOrder>
  </b:Source>
  <b:Source>
    <b:Tag>Nor04</b:Tag>
    <b:SourceType>BookSection</b:SourceType>
    <b:Guid>{2C54F571-96DC-45E3-8210-783A080102B1}</b:Guid>
    <b:Title>Interpretivism</b:Title>
    <b:Year>2004</b:Year>
    <b:Pages>509-511</b:Pages>
    <b:LCID>en-US</b:LCID>
    <b:Author>
      <b:Author>
        <b:NameList>
          <b:Person>
            <b:Last>Blaikie</b:Last>
            <b:First>Norman</b:First>
          </b:Person>
        </b:NameList>
      </b:Author>
      <b:BookAuthor>
        <b:NameList>
          <b:Person>
            <b:Last>Lewis-Beck</b:Last>
            <b:First>Michael</b:First>
            <b:Middle>S.</b:Middle>
          </b:Person>
          <b:Person>
            <b:Last>Bryman</b:Last>
            <b:First>Alan</b:First>
          </b:Person>
          <b:Person>
            <b:Last>Liao</b:Last>
            <b:First>Tim</b:First>
            <b:Middle>Futing</b:Middle>
          </b:Person>
        </b:NameList>
      </b:BookAuthor>
    </b:Author>
    <b:BookTitle>The SAGE Encyclopedia of Social Science Research Methods</b:BookTitle>
    <b:City>New York</b:City>
    <b:Publisher>SAGE Publications, Inc.</b:Publisher>
    <b:RefOrder>14</b:RefOrder>
  </b:Source>
  <b:Source>
    <b:Tag>Han04</b:Tag>
    <b:SourceType>Book</b:SourceType>
    <b:Guid>{60AAFBDC-8DAF-4F66-BE83-99889E5AC5A6}</b:Guid>
    <b:Title>Truth and Method</b:Title>
    <b:Year>2004</b:Year>
    <b:City>London</b:City>
    <b:Publisher>Continuum</b:Publisher>
    <b:LCID>en-US</b:LCID>
    <b:Author>
      <b:Author>
        <b:NameList>
          <b:Person>
            <b:Last>Gadamer</b:Last>
            <b:First>Hans-Georg</b:First>
          </b:Person>
        </b:NameList>
      </b:Author>
    </b:Author>
    <b:RefOrder>16</b:RefOrder>
  </b:Source>
  <b:Source>
    <b:Tag>Mog03</b:Tag>
    <b:SourceType>BookSection</b:SourceType>
    <b:Guid>{11CDAC01-F01F-49B6-9550-D3371AE3E047}</b:Guid>
    <b:Title>Hermeneutik</b:Title>
    <b:Year>2003</b:Year>
    <b:City>Viborg</b:City>
    <b:Publisher>DR Multimedie</b:Publisher>
    <b:LCID>en-US</b:LCID>
    <b:Author>
      <b:Author>
        <b:NameList>
          <b:Person>
            <b:Last>Pahuus</b:Last>
            <b:First>Mogens</b:First>
          </b:Person>
        </b:NameList>
      </b:Author>
      <b:BookAuthor>
        <b:NameList>
          <b:Person>
            <b:Last>Collin</b:Last>
            <b:First>Finn</b:First>
          </b:Person>
          <b:Person>
            <b:Last>Køppe</b:Last>
            <b:First>Simo</b:First>
          </b:Person>
        </b:NameList>
      </b:BookAuthor>
    </b:Author>
    <b:BookTitle>Humanistisk Videnskabsteori</b:BookTitle>
    <b:Pages>140-169</b:Pages>
    <b:RefOrder>15</b:RefOrder>
  </b:Source>
  <b:Source>
    <b:Tag>Fin03</b:Tag>
    <b:SourceType>BookSection</b:SourceType>
    <b:Guid>{80AF7577-2B6D-4B34-AAB7-46DF5AC12493}</b:Guid>
    <b:LCID>en-US</b:LCID>
    <b:Author>
      <b:Author>
        <b:NameList>
          <b:Person>
            <b:Last>Collin</b:Last>
            <b:First>Finn</b:First>
          </b:Person>
        </b:NameList>
      </b:Author>
      <b:BookAuthor>
        <b:NameList>
          <b:Person>
            <b:Last>Collin</b:Last>
            <b:First>Finn</b:First>
          </b:Person>
          <b:Person>
            <b:Last>Køppe</b:Last>
            <b:First>Simo</b:First>
          </b:Person>
        </b:NameList>
      </b:BookAuthor>
    </b:Author>
    <b:Title>Socialkonstruktivisme i Humaniora</b:Title>
    <b:BookTitle>Humanistisk Videnskabsteori</b:BookTitle>
    <b:Year>2003</b:Year>
    <b:Pages>248-275</b:Pages>
    <b:City>Viborg</b:City>
    <b:Publisher>DR Multimedie</b:Publisher>
    <b:RefOrder>17</b:RefOrder>
  </b:Source>
  <b:Source>
    <b:Tag>Vin06</b:Tag>
    <b:SourceType>BookSection</b:SourceType>
    <b:Guid>{C90D2456-6C25-4B47-A690-950FDBFC08C1}</b:Guid>
    <b:LCID>en-US</b:LCID>
    <b:Author>
      <b:Author>
        <b:NameList>
          <b:Person>
            <b:Last>Keddie</b:Last>
            <b:First>Vince</b:First>
          </b:Person>
        </b:NameList>
      </b:Author>
      <b:BookAuthor>
        <b:NameList>
          <b:Person>
            <b:Last>Jupp</b:Last>
            <b:First>Victor</b:First>
          </b:Person>
        </b:NameList>
      </b:BookAuthor>
    </b:Author>
    <b:Title>Case Study Method</b:Title>
    <b:BookTitle>The SAGE dictionary of social research methods</b:BookTitle>
    <b:Year>2006</b:Year>
    <b:Pages>20-22</b:Pages>
    <b:City>New York</b:City>
    <b:Publisher>SAGE Publications Inc.</b:Publisher>
    <b:RefOrder>18</b:RefOrder>
  </b:Source>
  <b:Source>
    <b:Tag>Koh06</b:Tag>
    <b:SourceType>Report</b:SourceType>
    <b:Guid>{422D33EE-F743-40AD-8FB6-696C5ECE8C4B}</b:Guid>
    <b:Title>The Use of Qualitative Content Analysis in Case Study Research</b:Title>
    <b:Year>2006</b:Year>
    <b:Publisher>Forum Qualitative Sozialforschung / Forum: Qualitative Social Research, 7(1), Art. 21</b:Publisher>
    <b:ThesisType>Journal</b:ThesisType>
    <b:Author>
      <b:Author>
        <b:NameList>
          <b:Person>
            <b:Last>Kohlbacher</b:Last>
            <b:First>Florian</b:First>
          </b:Person>
        </b:NameList>
      </b:Author>
    </b:Author>
    <b:LCID>en-US</b:LCID>
    <b:Comments>http://nbn-resolving.de/urn:nbn:de:0114-fqs0601211.</b:Comments>
    <b:RefOrder>20</b:RefOrder>
  </b:Source>
  <b:Source>
    <b:Tag>Yin03</b:Tag>
    <b:SourceType>Book</b:SourceType>
    <b:Guid>{105F3927-A8DD-4645-BA73-3D6B193CB755}</b:Guid>
    <b:Title>Case Study Research: Design and Methods - Fourth Edition</b:Title>
    <b:Year>2009</b:Year>
    <b:City>London</b:City>
    <b:Publisher>SAGE Publications Ltd.</b:Publisher>
    <b:LCID>en-US</b:LCID>
    <b:Author>
      <b:Author>
        <b:NameList>
          <b:Person>
            <b:Last>Yin</b:Last>
            <b:First>Robert</b:First>
            <b:Middle>K.</b:Middle>
          </b:Person>
        </b:NameList>
      </b:Author>
    </b:Author>
    <b:JournalName>Applied Social Research Series Vol. 5</b:JournalName>
    <b:RefOrder>19</b:RefOrder>
  </b:Source>
  <b:Source>
    <b:Tag>Fra12</b:Tag>
    <b:SourceType>ElectronicSource</b:SourceType>
    <b:Guid>{EE9DFC0C-D4D0-47BF-BE17-C59308117D60}</b:Guid>
    <b:Title>Inside the Rhetorical Arena: Developing a multi-vocal approach to crisis communication</b:Title>
    <b:Year>2012</b:Year>
    <b:City>Örebro</b:City>
    <b:LCID>en-US</b:LCID>
    <b:Author>
      <b:Author>
        <b:NameList>
          <b:Person>
            <b:Last>Frandsen</b:Last>
            <b:First>Finn</b:First>
          </b:Person>
          <b:Person>
            <b:Last>Johansen</b:Last>
            <b:First>Winni</b:First>
          </b:Person>
        </b:NameList>
      </b:Author>
    </b:Author>
    <b:Month>November</b:Month>
    <b:Day>30</b:Day>
    <b:PublicationTitle>Aarhus University</b:PublicationTitle>
    <b:RefOrder>25</b:RefOrder>
  </b:Source>
  <b:Source>
    <b:Tag>Fin07</b:Tag>
    <b:SourceType>Book</b:SourceType>
    <b:Guid>{45D7EDA6-6122-4008-8C8A-1C274D59BE3C}</b:Guid>
    <b:Title>Krisekommunikation: når virksomhedens image og omdømme er truet</b:Title>
    <b:Year>2007</b:Year>
    <b:Publisher>Samfundslitteratur</b:Publisher>
    <b:LCID>en-US</b:LCID>
    <b:Author>
      <b:Author>
        <b:NameList>
          <b:Person>
            <b:Last>Frandsen</b:Last>
            <b:First>Finn</b:First>
          </b:Person>
          <b:Person>
            <b:Last>Johansen</b:Last>
            <b:First>Winni</b:First>
          </b:Person>
        </b:NameList>
      </b:Author>
    </b:Author>
    <b:RefOrder>22</b:RefOrder>
  </b:Source>
  <b:Source>
    <b:Tag>Tim13</b:Tag>
    <b:SourceType>Book</b:SourceType>
    <b:Guid>{B0309901-F0BB-43EC-B97B-DAA8F25A73A4}</b:Guid>
    <b:Title>Theorizing Crisis Communication</b:Title>
    <b:Year>2013</b:Year>
    <b:City>Chichester</b:City>
    <b:Publisher>Wiley-Blackwell</b:Publisher>
    <b:LCID>en-US</b:LCID>
    <b:Author>
      <b:Author>
        <b:NameList>
          <b:Person>
            <b:Last>Sellnow</b:Last>
            <b:First>Timothy</b:First>
            <b:Middle>L.</b:Middle>
          </b:Person>
          <b:Person>
            <b:Last>Seeger</b:Last>
            <b:First>Matthew</b:First>
            <b:Middle>W.</b:Middle>
          </b:Person>
        </b:NameList>
      </b:Author>
    </b:Author>
    <b:RefOrder>21</b:RefOrder>
  </b:Source>
  <b:Source>
    <b:Tag>WTi15</b:Tag>
    <b:SourceType>Book</b:SourceType>
    <b:Guid>{2B301C58-EAF1-42BE-8A2B-28D6E363C04F}</b:Guid>
    <b:Title>Ongoing Crisis Communication: Planning, Managing and Responding - Fourth Edition</b:Title>
    <b:Year>2015</b:Year>
    <b:City>Thoudsand Oaks</b:City>
    <b:Publisher>SAGE Publications Inc.</b:Publisher>
    <b:LCID>en-US</b:LCID>
    <b:Author>
      <b:Author>
        <b:NameList>
          <b:Person>
            <b:Last>Coombs</b:Last>
            <b:First>W.</b:First>
            <b:Middle>Timothy</b:Middle>
          </b:Person>
        </b:NameList>
      </b:Author>
    </b:Author>
    <b:RefOrder>48</b:RefOrder>
  </b:Source>
  <b:Source>
    <b:Tag>Coo12</b:Tag>
    <b:SourceType>ArticleInAPeriodical</b:SourceType>
    <b:Guid>{C386F5BF-E6FB-4726-B597-3BCB1D346EE9}</b:Guid>
    <b:Title>The paracrisis: The challenges created by publicly managing crisis prevention</b:Title>
    <b:Year>2012</b:Year>
    <b:LCID>en-US</b:LCID>
    <b:Author>
      <b:Author>
        <b:NameList>
          <b:Person>
            <b:Last>Coombs</b:Last>
            <b:First>W.</b:First>
            <b:Middle>Timothy</b:Middle>
          </b:Person>
          <b:Person>
            <b:Last>Holladay</b:Last>
            <b:First>J.</b:First>
            <b:Middle>Sherry</b:Middle>
          </b:Person>
        </b:NameList>
      </b:Author>
    </b:Author>
    <b:JournalName>Public Relations Review</b:JournalName>
    <b:Pages>408-215</b:Pages>
    <b:PeriodicalTitle>Public Relations Review</b:PeriodicalTitle>
    <b:Month>April</b:Month>
    <b:Day>6</b:Day>
    <b:RefOrder>49</b:RefOrder>
  </b:Source>
  <b:Source>
    <b:Tag>Kel12</b:Tag>
    <b:SourceType>ArticleInAPeriodical</b:SourceType>
    <b:Guid>{B79E18AB-474C-49BB-9410-0695773CEB83}</b:Guid>
    <b:Title>Tech Celeb Makes Prop-8 Donation; Internet Goes Berserk</b:Title>
    <b:Year>2012</b:Year>
    <b:LCID>en-US</b:LCID>
    <b:Author>
      <b:Author>
        <b:NameList>
          <b:Person>
            <b:Last>Faircloth</b:Last>
            <b:First>Kelly</b:First>
          </b:Person>
        </b:NameList>
      </b:Author>
    </b:Author>
    <b:PeriodicalTitle>Observer</b:PeriodicalTitle>
    <b:Month>April</b:Month>
    <b:Day>9</b:Day>
    <b:RefOrder>50</b:RefOrder>
  </b:Source>
  <b:Source>
    <b:Tag>Pro07</b:Tag>
    <b:SourceType>JournalArticle</b:SourceType>
    <b:Guid>{64286778-46B8-4EDE-A801-EF7FDE0C91F7}</b:Guid>
    <b:Title>Protecting Organization Reputations During a Crisis: The Development and Application of Situational Crisis Communication Theory</b:Title>
    <b:Year>2007</b:Year>
    <b:Pages>163-176</b:Pages>
    <b:JournalName>Corporate Reputation Review Volume 10 Number 3</b:JournalName>
    <b:LCID>en-US</b:LCID>
    <b:Author>
      <b:Author>
        <b:NameList>
          <b:Person>
            <b:Last>Coombs</b:Last>
            <b:First>W.</b:First>
            <b:Middle>Timothy</b:Middle>
          </b:Person>
        </b:NameList>
      </b:Author>
    </b:Author>
    <b:RefOrder>3</b:RefOrder>
  </b:Source>
  <b:Source>
    <b:Tag>Ben97</b:Tag>
    <b:SourceType>JournalArticle</b:SourceType>
    <b:Guid>{D2CCCD1D-BD8A-4583-9B8B-C1C4F43CF915}</b:Guid>
    <b:Title>Image repair discourse and crisis communication</b:Title>
    <b:Year>1997</b:Year>
    <b:LCID>en-US</b:LCID>
    <b:Author>
      <b:Author>
        <b:NameList>
          <b:Person>
            <b:Last>Benoit</b:Last>
            <b:First>W.</b:First>
            <b:Middle>L.</b:Middle>
          </b:Person>
        </b:NameList>
      </b:Author>
    </b:Author>
    <b:JournalName>Public Relations Review</b:JournalName>
    <b:Pages>177-186</b:Pages>
    <b:RefOrder>23</b:RefOrder>
  </b:Source>
  <b:Source>
    <b:Tag>KMH95</b:Tag>
    <b:SourceType>BookSection</b:SourceType>
    <b:Guid>{A6040C09-9957-4109-9B3C-3345B858DF9A}</b:Guid>
    <b:Title>From "We Didn´t Do it" to "It´s not Our Fault"</b:Title>
    <b:Year>1995</b:Year>
    <b:City>Westport</b:City>
    <b:Publisher>Praeger</b:Publisher>
    <b:LCID>en-US</b:LCID>
    <b:Author>
      <b:Author>
        <b:NameList>
          <b:Person>
            <b:Last>Hearit</b:Last>
            <b:First>K.</b:First>
            <b:Middle>M.</b:Middle>
          </b:Person>
        </b:NameList>
      </b:Author>
      <b:BookAuthor>
        <b:NameList>
          <b:Person>
            <b:Last>Elwood</b:Last>
            <b:First>W.</b:First>
            <b:Middle>N.</b:Middle>
          </b:Person>
        </b:NameList>
      </b:BookAuthor>
    </b:Author>
    <b:BookTitle>Public Relations Inquiry as Rhetorical Criticism</b:BookTitle>
    <b:RefOrder>51</b:RefOrder>
  </b:Source>
  <b:Source>
    <b:Tag>BLW73</b:Tag>
    <b:SourceType>JournalArticle</b:SourceType>
    <b:Guid>{2E7506E5-C5BC-44D1-B715-38CEFB3AB7E1}</b:Guid>
    <b:Title>They Spoke in Defense of Themselves: On the generic critisism of apoligia</b:Title>
    <b:Year>1973</b:Year>
    <b:LCID>en-US</b:LCID>
    <b:Author>
      <b:Author>
        <b:NameList>
          <b:Person>
            <b:Last>Ware</b:Last>
            <b:First>B.</b:First>
            <b:Middle>L.</b:Middle>
          </b:Person>
          <b:Person>
            <b:Last>Linkugel</b:Last>
            <b:First>W.</b:First>
            <b:Middle>A.</b:Middle>
          </b:Person>
        </b:NameList>
      </b:Author>
    </b:Author>
    <b:JournalName>Quarterly Journal of Speech, 59</b:JournalName>
    <b:Pages>273-83</b:Pages>
    <b:RefOrder>52</b:RefOrder>
  </b:Source>
  <b:Source>
    <b:Tag>KBu70</b:Tag>
    <b:SourceType>Book</b:SourceType>
    <b:Guid>{8593530F-144A-427B-9AAF-E9D72459F3A5}</b:Guid>
    <b:Title>Rhetoric of Religion</b:Title>
    <b:Year>1970</b:Year>
    <b:LCID>en-US</b:LCID>
    <b:Author>
      <b:Author>
        <b:NameList>
          <b:Person>
            <b:Last>Burke</b:Last>
            <b:First>K.</b:First>
          </b:Person>
        </b:NameList>
      </b:Author>
    </b:Author>
    <b:City>Berkeley</b:City>
    <b:Publisher>University of California Press</b:Publisher>
    <b:RefOrder>53</b:RefOrder>
  </b:Source>
  <b:Source>
    <b:Tag>MHS68</b:Tag>
    <b:SourceType>JournalArticle</b:SourceType>
    <b:Guid>{F835FDB2-0BF2-4B04-8E95-D21625521BA1}</b:Guid>
    <b:LCID>en-US</b:LCID>
    <b:Author>
      <b:Author>
        <b:NameList>
          <b:Person>
            <b:Last>Scott</b:Last>
            <b:First>M.</b:First>
            <b:Middle>H.</b:Middle>
          </b:Person>
          <b:Person>
            <b:Last>Lyman</b:Last>
            <b:First>S.</b:First>
            <b:Middle>M.</b:Middle>
          </b:Person>
        </b:NameList>
      </b:Author>
    </b:Author>
    <b:Title>Accounts</b:Title>
    <b:JournalName>American Sociological Review, 33</b:JournalName>
    <b:Year>1968</b:Year>
    <b:Pages>46-62</b:Pages>
    <b:RefOrder>54</b:RefOrder>
  </b:Source>
  <b:Source>
    <b:Tag>Wil05</b:Tag>
    <b:SourceType>BookSection</b:SourceType>
    <b:Guid>{A15B91C7-37C0-4C11-B67B-B2728740CE8B}</b:Guid>
    <b:Title>Image Restoration Theory</b:Title>
    <b:Year>2005</b:Year>
    <b:Pages>407-410</b:Pages>
    <b:LCID>en-US</b:LCID>
    <b:Author>
      <b:Author>
        <b:NameList>
          <b:Person>
            <b:Last>Benoit</b:Last>
            <b:First>William</b:First>
            <b:Middle>L.</b:Middle>
          </b:Person>
        </b:NameList>
      </b:Author>
      <b:BookAuthor>
        <b:NameList>
          <b:Person>
            <b:Last>Heath</b:Last>
            <b:First>Robert</b:First>
            <b:Middle>L.</b:Middle>
          </b:Person>
        </b:NameList>
      </b:BookAuthor>
    </b:Author>
    <b:BookTitle>Encyclopedia of Public Relations Vol. 1</b:BookTitle>
    <b:City>Houston</b:City>
    <b:Publisher>SAGE Publications Inc.</b:Publisher>
    <b:RefOrder>55</b:RefOrder>
  </b:Source>
  <b:Source>
    <b:Tag>Ben00</b:Tag>
    <b:SourceType>JournalArticle</b:SourceType>
    <b:Guid>{37390822-56D1-4B59-B0DE-AB0F1737B4F7}</b:Guid>
    <b:LCID>en-US</b:LCID>
    <b:Author>
      <b:Author>
        <b:NameList>
          <b:Person>
            <b:Last>Benoit</b:Last>
            <b:First>William</b:First>
            <b:Middle>L.</b:Middle>
          </b:Person>
        </b:NameList>
      </b:Author>
    </b:Author>
    <b:Title>Another Visit to the Theory of Image Restorations Strategies</b:Title>
    <b:PeriodicalTitle>Communication Quarterly Vol. 48 No. 1</b:PeriodicalTitle>
    <b:Year>2000</b:Year>
    <b:Pages>40-44</b:Pages>
    <b:JournalName>Communication Quarterly Vol. 48 No. 1</b:JournalName>
    <b:RefOrder>56</b:RefOrder>
  </b:Source>
  <b:Source>
    <b:Tag>Wil971</b:Tag>
    <b:SourceType>JournalArticle</b:SourceType>
    <b:Guid>{8B1E0BA0-AB7B-44FC-82F9-8E9BA7B9828D}</b:Guid>
    <b:Title>Image Repair Discourse and Crisis Communication</b:Title>
    <b:Year>1997</b:Year>
    <b:Pages>177-186</b:Pages>
    <b:LCID>en-US</b:LCID>
    <b:Author>
      <b:Author>
        <b:NameList>
          <b:Person>
            <b:Last>Benoit</b:Last>
            <b:First>William</b:First>
            <b:Middle>L.</b:Middle>
          </b:Person>
        </b:NameList>
      </b:Author>
    </b:Author>
    <b:JournalName>Public Relations Review Vol. 23</b:JournalName>
    <b:RefOrder>57</b:RefOrder>
  </b:Source>
  <b:Source>
    <b:Tag>And13</b:Tag>
    <b:SourceType>BookSection</b:SourceType>
    <b:Guid>{1D71CC9E-CBF7-4E62-9689-1463166A98F7}</b:Guid>
    <b:Title>Scapegoating</b:Title>
    <b:Year>2013</b:Year>
    <b:LCID>en-US</b:LCID>
    <b:Author>
      <b:Author>
        <b:NameList>
          <b:Person>
            <b:Last>Schwarz</b:Last>
            <b:First>Andreas</b:First>
          </b:Person>
        </b:NameList>
      </b:Author>
      <b:BookAuthor>
        <b:NameList>
          <b:Person>
            <b:Last>Penuel</b:Last>
            <b:First>K.</b:First>
            <b:Middle>Bradley</b:Middle>
          </b:Person>
          <b:Person>
            <b:Last>Statler</b:Last>
            <b:First>Matt</b:First>
          </b:Person>
          <b:Person>
            <b:Last>Hagen</b:Last>
            <b:First>Ryan</b:First>
          </b:Person>
        </b:NameList>
      </b:BookAuthor>
    </b:Author>
    <b:BookTitle>Encyclopedia of Crisis Management</b:BookTitle>
    <b:City>Thousand Oaks</b:City>
    <b:Publisher>SAGE Publications, Inc.</b:Publisher>
    <b:RefOrder>59</b:RefOrder>
  </b:Source>
  <b:Source>
    <b:Tag>Wil94</b:Tag>
    <b:SourceType>JournalArticle</b:SourceType>
    <b:Guid>{1D18AABC-8975-47C9-94F1-4A5B9A9BB6FC}</b:Guid>
    <b:LCID>en-US</b:LCID>
    <b:Author>
      <b:Author>
        <b:NameList>
          <b:Person>
            <b:Last>Benoit</b:Last>
            <b:First>William</b:First>
          </b:Person>
          <b:Person>
            <b:Last>Hanczor</b:Last>
            <b:First>Robert</b:First>
            <b:Middle>S.</b:Middle>
          </b:Person>
        </b:NameList>
      </b:Author>
    </b:Author>
    <b:Title>The Tonya Harding controversy: An analysis of image restoration strategies</b:Title>
    <b:JournalName>Communication Quarterly Vol. 42,4</b:JournalName>
    <b:Year>1994</b:Year>
    <b:Pages>416-433</b:Pages>
    <b:RefOrder>58</b:RefOrder>
  </b:Source>
  <b:Source>
    <b:Tag>Wil97</b:Tag>
    <b:SourceType>JournalArticle</b:SourceType>
    <b:Guid>{B23E8C59-F015-4BA2-810F-BCD0361D1FFE}</b:Guid>
    <b:Title>Appropriateness and Effectiveness of Image Repair Strategies</b:Title>
    <b:Year>1997</b:Year>
    <b:Pages>153-163</b:Pages>
    <b:LCID>en-US</b:LCID>
    <b:Author>
      <b:Author>
        <b:NameList>
          <b:Person>
            <b:Last>Benoit</b:Last>
            <b:First>William</b:First>
            <b:Middle>L.</b:Middle>
          </b:Person>
          <b:Person>
            <b:Last>Drew</b:Last>
            <b:First>Shirley</b:First>
          </b:Person>
        </b:NameList>
      </b:Author>
    </b:Author>
    <b:JournalName>Communication Reports, Volume 10, No. 2, Summer</b:JournalName>
    <b:RefOrder>2</b:RefOrder>
  </b:Source>
  <b:Source>
    <b:Tag>Bur00</b:Tag>
    <b:SourceType>JournalArticle</b:SourceType>
    <b:Guid>{931FCD7B-4573-4E5C-A8DE-924FBD2BF4FB}</b:Guid>
    <b:LCID>en-US</b:LCID>
    <b:Author>
      <b:Author>
        <b:NameList>
          <b:Person>
            <b:Last>Burns</b:Last>
            <b:First>J.</b:First>
            <b:Middle>P</b:Middle>
          </b:Person>
          <b:Person>
            <b:Last>Bruner</b:Last>
            <b:First>M.</b:First>
            <b:Middle>S.</b:Middle>
          </b:Person>
        </b:NameList>
      </b:Author>
    </b:Author>
    <b:Title>Revisiting the theory of Image Restoration Strategies</b:Title>
    <b:JournalName>Communication Quarterly</b:JournalName>
    <b:Year>2000</b:Year>
    <b:RefOrder>60</b:RefOrder>
  </b:Source>
  <b:Source>
    <b:Tag>Wil00</b:Tag>
    <b:SourceType>JournalArticle</b:SourceType>
    <b:Guid>{BA539339-8B02-41BC-9E41-842B0A9A7E66}</b:Guid>
    <b:LCID>en-US</b:LCID>
    <b:Author>
      <b:Author>
        <b:NameList>
          <b:Person>
            <b:Last>Benoit</b:Last>
            <b:First>William</b:First>
            <b:Middle>L.</b:Middle>
          </b:Person>
        </b:NameList>
      </b:Author>
    </b:Author>
    <b:Title>Another visit to the theory of image restoration strategies</b:Title>
    <b:JournalName>Communication Quarterly Vol. 48.1</b:JournalName>
    <b:Year>2000</b:Year>
    <b:Pages>40-43</b:Pages>
    <b:RefOrder>61</b:RefOrder>
  </b:Source>
  <b:Source>
    <b:Tag>Tim02</b:Tag>
    <b:SourceType>JournalArticle</b:SourceType>
    <b:Guid>{C7099D96-B2A8-4CBB-9426-1903025B3860}</b:Guid>
    <b:Title>Helping Crisis Managers Protect Reputational Assets</b:Title>
    <b:Year>2002</b:Year>
    <b:Pages>165-186</b:Pages>
    <b:LCID>en-US</b:LCID>
    <b:Author>
      <b:Author>
        <b:NameList>
          <b:Person>
            <b:Last>Coombs</b:Last>
            <b:First>Timothy</b:First>
          </b:Person>
          <b:Person>
            <b:Last>Holladay</b:Last>
            <b:First>Sherry</b:First>
          </b:Person>
        </b:NameList>
      </b:Author>
    </b:Author>
    <b:JournalName>Management Communication Quarterly Vol 16</b:JournalName>
    <b:RefOrder>62</b:RefOrder>
  </b:Source>
  <b:Source>
    <b:Tag>WTi09</b:Tag>
    <b:SourceType>BookSection</b:SourceType>
    <b:Guid>{45ACDED7-42E8-411B-8E6D-AFD52594A7B6}</b:Guid>
    <b:Title>Conceptualizing Crisis Communication</b:Title>
    <b:Year>2009</b:Year>
    <b:Pages>99-118</b:Pages>
    <b:LCID>en-US</b:LCID>
    <b:Author>
      <b:Author>
        <b:NameList>
          <b:Person>
            <b:Last>Coombs</b:Last>
            <b:First>W.</b:First>
            <b:Middle>Timothy</b:Middle>
          </b:Person>
        </b:NameList>
      </b:Author>
      <b:BookAuthor>
        <b:NameList>
          <b:Person>
            <b:Last>L.Heath</b:Last>
            <b:First>Robert</b:First>
          </b:Person>
          <b:Person>
            <b:Last>O’Hair</b:Last>
            <b:First>H.Dan</b:First>
          </b:Person>
        </b:NameList>
      </b:BookAuthor>
    </b:Author>
    <b:BookTitle>Handbook of Risk and Crisis Communication</b:BookTitle>
    <b:City>New York</b:City>
    <b:Publisher>Routledge</b:Publisher>
    <b:RefOrder>63</b:RefOrder>
  </b:Source>
  <b:Source>
    <b:Tag>Pri89</b:Tag>
    <b:SourceType>BookSection</b:SourceType>
    <b:Guid>{549898F9-BA73-427E-998E-8BCC3C9CF515}</b:Guid>
    <b:Title>Game Theory: A New Paradigm for the Public Relations Process</b:Title>
    <b:Year>1989</b:Year>
    <b:Pages>173-192</b:Pages>
    <b:LCID>en-US</b:LCID>
    <b:Author>
      <b:Author>
        <b:NameList>
          <b:Person>
            <b:Last>Murphy</b:Last>
            <b:First>Priscilla</b:First>
          </b:Person>
        </b:NameList>
      </b:Author>
      <b:BookAuthor>
        <b:NameList>
          <b:Person>
            <b:Last>Botan</b:Last>
            <b:First>C.</b:First>
          </b:Person>
          <b:Person>
            <b:Last>Hazleton</b:Last>
            <b:First>V.</b:First>
          </b:Person>
        </b:NameList>
      </b:BookAuthor>
    </b:Author>
    <b:BookTitle>Public Relations Theory</b:BookTitle>
    <b:City>Hillsdale</b:City>
    <b:Publisher>Lawrence Erlbaum</b:Publisher>
    <b:RefOrder>64</b:RefOrder>
  </b:Source>
  <b:Source>
    <b:Tag>Mat03</b:Tag>
    <b:SourceType>Book</b:SourceType>
    <b:Guid>{E343C63E-8684-4916-AF09-B5E71DEB91D4}</b:Guid>
    <b:Title>Communication and Organizational Crisis</b:Title>
    <b:Year>2003</b:Year>
    <b:City>Westport</b:City>
    <b:Publisher>Praeger</b:Publisher>
    <b:LCID>en-US</b:LCID>
    <b:Author>
      <b:Author>
        <b:NameList>
          <b:Person>
            <b:Last>Seeger</b:Last>
            <b:First>Mathew</b:First>
          </b:Person>
          <b:Person>
            <b:Last>Sellnow</b:Last>
            <b:First>Timothy</b:First>
          </b:Person>
          <b:Person>
            <b:Last>Ulmer</b:Last>
            <b:First>Robert</b:First>
          </b:Person>
        </b:NameList>
      </b:Author>
    </b:Author>
    <b:RefOrder>65</b:RefOrder>
  </b:Source>
  <b:Source>
    <b:Tag>Nor101</b:Tag>
    <b:SourceType>Book</b:SourceType>
    <b:Guid>{4585333B-E016-4993-97A0-919971C5CD46}</b:Guid>
    <b:Title>Critical Discourse Analysis: The Critical Study of Language</b:Title>
    <b:City>Edinburgh</b:City>
    <b:Year>2010</b:Year>
    <b:LCID>en-US</b:LCID>
    <b:Author>
      <b:Author>
        <b:NameList>
          <b:Person>
            <b:Last>Fairclough</b:Last>
            <b:First>Norman</b:First>
          </b:Person>
        </b:NameList>
      </b:Author>
    </b:Author>
    <b:Publisher>Pearson Education Limited</b:Publisher>
    <b:RefOrder>41</b:RefOrder>
  </b:Source>
  <b:Source>
    <b:Tag>Rog79</b:Tag>
    <b:SourceType>Book</b:SourceType>
    <b:Guid>{077DEE01-AE62-4BED-9E47-3530B4854B68}</b:Guid>
    <b:LCID>en-US</b:LCID>
    <b:Author>
      <b:Author>
        <b:NameList>
          <b:Person>
            <b:Last>Fowler</b:Last>
            <b:First>Roger</b:First>
          </b:Person>
          <b:Person>
            <b:Last>Hodge</b:Last>
            <b:First>Robert</b:First>
          </b:Person>
          <b:Person>
            <b:Last>Kress</b:Last>
            <b:First>Gunter</b:First>
          </b:Person>
          <b:Person>
            <b:Last>Trew</b:Last>
            <b:First>Tony</b:First>
          </b:Person>
        </b:NameList>
      </b:Author>
    </b:Author>
    <b:Title>Language and Control</b:Title>
    <b:Year>1979</b:Year>
    <b:City>London</b:City>
    <b:Publisher>Routledge</b:Publisher>
    <b:RefOrder>66</b:RefOrder>
  </b:Source>
  <b:Source>
    <b:Tag>Dav12</b:Tag>
    <b:SourceType>Book</b:SourceType>
    <b:Guid>{76F50A7A-3616-4BAB-98FB-EE3F2A0EE98F}</b:Guid>
    <b:LCID>en-US</b:LCID>
    <b:Author>
      <b:Author>
        <b:NameList>
          <b:Person>
            <b:Last>Machin</b:Last>
            <b:First>David</b:First>
          </b:Person>
          <b:Person>
            <b:Last>Mayr</b:Last>
            <b:First>Andrea</b:First>
          </b:Person>
        </b:NameList>
      </b:Author>
    </b:Author>
    <b:Title>How To Do Critical Discourse Analysis: A Multivocal Introduction</b:Title>
    <b:Year>2012</b:Year>
    <b:City>London</b:City>
    <b:Publisher>SAGE Publications Ltd.</b:Publisher>
    <b:RefOrder>42</b:RefOrder>
  </b:Source>
  <b:Source>
    <b:Tag>Nor92</b:Tag>
    <b:SourceType>Book</b:SourceType>
    <b:Guid>{9F4A84C3-3A89-4032-B752-0459F83B2225}</b:Guid>
    <b:LCID>en-US</b:LCID>
    <b:Author>
      <b:Author>
        <b:NameList>
          <b:Person>
            <b:Last>Fairclough</b:Last>
            <b:First>Norman</b:First>
          </b:Person>
        </b:NameList>
      </b:Author>
    </b:Author>
    <b:Title>Discourse and Social Change</b:Title>
    <b:Year>1992</b:Year>
    <b:City>Cambridge</b:City>
    <b:Publisher>Polity Press</b:Publisher>
    <b:RefOrder>67</b:RefOrder>
  </b:Source>
  <b:Source>
    <b:Tag>Nor10</b:Tag>
    <b:SourceType>Book</b:SourceType>
    <b:Guid>{5FDE13EF-272E-40BD-9C2C-617BFA292286}</b:Guid>
    <b:LCID>en-US</b:LCID>
    <b:Author>
      <b:Author>
        <b:NameList>
          <b:Person>
            <b:Last>Fairclough</b:Last>
            <b:First>Norman</b:First>
          </b:Person>
        </b:NameList>
      </b:Author>
    </b:Author>
    <b:Title>Critical Discourse Analysis</b:Title>
    <b:Year>2010</b:Year>
    <b:Publisher>Longman</b:Publisher>
    <b:RefOrder>68</b:RefOrder>
  </b:Source>
  <b:Source>
    <b:Tag>Rut01</b:Tag>
    <b:SourceType>BookSection</b:SourceType>
    <b:Guid>{E91B723E-A066-4DAD-9FFE-7CB9F47626C9}</b:Guid>
    <b:Title>The Discourse-historical Approach</b:Title>
    <b:Year>2001</b:Year>
    <b:City>London </b:City>
    <b:Publisher>Sage</b:Publisher>
    <b:LCID>en-US</b:LCID>
    <b:Author>
      <b:BookAuthor>
        <b:NameList>
          <b:Person>
            <b:Last>Wodak</b:Last>
            <b:First>Ruth</b:First>
          </b:Person>
          <b:Person>
            <b:Last>Meyer</b:Last>
            <b:First>M.</b:First>
          </b:Person>
        </b:NameList>
      </b:BookAuthor>
    </b:Author>
    <b:BookTitle>Methods of Critical Discourse Analysis</b:BookTitle>
    <b:Pages>87-122</b:Pages>
    <b:RefOrder>69</b:RefOrder>
  </b:Source>
  <b:Source>
    <b:Tag>RWo01</b:Tag>
    <b:SourceType>BookSection</b:SourceType>
    <b:Guid>{9EB8D5A3-6D05-467B-98A1-12D52731DC19}</b:Guid>
    <b:LCID>en-US</b:LCID>
    <b:Title>Multidisiplinary CDA: A Pleas for Diversity</b:Title>
    <b:Author>
      <b:BookAuthor>
        <b:NameList>
          <b:Person>
            <b:Last>Wodak</b:Last>
            <b:First>R.</b:First>
          </b:Person>
          <b:Person>
            <b:Last>Meyer</b:Last>
            <b:First>M.</b:First>
          </b:Person>
        </b:NameList>
      </b:BookAuthor>
      <b:Author>
        <b:NameList>
          <b:Person>
            <b:Last>Dijk</b:Last>
            <b:First>Teun</b:First>
            <b:Middle>Van</b:Middle>
          </b:Person>
        </b:NameList>
      </b:Author>
    </b:Author>
    <b:BookTitle>Methods of Critical Discourse Analysis</b:BookTitle>
    <b:Year>2001</b:Year>
    <b:Pages>95-120</b:Pages>
    <b:City>London</b:City>
    <b:Publisher>Sage</b:Publisher>
    <b:RefOrder>70</b:RefOrder>
  </b:Source>
  <b:Source>
    <b:Tag>Mar12</b:Tag>
    <b:SourceType>Report</b:SourceType>
    <b:Guid>{DB68DA32-2ECB-4F6E-919B-396ABA31FFF5}</b:Guid>
    <b:Title>Uncovering Corporate Social Responsibility: Deparadoxation of power in the CSR-discourse</b:Title>
    <b:Year>2012</b:Year>
    <b:City>Trondheim</b:City>
    <b:Publisher>Norwegian University of Science and Technology</b:Publisher>
    <b:LCID>en-US</b:LCID>
    <b:Author>
      <b:Author>
        <b:NameList>
          <b:Person>
            <b:Last>Aasprong</b:Last>
            <b:First>Marius</b:First>
            <b:Middle>Lervåg</b:Middle>
          </b:Person>
        </b:NameList>
      </b:Author>
    </b:Author>
    <b:ThesisType>Master's Thesis</b:ThesisType>
    <b:RefOrder>71</b:RefOrder>
  </b:Source>
  <b:Source>
    <b:Tag>Emm08</b:Tag>
    <b:SourceType>Report</b:SourceType>
    <b:Guid>{E21FE6E1-7AF9-446E-B5F6-D804458B6946}</b:Guid>
    <b:Title>Controlling discourse on CSR: An analysis of the Belgian case</b:Title>
    <b:Year>2008</b:Year>
    <b:LCID>en-US</b:LCID>
    <b:Author>
      <b:Author>
        <b:NameList>
          <b:Person>
            <b:Last>Michotte</b:Last>
            <b:First>Emmanuelle</b:First>
          </b:Person>
        </b:NameList>
      </b:Author>
    </b:Author>
    <b:Publisher>International Conference on Organizational Discourse: Translations, Transformations and Transgressions. </b:Publisher>
    <b:City>London</b:City>
    <b:ThesisType>Paper</b:ThesisType>
    <b:RefOrder>72</b:RefOrder>
  </b:Source>
  <b:Source>
    <b:Tag>Ern85</b:Tag>
    <b:SourceType>Book</b:SourceType>
    <b:Guid>{85AFC9BA-C6A6-4953-9F16-AF75A9576BE0}</b:Guid>
    <b:LCID>en-US</b:LCID>
    <b:Author>
      <b:Author>
        <b:NameList>
          <b:Person>
            <b:Last>Laclau</b:Last>
            <b:First>Ernesto</b:First>
          </b:Person>
          <b:Person>
            <b:Last>Mouffe</b:Last>
            <b:First>Chantal</b:First>
          </b:Person>
        </b:NameList>
      </b:Author>
    </b:Author>
    <b:Title>Hegemony and socialist strategy : towards a radical democratic politics</b:Title>
    <b:Year>1985</b:Year>
    <b:City>London</b:City>
    <b:Publisher>Verso</b:Publisher>
    <b:RefOrder>40</b:RefOrder>
  </b:Source>
  <b:Source>
    <b:Tag>Mar02</b:Tag>
    <b:SourceType>Book</b:SourceType>
    <b:Guid>{20B7EEAF-9B93-4643-810D-89BD58609E53}</b:Guid>
    <b:Title>Discourse Analysis as Theory and Method</b:Title>
    <b:Year>2002</b:Year>
    <b:Publisher>SAGE Publications</b:Publisher>
    <b:City>London</b:City>
    <b:LCID>en-US</b:LCID>
    <b:Author>
      <b:Author>
        <b:NameList>
          <b:Person>
            <b:Last>Jørgensen</b:Last>
            <b:First>Marianne</b:First>
          </b:Person>
          <b:Person>
            <b:Last>Phillips</b:Last>
            <b:First>Louise</b:First>
            <b:Middle>J.</b:Middle>
          </b:Person>
        </b:NameList>
      </b:Author>
    </b:Author>
    <b:RefOrder>73</b:RefOrder>
  </b:Source>
  <b:Source>
    <b:Tag>Ant71</b:Tag>
    <b:SourceType>Book</b:SourceType>
    <b:Guid>{33BEB1FB-A721-47C1-B299-4E2603BEA347}</b:Guid>
    <b:LCID>en-US</b:LCID>
    <b:Author>
      <b:Author>
        <b:NameList>
          <b:Person>
            <b:Last>Gramsci</b:Last>
            <b:First>Antonio</b:First>
          </b:Person>
        </b:NameList>
      </b:Author>
    </b:Author>
    <b:Title>Selections from Prison Notebooks</b:Title>
    <b:Year>1971</b:Year>
    <b:City>London</b:City>
    <b:Publisher>Lawrence and Wishart</b:Publisher>
    <b:RefOrder>74</b:RefOrder>
  </b:Source>
  <b:Source>
    <b:Tag>Mou08</b:Tag>
    <b:SourceType>InternetSite</b:SourceType>
    <b:Guid>{611CA842-DDAC-4437-BD2F-B7D8E54C2DE7}</b:Guid>
    <b:Title>Critique as Counter-Hegemonic Intervention</b:Title>
    <b:Year>2008</b:Year>
    <b:Publisher>Vienna: European Institute for Progressive Cultural Policies</b:Publisher>
    <b:InternetSiteTitle>Transversal multilingual webjournal</b:InternetSiteTitle>
    <b:Month>April</b:Month>
    <b:YearAccessed>2015</b:YearAccessed>
    <b:MonthAccessed>April</b:MonthAccessed>
    <b:DayAccessed>2</b:DayAccessed>
    <b:URL>http://eipcp.net/transversal/0808/mouffe/en</b:URL>
    <b:LCID>en-US</b:LCID>
    <b:Author>
      <b:Author>
        <b:NameList>
          <b:Person>
            <b:Last>Mouffe</b:Last>
            <b:First>Chantal</b:First>
          </b:Person>
        </b:NameList>
      </b:Author>
    </b:Author>
    <b:JournalName>Transversal multilingual webjournal</b:JournalName>
    <b:PeriodicalTitle>Transversal multilingual webjournal</b:PeriodicalTitle>
    <b:ProductionCompany>Vienna: European Institute for Progressive Cultural Policies</b:ProductionCompany>
    <b:RefOrder>75</b:RefOrder>
  </b:Source>
  <b:Source>
    <b:Tag>Mic02</b:Tag>
    <b:SourceType>Book</b:SourceType>
    <b:Guid>{BE29DD0A-81A5-4159-835E-03B620007727}</b:Guid>
    <b:Title>Archaeology of Knowledge</b:Title>
    <b:Year>2002</b:Year>
    <b:Publisher>Psychology Press</b:Publisher>
    <b:City>Hove</b:City>
    <b:LCID>en-US</b:LCID>
    <b:Author>
      <b:Author>
        <b:NameList>
          <b:Person>
            <b:Last>Foucault</b:Last>
            <b:First>Michel</b:First>
          </b:Person>
        </b:NameList>
      </b:Author>
    </b:Author>
    <b:RefOrder>76</b:RefOrder>
  </b:Source>
  <b:Source>
    <b:Tag>Jac99</b:Tag>
    <b:SourceType>Book</b:SourceType>
    <b:Guid>{83925142-8AAF-44C7-9E76-09C154CCA730}</b:Guid>
    <b:Title>New theories of discourse: Laclau, Mouffe and Zizek</b:Title>
    <b:Year>1999</b:Year>
    <b:City>Oxford</b:City>
    <b:Publisher>Blackwell Publishing Ltd</b:Publisher>
    <b:LCID>en-US</b:LCID>
    <b:Author>
      <b:Author>
        <b:NameList>
          <b:Person>
            <b:Last>Torfing</b:Last>
            <b:First>Jacob</b:First>
          </b:Person>
        </b:NameList>
      </b:Author>
    </b:Author>
    <b:RefOrder>77</b:RefOrder>
  </b:Source>
  <b:Source>
    <b:Tag>Nor5b</b:Tag>
    <b:SourceType>Book</b:SourceType>
    <b:Guid>{E801FFF3-3B11-456D-B6C6-6B0001AEC6B2}</b:Guid>
    <b:LCID>en-US</b:LCID>
    <b:Author>
      <b:Author>
        <b:NameList>
          <b:Person>
            <b:Last>Fairclough</b:Last>
            <b:First>Norman</b:First>
          </b:Person>
        </b:NameList>
      </b:Author>
    </b:Author>
    <b:Title>Media Discourse</b:Title>
    <b:Year>1995b</b:Year>
    <b:City>London</b:City>
    <b:Publisher>Edward Arnold</b:Publisher>
    <b:RefOrder>78</b:RefOrder>
  </b:Source>
  <b:Source>
    <b:Tag>Pau11</b:Tag>
    <b:SourceType>Book</b:SourceType>
    <b:Guid>{E0687464-2DD5-4690-83CA-E320197B72A9}</b:Guid>
    <b:Title>Key Terms in Discourse Analysis</b:Title>
    <b:Year>2011</b:Year>
    <b:LCID>en-US</b:LCID>
    <b:Author>
      <b:Author>
        <b:NameList>
          <b:Person>
            <b:Last>Baker</b:Last>
            <b:First>Paul</b:First>
          </b:Person>
          <b:Person>
            <b:Last>Ellege</b:Last>
            <b:First>Sibonile</b:First>
          </b:Person>
        </b:NameList>
      </b:Author>
    </b:Author>
    <b:City>London</b:City>
    <b:Publisher>Continuum International Publishing Group</b:Publisher>
    <b:RefOrder>79</b:RefOrder>
  </b:Source>
  <b:Source>
    <b:Tag>Pet10</b:Tag>
    <b:SourceType>JournalArticle</b:SourceType>
    <b:Guid>{8AC2D5A6-7FD7-406E-9264-CA47A57BD5D2}</b:Guid>
    <b:Title>Corporate Social Responsibility: Discourse, Narratives and Communication</b:Title>
    <b:Year>2010</b:Year>
    <b:LCID>en-US</b:LCID>
    <b:Author>
      <b:Author>
        <b:NameList>
          <b:Person>
            <b:Last>Dobers</b:Last>
            <b:First>Peter</b:First>
          </b:Person>
          <b:Person>
            <b:Last>Springett</b:Last>
            <b:First>Delyse</b:First>
          </b:Person>
        </b:NameList>
      </b:Author>
    </b:Author>
    <b:JournalName>Corporate Social Responsibility and Environmental Management - Volume 17, issue 2</b:JournalName>
    <b:Pages>63-69</b:Pages>
    <b:RefOrder>88</b:RefOrder>
  </b:Source>
  <b:Source>
    <b:Tag>Bow53</b:Tag>
    <b:SourceType>Book</b:SourceType>
    <b:Guid>{EBCF0907-ED64-4A2D-BF52-9B64C9BE8BD6}</b:Guid>
    <b:Title>Social Responsibility of the Businessman</b:Title>
    <b:Year>1953</b:Year>
    <b:LCID>en-US</b:LCID>
    <b:Author>
      <b:Author>
        <b:NameList>
          <b:Person>
            <b:Last>Bowen</b:Last>
            <b:First>Howard</b:First>
            <b:Middle>R.</b:Middle>
          </b:Person>
        </b:NameList>
      </b:Author>
    </b:Author>
    <b:City>New York</b:City>
    <b:Publisher>Harper &amp; Row</b:Publisher>
    <b:RefOrder>80</b:RefOrder>
  </b:Source>
  <b:Source>
    <b:Tag>Dav60</b:Tag>
    <b:SourceType>JournalArticle</b:SourceType>
    <b:Guid>{5C3B5FB7-359E-41D7-8260-7982CF1226F9}</b:Guid>
    <b:Title>Can business afford to ignore social responsibility?</b:Title>
    <b:Year>1960</b:Year>
    <b:LCID>en-US</b:LCID>
    <b:Author>
      <b:Author>
        <b:NameList>
          <b:Person>
            <b:Last>Davis</b:Last>
            <b:First>Keith</b:First>
          </b:Person>
        </b:NameList>
      </b:Author>
    </b:Author>
    <b:JournalName>California Management Review, 2</b:JournalName>
    <b:Pages>71-73</b:Pages>
    <b:RefOrder>81</b:RefOrder>
  </b:Source>
  <b:Source>
    <b:Tag>Joh71</b:Tag>
    <b:SourceType>Book</b:SourceType>
    <b:Guid>{AC5DFF00-DA64-48C8-A613-489D3D11D232}</b:Guid>
    <b:LCID>en-US</b:LCID>
    <b:Title>Business in Comtempoary Society: Framework and issues</b:Title>
    <b:Year>1971</b:Year>
    <b:Author>
      <b:Author>
        <b:NameList>
          <b:Person>
            <b:Last>Johnson</b:Last>
            <b:First>Harold</b:First>
          </b:Person>
        </b:NameList>
      </b:Author>
    </b:Author>
    <b:City>Belmont</b:City>
    <b:Publisher>CA: Wadsworth</b:Publisher>
    <b:RefOrder>82</b:RefOrder>
  </b:Source>
  <b:Source>
    <b:Tag>Fri70</b:Tag>
    <b:SourceType>JournalArticle</b:SourceType>
    <b:Guid>{DFC52698-0037-4E77-82DB-B7DD2565AC07}</b:Guid>
    <b:Title>The Social Responsibility of Business Is to Increase Its Profit </b:Title>
    <b:Year>1970</b:Year>
    <b:LCID>en-US</b:LCID>
    <b:Author>
      <b:Author>
        <b:NameList>
          <b:Person>
            <b:Last>Friedman</b:Last>
            <b:First>Milton</b:First>
          </b:Person>
        </b:NameList>
      </b:Author>
    </b:Author>
    <b:JournalName>Business Ethics Now (originally New York Times Magazine)</b:JournalName>
    <b:Pages>211-214</b:Pages>
    <b:RefOrder>83</b:RefOrder>
  </b:Source>
  <b:Source>
    <b:Tag>Set75</b:Tag>
    <b:SourceType>JournalArticle</b:SourceType>
    <b:Guid>{10B73BCB-9C9B-4E88-83F2-310411305630}</b:Guid>
    <b:LCID>en-US</b:LCID>
    <b:Author>
      <b:Author>
        <b:NameList>
          <b:Person>
            <b:Last>Sethi</b:Last>
            <b:First>S.</b:First>
            <b:Middle>P.</b:Middle>
          </b:Person>
        </b:NameList>
      </b:Author>
    </b:Author>
    <b:Title>Dimensions of Corporate Social Performance: An Analytic Framework</b:Title>
    <b:JournalName>Carlifornia Management Review, 17</b:JournalName>
    <b:Year>1975</b:Year>
    <b:Pages>58-64</b:Pages>
    <b:RefOrder>84</b:RefOrder>
  </b:Source>
  <b:Source>
    <b:Tag>Fai</b:Tag>
    <b:SourceType>Report</b:SourceType>
    <b:Guid>{2570E72F-6AED-4A31-AA7D-327FAD4A9AB0}</b:Guid>
    <b:Title>Corporate Social Responsibility: Differing definitions and Practices?</b:Title>
    <b:Publisher>School of Management - University of Bradford</b:Publisher>
    <b:City>Bradford</b:City>
    <b:ThesisType>Prepared for Business Strategy and the Environment Conference 2005, UK</b:ThesisType>
    <b:LCID>en-US</b:LCID>
    <b:Author>
      <b:Author>
        <b:NameList>
          <b:Person>
            <b:Last>Fairbrass</b:Last>
            <b:First>Jenny</b:First>
          </b:Person>
          <b:Person>
            <b:Last>O’Riordan</b:Last>
            <b:First>Linda</b:First>
          </b:Person>
          <b:Person>
            <b:Last>Mirza</b:Last>
            <b:First>Hafiz</b:First>
          </b:Person>
        </b:NameList>
      </b:Author>
    </b:Author>
    <b:Year>2005</b:Year>
    <b:RefOrder>85</b:RefOrder>
  </b:Source>
  <b:Source>
    <b:Tag>WBC02</b:Tag>
    <b:SourceType>Report</b:SourceType>
    <b:Guid>{3D0B8EE6-5988-499F-828B-748852FC541E}</b:Guid>
    <b:LCID>en-US</b:LCID>
    <b:Author>
      <b:Author>
        <b:Corporate>WBCSD</b:Corporate>
      </b:Author>
    </b:Author>
    <b:Title>Corporate Social Responsibility: Meeting changing expectations</b:Title>
    <b:Year>2002</b:Year>
    <b:Publisher>World Business Council for Sustainable Development</b:Publisher>
    <b:City>Conches-Geneva</b:City>
    <b:ThesisType>CSR Report</b:ThesisType>
    <b:RefOrder>115</b:RefOrder>
  </b:Source>
  <b:Source>
    <b:Tag>WTi121</b:Tag>
    <b:SourceType>BookSection</b:SourceType>
    <b:Guid>{942461F3-1063-4192-BE58-020020B42999}</b:Guid>
    <b:Title>Conceptualizing Corporate Social Responsibility</b:Title>
    <b:Year>2012</b:Year>
    <b:Pages>1-27</b:Pages>
    <b:City>Oxford</b:City>
    <b:Publisher>Blackwel lPublishing Ltd.</b:Publisher>
    <b:LCID>en-US</b:LCID>
    <b:Author>
      <b:Author>
        <b:NameList>
          <b:Person>
            <b:Last>Coombs</b:Last>
            <b:First>W.</b:First>
            <b:Middle>Timothy</b:Middle>
          </b:Person>
          <b:Person>
            <b:Last>Holladay</b:Last>
            <b:First>Sherry</b:First>
            <b:Middle>J.</b:Middle>
          </b:Person>
        </b:NameList>
      </b:Author>
      <b:BookAuthor>
        <b:NameList>
          <b:Person>
            <b:Last>Coombs</b:Last>
            <b:First>W.</b:First>
            <b:Middle>Timothy</b:Middle>
          </b:Person>
          <b:Person>
            <b:Last>Holladay</b:Last>
            <b:First>Sherry</b:First>
            <b:Middle>J.</b:Middle>
          </b:Person>
        </b:NameList>
      </b:BookAuthor>
    </b:Author>
    <b:BookTitle>Managing Corporate Social Responsibility: A Communication Approach, First Edition.</b:BookTitle>
    <b:RefOrder>4</b:RefOrder>
  </b:Source>
  <b:Source>
    <b:Tag>Jon06</b:Tag>
    <b:SourceType>JournalArticle</b:SourceType>
    <b:Guid>{5E2DA9AE-C5B7-429C-949A-916CABA698D1}</b:Guid>
    <b:Title>Confronting the “corporate citizen”: Shaping the discourse of corporate social responsibility</b:Title>
    <b:Year>2006</b:Year>
    <b:LCID>en-US</b:LCID>
    <b:Author>
      <b:Author>
        <b:NameList>
          <b:Person>
            <b:Last>Burchell</b:Last>
            <b:First>Jon</b:First>
          </b:Person>
          <b:Person>
            <b:Last>Cook</b:Last>
            <b:First>Joanne</b:First>
          </b:Person>
        </b:NameList>
      </b:Author>
    </b:Author>
    <b:JournalName>International Journal of Sociology and Social Policy</b:JournalName>
    <b:Pages>121-137</b:Pages>
    <b:RefOrder>87</b:RefOrder>
  </b:Source>
  <b:Source>
    <b:Tag>Mii11</b:Tag>
    <b:SourceType>Report</b:SourceType>
    <b:Guid>{07949DA7-D7C4-4AA8-A610-96209187451A}</b:Guid>
    <b:Title>CSR Discourse in Corporate Reports - Exploring the Socially Constructed Nature of Corporate Social Responsibility</b:Title>
    <b:Year>2011</b:Year>
    <b:LCID>en-US</b:LCID>
    <b:Author>
      <b:Author>
        <b:NameList>
          <b:Person>
            <b:Last>Itänen</b:Last>
            <b:First>Miia-Emilia</b:First>
          </b:Person>
        </b:NameList>
      </b:Author>
    </b:Author>
    <b:Publisher>Aalto University</b:Publisher>
    <b:City>Espoo</b:City>
    <b:ThesisType>Master's thesis</b:ThesisType>
    <b:RefOrder>89</b:RefOrder>
  </b:Source>
  <b:Source>
    <b:Tag>Bjø10</b:Tag>
    <b:SourceType>JournalArticle</b:SourceType>
    <b:Guid>{B7E7BE16-D694-4FC7-9030-DE9DA99EA609}</b:Guid>
    <b:Title>A reinterpretation of the principles of CSR: a pragmatic approach</b:Title>
    <b:Year>2010</b:Year>
    <b:LCID>en-US</b:LCID>
    <b:Author>
      <b:Author>
        <b:NameList>
          <b:Person>
            <b:Last>Blindheim</b:Last>
            <b:First>Bjørn-Tore</b:First>
          </b:Person>
          <b:Person>
            <b:Last>Langhelle</b:Last>
            <b:First>Oluf</b:First>
          </b:Person>
        </b:NameList>
      </b:Author>
    </b:Author>
    <b:JournalName>Corporate Social Responsibility and Environmental Management</b:JournalName>
    <b:Pages>107-117</b:Pages>
    <b:RefOrder>90</b:RefOrder>
  </b:Source>
  <b:Source>
    <b:Tag>Mic</b:Tag>
    <b:SourceType>ArticleInAPeriodical</b:SourceType>
    <b:Guid>{835BE945-88C9-47B2-802E-04B9D62440EE}</b:Guid>
    <b:Title>An Analysis of Corporate Social Responsibility at Credit: Line: A Narrative Approach</b:Title>
    <b:LCID>en-US</b:LCID>
    <b:Author>
      <b:Author>
        <b:NameList>
          <b:Person>
            <b:Last>Humphreys</b:Last>
            <b:First>Michael</b:First>
          </b:Person>
          <b:Person>
            <b:Last>Brown</b:Last>
            <b:First>Andrew</b:First>
            <b:Middle>D.</b:Middle>
          </b:Person>
        </b:NameList>
      </b:Author>
    </b:Author>
    <b:Year>2007</b:Year>
    <b:JournalName>Journal of Business Ethics, 80</b:JournalName>
    <b:Pages>403-418</b:Pages>
    <b:PeriodicalTitle>Journal of Business Ethics Vol. 80</b:PeriodicalTitle>
    <b:Month>May</b:Month>
    <b:Day>27</b:Day>
    <b:RefOrder>91</b:RefOrder>
  </b:Source>
  <b:Source>
    <b:Tag>Jes08</b:Tag>
    <b:SourceType>ArticleInAPeriodical</b:SourceType>
    <b:Guid>{BD947334-F6E4-45C6-B0AC-92697F8DA181}</b:Guid>
    <b:LCID>en-US</b:LCID>
    <b:Author>
      <b:Author>
        <b:NameList>
          <b:Person>
            <b:Last>McKinley</b:Last>
            <b:First>Jesse</b:First>
          </b:Person>
        </b:NameList>
      </b:Author>
    </b:Author>
    <b:Title>Top Court in California Will Review Proposition 8</b:Title>
    <b:PeriodicalTitle>The New York Times</b:PeriodicalTitle>
    <b:Year>2008</b:Year>
    <b:Month>November</b:Month>
    <b:Day>19</b:Day>
    <b:RefOrder>92</b:RefOrder>
  </b:Source>
  <b:Source>
    <b:Tag>Deb12</b:Tag>
    <b:SourceType>ArticleInAPeriodical</b:SourceType>
    <b:Guid>{767891E5-FFAC-47E8-9789-873487D6F99B}</b:Guid>
    <b:LCID>en-US</b:LCID>
    <b:Author>
      <b:Author>
        <b:NameList>
          <b:Person>
            <b:Last>Netburn</b:Last>
            <b:First>Deborah</b:First>
          </b:Person>
        </b:NameList>
      </b:Author>
    </b:Author>
    <b:Title>Brendan Eich's Prop. 8 contribution gets Twittersphere buzzing</b:Title>
    <b:PeriodicalTitle>Los Angeles Times</b:PeriodicalTitle>
    <b:Year>2012</b:Year>
    <b:Month>April</b:Month>
    <b:Day>4</b:Day>
    <b:RefOrder>93</b:RefOrder>
  </b:Source>
  <b:Source>
    <b:Tag>Bre12</b:Tag>
    <b:SourceType>DocumentFromInternetSite</b:SourceType>
    <b:Guid>{012C8F22-D437-4DEE-8328-5868F1B4F66A}</b:Guid>
    <b:Title>Brendan Eich</b:Title>
    <b:Year>2012</b:Year>
    <b:Month>April</b:Month>
    <b:Day>5</b:Day>
    <b:LCID>en-US</b:LCID>
    <b:Author>
      <b:Author>
        <b:NameList>
          <b:Person>
            <b:Last>Eich</b:Last>
            <b:First>Brendan</b:First>
          </b:Person>
        </b:NameList>
      </b:Author>
    </b:Author>
    <b:InternetSiteTitle>brendaneich.com</b:InternetSiteTitle>
    <b:YearAccessed>2015</b:YearAccessed>
    <b:MonthAccessed>April</b:MonthAccessed>
    <b:DayAccessed>19</b:DayAccessed>
    <b:URL>https://brendaneich.com/2012/04/community-and-diversity/</b:URL>
    <b:RefOrder>114</b:RefOrder>
  </b:Source>
  <b:Source>
    <b:Tag>Kel121</b:Tag>
    <b:SourceType>ArticleInAPeriodical</b:SourceType>
    <b:Guid>{48C7A847-48B0-42DD-B0B0-C28A7133A057}</b:Guid>
    <b:Title>Tech Celeb Makes Prop-8 Donation; Internet Goes Berserk</b:Title>
    <b:Year>2012</b:Year>
    <b:Month>April</b:Month>
    <b:Day>9</b:Day>
    <b:LCID>en-US</b:LCID>
    <b:Author>
      <b:Author>
        <b:NameList>
          <b:Person>
            <b:Last>Faircloth</b:Last>
            <b:First>Kelly</b:First>
          </b:Person>
        </b:NameList>
      </b:Author>
    </b:Author>
    <b:PeriodicalTitle>Observer</b:PeriodicalTitle>
    <b:RefOrder>94</b:RefOrder>
  </b:Source>
  <b:Source>
    <b:Tag>Moz14</b:Tag>
    <b:SourceType>DocumentFromInternetSite</b:SourceType>
    <b:Guid>{0B5FD18D-024F-407B-BCBF-1E9E80EE83F1}</b:Guid>
    <b:Title>Mozilla Press Center</b:Title>
    <b:Year>2014</b:Year>
    <b:Month>March</b:Month>
    <b:Day>24</b:Day>
    <b:LCID>en-US</b:LCID>
    <b:Author>
      <b:Author>
        <b:Corporate>Mozilla</b:Corporate>
      </b:Author>
    </b:Author>
    <b:InternetSiteTitle>Webpage for Mozilla Press Center</b:InternetSiteTitle>
    <b:YearAccessed>2015</b:YearAccessed>
    <b:MonthAccessed>April</b:MonthAccessed>
    <b:DayAccessed>19</b:DayAccessed>
    <b:URL>https://blog.mozilla.org/press/2014/03/mozilla-leadership-changes/</b:URL>
    <b:RefOrder>95</b:RefOrder>
  </b:Source>
  <b:Source>
    <b:Tag>Moz141</b:Tag>
    <b:SourceType>ArticleInAPeriodical</b:SourceType>
    <b:Guid>{4CA2A142-6802-4D86-8C11-253E707DDEC0}</b:Guid>
    <b:LCID>en-US</b:LCID>
    <b:Author>
      <b:Author>
        <b:Corporate>Mozilla</b:Corporate>
      </b:Author>
    </b:Author>
    <b:Title>FAQ on CEO Resignation</b:Title>
    <b:Year>2014</b:Year>
    <b:Month>April</b:Month>
    <b:Day>5</b:Day>
    <b:PeriodicalTitle>The Mozilla Blog</b:PeriodicalTitle>
    <b:RefOrder>96</b:RefOrder>
  </b:Source>
  <b:Source>
    <b:Tag>Sam14</b:Tag>
    <b:SourceType>ArticleInAPeriodical</b:SourceType>
    <b:Guid>{48B6A91D-7495-4FB5-8FFF-357FA37BBFEC}</b:Guid>
    <b:LCID>en-US</b:LCID>
    <b:Author>
      <b:Author>
        <b:NameList>
          <b:Person>
            <b:Last>Machkovech</b:Last>
            <b:First>Sam</b:First>
          </b:Person>
        </b:NameList>
      </b:Author>
    </b:Author>
    <b:Title>Gay Firefox developers boycott Mozilla to protest CEO hire</b:Title>
    <b:PeriodicalTitle>Condé Nast</b:PeriodicalTitle>
    <b:Year>2014</b:Year>
    <b:Month>March</b:Month>
    <b:Day>25</b:Day>
    <b:RefOrder>97</b:RefOrder>
  </b:Source>
  <b:Source>
    <b:Tag>Obe14</b:Tag>
    <b:SourceType>ElectronicSource</b:SourceType>
    <b:Guid>{5E2BC4E5-365F-4BB7-B546-2D13E921FF36}</b:Guid>
    <b:Title>Case Study: Firefox</b:Title>
    <b:Year>2014</b:Year>
    <b:Month>May</b:Month>
    <b:Day>7</b:Day>
    <b:LCID>en-US</b:LCID>
    <b:Author>
      <b:Author>
        <b:NameList>
          <b:Person>
            <b:Last>Oberlander</b:Last>
            <b:First>Kristin</b:First>
            <b:Middle>M.</b:Middle>
          </b:Person>
        </b:NameList>
      </b:Author>
    </b:Author>
    <b:Comments>http://www.slideshare.net/KristinOberlanderkob/crisis-case-study-firefox-45322183</b:Comments>
    <b:RefOrder>99</b:RefOrder>
  </b:Source>
  <b:Source>
    <b:Tag>Moz142</b:Tag>
    <b:SourceType>ArticleInAPeriodical</b:SourceType>
    <b:Guid>{7EDA76C9-E2B5-487B-96D8-2444C71D7568}</b:Guid>
    <b:LCID>en-US</b:LCID>
    <b:Author>
      <b:Author>
        <b:Corporate>Mozilla Foundation</b:Corporate>
      </b:Author>
    </b:Author>
    <b:Title>Mozilla Statement on Diversity</b:Title>
    <b:PeriodicalTitle>Mozilla Press Center</b:PeriodicalTitle>
    <b:Year>2014</b:Year>
    <b:Month>March</b:Month>
    <b:Day>25</b:Day>
    <b:RefOrder>98</b:RefOrder>
  </b:Source>
  <b:Source>
    <b:Tag>Sam141</b:Tag>
    <b:SourceType>ArticleInAPeriodical</b:SourceType>
    <b:Guid>{05D9BA75-CB4B-4B0F-904B-0CD97E6C68B4}</b:Guid>
    <b:LCID>en-US</b:LCID>
    <b:Author>
      <b:Author>
        <b:NameList>
          <b:Person>
            <b:Last>Machkovech</b:Last>
            <b:First>Sam</b:First>
          </b:Person>
        </b:NameList>
      </b:Author>
    </b:Author>
    <b:Title>Mozilla employees tell Brendan Eich he needs to “step down”</b:Title>
    <b:PeriodicalTitle>Condé Nast</b:PeriodicalTitle>
    <b:Year>2014</b:Year>
    <b:Month>March</b:Month>
    <b:Day>27</b:Day>
    <b:RefOrder>100</b:RefOrder>
  </b:Source>
  <b:Source>
    <b:Tag>Owe14</b:Tag>
    <b:SourceType>ArticleInAPeriodical</b:SourceType>
    <b:Guid>{7EE992D2-22A0-44B8-8CC4-2D682549D5A6}</b:Guid>
    <b:LCID>en-US</b:LCID>
    <b:Author>
      <b:Author>
        <b:NameList>
          <b:Person>
            <b:Last>Thomas</b:Last>
            <b:First>Owen</b:First>
          </b:Person>
        </b:NameList>
      </b:Author>
    </b:Author>
    <b:Title>Brendan Eich: Just Apologize For Supporting Proposition 8</b:Title>
    <b:PeriodicalTitle>Readwrite</b:PeriodicalTitle>
    <b:Year>2014</b:Year>
    <b:Month>March</b:Month>
    <b:Day>28</b:Day>
    <b:RefOrder>101</b:RefOrder>
  </b:Source>
  <b:Source>
    <b:Tag>Ali14</b:Tag>
    <b:SourceType>ArticleInAPeriodical</b:SourceType>
    <b:Guid>{B9CC52A0-E6FA-4061-AE82-5C88FCBF70F6}</b:Guid>
    <b:LCID>en-US</b:LCID>
    <b:Author>
      <b:Author>
        <b:NameList>
          <b:Person>
            <b:Last>Barr</b:Last>
            <b:First>Alistair</b:First>
          </b:Person>
        </b:NameList>
      </b:Author>
    </b:Author>
    <b:Title>Three Mozilla Board Members Resign over Choice of New CEO</b:Title>
    <b:PeriodicalTitle>The Wall Street Journal</b:PeriodicalTitle>
    <b:Year>2014</b:Year>
    <b:Month>March</b:Month>
    <b:Day>28</b:Day>
    <b:RefOrder>102</b:RefOrder>
  </b:Source>
  <b:Source>
    <b:Tag>Ste141</b:Tag>
    <b:SourceType>ArticleInAPeriodical</b:SourceType>
    <b:Guid>{B950D843-6C07-405C-BC88-95EC0EF256E3}</b:Guid>
    <b:LCID>en-US</b:LCID>
    <b:Author>
      <b:Author>
        <b:NameList>
          <b:Person>
            <b:Last>Shankland</b:Last>
            <b:First>Stephen</b:First>
          </b:Person>
        </b:NameList>
      </b:Author>
    </b:Author>
    <b:Title>Objecting to new CEO, resignations sweep Mozilla board: Report</b:Title>
    <b:PeriodicalTitle>CNET</b:PeriodicalTitle>
    <b:Year>2014</b:Year>
    <b:Month>March</b:Month>
    <b:Day>28</b:Day>
    <b:RefOrder>116</b:RefOrder>
  </b:Source>
  <b:Source>
    <b:Tag>Mit142</b:Tag>
    <b:SourceType>ArticleInAPeriodical</b:SourceType>
    <b:Guid>{80E331BA-EB1F-4D48-9D16-71E048BEB63A}</b:Guid>
    <b:LCID>en-US</b:LCID>
    <b:Author>
      <b:Author>
        <b:NameList>
          <b:Person>
            <b:Last>Baker</b:Last>
            <b:First>Mitchell</b:First>
          </b:Person>
        </b:NameList>
      </b:Author>
    </b:Author>
    <b:Title>On Mozilla's Support for Marriage Equality</b:Title>
    <b:PeriodicalTitle>Lizard Wrangler Mozilla Blog</b:PeriodicalTitle>
    <b:Year>2014</b:Year>
    <b:Month>March</b:Month>
    <b:Day>29</b:Day>
    <b:RefOrder>103</b:RefOrder>
  </b:Source>
  <b:Source>
    <b:Tag>Moz143</b:Tag>
    <b:SourceType>ArticleInAPeriodical</b:SourceType>
    <b:Guid>{86D55984-DEEA-4F0C-B267-19D0AFD795E9}</b:Guid>
    <b:LCID>en-US</b:LCID>
    <b:Author>
      <b:Author>
        <b:Corporate>Mozilla Foundation</b:Corporate>
      </b:Author>
    </b:Author>
    <b:Title>Mozilla Supports LGBT Equality</b:Title>
    <b:PeriodicalTitle>The Mozilla Blog</b:PeriodicalTitle>
    <b:Year>2014</b:Year>
    <b:Month>March</b:Month>
    <b:Day>29</b:Day>
    <b:RefOrder>104</b:RefOrder>
  </b:Source>
  <b:Source>
    <b:Tag>Rus14</b:Tag>
    <b:SourceType>ArticleInAPeriodical</b:SourceType>
    <b:Guid>{A3BEC38D-7428-4F82-BC83-34EA69C92EF1}</b:Guid>
    <b:LCID>en-US</b:LCID>
    <b:Author>
      <b:Author>
        <b:NameList>
          <b:Person>
            <b:Last>Brandom</b:Last>
            <b:First>Russell</b:First>
          </b:Person>
        </b:NameList>
      </b:Author>
    </b:Author>
    <b:Title>OKCupid asks users to boycott Firefox because of CEO's gay rights stance</b:Title>
    <b:PeriodicalTitle>The Verge</b:PeriodicalTitle>
    <b:Year>2014</b:Year>
    <b:Month>March</b:Month>
    <b:Day>31</b:Day>
    <b:RefOrder>105</b:RefOrder>
  </b:Source>
  <b:Source>
    <b:Tag>Jam141</b:Tag>
    <b:SourceType>ArticleInAPeriodical</b:SourceType>
    <b:Guid>{AE1B9E54-269D-4151-A999-DB6392CF19D8}</b:Guid>
    <b:LCID>en-US</b:LCID>
    <b:Author>
      <b:Author>
        <b:NameList>
          <b:Person>
            <b:Last>Ball</b:Last>
            <b:First>James</b:First>
          </b:Person>
        </b:NameList>
      </b:Author>
    </b:Author>
    <b:Title>Mozilla CEO insists he won't resign over 'private' support for gay marriage ban</b:Title>
    <b:PeriodicalTitle>The Guardian</b:PeriodicalTitle>
    <b:Year>2014</b:Year>
    <b:Month>April</b:Month>
    <b:Day>2</b:Day>
    <b:RefOrder>106</b:RefOrder>
  </b:Source>
  <b:Source>
    <b:Tag>Mit144</b:Tag>
    <b:SourceType>ArticleInAPeriodical</b:SourceType>
    <b:Guid>{27DE5232-170C-4DE6-8CE2-C62F1B137232}</b:Guid>
    <b:LCID>en-US</b:LCID>
    <b:Author>
      <b:Author>
        <b:NameList>
          <b:Person>
            <b:Last>Baker</b:Last>
            <b:First>Mitchell</b:First>
          </b:Person>
        </b:NameList>
      </b:Author>
    </b:Author>
    <b:Title>Brendan Eich Steps Down as Mozilla CEO</b:Title>
    <b:PeriodicalTitle>The Mozilla Blog</b:PeriodicalTitle>
    <b:Year>2014</b:Year>
    <b:Month>April</b:Month>
    <b:Day>3</b:Day>
    <b:RefOrder>107</b:RefOrder>
  </b:Source>
  <b:Source>
    <b:Tag>Moz15</b:Tag>
    <b:SourceType>InternetSite</b:SourceType>
    <b:Guid>{636BCF00-6F93-4C53-80BF-F3E65FAF7767}</b:Guid>
    <b:Title>Mozilla.org</b:Title>
    <b:Year>2015</b:Year>
    <b:LCID>en-US</b:LCID>
    <b:Author>
      <b:Author>
        <b:Corporate>Mozilla Foundation</b:Corporate>
      </b:Author>
    </b:Author>
    <b:Month>April</b:Month>
    <b:Day>30</b:Day>
    <b:YearAccessed>2015</b:YearAccessed>
    <b:MonthAccessed>April</b:MonthAccessed>
    <b:DayAccessed>30</b:DayAccessed>
    <b:URL>https://www.mozilla.org/en-US/about/manifesto/details/</b:URL>
    <b:ShortTitle>We´re Building a Better Internet</b:ShortTitle>
    <b:RefOrder>108</b:RefOrder>
  </b:Source>
  <b:Source>
    <b:Tag>Pew13</b:Tag>
    <b:SourceType>ArticleInAPeriodical</b:SourceType>
    <b:Guid>{BB46085F-BB3A-43FA-A01F-67CBABA9E109}</b:Guid>
    <b:Title>Among Muslims, Internet Use Goes Hand-in-Hand With More Open Views Toward Western Culture</b:Title>
    <b:Year>2013</b:Year>
    <b:Month>May</b:Month>
    <b:Day>31</b:Day>
    <b:LCID>en-US</b:LCID>
    <b:Author>
      <b:Author>
        <b:Corporate>Pew Research Center </b:Corporate>
      </b:Author>
    </b:Author>
    <b:PeriodicalTitle>Pew Forum</b:PeriodicalTitle>
    <b:RefOrder>109</b:RefOrder>
  </b:Source>
  <b:Source>
    <b:Tag>Wes091</b:Tag>
    <b:SourceType>DocumentFromInternetSite</b:SourceType>
    <b:Guid>{87444F29-7A67-4FF1-90CF-A5688BC8BEBF}</b:Guid>
    <b:Title>Western Culture Global</b:Title>
    <b:Year>2009</b:Year>
    <b:YearAccessed>2015</b:YearAccessed>
    <b:MonthAccessed>April</b:MonthAccessed>
    <b:DayAccessed>30</b:DayAccessed>
    <b:URL>http://www.westerncultureglobal.org/what-is-western-culture.html</b:URL>
    <b:ShortTitle>What is Western Culture?</b:ShortTitle>
    <b:Author>
      <b:Author>
        <b:Corporate>Western Culture Knowledge Center</b:Corporate>
      </b:Author>
    </b:Author>
    <b:LCID>en-US</b:LCID>
    <b:RefOrder>110</b:RefOrder>
  </b:Source>
  <b:Source>
    <b:Tag>Moz13</b:Tag>
    <b:SourceType>ArticleInAPeriodical</b:SourceType>
    <b:Guid>{BAFA99C6-71CE-439D-9F9C-48AF39CB0DB6}</b:Guid>
    <b:Title>Community Participation Guidelines</b:Title>
    <b:Year>2013</b:Year>
    <b:Month>January</b:Month>
    <b:Day>7</b:Day>
    <b:LCID>en-US</b:LCID>
    <b:Author>
      <b:Author>
        <b:Corporate>Mozilla Foundation</b:Corporate>
      </b:Author>
    </b:Author>
    <b:PeriodicalTitle>Mozilla.org</b:PeriodicalTitle>
    <b:Comments>https://www.mozilla.org/en-US/about/governance/policies/participation/</b:Comments>
    <b:RefOrder>111</b:RefOrder>
  </b:Source>
  <b:Source>
    <b:Tag>Pau08</b:Tag>
    <b:SourceType>ArticleInAPeriodical</b:SourceType>
    <b:Guid>{68DF9EEA-F553-498B-9079-729BDB323AC4}</b:Guid>
    <b:LCID>en-US</b:LCID>
    <b:Author>
      <b:Author>
        <b:NameList>
          <b:Person>
            <b:Last>Bradshaw</b:Last>
            <b:First>Paul</b:First>
          </b:Person>
        </b:NameList>
      </b:Author>
    </b:Author>
    <b:Title>An attempt to define blogging as a genre</b:Title>
    <b:PeriodicalTitle>Online Jounalism Blog</b:PeriodicalTitle>
    <b:Year>2008</b:Year>
    <b:Month>November</b:Month>
    <b:Day>13</b:Day>
    <b:RefOrder>112</b:RefOrder>
  </b:Source>
  <b:Source>
    <b:Tag>Pao08</b:Tag>
    <b:SourceType>JournalArticle</b:SourceType>
    <b:Guid>{1DE493A0-4EF2-4508-AB10-63B25A3EF283}</b:Guid>
    <b:Title>Press Releases as a Hybrid Genre: Addressing the Informative/Promotional Conundrum</b:Title>
    <b:Year>2008</b:Year>
    <b:Pages>9-31</b:Pages>
    <b:LCID>en-US</b:LCID>
    <b:Author>
      <b:Author>
        <b:NameList>
          <b:Person>
            <b:Last>Catenaccio</b:Last>
            <b:First>Paola</b:First>
          </b:Person>
        </b:NameList>
      </b:Author>
    </b:Author>
    <b:JournalName>Pragmatics Vol 18 No. 1</b:JournalName>
    <b:RefOrder>113</b:RefOrder>
  </b:Source>
  <b:Source>
    <b:Tag>Joe111</b:Tag>
    <b:SourceType>BookSection</b:SourceType>
    <b:Guid>{DDE803E7-0B13-48CB-907A-F4E047645B64}</b:Guid>
    <b:Title>Corporate Identity, Image and Reputation</b:Title>
    <b:Year>2011</b:Year>
    <b:Pages>59-79</b:Pages>
    <b:LCID>en-US</b:LCID>
    <b:Author>
      <b:Author>
        <b:NameList>
          <b:Person>
            <b:Last>Cornelissen</b:Last>
            <b:First>Joep</b:First>
          </b:Person>
        </b:NameList>
      </b:Author>
      <b:BookAuthor>
        <b:NameList>
          <b:Person>
            <b:Last>Cornelissen</b:Last>
            <b:First>Joep</b:First>
          </b:Person>
        </b:NameList>
      </b:BookAuthor>
    </b:Author>
    <b:BookTitle>Corporate Communication: A Guide to Theory and Practice</b:BookTitle>
    <b:City>London</b:City>
    <b:Publisher>SAGE Publications Ltd.</b:Publisher>
    <b:RefOrder>1</b:RefOrder>
  </b:Source>
  <b:Source>
    <b:Tag>Gen14</b:Tag>
    <b:SourceType>BookSection</b:SourceType>
    <b:Guid>{8115742B-EE92-48AB-9A86-9ED50BE85E75}</b:Guid>
    <b:Title>The Keys to Combining Crisis Communication and CSR</b:Title>
    <b:BookTitle>PR News' Corporate Social Responsibiity Guidebook Volume 6</b:BookTitle>
    <b:Year>2013</b:Year>
    <b:Pages>113-117</b:Pages>
    <b:Publisher>PR News Press</b:Publisher>
    <b:LCID>en-US</b:LCID>
    <b:Author>
      <b:Author>
        <b:NameList>
          <b:Person>
            <b:Last>Grabowski</b:Last>
            <b:First>Gene</b:First>
          </b:Person>
          <b:Person>
            <b:Last>Kruse</b:Last>
            <b:First>Samantha</b:First>
          </b:Person>
        </b:NameList>
      </b:Author>
      <b:BookAuthor>
        <b:NameList>
          <b:Person>
            <b:Last>News</b:Last>
            <b:First>PR</b:First>
          </b:Person>
        </b:NameList>
      </b:BookAuthor>
    </b:Author>
    <b:RefOrder>5</b:RefOrder>
  </b:Source>
  <b:Source>
    <b:Tag>Joe11</b:Tag>
    <b:SourceType>BookSection</b:SourceType>
    <b:Guid>{B342434E-323F-4DF5-A4C6-76DF0F6BFC77}</b:Guid>
    <b:Title>Crisis Communication</b:Title>
    <b:Year>2011</b:Year>
    <b:Pages>199-213</b:Pages>
    <b:City>London</b:City>
    <b:Publisher>SAGE Publications</b:Publisher>
    <b:LCID>en-US</b:LCID>
    <b:Author>
      <b:Author>
        <b:NameList>
          <b:Person>
            <b:Last>Cornelissen</b:Last>
            <b:First>Joep</b:First>
          </b:Person>
        </b:NameList>
      </b:Author>
      <b:BookAuthor>
        <b:NameList>
          <b:Person>
            <b:Last>Cornelissen</b:Last>
            <b:First>Joep</b:First>
          </b:Person>
        </b:NameList>
      </b:BookAuthor>
    </b:Author>
    <b:BookTitle>Corporate Communication: A Guide to Theory and Practice</b:BookTitle>
    <b:RefOrder>117</b:RefOrder>
  </b:Source>
  <b:Source>
    <b:Tag>Fra13</b:Tag>
    <b:SourceType>BookSection</b:SourceType>
    <b:Guid>{70144FD0-4BE3-4C3A-AAA8-BCEB1B07CE0B}</b:Guid>
    <b:Title>Rhetorical Arena (Crisis Theory)</b:Title>
    <b:Year>2013</b:Year>
    <b:Pages>798-801</b:Pages>
    <b:LCID>en-US</b:LCID>
    <b:Author>
      <b:Author>
        <b:NameList>
          <b:Person>
            <b:Last>Frandsen</b:Last>
            <b:First>Finn</b:First>
          </b:Person>
          <b:Person>
            <b:Last>Johansen</b:Last>
            <b:First>Winni</b:First>
          </b:Person>
        </b:NameList>
      </b:Author>
      <b:BookAuthor>
        <b:NameList>
          <b:Person>
            <b:Last>Heath</b:Last>
            <b:First>Robert</b:First>
            <b:Middle>L.</b:Middle>
          </b:Person>
        </b:NameList>
      </b:BookAuthor>
    </b:Author>
    <b:BookTitle>Encyclopedia of Public Relations</b:BookTitle>
    <b:City>Thousand Oaks</b:City>
    <b:Publisher>SAGE Publications</b:Publisher>
    <b:RefOrder>24</b:RefOrder>
  </b:Source>
  <b:Source>
    <b:Tag>Alf10</b:Tag>
    <b:SourceType>JournalArticle</b:SourceType>
    <b:Guid>{3D08AFD5-3D41-4BA0-ADE8-49F7CF2386BD}</b:Guid>
    <b:LCID>en-US</b:LCID>
    <b:Author>
      <b:Author>
        <b:NameList>
          <b:Person>
            <b:Last>González-Herrero</b:Last>
            <b:First>Alfonzo</b:First>
          </b:Person>
          <b:Person>
            <b:Last>Smith</b:Last>
            <b:First>S.</b:First>
          </b:Person>
        </b:NameList>
      </b:Author>
    </b:Author>
    <b:Title>Crisis Communication management 2.0: Organizational principles to manage crisis in an online world</b:Title>
    <b:JournalName>Organizational Development Journal</b:JournalName>
    <b:Year>2010</b:Year>
    <b:Pages>97-105</b:Pages>
    <b:RefOrder>26</b:RefOrder>
  </b:Source>
  <b:Source>
    <b:Tag>Sør07</b:Tag>
    <b:SourceType>JournalArticle</b:SourceType>
    <b:Guid>{E36632DB-2211-477E-90AD-3094739C9E31}</b:Guid>
    <b:LCID>en-US</b:LCID>
    <b:Author>
      <b:Author>
        <b:NameList>
          <b:Person>
            <b:Last>Sørensen</b:Last>
            <b:First>Mikkel</b:First>
            <b:Middle>H.</b:Middle>
          </b:Person>
          <b:Person>
            <b:Last>Peitersen</b:Last>
            <b:First>Nicolai</b:First>
          </b:Person>
        </b:NameList>
      </b:Author>
    </b:Author>
    <b:Title>CSR 2.0</b:Title>
    <b:JournalName>Social Ansvarlighed</b:JournalName>
    <b:Year>2007</b:Year>
    <b:Pages>Chapter 3.3 (1-8)</b:Pages>
    <b:Publisher>Forlaget Andersen</b:Publisher>
    <b:RefOrder>27</b:RefOrder>
  </b:Source>
  <b:Source>
    <b:Tag>Pie121</b:Tag>
    <b:SourceType>JournalArticle</b:SourceType>
    <b:Guid>{CAA04213-DE7E-4F17-B022-51F69027B151}</b:Guid>
    <b:Title>Marketing meets Web 2.0, social media, and creative consumers: Implications for international marketing strategy</b:Title>
    <b:Year>2012</b:Year>
    <b:Pages>261-271</b:Pages>
    <b:JournalName>Business Horizons</b:JournalName>
    <b:PeriodicalTitle>Business Horizons</b:PeriodicalTitle>
    <b:LCID>en-US</b:LCID>
    <b:Author>
      <b:Author>
        <b:NameList>
          <b:Person>
            <b:Last>Berthon</b:Last>
            <b:First>Pierre</b:First>
            <b:Middle>R.</b:Middle>
          </b:Person>
          <b:Person>
            <b:Last>Pitt</b:Last>
            <b:First>Leyland</b:First>
            <b:Middle>F.</b:Middle>
          </b:Person>
          <b:Person>
            <b:Last>Plangger</b:Last>
            <b:First>Kirk</b:First>
          </b:Person>
          <b:Person>
            <b:Last>Shapiro</b:Last>
            <b:First>Daniel</b:First>
          </b:Person>
        </b:NameList>
      </b:Author>
    </b:Author>
    <b:RefOrder>28</b:RefOrder>
  </b:Source>
  <b:Source>
    <b:Tag>Fom05</b:Tag>
    <b:SourceType>BookSection</b:SourceType>
    <b:Guid>{A03A4492-2C9F-45E5-A69D-6E556074216F}</b:Guid>
    <b:Title>Building corporate reputation through CSR initiatives: Evolving standards</b:Title>
    <b:Year>2005</b:Year>
    <b:BookTitle>Corporate Reputation Review , 8 ( 1 )</b:BookTitle>
    <b:Pages>7-11</b:Pages>
    <b:Publisher>Palgrave Macmillan Ltd.</b:Publisher>
    <b:LCID>en-US</b:LCID>
    <b:Author>
      <b:Author>
        <b:NameList>
          <b:Person>
            <b:Last>Fombrun</b:Last>
            <b:First>C.J.</b:First>
          </b:Person>
        </b:NameList>
      </b:Author>
      <b:BookAuthor>
        <b:NameList>
          <b:Person>
            <b:Last>Review</b:Last>
            <b:First>Corporate</b:First>
            <b:Middle>Reputation</b:Middle>
          </b:Person>
        </b:NameList>
      </b:BookAuthor>
    </b:Author>
    <b:RefOrder>29</b:RefOrder>
  </b:Source>
  <b:Source>
    <b:Tag>WTi123</b:Tag>
    <b:SourceType>Book</b:SourceType>
    <b:Guid>{C51F0339-1E07-4D68-9B32-4A926A7AEC25}</b:Guid>
    <b:Title>Managing Corporate Social Responsibility: A Communication Approach</b:Title>
    <b:Year>2012</b:Year>
    <b:City>Oxford</b:City>
    <b:Publisher>Blackwell Publications</b:Publisher>
    <b:LCID>en-US</b:LCID>
    <b:Author>
      <b:Author>
        <b:NameList>
          <b:Person>
            <b:Last>Coombs</b:Last>
            <b:First>W.</b:First>
            <b:Middle>Timothy</b:Middle>
          </b:Person>
          <b:Person>
            <b:Last>Holladay</b:Last>
            <b:First>Sherry</b:First>
            <b:Middle>J.</b:Middle>
          </b:Person>
        </b:NameList>
      </b:Author>
    </b:Author>
    <b:RefOrder>30</b:RefOrder>
  </b:Source>
  <b:Source>
    <b:Tag>Pet131</b:Tag>
    <b:SourceType>Book</b:SourceType>
    <b:Guid>{DE6C4E00-D6F6-449C-8458-C5EDFA56D926}</b:Guid>
    <b:LCID>en-US</b:LCID>
    <b:Author>
      <b:Author>
        <b:NameList>
          <b:Person>
            <b:Last>Fleming</b:Last>
            <b:First>Peter</b:First>
          </b:Person>
          <b:Person>
            <b:Last>Jones</b:Last>
            <b:First>Marc</b:First>
            <b:Middle>T.</b:Middle>
          </b:Person>
        </b:NameList>
      </b:Author>
    </b:Author>
    <b:Title>The End of Corporate Social Responsibility: Crisis &amp; Critique</b:Title>
    <b:Year>2013</b:Year>
    <b:Publisher>SAGE Publications</b:Publisher>
    <b:City>London</b:City>
    <b:RefOrder>31</b:RefOrder>
  </b:Source>
  <b:Source>
    <b:Tag>Tra09</b:Tag>
    <b:SourceType>ArticleInAPeriodical</b:SourceType>
    <b:Guid>{83AC4FA7-2E73-4670-9A5B-2B9763BC1090}</b:Guid>
    <b:LCID>en-US</b:LCID>
    <b:Author>
      <b:Author>
        <b:NameList>
          <b:Person>
            <b:Last>Keys</b:Last>
            <b:First>Tracey</b:First>
          </b:Person>
          <b:Person>
            <b:Last>Malnight</b:Last>
            <b:First>Thomas</b:First>
            <b:Middle>W.</b:Middle>
          </b:Person>
          <b:Person>
            <b:Last>Graaf</b:Last>
            <b:First>Kees</b:First>
            <b:Middle>van der</b:Middle>
          </b:Person>
        </b:NameList>
      </b:Author>
    </b:Author>
    <b:Title>Making the most of corporate social responsibility</b:Title>
    <b:PeriodicalTitle>Mckinsey&amp;Company</b:PeriodicalTitle>
    <b:Year>2009</b:Year>
    <b:Month>December</b:Month>
    <b:Pages>Insights &amp; Publications</b:Pages>
    <b:RefOrder>32</b:RefOrder>
  </b:Source>
  <b:Source>
    <b:Tag>Mar03</b:Tag>
    <b:SourceType>JournalArticle</b:SourceType>
    <b:Guid>{FB638CEE-D524-4427-AE61-72E9F413694D}</b:Guid>
    <b:Title>Corporate Social Responsibility: A Three-Domain Approach</b:Title>
    <b:Year>2003</b:Year>
    <b:LCID>en-US</b:LCID>
    <b:Author>
      <b:Author>
        <b:NameList>
          <b:Person>
            <b:Last>Schwartz</b:Last>
            <b:First>Mark</b:First>
            <b:Middle>S.</b:Middle>
          </b:Person>
          <b:Person>
            <b:Last>Carroll</b:Last>
            <b:First>Archie</b:First>
            <b:Middle>B.</b:Middle>
          </b:Person>
        </b:NameList>
      </b:Author>
    </b:Author>
    <b:JournalName>Business Ethics Quarterly, Vol. 13, No. 4</b:JournalName>
    <b:Pages>503-530</b:Pages>
    <b:RefOrder>33</b:RefOrder>
  </b:Source>
  <b:Source>
    <b:Tag>Ral14</b:Tag>
    <b:SourceType>Book</b:SourceType>
    <b:Guid>{548AFA29-806C-4232-B418-C14C4B8DDC61}</b:Guid>
    <b:LCID>en-US</b:LCID>
    <b:Author>
      <b:Author>
        <b:NameList>
          <b:Person>
            <b:Last>Tench</b:Last>
            <b:First>Ralph</b:First>
          </b:Person>
          <b:Person>
            <b:Last>Sun</b:Last>
            <b:First>William</b:First>
          </b:Person>
          <b:Person>
            <b:Last>Jones</b:Last>
            <b:First>Brian</b:First>
          </b:Person>
        </b:NameList>
      </b:Author>
    </b:Author>
    <b:Title>Communicating Corporate Social Responsibility: Perspectives and Practice</b:Title>
    <b:Year>2014</b:Year>
    <b:City>Leeds</b:City>
    <b:Publisher>Emerald Group Publishing Limited</b:Publisher>
    <b:RefOrder>34</b:RefOrder>
  </b:Source>
  <b:Source>
    <b:Tag>Joy14</b:Tag>
    <b:SourceType>BookSection</b:SourceType>
    <b:Guid>{562B87E3-3FD2-40D3-8F1A-9C46235290FC}</b:Guid>
    <b:Title>Communicating, Connecting and Developing Social Capital for Organisations and their Communities: Benefits for Socially Responsive Organisations</b:Title>
    <b:Year>2014</b:Year>
    <b:City>Leeds</b:City>
    <b:Publisher> Emerald Group Publishing Limited</b:Publisher>
    <b:LCID>en-US</b:LCID>
    <b:Author>
      <b:Author>
        <b:NameList>
          <b:Person>
            <b:Last>Chia</b:Last>
            <b:First>Joy</b:First>
          </b:Person>
        </b:NameList>
      </b:Author>
      <b:BookAuthor>
        <b:NameList>
          <b:Person>
            <b:Last>Tench</b:Last>
            <b:First>Ralph</b:First>
          </b:Person>
          <b:Person>
            <b:Last>Sun</b:Last>
            <b:First>William</b:First>
          </b:Person>
          <b:Person>
            <b:Last>Jones</b:Last>
            <b:First>Brian</b:First>
          </b:Person>
        </b:NameList>
      </b:BookAuthor>
    </b:Author>
    <b:BookTitle>Communicating Corporate Social Responsibility: Perspectives and Practice</b:BookTitle>
    <b:Pages>41-58</b:Pages>
    <b:RefOrder>35</b:RefOrder>
  </b:Source>
  <b:Source>
    <b:Tag>Ber14</b:Tag>
    <b:SourceType>BookSection</b:SourceType>
    <b:Guid>{F02BC440-B9F8-4D38-ACB1-79DE5251DF50}</b:Guid>
    <b:LCID>en-US</b:LCID>
    <b:Author>
      <b:Author>
        <b:NameList>
          <b:Person>
            <b:Last>Walter</b:Last>
            <b:First>Bernd</b:First>
            <b:Middle>Lorenz</b:Middle>
          </b:Person>
        </b:NameList>
      </b:Author>
      <b:BookAuthor>
        <b:NameList>
          <b:Person>
            <b:Last>Ralph Tench</b:Last>
            <b:First>William</b:First>
            <b:Middle>Sun</b:Middle>
          </b:Person>
          <b:Person>
            <b:Last>Jones</b:Last>
            <b:First>Brian</b:First>
          </b:Person>
        </b:NameList>
      </b:BookAuthor>
    </b:Author>
    <b:Title>CorporateSocial Responsibility Communication: Towards a Phase Model of Strategic Planning</b:Title>
    <b:BookTitle>Communicating Corporate Social Responsibility: Perspectives and Practice</b:BookTitle>
    <b:Year>2014</b:Year>
    <b:Pages>59-79</b:Pages>
    <b:City>Leeds</b:City>
    <b:Publisher>Emerald Group Publishing Limited</b:Publisher>
    <b:RefOrder>36</b:RefOrder>
  </b:Source>
  <b:Source>
    <b:Tag>Gan14</b:Tag>
    <b:SourceType>BookSection</b:SourceType>
    <b:Guid>{E5640B54-44EB-463C-AA8B-EF6664E7EB01}</b:Guid>
    <b:LCID>en-US</b:LCID>
    <b:Author>
      <b:Author>
        <b:NameList>
          <b:Person>
            <b:Last>Dhanesh</b:Last>
            <b:First>Ganga</b:First>
            <b:Middle>S.</b:Middle>
          </b:Person>
        </b:NameList>
      </b:Author>
      <b:BookAuthor>
        <b:NameList>
          <b:Person>
            <b:Last>Ralph Tench</b:Last>
            <b:First>William</b:First>
            <b:Middle>Sun, Brian Jones</b:Middle>
          </b:Person>
        </b:NameList>
      </b:BookAuthor>
    </b:Author>
    <b:Title>A Dialectical Approach to Analyzing Polyphonic Discourses of Corporate Social Responsibility</b:Title>
    <b:BookTitle>Communicating Corporate Social Responsibility: Perspectives and Practice</b:BookTitle>
    <b:Year>2014</b:Year>
    <b:Pages>157-177</b:Pages>
    <b:City>Leeds</b:City>
    <b:Publisher>Emerald Group Publishing Limited</b:Publisher>
    <b:RefOrder>37</b:RefOrder>
  </b:Source>
  <b:Source>
    <b:Tag>Ana14</b:Tag>
    <b:SourceType>BookSection</b:SourceType>
    <b:Guid>{ACC3CDF6-8C53-4D6F-8DA5-89A5C23E2A0C}</b:Guid>
    <b:LCID>en-US</b:LCID>
    <b:Author>
      <b:Author>
        <b:NameList>
          <b:Person>
            <b:Last>Theofilou</b:Last>
            <b:First>Anastasios</b:First>
          </b:Person>
          <b:Person>
            <b:Last>Watson</b:Last>
            <b:First>Tom</b:First>
          </b:Person>
        </b:NameList>
      </b:Author>
      <b:BookAuthor>
        <b:NameList>
          <b:Person>
            <b:Last>Tench</b:Last>
            <b:First>Ralph</b:First>
          </b:Person>
          <b:Person>
            <b:Last>Sun</b:Last>
            <b:First>William</b:First>
          </b:Person>
          <b:Person>
            <b:Last>Jones</b:Last>
            <b:First>Brian</b:First>
          </b:Person>
        </b:NameList>
      </b:BookAuthor>
    </b:Author>
    <b:Title>Sceptical Employees as CSR Ambassadors in Times of Financial Uncertainty</b:Title>
    <b:BookTitle>Communicating Corporate Social Responsibility: Perspectives and Practice</b:BookTitle>
    <b:Year>2014</b:Year>
    <b:Pages>355-382</b:Pages>
    <b:City>Leeds</b:City>
    <b:Publisher>Emerald Group Publishing Limited</b:Publisher>
    <b:RefOrder>38</b:RefOrder>
  </b:Source>
  <b:Source>
    <b:Tag>Täu04</b:Tag>
    <b:SourceType>Report</b:SourceType>
    <b:Guid>{432C9777-51F3-4234-BB23-064FD93D4A8E}</b:Guid>
    <b:Title>The Basic Concepts of Discourse Analysis</b:Title>
    <b:Year>2004</b:Year>
    <b:LCID>en-US</b:LCID>
    <b:Author>
      <b:Author>
        <b:NameList>
          <b:Person>
            <b:Last>Täuschel</b:Last>
            <b:First>Alexander</b:First>
          </b:Person>
        </b:NameList>
      </b:Author>
    </b:Author>
    <b:City>Frankfurt</b:City>
    <b:Publisher>University of Frankfurt (Main)</b:Publisher>
    <b:ThesisType>Seminar Paper</b:ThesisType>
    <b:RefOrder>39</b:RefOrder>
  </b:Source>
  <b:Source>
    <b:Tag>Mic13</b:Tag>
    <b:SourceType>BookSection</b:SourceType>
    <b:Guid>{5E8E8BA1-56F5-4FF6-9906-008CBDEBE8FA}</b:Guid>
    <b:Title>Public Relations</b:Title>
    <b:Year>2013</b:Year>
    <b:Pages>776-778</b:Pages>
    <b:City>London</b:City>
    <b:Publisher>SAGE Publications Inc.</b:Publisher>
    <b:LCID>en-US</b:LCID>
    <b:Author>
      <b:Author>
        <b:NameList>
          <b:Person>
            <b:Last>Palenchar</b:Last>
            <b:First>Michael</b:First>
            <b:Middle>L.</b:Middle>
          </b:Person>
        </b:NameList>
      </b:Author>
      <b:BookAuthor>
        <b:NameList>
          <b:Person>
            <b:Last>Penuel</b:Last>
            <b:First>K.</b:First>
            <b:Middle>Bradley</b:Middle>
          </b:Person>
          <b:Person>
            <b:Last>Statler</b:Last>
            <b:First>Matt</b:First>
          </b:Person>
          <b:Person>
            <b:Last>Hagen</b:Last>
            <b:First>Ryan</b:First>
          </b:Person>
        </b:NameList>
      </b:BookAuthor>
    </b:Author>
    <b:BookTitle>Encyclopedia of Crisis Management Vol. 1</b:BookTitle>
    <b:RefOrder>43</b:RefOrder>
  </b:Source>
  <b:Source>
    <b:Tag>Ste95</b:Tag>
    <b:SourceType>ArticleInAPeriodical</b:SourceType>
    <b:Guid>{6BE3E22A-756E-4ACD-A6CC-4A82789E6628}</b:Guid>
    <b:Title>Corporate Social Responsibility and Crisis Management: the democratic organization and crisis prevention</b:Title>
    <b:Year>1995</b:Year>
    <b:Pages>135-148</b:Pages>
    <b:LCID>en-US</b:LCID>
    <b:Author>
      <b:Author>
        <b:NameList>
          <b:Person>
            <b:Last>Tombs</b:Last>
            <b:First>Steve</b:First>
          </b:Person>
          <b:Person>
            <b:Last>Smith</b:Last>
            <b:First>Denis</b:First>
          </b:Person>
        </b:NameList>
      </b:Author>
    </b:Author>
    <b:PeriodicalTitle>Journal of Contingencies &amp; Crisis Management</b:PeriodicalTitle>
    <b:Month>September</b:Month>
    <b:Day>1</b:Day>
    <b:RefOrder>44</b:RefOrder>
  </b:Source>
  <b:Source>
    <b:Tag>Muh12</b:Tag>
    <b:SourceType>ArticleInAPeriodical</b:SourceType>
    <b:Guid>{0C026059-8F01-40E4-86BE-E34E3FC718D9}</b:Guid>
    <b:Title>Corporate social responsibility as a source of competitive advantage: The mediating role of social capital  and reputational capital </b:Title>
    <b:PeriodicalTitle>Database Marketing &amp; Customer Strategy Management Vol. 19, 4</b:PeriodicalTitle>
    <b:Year>2012</b:Year>
    <b:Month>June</b:Month>
    <b:Day>14</b:Day>
    <b:Pages>219-232</b:Pages>
    <b:LCID>en-US</b:LCID>
    <b:Author>
      <b:Author>
        <b:NameList>
          <b:Person>
            <b:Last>Saeed</b:Last>
            <b:First>Muhammad</b:First>
            <b:Middle>Mohtsham</b:Middle>
          </b:Person>
          <b:Person>
            <b:Last>Arshad</b:Last>
            <b:First>Faria</b:First>
          </b:Person>
        </b:NameList>
      </b:Author>
    </b:Author>
    <b:Publisher>Macmillan Publishers Ltd. </b:Publisher>
    <b:RefOrder>45</b:RefOrder>
  </b:Source>
  <b:Source>
    <b:Tag>Sab13</b:Tag>
    <b:SourceType>JournalArticle</b:SourceType>
    <b:Guid>{A8FCCCD2-07D8-43E1-813C-BA579760CC58}</b:Guid>
    <b:LCID>en-US</b:LCID>
    <b:Author>
      <b:Author>
        <b:NameList>
          <b:Person>
            <b:Last>Helm</b:Last>
            <b:First>Sabrina</b:First>
          </b:Person>
          <b:Person>
            <b:Last>Tolsdorf</b:Last>
            <b:First>Julia</b:First>
          </b:Person>
        </b:NameList>
      </b:Author>
    </b:Author>
    <b:Title>How Does Corporate Reputation Affect Customer Loyalty in a Corporate Crisis?</b:Title>
    <b:JournalName>Journal of Contingencies and Crisis Management Vol. 21, Issue 3</b:JournalName>
    <b:Year>2013</b:Year>
    <b:Pages>144-152</b:Pages>
    <b:RefOrder>46</b:RefOrder>
  </b:Source>
  <b:Source>
    <b:Tag>Wes09</b:Tag>
    <b:SourceType>ArticleInAPeriodical</b:SourceType>
    <b:Guid>{3177A194-F9B1-424D-948E-20B08978F193}</b:Guid>
    <b:LCID>en-US</b:LCID>
    <b:Author>
      <b:Author>
        <b:NameList>
          <b:Person>
            <b:Last>Wester</b:Last>
            <b:First>Misse</b:First>
          </b:Person>
        </b:NameList>
      </b:Author>
    </b:Author>
    <b:Title>Cause and Consequences of Crises: How Perception Can Influence Communication</b:Title>
    <b:JournalName>Journal of Contingencies and Crisis Management</b:JournalName>
    <b:Year>2009</b:Year>
    <b:Pages>118-125</b:Pages>
    <b:PeriodicalTitle>Journal of Contingencies and Crisis Management Vol. 17, Issue 2</b:PeriodicalTitle>
    <b:Month>June</b:Month>
    <b:RefOrder>47</b:RefOrder>
  </b:Source>
  <b:Source>
    <b:Tag>Ste14</b:Tag>
    <b:SourceType>ArticleInAPeriodical</b:SourceType>
    <b:Guid>{CB797191-9FF1-4E87-A475-5DB567109815}</b:Guid>
    <b:LCID>en-US</b:LCID>
    <b:Author>
      <b:Author>
        <b:NameList>
          <b:Person>
            <b:Last>Shankland</b:Last>
            <b:First>Stephen</b:First>
          </b:Person>
        </b:NameList>
      </b:Author>
    </b:Author>
    <b:Title>Objecting to new CEO, resignations sweep Mozilla board: Report</b:Title>
    <b:PeriodicalTitle>CNet</b:PeriodicalTitle>
    <b:Year>2014</b:Year>
    <b:Month>March</b:Month>
    <b:Day>28</b:Day>
    <b:RefOrder>6</b:RefOrder>
  </b:Source>
  <b:Source>
    <b:Tag>Bre14</b:Tag>
    <b:SourceType>ArticleInAPeriodical</b:SourceType>
    <b:Guid>{E401985F-F74D-44BD-A10C-BCEBEE74A338}</b:Guid>
    <b:LCID>en-US</b:LCID>
    <b:Author>
      <b:Author>
        <b:NameList>
          <b:Person>
            <b:Last>Eich</b:Last>
            <b:First>Brendan</b:First>
          </b:Person>
        </b:NameList>
      </b:Author>
    </b:Author>
    <b:Title>Inclusiveness at Mozilla</b:Title>
    <b:PeriodicalTitle>Mozilla Blog - Brendan Eich</b:PeriodicalTitle>
    <b:Year>2014</b:Year>
    <b:Month>March</b:Month>
    <b:Day>26</b:Day>
    <b:RefOrder>7</b:RefOrder>
  </b:Source>
  <b:Source>
    <b:Tag>Moz05</b:Tag>
    <b:SourceType>ArticleInAPeriodical</b:SourceType>
    <b:Guid>{93A392DE-FD60-42B3-8396-91C038F19AB1}</b:Guid>
    <b:Title>Mozilla Foundation Forms New Organization to Further the Creation of Free, Open Source Internet Software, Including the Award-Winning Mozilla Firefox Browser</b:Title>
    <b:PeriodicalTitle>Mozilla.org</b:PeriodicalTitle>
    <b:Year>2005</b:Year>
    <b:Month>August</b:Month>
    <b:Day>3</b:Day>
    <b:LCID>en-US</b:LCID>
    <b:Author>
      <b:Author>
        <b:Corporate>Mozilla Foundation</b:Corporate>
      </b:Author>
    </b:Author>
    <b:RefOrder>8</b:RefOrder>
  </b:Source>
  <b:Source>
    <b:Tag>Mit14</b:Tag>
    <b:SourceType>ArticleInAPeriodical</b:SourceType>
    <b:Guid>{BCAE3947-034B-4271-9D52-4A891DB07F50}</b:Guid>
    <b:LCID>en-US</b:LCID>
    <b:Author>
      <b:Author>
        <b:NameList>
          <b:Person>
            <b:Last>Baker</b:Last>
            <b:First>Mitchell</b:First>
          </b:Person>
        </b:NameList>
      </b:Author>
    </b:Author>
    <b:Title>Brendan Eich Steps Down as Mozilla CEO</b:Title>
    <b:PeriodicalTitle>Mozilla.org</b:PeriodicalTitle>
    <b:Year>2014</b:Year>
    <b:Month>April</b:Month>
    <b:Day>3</b:Day>
    <b:RefOrder>9</b:RefOrder>
  </b:Source>
  <b:Source>
    <b:Tag>Eur11</b:Tag>
    <b:SourceType>Report</b:SourceType>
    <b:Guid>{1C9C1666-6819-4561-AB12-7F2EC69DBA2A}</b:Guid>
    <b:LCID>en-US</b:LCID>
    <b:Author>
      <b:Author>
        <b:Corporate>European Commission</b:Corporate>
      </b:Author>
    </b:Author>
    <b:Title>A renewed EU strategy 2011-14 for Corporate Social Responsibility</b:Title>
    <b:Year>2011</b:Year>
    <b:Publisher>European Commission</b:Publisher>
    <b:City>Brussels</b:City>
    <b:ThesisType>Communication from the Commission to the European Parliament, the Council, the European Economic and Social Committee and the Committee of the Regions</b:ThesisType>
    <b:RefOrder>86</b:RefOrder>
  </b:Source>
  <b:Source>
    <b:Tag>Bak15</b:Tag>
    <b:SourceType>ArticleInAPeriodical</b:SourceType>
    <b:Guid>{CAD9CCF7-459C-4E29-8080-73F2A0E35406}</b:Guid>
    <b:Title>Building a Global, Diverse, Inclusive Mozilla Project: Addressing Controversy</b:Title>
    <b:Year>2014</b:Year>
    <b:LCID>en-US</b:LCID>
    <b:Author>
      <b:Author>
        <b:NameList>
          <b:Person>
            <b:Last>Baker</b:Last>
            <b:First>Mitchell</b:First>
          </b:Person>
        </b:NameList>
      </b:Author>
    </b:Author>
    <b:PeriodicalTitle>Lizard Wrangler (Mozilla)</b:PeriodicalTitle>
    <b:Month>March</b:Month>
    <b:Day>26</b:Day>
    <b:Comments>https://blog.lizardwrangler.com/2014/03/26/building-a-global-diverse-inclusive-mozilla-project-addressing-controversy/</b:Comments>
    <b:RefOrder>118</b:RefOrder>
  </b:Source>
  <b:Source>
    <b:Tag>Eic14</b:Tag>
    <b:SourceType>ArticleInAPeriodical</b:SourceType>
    <b:Guid>{400927E2-5061-4EEA-8EF4-D9008E200D63}</b:Guid>
    <b:LCID>en-US</b:LCID>
    <b:Author>
      <b:Author>
        <b:NameList>
          <b:Person>
            <b:Last>Eich</b:Last>
            <b:First>Brendan</b:First>
          </b:Person>
        </b:NameList>
      </b:Author>
    </b:Author>
    <b:Title>Inclusiveness at Mozilla</b:Title>
    <b:PeriodicalTitle>Brendaneich (Mozilla)</b:PeriodicalTitle>
    <b:Year>2014</b:Year>
    <b:Month>March</b:Month>
    <b:Day>26</b:Day>
    <b:Comments>https://brendaneich.com/2014/03/inclusiveness-at-mozilla/</b:Comments>
    <b:RefOrder>119</b:RefOrder>
  </b:Source>
  <b:Source>
    <b:Tag>Joh14</b:Tag>
    <b:SourceType>ArticleInAPeriodical</b:SourceType>
    <b:Guid>{55640DAA-133C-4003-8923-564A6DBD4DE3}</b:Guid>
    <b:LCID>en-US</b:LCID>
    <b:Author>
      <b:Author>
        <b:NameList>
          <b:Person>
            <b:Last>Becker</b:Last>
            <b:First>John</b:First>
            <b:Middle>M.</b:Middle>
          </b:Person>
        </b:NameList>
      </b:Author>
    </b:Author>
    <b:Title>Half of Mozilla's Board Resigns; Pressure Mounts on CEO</b:Title>
    <b:PeriodicalTitle>The Bilerico Project</b:PeriodicalTitle>
    <b:Year>2014</b:Year>
    <b:Month>March</b:Month>
    <b:Day>31</b:Day>
    <b:RefOrder>120</b:RefOrder>
  </b:Source>
  <b:Source>
    <b:Tag>Bre141</b:Tag>
    <b:SourceType>ArticleInAPeriodical</b:SourceType>
    <b:Guid>{D5BC4581-6C29-4BC8-AE72-6A3DEC2A8CD7}</b:Guid>
    <b:LCID>en-US</b:LCID>
    <b:Author>
      <b:Author>
        <b:NameList>
          <b:Person>
            <b:Last>Eich</b:Last>
            <b:First>Brendan</b:First>
          </b:Person>
        </b:NameList>
      </b:Author>
    </b:Author>
    <b:Title>The Next Mission</b:Title>
    <b:PeriodicalTitle>Brendaneich (Mozilla)</b:PeriodicalTitle>
    <b:Year>2014</b:Year>
    <b:Month>April</b:Month>
    <b:Day>3</b:Day>
    <b:RefOrder>121</b:RefOrder>
  </b:Source>
</b:Sources>
</file>

<file path=customXml/itemProps1.xml><?xml version="1.0" encoding="utf-8"?>
<ds:datastoreItem xmlns:ds="http://schemas.openxmlformats.org/officeDocument/2006/customXml" ds:itemID="{14CDE84B-496E-4754-8C70-A8F157540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113</Pages>
  <Words>33525</Words>
  <Characters>204507</Characters>
  <Application>Microsoft Office Word</Application>
  <DocSecurity>0</DocSecurity>
  <Lines>1704</Lines>
  <Paragraphs>475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dc:creator>
  <cp:lastModifiedBy>Jens Erik Jensen (JEEJ)</cp:lastModifiedBy>
  <cp:revision>7</cp:revision>
  <cp:lastPrinted>2015-05-30T14:16:00Z</cp:lastPrinted>
  <dcterms:created xsi:type="dcterms:W3CDTF">2015-05-30T13:08:00Z</dcterms:created>
  <dcterms:modified xsi:type="dcterms:W3CDTF">2015-05-30T14:16:00Z</dcterms:modified>
</cp:coreProperties>
</file>