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6B4D9" w14:textId="684582DE" w:rsidR="006D031D" w:rsidRDefault="00441D9E" w:rsidP="00441D9E">
      <w:pPr>
        <w:pStyle w:val="Overskrift"/>
        <w:numPr>
          <w:ilvl w:val="0"/>
          <w:numId w:val="0"/>
        </w:numPr>
        <w:ind w:left="432" w:hanging="432"/>
        <w:rPr>
          <w:lang w:val="en-GB"/>
        </w:rPr>
      </w:pPr>
      <w:r>
        <w:rPr>
          <w:lang w:val="en-GB"/>
        </w:rPr>
        <w:t xml:space="preserve">Abstract </w:t>
      </w:r>
    </w:p>
    <w:p w14:paraId="6E15F34C" w14:textId="77777777" w:rsidR="006D031D" w:rsidRDefault="006D031D" w:rsidP="00441D9E">
      <w:pPr>
        <w:spacing w:line="360" w:lineRule="auto"/>
        <w:rPr>
          <w:lang w:val="en-GB"/>
        </w:rPr>
      </w:pPr>
      <w:r w:rsidRPr="004C4B18">
        <w:rPr>
          <w:lang w:val="en-GB"/>
        </w:rPr>
        <w:t xml:space="preserve">The focus in this thesis is on employment law </w:t>
      </w:r>
      <w:r>
        <w:rPr>
          <w:lang w:val="en-GB"/>
        </w:rPr>
        <w:t>and more specific about dismissal in the context of a business undertaking.</w:t>
      </w:r>
    </w:p>
    <w:p w14:paraId="5B238BCA" w14:textId="763DBAC4" w:rsidR="00441D9E" w:rsidRDefault="006D031D" w:rsidP="00441D9E">
      <w:pPr>
        <w:spacing w:line="360" w:lineRule="auto"/>
        <w:rPr>
          <w:lang w:val="en-GB"/>
        </w:rPr>
      </w:pPr>
      <w:r>
        <w:rPr>
          <w:lang w:val="en-GB"/>
        </w:rPr>
        <w:t>Directive 2001/23/EF was issued February 14 1977 and was subsequently implemented into Danish legislation by law number 441 July 7 2001. The purpose of this directive was among other things to incorporate protection for employees in the context of a business under</w:t>
      </w:r>
      <w:r w:rsidR="00E55D4D">
        <w:rPr>
          <w:lang w:val="en-GB"/>
        </w:rPr>
        <w:t>taking, cf. article 4(</w:t>
      </w:r>
      <w:r>
        <w:rPr>
          <w:lang w:val="en-GB"/>
        </w:rPr>
        <w:t>1</w:t>
      </w:r>
      <w:r w:rsidR="00E55D4D">
        <w:rPr>
          <w:lang w:val="en-GB"/>
        </w:rPr>
        <w:t>)</w:t>
      </w:r>
      <w:r>
        <w:rPr>
          <w:lang w:val="en-GB"/>
        </w:rPr>
        <w:t>. Therefor, it should be illegal to dismiss an employee, if the main reason for the dismissal is the business undertaking itself. A condition for this thesis is, that there has been doubt in Danish legislative literature regarding what the legislative effect should be of a dismissal in contrary to the directive. Thus it has been presented in the legislative literature, an interpretation of the practise of the EU-court shows that the legislative effect of a dismissal in contrary with the directive should be undermined and therefore reinstated and the directive has therefore not been thoroughly implemented in Danish law. Contrary to this, it have also in the legislative literature been presented that the legislative effect of a dismissal contrary to the directive should result in sanctions according to the national legislation and that the directive therefore should be thoroughly implemented in the Danish legislation. On the notion of this point of view, this thesis analysis to which extend the EU-court demand that the national legislation should make sanction in the form of reinstatement, when there as been a dismissal in contrary to the directive. This will be done on the basis of an anal</w:t>
      </w:r>
      <w:r w:rsidR="00E55D4D">
        <w:rPr>
          <w:lang w:val="en-GB"/>
        </w:rPr>
        <w:t>ysis of both article 4(</w:t>
      </w:r>
      <w:r>
        <w:rPr>
          <w:lang w:val="en-GB"/>
        </w:rPr>
        <w:t>1</w:t>
      </w:r>
      <w:r w:rsidR="00E55D4D">
        <w:rPr>
          <w:lang w:val="en-GB"/>
        </w:rPr>
        <w:t>)</w:t>
      </w:r>
      <w:r>
        <w:rPr>
          <w:lang w:val="en-GB"/>
        </w:rPr>
        <w:t xml:space="preserve"> of the directive and the Danish implementation law § 3. This will subsequently be compared with an analysis of the practice of the EU-court within this field. On the notion of the comparison of the directive and the implementation law and the analysis of the practice of the EU-court, it is in the end of the thesis concluded that a dismissal in contrary with the directive should be sanction according to the national legislation in the respective member states and that the Danish implementation law is therefor thoroughly implemented in Danish legislation.</w:t>
      </w:r>
    </w:p>
    <w:p w14:paraId="14B7AA03" w14:textId="528EBD21" w:rsidR="00262AE3" w:rsidRDefault="00441D9E" w:rsidP="00262AE3">
      <w:pPr>
        <w:rPr>
          <w:lang w:val="en-GB"/>
        </w:rPr>
      </w:pPr>
      <w:r>
        <w:rPr>
          <w:lang w:val="en-GB"/>
        </w:rPr>
        <w:br w:type="page"/>
      </w:r>
    </w:p>
    <w:p w14:paraId="2064DDF8" w14:textId="58A4407E" w:rsidR="00260345" w:rsidRPr="00260345" w:rsidRDefault="00260345" w:rsidP="00260345">
      <w:pPr>
        <w:pStyle w:val="Overskrift"/>
        <w:numPr>
          <w:ilvl w:val="0"/>
          <w:numId w:val="0"/>
        </w:numPr>
        <w:ind w:left="432" w:hanging="432"/>
        <w:rPr>
          <w:lang w:val="en-GB"/>
        </w:rPr>
      </w:pPr>
      <w:r w:rsidRPr="00260345">
        <w:lastRenderedPageBreak/>
        <w:t>Indholdsfortegnelse</w:t>
      </w:r>
      <w:r>
        <w:rPr>
          <w:lang w:val="en-GB"/>
        </w:rPr>
        <w:t xml:space="preserve"> </w:t>
      </w:r>
    </w:p>
    <w:sdt>
      <w:sdtPr>
        <w:id w:val="-1876922086"/>
        <w:docPartObj>
          <w:docPartGallery w:val="Table of Contents"/>
          <w:docPartUnique/>
        </w:docPartObj>
      </w:sdtPr>
      <w:sdtEndPr>
        <w:rPr>
          <w:b w:val="0"/>
          <w:caps w:val="0"/>
          <w:noProof/>
          <w:sz w:val="24"/>
          <w:szCs w:val="24"/>
        </w:rPr>
      </w:sdtEndPr>
      <w:sdtContent>
        <w:p w14:paraId="6C6FD9ED" w14:textId="77777777" w:rsidR="00A05D34" w:rsidRDefault="00692EC0" w:rsidP="00A05D34">
          <w:pPr>
            <w:pStyle w:val="Indholdsfortegnelse1"/>
            <w:rPr>
              <w:noProof/>
              <w:sz w:val="24"/>
              <w:szCs w:val="24"/>
              <w:lang w:eastAsia="ja-JP"/>
            </w:rPr>
          </w:pPr>
          <w:r>
            <w:fldChar w:fldCharType="begin"/>
          </w:r>
          <w:r>
            <w:instrText>TOC \o "1-3" \h \z \u</w:instrText>
          </w:r>
          <w:r>
            <w:fldChar w:fldCharType="separate"/>
          </w:r>
          <w:r w:rsidR="00A05D34">
            <w:rPr>
              <w:noProof/>
            </w:rPr>
            <w:t>1.</w:t>
          </w:r>
          <w:r w:rsidR="00A05D34">
            <w:rPr>
              <w:noProof/>
              <w:sz w:val="24"/>
              <w:szCs w:val="24"/>
              <w:lang w:eastAsia="ja-JP"/>
            </w:rPr>
            <w:tab/>
          </w:r>
          <w:r w:rsidR="00A05D34">
            <w:rPr>
              <w:noProof/>
            </w:rPr>
            <w:t>Introduktion</w:t>
          </w:r>
          <w:r w:rsidR="00A05D34">
            <w:rPr>
              <w:noProof/>
            </w:rPr>
            <w:tab/>
          </w:r>
          <w:r w:rsidR="00A05D34">
            <w:rPr>
              <w:noProof/>
            </w:rPr>
            <w:fldChar w:fldCharType="begin"/>
          </w:r>
          <w:r w:rsidR="00A05D34">
            <w:rPr>
              <w:noProof/>
            </w:rPr>
            <w:instrText xml:space="preserve"> PAGEREF _Toc292966567 \h </w:instrText>
          </w:r>
          <w:r w:rsidR="00A05D34">
            <w:rPr>
              <w:noProof/>
            </w:rPr>
          </w:r>
          <w:r w:rsidR="00A05D34">
            <w:rPr>
              <w:noProof/>
            </w:rPr>
            <w:fldChar w:fldCharType="separate"/>
          </w:r>
          <w:r w:rsidR="00622F86">
            <w:rPr>
              <w:noProof/>
            </w:rPr>
            <w:t>4</w:t>
          </w:r>
          <w:r w:rsidR="00A05D34">
            <w:rPr>
              <w:noProof/>
            </w:rPr>
            <w:fldChar w:fldCharType="end"/>
          </w:r>
        </w:p>
        <w:p w14:paraId="1A085CAD" w14:textId="77777777" w:rsidR="00A05D34" w:rsidRDefault="00A05D34">
          <w:pPr>
            <w:pStyle w:val="Indholdsfortegnelse2"/>
            <w:tabs>
              <w:tab w:val="left" w:pos="769"/>
              <w:tab w:val="right" w:leader="dot" w:pos="9622"/>
            </w:tabs>
            <w:rPr>
              <w:smallCaps w:val="0"/>
              <w:noProof/>
              <w:sz w:val="24"/>
              <w:szCs w:val="24"/>
              <w:lang w:eastAsia="ja-JP"/>
            </w:rPr>
          </w:pPr>
          <w:r>
            <w:rPr>
              <w:noProof/>
            </w:rPr>
            <w:t>1.1</w:t>
          </w:r>
          <w:r>
            <w:rPr>
              <w:smallCaps w:val="0"/>
              <w:noProof/>
              <w:sz w:val="24"/>
              <w:szCs w:val="24"/>
              <w:lang w:eastAsia="ja-JP"/>
            </w:rPr>
            <w:tab/>
          </w:r>
          <w:r>
            <w:rPr>
              <w:noProof/>
            </w:rPr>
            <w:t>Indledning</w:t>
          </w:r>
          <w:r>
            <w:rPr>
              <w:noProof/>
            </w:rPr>
            <w:tab/>
          </w:r>
          <w:r>
            <w:rPr>
              <w:noProof/>
            </w:rPr>
            <w:fldChar w:fldCharType="begin"/>
          </w:r>
          <w:r>
            <w:rPr>
              <w:noProof/>
            </w:rPr>
            <w:instrText xml:space="preserve"> PAGEREF _Toc292966568 \h </w:instrText>
          </w:r>
          <w:r>
            <w:rPr>
              <w:noProof/>
            </w:rPr>
          </w:r>
          <w:r>
            <w:rPr>
              <w:noProof/>
            </w:rPr>
            <w:fldChar w:fldCharType="separate"/>
          </w:r>
          <w:r w:rsidR="00622F86">
            <w:rPr>
              <w:noProof/>
            </w:rPr>
            <w:t>4</w:t>
          </w:r>
          <w:r>
            <w:rPr>
              <w:noProof/>
            </w:rPr>
            <w:fldChar w:fldCharType="end"/>
          </w:r>
        </w:p>
        <w:p w14:paraId="4DD80AD3" w14:textId="77777777" w:rsidR="00A05D34" w:rsidRDefault="00A05D34">
          <w:pPr>
            <w:pStyle w:val="Indholdsfortegnelse2"/>
            <w:tabs>
              <w:tab w:val="left" w:pos="769"/>
              <w:tab w:val="right" w:leader="dot" w:pos="9622"/>
            </w:tabs>
            <w:rPr>
              <w:smallCaps w:val="0"/>
              <w:noProof/>
              <w:sz w:val="24"/>
              <w:szCs w:val="24"/>
              <w:lang w:eastAsia="ja-JP"/>
            </w:rPr>
          </w:pPr>
          <w:r>
            <w:rPr>
              <w:noProof/>
            </w:rPr>
            <w:t>1.2</w:t>
          </w:r>
          <w:r>
            <w:rPr>
              <w:smallCaps w:val="0"/>
              <w:noProof/>
              <w:sz w:val="24"/>
              <w:szCs w:val="24"/>
              <w:lang w:eastAsia="ja-JP"/>
            </w:rPr>
            <w:tab/>
          </w:r>
          <w:r>
            <w:rPr>
              <w:noProof/>
            </w:rPr>
            <w:t>Problemformulering</w:t>
          </w:r>
          <w:r>
            <w:rPr>
              <w:noProof/>
            </w:rPr>
            <w:tab/>
          </w:r>
          <w:r>
            <w:rPr>
              <w:noProof/>
            </w:rPr>
            <w:fldChar w:fldCharType="begin"/>
          </w:r>
          <w:r>
            <w:rPr>
              <w:noProof/>
            </w:rPr>
            <w:instrText xml:space="preserve"> PAGEREF _Toc292966569 \h </w:instrText>
          </w:r>
          <w:r>
            <w:rPr>
              <w:noProof/>
            </w:rPr>
          </w:r>
          <w:r>
            <w:rPr>
              <w:noProof/>
            </w:rPr>
            <w:fldChar w:fldCharType="separate"/>
          </w:r>
          <w:r w:rsidR="00622F86">
            <w:rPr>
              <w:noProof/>
            </w:rPr>
            <w:t>4</w:t>
          </w:r>
          <w:r>
            <w:rPr>
              <w:noProof/>
            </w:rPr>
            <w:fldChar w:fldCharType="end"/>
          </w:r>
        </w:p>
        <w:p w14:paraId="74242068" w14:textId="77777777" w:rsidR="00A05D34" w:rsidRDefault="00A05D34">
          <w:pPr>
            <w:pStyle w:val="Indholdsfortegnelse2"/>
            <w:tabs>
              <w:tab w:val="left" w:pos="769"/>
              <w:tab w:val="right" w:leader="dot" w:pos="9622"/>
            </w:tabs>
            <w:rPr>
              <w:smallCaps w:val="0"/>
              <w:noProof/>
              <w:sz w:val="24"/>
              <w:szCs w:val="24"/>
              <w:lang w:eastAsia="ja-JP"/>
            </w:rPr>
          </w:pPr>
          <w:r>
            <w:rPr>
              <w:noProof/>
            </w:rPr>
            <w:t>1.3</w:t>
          </w:r>
          <w:r>
            <w:rPr>
              <w:smallCaps w:val="0"/>
              <w:noProof/>
              <w:sz w:val="24"/>
              <w:szCs w:val="24"/>
              <w:lang w:eastAsia="ja-JP"/>
            </w:rPr>
            <w:tab/>
          </w:r>
          <w:r>
            <w:rPr>
              <w:noProof/>
            </w:rPr>
            <w:t>Afgrænsning</w:t>
          </w:r>
          <w:r>
            <w:rPr>
              <w:noProof/>
            </w:rPr>
            <w:tab/>
          </w:r>
          <w:r>
            <w:rPr>
              <w:noProof/>
            </w:rPr>
            <w:fldChar w:fldCharType="begin"/>
          </w:r>
          <w:r>
            <w:rPr>
              <w:noProof/>
            </w:rPr>
            <w:instrText xml:space="preserve"> PAGEREF _Toc292966570 \h </w:instrText>
          </w:r>
          <w:r>
            <w:rPr>
              <w:noProof/>
            </w:rPr>
          </w:r>
          <w:r>
            <w:rPr>
              <w:noProof/>
            </w:rPr>
            <w:fldChar w:fldCharType="separate"/>
          </w:r>
          <w:r w:rsidR="00622F86">
            <w:rPr>
              <w:noProof/>
            </w:rPr>
            <w:t>5</w:t>
          </w:r>
          <w:r>
            <w:rPr>
              <w:noProof/>
            </w:rPr>
            <w:fldChar w:fldCharType="end"/>
          </w:r>
        </w:p>
        <w:p w14:paraId="28FC3B3B" w14:textId="77777777" w:rsidR="00A05D34" w:rsidRDefault="00A05D34">
          <w:pPr>
            <w:pStyle w:val="Indholdsfortegnelse2"/>
            <w:tabs>
              <w:tab w:val="left" w:pos="769"/>
              <w:tab w:val="right" w:leader="dot" w:pos="9622"/>
            </w:tabs>
            <w:rPr>
              <w:smallCaps w:val="0"/>
              <w:noProof/>
              <w:sz w:val="24"/>
              <w:szCs w:val="24"/>
              <w:lang w:eastAsia="ja-JP"/>
            </w:rPr>
          </w:pPr>
          <w:r>
            <w:rPr>
              <w:noProof/>
            </w:rPr>
            <w:t>1.4</w:t>
          </w:r>
          <w:r>
            <w:rPr>
              <w:smallCaps w:val="0"/>
              <w:noProof/>
              <w:sz w:val="24"/>
              <w:szCs w:val="24"/>
              <w:lang w:eastAsia="ja-JP"/>
            </w:rPr>
            <w:tab/>
          </w:r>
          <w:r>
            <w:rPr>
              <w:noProof/>
            </w:rPr>
            <w:t>Metode</w:t>
          </w:r>
          <w:r>
            <w:rPr>
              <w:noProof/>
            </w:rPr>
            <w:tab/>
          </w:r>
          <w:r>
            <w:rPr>
              <w:noProof/>
            </w:rPr>
            <w:fldChar w:fldCharType="begin"/>
          </w:r>
          <w:r>
            <w:rPr>
              <w:noProof/>
            </w:rPr>
            <w:instrText xml:space="preserve"> PAGEREF _Toc292966571 \h </w:instrText>
          </w:r>
          <w:r>
            <w:rPr>
              <w:noProof/>
            </w:rPr>
          </w:r>
          <w:r>
            <w:rPr>
              <w:noProof/>
            </w:rPr>
            <w:fldChar w:fldCharType="separate"/>
          </w:r>
          <w:r w:rsidR="00622F86">
            <w:rPr>
              <w:noProof/>
            </w:rPr>
            <w:t>6</w:t>
          </w:r>
          <w:r>
            <w:rPr>
              <w:noProof/>
            </w:rPr>
            <w:fldChar w:fldCharType="end"/>
          </w:r>
        </w:p>
        <w:p w14:paraId="6F790D3D" w14:textId="77777777" w:rsidR="00A05D34" w:rsidRDefault="00A05D34">
          <w:pPr>
            <w:pStyle w:val="Indholdsfortegnelse3"/>
            <w:tabs>
              <w:tab w:val="left" w:pos="1156"/>
              <w:tab w:val="right" w:leader="dot" w:pos="9622"/>
            </w:tabs>
            <w:rPr>
              <w:i w:val="0"/>
              <w:noProof/>
              <w:sz w:val="24"/>
              <w:szCs w:val="24"/>
              <w:lang w:eastAsia="ja-JP"/>
            </w:rPr>
          </w:pPr>
          <w:r>
            <w:rPr>
              <w:noProof/>
            </w:rPr>
            <w:t>1.4.1</w:t>
          </w:r>
          <w:r>
            <w:rPr>
              <w:i w:val="0"/>
              <w:noProof/>
              <w:sz w:val="24"/>
              <w:szCs w:val="24"/>
              <w:lang w:eastAsia="ja-JP"/>
            </w:rPr>
            <w:tab/>
          </w:r>
          <w:r>
            <w:rPr>
              <w:noProof/>
            </w:rPr>
            <w:t>Retsdogmatisk metode</w:t>
          </w:r>
          <w:r>
            <w:rPr>
              <w:noProof/>
            </w:rPr>
            <w:tab/>
          </w:r>
          <w:r>
            <w:rPr>
              <w:noProof/>
            </w:rPr>
            <w:fldChar w:fldCharType="begin"/>
          </w:r>
          <w:r>
            <w:rPr>
              <w:noProof/>
            </w:rPr>
            <w:instrText xml:space="preserve"> PAGEREF _Toc292966572 \h </w:instrText>
          </w:r>
          <w:r>
            <w:rPr>
              <w:noProof/>
            </w:rPr>
          </w:r>
          <w:r>
            <w:rPr>
              <w:noProof/>
            </w:rPr>
            <w:fldChar w:fldCharType="separate"/>
          </w:r>
          <w:r w:rsidR="00622F86">
            <w:rPr>
              <w:noProof/>
            </w:rPr>
            <w:t>6</w:t>
          </w:r>
          <w:r>
            <w:rPr>
              <w:noProof/>
            </w:rPr>
            <w:fldChar w:fldCharType="end"/>
          </w:r>
        </w:p>
        <w:p w14:paraId="11FDCFF4" w14:textId="77777777" w:rsidR="00A05D34" w:rsidRDefault="00A05D34">
          <w:pPr>
            <w:pStyle w:val="Indholdsfortegnelse3"/>
            <w:tabs>
              <w:tab w:val="left" w:pos="1156"/>
              <w:tab w:val="right" w:leader="dot" w:pos="9622"/>
            </w:tabs>
            <w:rPr>
              <w:i w:val="0"/>
              <w:noProof/>
              <w:sz w:val="24"/>
              <w:szCs w:val="24"/>
              <w:lang w:eastAsia="ja-JP"/>
            </w:rPr>
          </w:pPr>
          <w:r>
            <w:rPr>
              <w:noProof/>
            </w:rPr>
            <w:t>1.4.2</w:t>
          </w:r>
          <w:r>
            <w:rPr>
              <w:i w:val="0"/>
              <w:noProof/>
              <w:sz w:val="24"/>
              <w:szCs w:val="24"/>
              <w:lang w:eastAsia="ja-JP"/>
            </w:rPr>
            <w:tab/>
          </w:r>
          <w:r>
            <w:rPr>
              <w:noProof/>
            </w:rPr>
            <w:t>Kildehåndtering</w:t>
          </w:r>
          <w:r>
            <w:rPr>
              <w:noProof/>
            </w:rPr>
            <w:tab/>
          </w:r>
          <w:r>
            <w:rPr>
              <w:noProof/>
            </w:rPr>
            <w:fldChar w:fldCharType="begin"/>
          </w:r>
          <w:r>
            <w:rPr>
              <w:noProof/>
            </w:rPr>
            <w:instrText xml:space="preserve"> PAGEREF _Toc292966573 \h </w:instrText>
          </w:r>
          <w:r>
            <w:rPr>
              <w:noProof/>
            </w:rPr>
          </w:r>
          <w:r>
            <w:rPr>
              <w:noProof/>
            </w:rPr>
            <w:fldChar w:fldCharType="separate"/>
          </w:r>
          <w:r w:rsidR="00622F86">
            <w:rPr>
              <w:noProof/>
            </w:rPr>
            <w:t>6</w:t>
          </w:r>
          <w:r>
            <w:rPr>
              <w:noProof/>
            </w:rPr>
            <w:fldChar w:fldCharType="end"/>
          </w:r>
        </w:p>
        <w:p w14:paraId="511F819B" w14:textId="77777777" w:rsidR="00A05D34" w:rsidRDefault="00A05D34">
          <w:pPr>
            <w:pStyle w:val="Indholdsfortegnelse3"/>
            <w:tabs>
              <w:tab w:val="left" w:pos="1156"/>
              <w:tab w:val="right" w:leader="dot" w:pos="9622"/>
            </w:tabs>
            <w:rPr>
              <w:i w:val="0"/>
              <w:noProof/>
              <w:sz w:val="24"/>
              <w:szCs w:val="24"/>
              <w:lang w:eastAsia="ja-JP"/>
            </w:rPr>
          </w:pPr>
          <w:r>
            <w:rPr>
              <w:noProof/>
            </w:rPr>
            <w:t>1.4.3</w:t>
          </w:r>
          <w:r>
            <w:rPr>
              <w:i w:val="0"/>
              <w:noProof/>
              <w:sz w:val="24"/>
              <w:szCs w:val="24"/>
              <w:lang w:eastAsia="ja-JP"/>
            </w:rPr>
            <w:tab/>
          </w:r>
          <w:r>
            <w:rPr>
              <w:noProof/>
            </w:rPr>
            <w:t>Fortolkning af EU-retlige retskilder</w:t>
          </w:r>
          <w:r>
            <w:rPr>
              <w:noProof/>
            </w:rPr>
            <w:tab/>
          </w:r>
          <w:r>
            <w:rPr>
              <w:noProof/>
            </w:rPr>
            <w:fldChar w:fldCharType="begin"/>
          </w:r>
          <w:r>
            <w:rPr>
              <w:noProof/>
            </w:rPr>
            <w:instrText xml:space="preserve"> PAGEREF _Toc292966574 \h </w:instrText>
          </w:r>
          <w:r>
            <w:rPr>
              <w:noProof/>
            </w:rPr>
          </w:r>
          <w:r>
            <w:rPr>
              <w:noProof/>
            </w:rPr>
            <w:fldChar w:fldCharType="separate"/>
          </w:r>
          <w:r w:rsidR="00622F86">
            <w:rPr>
              <w:noProof/>
            </w:rPr>
            <w:t>7</w:t>
          </w:r>
          <w:r>
            <w:rPr>
              <w:noProof/>
            </w:rPr>
            <w:fldChar w:fldCharType="end"/>
          </w:r>
        </w:p>
        <w:p w14:paraId="40BBF977" w14:textId="77777777" w:rsidR="00A05D34" w:rsidRDefault="00A05D34">
          <w:pPr>
            <w:pStyle w:val="Indholdsfortegnelse2"/>
            <w:tabs>
              <w:tab w:val="left" w:pos="769"/>
              <w:tab w:val="right" w:leader="dot" w:pos="9622"/>
            </w:tabs>
            <w:rPr>
              <w:smallCaps w:val="0"/>
              <w:noProof/>
              <w:sz w:val="24"/>
              <w:szCs w:val="24"/>
              <w:lang w:eastAsia="ja-JP"/>
            </w:rPr>
          </w:pPr>
          <w:r>
            <w:rPr>
              <w:noProof/>
            </w:rPr>
            <w:t>1.5</w:t>
          </w:r>
          <w:r>
            <w:rPr>
              <w:smallCaps w:val="0"/>
              <w:noProof/>
              <w:sz w:val="24"/>
              <w:szCs w:val="24"/>
              <w:lang w:eastAsia="ja-JP"/>
            </w:rPr>
            <w:tab/>
          </w:r>
          <w:r>
            <w:rPr>
              <w:noProof/>
            </w:rPr>
            <w:t>Begreber</w:t>
          </w:r>
          <w:r>
            <w:rPr>
              <w:noProof/>
            </w:rPr>
            <w:tab/>
          </w:r>
          <w:r>
            <w:rPr>
              <w:noProof/>
            </w:rPr>
            <w:fldChar w:fldCharType="begin"/>
          </w:r>
          <w:r>
            <w:rPr>
              <w:noProof/>
            </w:rPr>
            <w:instrText xml:space="preserve"> PAGEREF _Toc292966575 \h </w:instrText>
          </w:r>
          <w:r>
            <w:rPr>
              <w:noProof/>
            </w:rPr>
          </w:r>
          <w:r>
            <w:rPr>
              <w:noProof/>
            </w:rPr>
            <w:fldChar w:fldCharType="separate"/>
          </w:r>
          <w:r w:rsidR="00622F86">
            <w:rPr>
              <w:noProof/>
            </w:rPr>
            <w:t>9</w:t>
          </w:r>
          <w:r>
            <w:rPr>
              <w:noProof/>
            </w:rPr>
            <w:fldChar w:fldCharType="end"/>
          </w:r>
        </w:p>
        <w:p w14:paraId="065E2220" w14:textId="77777777" w:rsidR="00A05D34" w:rsidRDefault="00A05D34">
          <w:pPr>
            <w:pStyle w:val="Indholdsfortegnelse3"/>
            <w:tabs>
              <w:tab w:val="left" w:pos="1156"/>
              <w:tab w:val="right" w:leader="dot" w:pos="9622"/>
            </w:tabs>
            <w:rPr>
              <w:i w:val="0"/>
              <w:noProof/>
              <w:sz w:val="24"/>
              <w:szCs w:val="24"/>
              <w:lang w:eastAsia="ja-JP"/>
            </w:rPr>
          </w:pPr>
          <w:r>
            <w:rPr>
              <w:noProof/>
            </w:rPr>
            <w:t>1.5.1</w:t>
          </w:r>
          <w:r>
            <w:rPr>
              <w:i w:val="0"/>
              <w:noProof/>
              <w:sz w:val="24"/>
              <w:szCs w:val="24"/>
              <w:lang w:eastAsia="ja-JP"/>
            </w:rPr>
            <w:tab/>
          </w:r>
          <w:r>
            <w:rPr>
              <w:noProof/>
            </w:rPr>
            <w:t>Lønmodtager vs. arbejdstager</w:t>
          </w:r>
          <w:r>
            <w:rPr>
              <w:noProof/>
            </w:rPr>
            <w:tab/>
          </w:r>
          <w:r>
            <w:rPr>
              <w:noProof/>
            </w:rPr>
            <w:fldChar w:fldCharType="begin"/>
          </w:r>
          <w:r>
            <w:rPr>
              <w:noProof/>
            </w:rPr>
            <w:instrText xml:space="preserve"> PAGEREF _Toc292966576 \h </w:instrText>
          </w:r>
          <w:r>
            <w:rPr>
              <w:noProof/>
            </w:rPr>
          </w:r>
          <w:r>
            <w:rPr>
              <w:noProof/>
            </w:rPr>
            <w:fldChar w:fldCharType="separate"/>
          </w:r>
          <w:r w:rsidR="00622F86">
            <w:rPr>
              <w:noProof/>
            </w:rPr>
            <w:t>9</w:t>
          </w:r>
          <w:r>
            <w:rPr>
              <w:noProof/>
            </w:rPr>
            <w:fldChar w:fldCharType="end"/>
          </w:r>
        </w:p>
        <w:p w14:paraId="644FDB92" w14:textId="77777777" w:rsidR="00A05D34" w:rsidRDefault="00A05D34">
          <w:pPr>
            <w:pStyle w:val="Indholdsfortegnelse3"/>
            <w:tabs>
              <w:tab w:val="left" w:pos="1156"/>
              <w:tab w:val="right" w:leader="dot" w:pos="9622"/>
            </w:tabs>
            <w:rPr>
              <w:i w:val="0"/>
              <w:noProof/>
              <w:sz w:val="24"/>
              <w:szCs w:val="24"/>
              <w:lang w:eastAsia="ja-JP"/>
            </w:rPr>
          </w:pPr>
          <w:r>
            <w:rPr>
              <w:noProof/>
            </w:rPr>
            <w:t>1.5.2</w:t>
          </w:r>
          <w:r>
            <w:rPr>
              <w:i w:val="0"/>
              <w:noProof/>
              <w:sz w:val="24"/>
              <w:szCs w:val="24"/>
              <w:lang w:eastAsia="ja-JP"/>
            </w:rPr>
            <w:tab/>
          </w:r>
          <w:r>
            <w:rPr>
              <w:noProof/>
            </w:rPr>
            <w:t>Opsigelse vs. afskedigelse</w:t>
          </w:r>
          <w:r>
            <w:rPr>
              <w:noProof/>
            </w:rPr>
            <w:tab/>
          </w:r>
          <w:r>
            <w:rPr>
              <w:noProof/>
            </w:rPr>
            <w:fldChar w:fldCharType="begin"/>
          </w:r>
          <w:r>
            <w:rPr>
              <w:noProof/>
            </w:rPr>
            <w:instrText xml:space="preserve"> PAGEREF _Toc292966577 \h </w:instrText>
          </w:r>
          <w:r>
            <w:rPr>
              <w:noProof/>
            </w:rPr>
          </w:r>
          <w:r>
            <w:rPr>
              <w:noProof/>
            </w:rPr>
            <w:fldChar w:fldCharType="separate"/>
          </w:r>
          <w:r w:rsidR="00622F86">
            <w:rPr>
              <w:noProof/>
            </w:rPr>
            <w:t>9</w:t>
          </w:r>
          <w:r>
            <w:rPr>
              <w:noProof/>
            </w:rPr>
            <w:fldChar w:fldCharType="end"/>
          </w:r>
        </w:p>
        <w:p w14:paraId="66A767D9" w14:textId="77777777" w:rsidR="00A05D34" w:rsidRDefault="00A05D34">
          <w:pPr>
            <w:pStyle w:val="Indholdsfortegnelse3"/>
            <w:tabs>
              <w:tab w:val="left" w:pos="1156"/>
              <w:tab w:val="right" w:leader="dot" w:pos="9622"/>
            </w:tabs>
            <w:rPr>
              <w:i w:val="0"/>
              <w:noProof/>
              <w:sz w:val="24"/>
              <w:szCs w:val="24"/>
              <w:lang w:eastAsia="ja-JP"/>
            </w:rPr>
          </w:pPr>
          <w:r>
            <w:rPr>
              <w:noProof/>
            </w:rPr>
            <w:t>1.5.3</w:t>
          </w:r>
          <w:r>
            <w:rPr>
              <w:i w:val="0"/>
              <w:noProof/>
              <w:sz w:val="24"/>
              <w:szCs w:val="24"/>
              <w:lang w:eastAsia="ja-JP"/>
            </w:rPr>
            <w:tab/>
          </w:r>
          <w:r>
            <w:rPr>
              <w:noProof/>
            </w:rPr>
            <w:t>Overdrager og erhverver</w:t>
          </w:r>
          <w:r>
            <w:rPr>
              <w:noProof/>
            </w:rPr>
            <w:tab/>
          </w:r>
          <w:r>
            <w:rPr>
              <w:noProof/>
            </w:rPr>
            <w:fldChar w:fldCharType="begin"/>
          </w:r>
          <w:r>
            <w:rPr>
              <w:noProof/>
            </w:rPr>
            <w:instrText xml:space="preserve"> PAGEREF _Toc292966578 \h </w:instrText>
          </w:r>
          <w:r>
            <w:rPr>
              <w:noProof/>
            </w:rPr>
          </w:r>
          <w:r>
            <w:rPr>
              <w:noProof/>
            </w:rPr>
            <w:fldChar w:fldCharType="separate"/>
          </w:r>
          <w:r w:rsidR="00622F86">
            <w:rPr>
              <w:noProof/>
            </w:rPr>
            <w:t>9</w:t>
          </w:r>
          <w:r>
            <w:rPr>
              <w:noProof/>
            </w:rPr>
            <w:fldChar w:fldCharType="end"/>
          </w:r>
        </w:p>
        <w:p w14:paraId="3F47DAAE" w14:textId="77777777" w:rsidR="00A05D34" w:rsidRDefault="00A05D34">
          <w:pPr>
            <w:pStyle w:val="Indholdsfortegnelse3"/>
            <w:tabs>
              <w:tab w:val="left" w:pos="1156"/>
              <w:tab w:val="right" w:leader="dot" w:pos="9622"/>
            </w:tabs>
            <w:rPr>
              <w:i w:val="0"/>
              <w:noProof/>
              <w:sz w:val="24"/>
              <w:szCs w:val="24"/>
              <w:lang w:eastAsia="ja-JP"/>
            </w:rPr>
          </w:pPr>
          <w:r>
            <w:rPr>
              <w:noProof/>
            </w:rPr>
            <w:t>1.5.4</w:t>
          </w:r>
          <w:r>
            <w:rPr>
              <w:i w:val="0"/>
              <w:noProof/>
              <w:sz w:val="24"/>
              <w:szCs w:val="24"/>
              <w:lang w:eastAsia="ja-JP"/>
            </w:rPr>
            <w:tab/>
          </w:r>
          <w:r>
            <w:rPr>
              <w:noProof/>
            </w:rPr>
            <w:t>Retsvirkning vs. sanktion</w:t>
          </w:r>
          <w:r>
            <w:rPr>
              <w:noProof/>
            </w:rPr>
            <w:tab/>
          </w:r>
          <w:r>
            <w:rPr>
              <w:noProof/>
            </w:rPr>
            <w:fldChar w:fldCharType="begin"/>
          </w:r>
          <w:r>
            <w:rPr>
              <w:noProof/>
            </w:rPr>
            <w:instrText xml:space="preserve"> PAGEREF _Toc292966579 \h </w:instrText>
          </w:r>
          <w:r>
            <w:rPr>
              <w:noProof/>
            </w:rPr>
          </w:r>
          <w:r>
            <w:rPr>
              <w:noProof/>
            </w:rPr>
            <w:fldChar w:fldCharType="separate"/>
          </w:r>
          <w:r w:rsidR="00622F86">
            <w:rPr>
              <w:noProof/>
            </w:rPr>
            <w:t>9</w:t>
          </w:r>
          <w:r>
            <w:rPr>
              <w:noProof/>
            </w:rPr>
            <w:fldChar w:fldCharType="end"/>
          </w:r>
        </w:p>
        <w:p w14:paraId="429D1FCD" w14:textId="77777777" w:rsidR="00A05D34" w:rsidRDefault="00A05D34">
          <w:pPr>
            <w:pStyle w:val="Indholdsfortegnelse3"/>
            <w:tabs>
              <w:tab w:val="left" w:pos="1156"/>
              <w:tab w:val="right" w:leader="dot" w:pos="9622"/>
            </w:tabs>
            <w:rPr>
              <w:i w:val="0"/>
              <w:noProof/>
              <w:sz w:val="24"/>
              <w:szCs w:val="24"/>
              <w:lang w:eastAsia="ja-JP"/>
            </w:rPr>
          </w:pPr>
          <w:r>
            <w:rPr>
              <w:noProof/>
            </w:rPr>
            <w:t>1.5.5</w:t>
          </w:r>
          <w:r>
            <w:rPr>
              <w:i w:val="0"/>
              <w:noProof/>
              <w:sz w:val="24"/>
              <w:szCs w:val="24"/>
              <w:lang w:eastAsia="ja-JP"/>
            </w:rPr>
            <w:tab/>
          </w:r>
          <w:r>
            <w:rPr>
              <w:noProof/>
            </w:rPr>
            <w:t>Forkortelser</w:t>
          </w:r>
          <w:r>
            <w:rPr>
              <w:noProof/>
            </w:rPr>
            <w:tab/>
          </w:r>
          <w:r>
            <w:rPr>
              <w:noProof/>
            </w:rPr>
            <w:fldChar w:fldCharType="begin"/>
          </w:r>
          <w:r>
            <w:rPr>
              <w:noProof/>
            </w:rPr>
            <w:instrText xml:space="preserve"> PAGEREF _Toc292966580 \h </w:instrText>
          </w:r>
          <w:r>
            <w:rPr>
              <w:noProof/>
            </w:rPr>
          </w:r>
          <w:r>
            <w:rPr>
              <w:noProof/>
            </w:rPr>
            <w:fldChar w:fldCharType="separate"/>
          </w:r>
          <w:r w:rsidR="00622F86">
            <w:rPr>
              <w:noProof/>
            </w:rPr>
            <w:t>10</w:t>
          </w:r>
          <w:r>
            <w:rPr>
              <w:noProof/>
            </w:rPr>
            <w:fldChar w:fldCharType="end"/>
          </w:r>
        </w:p>
        <w:p w14:paraId="20D9C61A" w14:textId="77777777" w:rsidR="00A05D34" w:rsidRDefault="00A05D34">
          <w:pPr>
            <w:pStyle w:val="Indholdsfortegnelse2"/>
            <w:tabs>
              <w:tab w:val="left" w:pos="769"/>
              <w:tab w:val="right" w:leader="dot" w:pos="9622"/>
            </w:tabs>
            <w:rPr>
              <w:smallCaps w:val="0"/>
              <w:noProof/>
              <w:sz w:val="24"/>
              <w:szCs w:val="24"/>
              <w:lang w:eastAsia="ja-JP"/>
            </w:rPr>
          </w:pPr>
          <w:r>
            <w:rPr>
              <w:noProof/>
            </w:rPr>
            <w:t>1.6</w:t>
          </w:r>
          <w:r>
            <w:rPr>
              <w:smallCaps w:val="0"/>
              <w:noProof/>
              <w:sz w:val="24"/>
              <w:szCs w:val="24"/>
              <w:lang w:eastAsia="ja-JP"/>
            </w:rPr>
            <w:tab/>
          </w:r>
          <w:r>
            <w:rPr>
              <w:noProof/>
            </w:rPr>
            <w:t>Direktiv 2001/23/EF</w:t>
          </w:r>
          <w:r>
            <w:rPr>
              <w:noProof/>
            </w:rPr>
            <w:tab/>
          </w:r>
          <w:r>
            <w:rPr>
              <w:noProof/>
            </w:rPr>
            <w:fldChar w:fldCharType="begin"/>
          </w:r>
          <w:r>
            <w:rPr>
              <w:noProof/>
            </w:rPr>
            <w:instrText xml:space="preserve"> PAGEREF _Toc292966581 \h </w:instrText>
          </w:r>
          <w:r>
            <w:rPr>
              <w:noProof/>
            </w:rPr>
          </w:r>
          <w:r>
            <w:rPr>
              <w:noProof/>
            </w:rPr>
            <w:fldChar w:fldCharType="separate"/>
          </w:r>
          <w:r w:rsidR="00622F86">
            <w:rPr>
              <w:noProof/>
            </w:rPr>
            <w:t>10</w:t>
          </w:r>
          <w:r>
            <w:rPr>
              <w:noProof/>
            </w:rPr>
            <w:fldChar w:fldCharType="end"/>
          </w:r>
        </w:p>
        <w:p w14:paraId="5D91A9FC" w14:textId="77777777" w:rsidR="00A05D34" w:rsidRDefault="00A05D34">
          <w:pPr>
            <w:pStyle w:val="Indholdsfortegnelse2"/>
            <w:tabs>
              <w:tab w:val="left" w:pos="769"/>
              <w:tab w:val="right" w:leader="dot" w:pos="9622"/>
            </w:tabs>
            <w:rPr>
              <w:smallCaps w:val="0"/>
              <w:noProof/>
              <w:sz w:val="24"/>
              <w:szCs w:val="24"/>
              <w:lang w:eastAsia="ja-JP"/>
            </w:rPr>
          </w:pPr>
          <w:r>
            <w:rPr>
              <w:noProof/>
            </w:rPr>
            <w:t>1.7</w:t>
          </w:r>
          <w:r>
            <w:rPr>
              <w:smallCaps w:val="0"/>
              <w:noProof/>
              <w:sz w:val="24"/>
              <w:szCs w:val="24"/>
              <w:lang w:eastAsia="ja-JP"/>
            </w:rPr>
            <w:tab/>
          </w:r>
          <w:r>
            <w:rPr>
              <w:noProof/>
            </w:rPr>
            <w:t>Lov om lønmodtageres retsstilling ved virksomhedsoverdragelse (virksomhedsoverdragelsesloven)</w:t>
          </w:r>
          <w:r>
            <w:rPr>
              <w:noProof/>
            </w:rPr>
            <w:tab/>
          </w:r>
          <w:r>
            <w:rPr>
              <w:noProof/>
            </w:rPr>
            <w:fldChar w:fldCharType="begin"/>
          </w:r>
          <w:r>
            <w:rPr>
              <w:noProof/>
            </w:rPr>
            <w:instrText xml:space="preserve"> PAGEREF _Toc292966582 \h </w:instrText>
          </w:r>
          <w:r>
            <w:rPr>
              <w:noProof/>
            </w:rPr>
          </w:r>
          <w:r>
            <w:rPr>
              <w:noProof/>
            </w:rPr>
            <w:fldChar w:fldCharType="separate"/>
          </w:r>
          <w:r w:rsidR="00622F86">
            <w:rPr>
              <w:noProof/>
            </w:rPr>
            <w:t>11</w:t>
          </w:r>
          <w:r>
            <w:rPr>
              <w:noProof/>
            </w:rPr>
            <w:fldChar w:fldCharType="end"/>
          </w:r>
        </w:p>
        <w:p w14:paraId="383320E2" w14:textId="77777777" w:rsidR="00A05D34" w:rsidRDefault="00A05D34" w:rsidP="00A05D34">
          <w:pPr>
            <w:pStyle w:val="Indholdsfortegnelse1"/>
            <w:rPr>
              <w:noProof/>
              <w:sz w:val="24"/>
              <w:szCs w:val="24"/>
              <w:lang w:eastAsia="ja-JP"/>
            </w:rPr>
          </w:pPr>
          <w:r>
            <w:rPr>
              <w:noProof/>
            </w:rPr>
            <w:t>2</w:t>
          </w:r>
          <w:r>
            <w:rPr>
              <w:noProof/>
              <w:sz w:val="24"/>
              <w:szCs w:val="24"/>
              <w:lang w:eastAsia="ja-JP"/>
            </w:rPr>
            <w:tab/>
          </w:r>
          <w:r>
            <w:rPr>
              <w:noProof/>
            </w:rPr>
            <w:t>EU-rettens forhold til national ret</w:t>
          </w:r>
          <w:r>
            <w:rPr>
              <w:noProof/>
            </w:rPr>
            <w:tab/>
          </w:r>
          <w:r>
            <w:rPr>
              <w:noProof/>
            </w:rPr>
            <w:fldChar w:fldCharType="begin"/>
          </w:r>
          <w:r>
            <w:rPr>
              <w:noProof/>
            </w:rPr>
            <w:instrText xml:space="preserve"> PAGEREF _Toc292966583 \h </w:instrText>
          </w:r>
          <w:r>
            <w:rPr>
              <w:noProof/>
            </w:rPr>
          </w:r>
          <w:r>
            <w:rPr>
              <w:noProof/>
            </w:rPr>
            <w:fldChar w:fldCharType="separate"/>
          </w:r>
          <w:r w:rsidR="00622F86">
            <w:rPr>
              <w:noProof/>
            </w:rPr>
            <w:t>13</w:t>
          </w:r>
          <w:r>
            <w:rPr>
              <w:noProof/>
            </w:rPr>
            <w:fldChar w:fldCharType="end"/>
          </w:r>
        </w:p>
        <w:p w14:paraId="1C814D01" w14:textId="77777777" w:rsidR="00A05D34" w:rsidRDefault="00A05D34">
          <w:pPr>
            <w:pStyle w:val="Indholdsfortegnelse2"/>
            <w:tabs>
              <w:tab w:val="left" w:pos="769"/>
              <w:tab w:val="right" w:leader="dot" w:pos="9622"/>
            </w:tabs>
            <w:rPr>
              <w:smallCaps w:val="0"/>
              <w:noProof/>
              <w:sz w:val="24"/>
              <w:szCs w:val="24"/>
              <w:lang w:eastAsia="ja-JP"/>
            </w:rPr>
          </w:pPr>
          <w:r>
            <w:rPr>
              <w:noProof/>
            </w:rPr>
            <w:t>2.1</w:t>
          </w:r>
          <w:r>
            <w:rPr>
              <w:smallCaps w:val="0"/>
              <w:noProof/>
              <w:sz w:val="24"/>
              <w:szCs w:val="24"/>
              <w:lang w:eastAsia="ja-JP"/>
            </w:rPr>
            <w:tab/>
          </w:r>
          <w:r>
            <w:rPr>
              <w:noProof/>
            </w:rPr>
            <w:t>2.1. EU-rettens virkning i national ret</w:t>
          </w:r>
          <w:r>
            <w:rPr>
              <w:noProof/>
            </w:rPr>
            <w:tab/>
          </w:r>
          <w:r>
            <w:rPr>
              <w:noProof/>
            </w:rPr>
            <w:fldChar w:fldCharType="begin"/>
          </w:r>
          <w:r>
            <w:rPr>
              <w:noProof/>
            </w:rPr>
            <w:instrText xml:space="preserve"> PAGEREF _Toc292966584 \h </w:instrText>
          </w:r>
          <w:r>
            <w:rPr>
              <w:noProof/>
            </w:rPr>
          </w:r>
          <w:r>
            <w:rPr>
              <w:noProof/>
            </w:rPr>
            <w:fldChar w:fldCharType="separate"/>
          </w:r>
          <w:r w:rsidR="00622F86">
            <w:rPr>
              <w:noProof/>
            </w:rPr>
            <w:t>13</w:t>
          </w:r>
          <w:r>
            <w:rPr>
              <w:noProof/>
            </w:rPr>
            <w:fldChar w:fldCharType="end"/>
          </w:r>
        </w:p>
        <w:p w14:paraId="2773DD1B" w14:textId="77777777" w:rsidR="00A05D34" w:rsidRDefault="00A05D34">
          <w:pPr>
            <w:pStyle w:val="Indholdsfortegnelse2"/>
            <w:tabs>
              <w:tab w:val="left" w:pos="769"/>
              <w:tab w:val="right" w:leader="dot" w:pos="9622"/>
            </w:tabs>
            <w:rPr>
              <w:smallCaps w:val="0"/>
              <w:noProof/>
              <w:sz w:val="24"/>
              <w:szCs w:val="24"/>
              <w:lang w:eastAsia="ja-JP"/>
            </w:rPr>
          </w:pPr>
          <w:r>
            <w:rPr>
              <w:noProof/>
            </w:rPr>
            <w:t>2.2</w:t>
          </w:r>
          <w:r>
            <w:rPr>
              <w:smallCaps w:val="0"/>
              <w:noProof/>
              <w:sz w:val="24"/>
              <w:szCs w:val="24"/>
              <w:lang w:eastAsia="ja-JP"/>
            </w:rPr>
            <w:tab/>
          </w:r>
          <w:r>
            <w:rPr>
              <w:noProof/>
            </w:rPr>
            <w:t>Direktivers umiddelbare anvendelighed</w:t>
          </w:r>
          <w:r>
            <w:rPr>
              <w:noProof/>
            </w:rPr>
            <w:tab/>
          </w:r>
          <w:r>
            <w:rPr>
              <w:noProof/>
            </w:rPr>
            <w:fldChar w:fldCharType="begin"/>
          </w:r>
          <w:r>
            <w:rPr>
              <w:noProof/>
            </w:rPr>
            <w:instrText xml:space="preserve"> PAGEREF _Toc292966585 \h </w:instrText>
          </w:r>
          <w:r>
            <w:rPr>
              <w:noProof/>
            </w:rPr>
          </w:r>
          <w:r>
            <w:rPr>
              <w:noProof/>
            </w:rPr>
            <w:fldChar w:fldCharType="separate"/>
          </w:r>
          <w:r w:rsidR="00622F86">
            <w:rPr>
              <w:noProof/>
            </w:rPr>
            <w:t>14</w:t>
          </w:r>
          <w:r>
            <w:rPr>
              <w:noProof/>
            </w:rPr>
            <w:fldChar w:fldCharType="end"/>
          </w:r>
        </w:p>
        <w:p w14:paraId="22F62210" w14:textId="77777777" w:rsidR="00A05D34" w:rsidRDefault="00A05D34">
          <w:pPr>
            <w:pStyle w:val="Indholdsfortegnelse2"/>
            <w:tabs>
              <w:tab w:val="left" w:pos="769"/>
              <w:tab w:val="right" w:leader="dot" w:pos="9622"/>
            </w:tabs>
            <w:rPr>
              <w:smallCaps w:val="0"/>
              <w:noProof/>
              <w:sz w:val="24"/>
              <w:szCs w:val="24"/>
              <w:lang w:eastAsia="ja-JP"/>
            </w:rPr>
          </w:pPr>
          <w:r>
            <w:rPr>
              <w:noProof/>
            </w:rPr>
            <w:t>2.3</w:t>
          </w:r>
          <w:r>
            <w:rPr>
              <w:smallCaps w:val="0"/>
              <w:noProof/>
              <w:sz w:val="24"/>
              <w:szCs w:val="24"/>
              <w:lang w:eastAsia="ja-JP"/>
            </w:rPr>
            <w:tab/>
          </w:r>
          <w:r>
            <w:rPr>
              <w:noProof/>
            </w:rPr>
            <w:t>Fortolkningsforpligtelsen</w:t>
          </w:r>
          <w:r>
            <w:rPr>
              <w:noProof/>
            </w:rPr>
            <w:tab/>
          </w:r>
          <w:r>
            <w:rPr>
              <w:noProof/>
            </w:rPr>
            <w:fldChar w:fldCharType="begin"/>
          </w:r>
          <w:r>
            <w:rPr>
              <w:noProof/>
            </w:rPr>
            <w:instrText xml:space="preserve"> PAGEREF _Toc292966586 \h </w:instrText>
          </w:r>
          <w:r>
            <w:rPr>
              <w:noProof/>
            </w:rPr>
          </w:r>
          <w:r>
            <w:rPr>
              <w:noProof/>
            </w:rPr>
            <w:fldChar w:fldCharType="separate"/>
          </w:r>
          <w:r w:rsidR="00622F86">
            <w:rPr>
              <w:noProof/>
            </w:rPr>
            <w:t>15</w:t>
          </w:r>
          <w:r>
            <w:rPr>
              <w:noProof/>
            </w:rPr>
            <w:fldChar w:fldCharType="end"/>
          </w:r>
        </w:p>
        <w:p w14:paraId="57857DB4" w14:textId="77777777" w:rsidR="00A05D34" w:rsidRDefault="00A05D34">
          <w:pPr>
            <w:pStyle w:val="Indholdsfortegnelse2"/>
            <w:tabs>
              <w:tab w:val="left" w:pos="769"/>
              <w:tab w:val="right" w:leader="dot" w:pos="9622"/>
            </w:tabs>
            <w:rPr>
              <w:smallCaps w:val="0"/>
              <w:noProof/>
              <w:sz w:val="24"/>
              <w:szCs w:val="24"/>
              <w:lang w:eastAsia="ja-JP"/>
            </w:rPr>
          </w:pPr>
          <w:r>
            <w:rPr>
              <w:noProof/>
            </w:rPr>
            <w:t>2.4</w:t>
          </w:r>
          <w:r>
            <w:rPr>
              <w:smallCaps w:val="0"/>
              <w:noProof/>
              <w:sz w:val="24"/>
              <w:szCs w:val="24"/>
              <w:lang w:eastAsia="ja-JP"/>
            </w:rPr>
            <w:tab/>
          </w:r>
          <w:r>
            <w:rPr>
              <w:noProof/>
            </w:rPr>
            <w:t>Implementering af EU-direktiver i arbejds- og ansættelsesret</w:t>
          </w:r>
          <w:r>
            <w:rPr>
              <w:noProof/>
            </w:rPr>
            <w:tab/>
          </w:r>
          <w:r>
            <w:rPr>
              <w:noProof/>
            </w:rPr>
            <w:fldChar w:fldCharType="begin"/>
          </w:r>
          <w:r>
            <w:rPr>
              <w:noProof/>
            </w:rPr>
            <w:instrText xml:space="preserve"> PAGEREF _Toc292966587 \h </w:instrText>
          </w:r>
          <w:r>
            <w:rPr>
              <w:noProof/>
            </w:rPr>
          </w:r>
          <w:r>
            <w:rPr>
              <w:noProof/>
            </w:rPr>
            <w:fldChar w:fldCharType="separate"/>
          </w:r>
          <w:r w:rsidR="00622F86">
            <w:rPr>
              <w:noProof/>
            </w:rPr>
            <w:t>17</w:t>
          </w:r>
          <w:r>
            <w:rPr>
              <w:noProof/>
            </w:rPr>
            <w:fldChar w:fldCharType="end"/>
          </w:r>
        </w:p>
        <w:p w14:paraId="37343D94" w14:textId="77777777" w:rsidR="00A05D34" w:rsidRDefault="00A05D34" w:rsidP="00A05D34">
          <w:pPr>
            <w:pStyle w:val="Indholdsfortegnelse1"/>
            <w:rPr>
              <w:noProof/>
              <w:sz w:val="24"/>
              <w:szCs w:val="24"/>
              <w:lang w:eastAsia="ja-JP"/>
            </w:rPr>
          </w:pPr>
          <w:r>
            <w:rPr>
              <w:noProof/>
            </w:rPr>
            <w:t>3</w:t>
          </w:r>
          <w:r>
            <w:rPr>
              <w:noProof/>
              <w:sz w:val="24"/>
              <w:szCs w:val="24"/>
              <w:lang w:eastAsia="ja-JP"/>
            </w:rPr>
            <w:tab/>
          </w:r>
          <w:r>
            <w:rPr>
              <w:noProof/>
            </w:rPr>
            <w:t>Usaglige afskedigelser i dansk ret</w:t>
          </w:r>
          <w:r>
            <w:rPr>
              <w:noProof/>
            </w:rPr>
            <w:tab/>
          </w:r>
          <w:r>
            <w:rPr>
              <w:noProof/>
            </w:rPr>
            <w:fldChar w:fldCharType="begin"/>
          </w:r>
          <w:r>
            <w:rPr>
              <w:noProof/>
            </w:rPr>
            <w:instrText xml:space="preserve"> PAGEREF _Toc292966588 \h </w:instrText>
          </w:r>
          <w:r>
            <w:rPr>
              <w:noProof/>
            </w:rPr>
          </w:r>
          <w:r>
            <w:rPr>
              <w:noProof/>
            </w:rPr>
            <w:fldChar w:fldCharType="separate"/>
          </w:r>
          <w:r w:rsidR="00622F86">
            <w:rPr>
              <w:noProof/>
            </w:rPr>
            <w:t>19</w:t>
          </w:r>
          <w:r>
            <w:rPr>
              <w:noProof/>
            </w:rPr>
            <w:fldChar w:fldCharType="end"/>
          </w:r>
        </w:p>
        <w:p w14:paraId="6A2B32C6" w14:textId="77777777" w:rsidR="00A05D34" w:rsidRDefault="00A05D34">
          <w:pPr>
            <w:pStyle w:val="Indholdsfortegnelse2"/>
            <w:tabs>
              <w:tab w:val="left" w:pos="769"/>
              <w:tab w:val="right" w:leader="dot" w:pos="9622"/>
            </w:tabs>
            <w:rPr>
              <w:smallCaps w:val="0"/>
              <w:noProof/>
              <w:sz w:val="24"/>
              <w:szCs w:val="24"/>
              <w:lang w:eastAsia="ja-JP"/>
            </w:rPr>
          </w:pPr>
          <w:r>
            <w:rPr>
              <w:noProof/>
            </w:rPr>
            <w:t>3.1</w:t>
          </w:r>
          <w:r>
            <w:rPr>
              <w:smallCaps w:val="0"/>
              <w:noProof/>
              <w:sz w:val="24"/>
              <w:szCs w:val="24"/>
              <w:lang w:eastAsia="ja-JP"/>
            </w:rPr>
            <w:tab/>
          </w:r>
          <w:r>
            <w:rPr>
              <w:noProof/>
            </w:rPr>
            <w:t>Ophør af ansættelsesforholdet i forbindelse med en virksomhedsoverdragelse (VOL § 3, stk. 1)</w:t>
          </w:r>
          <w:r>
            <w:rPr>
              <w:noProof/>
            </w:rPr>
            <w:tab/>
          </w:r>
          <w:r>
            <w:rPr>
              <w:noProof/>
            </w:rPr>
            <w:fldChar w:fldCharType="begin"/>
          </w:r>
          <w:r>
            <w:rPr>
              <w:noProof/>
            </w:rPr>
            <w:instrText xml:space="preserve"> PAGEREF _Toc292966589 \h </w:instrText>
          </w:r>
          <w:r>
            <w:rPr>
              <w:noProof/>
            </w:rPr>
          </w:r>
          <w:r>
            <w:rPr>
              <w:noProof/>
            </w:rPr>
            <w:fldChar w:fldCharType="separate"/>
          </w:r>
          <w:r w:rsidR="00622F86">
            <w:rPr>
              <w:noProof/>
            </w:rPr>
            <w:t>19</w:t>
          </w:r>
          <w:r>
            <w:rPr>
              <w:noProof/>
            </w:rPr>
            <w:fldChar w:fldCharType="end"/>
          </w:r>
        </w:p>
        <w:p w14:paraId="1647D83C" w14:textId="77777777" w:rsidR="00A05D34" w:rsidRDefault="00A05D34">
          <w:pPr>
            <w:pStyle w:val="Indholdsfortegnelse2"/>
            <w:tabs>
              <w:tab w:val="left" w:pos="769"/>
              <w:tab w:val="right" w:leader="dot" w:pos="9622"/>
            </w:tabs>
            <w:rPr>
              <w:smallCaps w:val="0"/>
              <w:noProof/>
              <w:sz w:val="24"/>
              <w:szCs w:val="24"/>
              <w:lang w:eastAsia="ja-JP"/>
            </w:rPr>
          </w:pPr>
          <w:r>
            <w:rPr>
              <w:noProof/>
            </w:rPr>
            <w:t>3.2</w:t>
          </w:r>
          <w:r>
            <w:rPr>
              <w:smallCaps w:val="0"/>
              <w:noProof/>
              <w:sz w:val="24"/>
              <w:szCs w:val="24"/>
              <w:lang w:eastAsia="ja-JP"/>
            </w:rPr>
            <w:tab/>
          </w:r>
          <w:r>
            <w:rPr>
              <w:noProof/>
            </w:rPr>
            <w:t>Dansk lovgivning og overenskomster</w:t>
          </w:r>
          <w:r>
            <w:rPr>
              <w:noProof/>
            </w:rPr>
            <w:tab/>
          </w:r>
          <w:r>
            <w:rPr>
              <w:noProof/>
            </w:rPr>
            <w:fldChar w:fldCharType="begin"/>
          </w:r>
          <w:r>
            <w:rPr>
              <w:noProof/>
            </w:rPr>
            <w:instrText xml:space="preserve"> PAGEREF _Toc292966590 \h </w:instrText>
          </w:r>
          <w:r>
            <w:rPr>
              <w:noProof/>
            </w:rPr>
          </w:r>
          <w:r>
            <w:rPr>
              <w:noProof/>
            </w:rPr>
            <w:fldChar w:fldCharType="separate"/>
          </w:r>
          <w:r w:rsidR="00622F86">
            <w:rPr>
              <w:noProof/>
            </w:rPr>
            <w:t>20</w:t>
          </w:r>
          <w:r>
            <w:rPr>
              <w:noProof/>
            </w:rPr>
            <w:fldChar w:fldCharType="end"/>
          </w:r>
        </w:p>
        <w:p w14:paraId="5D3F2467" w14:textId="77777777" w:rsidR="00A05D34" w:rsidRDefault="00A05D34">
          <w:pPr>
            <w:pStyle w:val="Indholdsfortegnelse3"/>
            <w:tabs>
              <w:tab w:val="left" w:pos="1156"/>
              <w:tab w:val="right" w:leader="dot" w:pos="9622"/>
            </w:tabs>
            <w:rPr>
              <w:i w:val="0"/>
              <w:noProof/>
              <w:sz w:val="24"/>
              <w:szCs w:val="24"/>
              <w:lang w:eastAsia="ja-JP"/>
            </w:rPr>
          </w:pPr>
          <w:r>
            <w:rPr>
              <w:noProof/>
            </w:rPr>
            <w:t>3.2.1</w:t>
          </w:r>
          <w:r>
            <w:rPr>
              <w:i w:val="0"/>
              <w:noProof/>
              <w:sz w:val="24"/>
              <w:szCs w:val="24"/>
              <w:lang w:eastAsia="ja-JP"/>
            </w:rPr>
            <w:tab/>
          </w:r>
          <w:r>
            <w:rPr>
              <w:noProof/>
            </w:rPr>
            <w:t>Funktionærlovens regel om usaglig afskedigelse</w:t>
          </w:r>
          <w:r>
            <w:rPr>
              <w:noProof/>
            </w:rPr>
            <w:tab/>
          </w:r>
          <w:r>
            <w:rPr>
              <w:noProof/>
            </w:rPr>
            <w:fldChar w:fldCharType="begin"/>
          </w:r>
          <w:r>
            <w:rPr>
              <w:noProof/>
            </w:rPr>
            <w:instrText xml:space="preserve"> PAGEREF _Toc292966591 \h </w:instrText>
          </w:r>
          <w:r>
            <w:rPr>
              <w:noProof/>
            </w:rPr>
          </w:r>
          <w:r>
            <w:rPr>
              <w:noProof/>
            </w:rPr>
            <w:fldChar w:fldCharType="separate"/>
          </w:r>
          <w:r w:rsidR="00622F86">
            <w:rPr>
              <w:noProof/>
            </w:rPr>
            <w:t>22</w:t>
          </w:r>
          <w:r>
            <w:rPr>
              <w:noProof/>
            </w:rPr>
            <w:fldChar w:fldCharType="end"/>
          </w:r>
        </w:p>
        <w:p w14:paraId="5A645C82" w14:textId="77777777" w:rsidR="00A05D34" w:rsidRDefault="00A05D34">
          <w:pPr>
            <w:pStyle w:val="Indholdsfortegnelse3"/>
            <w:tabs>
              <w:tab w:val="left" w:pos="1156"/>
              <w:tab w:val="right" w:leader="dot" w:pos="9622"/>
            </w:tabs>
            <w:rPr>
              <w:i w:val="0"/>
              <w:noProof/>
              <w:sz w:val="24"/>
              <w:szCs w:val="24"/>
              <w:lang w:eastAsia="ja-JP"/>
            </w:rPr>
          </w:pPr>
          <w:r>
            <w:rPr>
              <w:noProof/>
            </w:rPr>
            <w:t>3.2.2</w:t>
          </w:r>
          <w:r>
            <w:rPr>
              <w:i w:val="0"/>
              <w:noProof/>
              <w:sz w:val="24"/>
              <w:szCs w:val="24"/>
              <w:lang w:eastAsia="ja-JP"/>
            </w:rPr>
            <w:tab/>
          </w:r>
          <w:r>
            <w:rPr>
              <w:noProof/>
            </w:rPr>
            <w:t>Overenskomstmæssige regler om usaglig afskedigelse</w:t>
          </w:r>
          <w:r>
            <w:rPr>
              <w:noProof/>
            </w:rPr>
            <w:tab/>
          </w:r>
          <w:r>
            <w:rPr>
              <w:noProof/>
            </w:rPr>
            <w:fldChar w:fldCharType="begin"/>
          </w:r>
          <w:r>
            <w:rPr>
              <w:noProof/>
            </w:rPr>
            <w:instrText xml:space="preserve"> PAGEREF _Toc292966592 \h </w:instrText>
          </w:r>
          <w:r>
            <w:rPr>
              <w:noProof/>
            </w:rPr>
          </w:r>
          <w:r>
            <w:rPr>
              <w:noProof/>
            </w:rPr>
            <w:fldChar w:fldCharType="separate"/>
          </w:r>
          <w:r w:rsidR="00622F86">
            <w:rPr>
              <w:noProof/>
            </w:rPr>
            <w:t>22</w:t>
          </w:r>
          <w:r>
            <w:rPr>
              <w:noProof/>
            </w:rPr>
            <w:fldChar w:fldCharType="end"/>
          </w:r>
        </w:p>
        <w:p w14:paraId="573DBFF1" w14:textId="77777777" w:rsidR="00A05D34" w:rsidRDefault="00A05D34" w:rsidP="00A05D34">
          <w:pPr>
            <w:pStyle w:val="Indholdsfortegnelse1"/>
            <w:rPr>
              <w:noProof/>
              <w:sz w:val="24"/>
              <w:szCs w:val="24"/>
              <w:lang w:eastAsia="ja-JP"/>
            </w:rPr>
          </w:pPr>
          <w:r>
            <w:rPr>
              <w:noProof/>
            </w:rPr>
            <w:t>4</w:t>
          </w:r>
          <w:r>
            <w:rPr>
              <w:noProof/>
              <w:sz w:val="24"/>
              <w:szCs w:val="24"/>
              <w:lang w:eastAsia="ja-JP"/>
            </w:rPr>
            <w:tab/>
          </w:r>
          <w:r>
            <w:rPr>
              <w:noProof/>
            </w:rPr>
            <w:t>Sammenligning mellem direktiv 2001/23/EF art. 4, stk. 1, og VOL § 3, stk. 1, i forhold til retsvirkningen af en usaglig afskedigelse</w:t>
          </w:r>
          <w:r>
            <w:rPr>
              <w:noProof/>
            </w:rPr>
            <w:tab/>
          </w:r>
          <w:r>
            <w:rPr>
              <w:noProof/>
            </w:rPr>
            <w:fldChar w:fldCharType="begin"/>
          </w:r>
          <w:r>
            <w:rPr>
              <w:noProof/>
            </w:rPr>
            <w:instrText xml:space="preserve"> PAGEREF _Toc292966593 \h </w:instrText>
          </w:r>
          <w:r>
            <w:rPr>
              <w:noProof/>
            </w:rPr>
          </w:r>
          <w:r>
            <w:rPr>
              <w:noProof/>
            </w:rPr>
            <w:fldChar w:fldCharType="separate"/>
          </w:r>
          <w:r w:rsidR="00622F86">
            <w:rPr>
              <w:noProof/>
            </w:rPr>
            <w:t>25</w:t>
          </w:r>
          <w:r>
            <w:rPr>
              <w:noProof/>
            </w:rPr>
            <w:fldChar w:fldCharType="end"/>
          </w:r>
        </w:p>
        <w:p w14:paraId="76F95CC9" w14:textId="77777777" w:rsidR="00A05D34" w:rsidRDefault="00A05D34">
          <w:pPr>
            <w:pStyle w:val="Indholdsfortegnelse2"/>
            <w:tabs>
              <w:tab w:val="left" w:pos="769"/>
              <w:tab w:val="right" w:leader="dot" w:pos="9622"/>
            </w:tabs>
            <w:rPr>
              <w:smallCaps w:val="0"/>
              <w:noProof/>
              <w:sz w:val="24"/>
              <w:szCs w:val="24"/>
              <w:lang w:eastAsia="ja-JP"/>
            </w:rPr>
          </w:pPr>
          <w:r>
            <w:rPr>
              <w:noProof/>
            </w:rPr>
            <w:t>4.1</w:t>
          </w:r>
          <w:r>
            <w:rPr>
              <w:smallCaps w:val="0"/>
              <w:noProof/>
              <w:sz w:val="24"/>
              <w:szCs w:val="24"/>
              <w:lang w:eastAsia="ja-JP"/>
            </w:rPr>
            <w:tab/>
          </w:r>
          <w:r>
            <w:rPr>
              <w:noProof/>
            </w:rPr>
            <w:t>Fortolkning af direktiv 2001/23/EF art. 4, stk. 1</w:t>
          </w:r>
          <w:r>
            <w:rPr>
              <w:noProof/>
            </w:rPr>
            <w:tab/>
          </w:r>
          <w:r>
            <w:rPr>
              <w:noProof/>
            </w:rPr>
            <w:fldChar w:fldCharType="begin"/>
          </w:r>
          <w:r>
            <w:rPr>
              <w:noProof/>
            </w:rPr>
            <w:instrText xml:space="preserve"> PAGEREF _Toc292966594 \h </w:instrText>
          </w:r>
          <w:r>
            <w:rPr>
              <w:noProof/>
            </w:rPr>
          </w:r>
          <w:r>
            <w:rPr>
              <w:noProof/>
            </w:rPr>
            <w:fldChar w:fldCharType="separate"/>
          </w:r>
          <w:r w:rsidR="00622F86">
            <w:rPr>
              <w:noProof/>
            </w:rPr>
            <w:t>27</w:t>
          </w:r>
          <w:r>
            <w:rPr>
              <w:noProof/>
            </w:rPr>
            <w:fldChar w:fldCharType="end"/>
          </w:r>
        </w:p>
        <w:p w14:paraId="57697BDC" w14:textId="77777777" w:rsidR="00A05D34" w:rsidRDefault="00A05D34">
          <w:pPr>
            <w:pStyle w:val="Indholdsfortegnelse3"/>
            <w:tabs>
              <w:tab w:val="left" w:pos="1156"/>
              <w:tab w:val="right" w:leader="dot" w:pos="9622"/>
            </w:tabs>
            <w:rPr>
              <w:i w:val="0"/>
              <w:noProof/>
              <w:sz w:val="24"/>
              <w:szCs w:val="24"/>
              <w:lang w:eastAsia="ja-JP"/>
            </w:rPr>
          </w:pPr>
          <w:r>
            <w:rPr>
              <w:noProof/>
            </w:rPr>
            <w:t>4.1.1</w:t>
          </w:r>
          <w:r>
            <w:rPr>
              <w:i w:val="0"/>
              <w:noProof/>
              <w:sz w:val="24"/>
              <w:szCs w:val="24"/>
              <w:lang w:eastAsia="ja-JP"/>
            </w:rPr>
            <w:tab/>
          </w:r>
          <w:r>
            <w:rPr>
              <w:noProof/>
            </w:rPr>
            <w:t>Forarbejder til direktiv 2001/23/EF</w:t>
          </w:r>
          <w:r>
            <w:rPr>
              <w:noProof/>
            </w:rPr>
            <w:tab/>
          </w:r>
          <w:r>
            <w:rPr>
              <w:noProof/>
            </w:rPr>
            <w:fldChar w:fldCharType="begin"/>
          </w:r>
          <w:r>
            <w:rPr>
              <w:noProof/>
            </w:rPr>
            <w:instrText xml:space="preserve"> PAGEREF _Toc292966595 \h </w:instrText>
          </w:r>
          <w:r>
            <w:rPr>
              <w:noProof/>
            </w:rPr>
          </w:r>
          <w:r>
            <w:rPr>
              <w:noProof/>
            </w:rPr>
            <w:fldChar w:fldCharType="separate"/>
          </w:r>
          <w:r w:rsidR="00622F86">
            <w:rPr>
              <w:noProof/>
            </w:rPr>
            <w:t>27</w:t>
          </w:r>
          <w:r>
            <w:rPr>
              <w:noProof/>
            </w:rPr>
            <w:fldChar w:fldCharType="end"/>
          </w:r>
        </w:p>
        <w:p w14:paraId="04C1960B" w14:textId="77777777" w:rsidR="00A05D34" w:rsidRDefault="00A05D34">
          <w:pPr>
            <w:pStyle w:val="Indholdsfortegnelse2"/>
            <w:tabs>
              <w:tab w:val="left" w:pos="769"/>
              <w:tab w:val="right" w:leader="dot" w:pos="9622"/>
            </w:tabs>
            <w:rPr>
              <w:smallCaps w:val="0"/>
              <w:noProof/>
              <w:sz w:val="24"/>
              <w:szCs w:val="24"/>
              <w:lang w:eastAsia="ja-JP"/>
            </w:rPr>
          </w:pPr>
          <w:r>
            <w:rPr>
              <w:noProof/>
            </w:rPr>
            <w:t>4.2</w:t>
          </w:r>
          <w:r>
            <w:rPr>
              <w:smallCaps w:val="0"/>
              <w:noProof/>
              <w:sz w:val="24"/>
              <w:szCs w:val="24"/>
              <w:lang w:eastAsia="ja-JP"/>
            </w:rPr>
            <w:tab/>
          </w:r>
          <w:r>
            <w:rPr>
              <w:noProof/>
            </w:rPr>
            <w:t>Fortolkning af VOL § 3, stk. 1</w:t>
          </w:r>
          <w:r>
            <w:rPr>
              <w:noProof/>
            </w:rPr>
            <w:tab/>
          </w:r>
          <w:r>
            <w:rPr>
              <w:noProof/>
            </w:rPr>
            <w:fldChar w:fldCharType="begin"/>
          </w:r>
          <w:r>
            <w:rPr>
              <w:noProof/>
            </w:rPr>
            <w:instrText xml:space="preserve"> PAGEREF _Toc292966596 \h </w:instrText>
          </w:r>
          <w:r>
            <w:rPr>
              <w:noProof/>
            </w:rPr>
          </w:r>
          <w:r>
            <w:rPr>
              <w:noProof/>
            </w:rPr>
            <w:fldChar w:fldCharType="separate"/>
          </w:r>
          <w:r w:rsidR="00622F86">
            <w:rPr>
              <w:noProof/>
            </w:rPr>
            <w:t>31</w:t>
          </w:r>
          <w:r>
            <w:rPr>
              <w:noProof/>
            </w:rPr>
            <w:fldChar w:fldCharType="end"/>
          </w:r>
        </w:p>
        <w:p w14:paraId="11A5E5C9" w14:textId="77777777" w:rsidR="00A05D34" w:rsidRDefault="00A05D34">
          <w:pPr>
            <w:pStyle w:val="Indholdsfortegnelse3"/>
            <w:tabs>
              <w:tab w:val="left" w:pos="1156"/>
              <w:tab w:val="right" w:leader="dot" w:pos="9622"/>
            </w:tabs>
            <w:rPr>
              <w:i w:val="0"/>
              <w:noProof/>
              <w:sz w:val="24"/>
              <w:szCs w:val="24"/>
              <w:lang w:eastAsia="ja-JP"/>
            </w:rPr>
          </w:pPr>
          <w:r>
            <w:rPr>
              <w:noProof/>
            </w:rPr>
            <w:t>4.2.1</w:t>
          </w:r>
          <w:r>
            <w:rPr>
              <w:i w:val="0"/>
              <w:noProof/>
              <w:sz w:val="24"/>
              <w:szCs w:val="24"/>
              <w:lang w:eastAsia="ja-JP"/>
            </w:rPr>
            <w:tab/>
          </w:r>
          <w:r>
            <w:rPr>
              <w:noProof/>
            </w:rPr>
            <w:t>Forarbejder</w:t>
          </w:r>
          <w:r>
            <w:rPr>
              <w:noProof/>
            </w:rPr>
            <w:tab/>
          </w:r>
          <w:r>
            <w:rPr>
              <w:noProof/>
            </w:rPr>
            <w:fldChar w:fldCharType="begin"/>
          </w:r>
          <w:r>
            <w:rPr>
              <w:noProof/>
            </w:rPr>
            <w:instrText xml:space="preserve"> PAGEREF _Toc292966597 \h </w:instrText>
          </w:r>
          <w:r>
            <w:rPr>
              <w:noProof/>
            </w:rPr>
          </w:r>
          <w:r>
            <w:rPr>
              <w:noProof/>
            </w:rPr>
            <w:fldChar w:fldCharType="separate"/>
          </w:r>
          <w:r w:rsidR="00622F86">
            <w:rPr>
              <w:noProof/>
            </w:rPr>
            <w:t>32</w:t>
          </w:r>
          <w:r>
            <w:rPr>
              <w:noProof/>
            </w:rPr>
            <w:fldChar w:fldCharType="end"/>
          </w:r>
        </w:p>
        <w:p w14:paraId="246D15EE" w14:textId="77777777" w:rsidR="00A05D34" w:rsidRDefault="00A05D34">
          <w:pPr>
            <w:pStyle w:val="Indholdsfortegnelse2"/>
            <w:tabs>
              <w:tab w:val="left" w:pos="769"/>
              <w:tab w:val="right" w:leader="dot" w:pos="9622"/>
            </w:tabs>
            <w:rPr>
              <w:smallCaps w:val="0"/>
              <w:noProof/>
              <w:sz w:val="24"/>
              <w:szCs w:val="24"/>
              <w:lang w:eastAsia="ja-JP"/>
            </w:rPr>
          </w:pPr>
          <w:r>
            <w:rPr>
              <w:noProof/>
            </w:rPr>
            <w:t>4.3</w:t>
          </w:r>
          <w:r>
            <w:rPr>
              <w:smallCaps w:val="0"/>
              <w:noProof/>
              <w:sz w:val="24"/>
              <w:szCs w:val="24"/>
              <w:lang w:eastAsia="ja-JP"/>
            </w:rPr>
            <w:tab/>
          </w:r>
          <w:r>
            <w:rPr>
              <w:noProof/>
            </w:rPr>
            <w:t>De to retskilder set i forhold til hinanden</w:t>
          </w:r>
          <w:r>
            <w:rPr>
              <w:noProof/>
            </w:rPr>
            <w:tab/>
          </w:r>
          <w:r>
            <w:rPr>
              <w:noProof/>
            </w:rPr>
            <w:fldChar w:fldCharType="begin"/>
          </w:r>
          <w:r>
            <w:rPr>
              <w:noProof/>
            </w:rPr>
            <w:instrText xml:space="preserve"> PAGEREF _Toc292966598 \h </w:instrText>
          </w:r>
          <w:r>
            <w:rPr>
              <w:noProof/>
            </w:rPr>
          </w:r>
          <w:r>
            <w:rPr>
              <w:noProof/>
            </w:rPr>
            <w:fldChar w:fldCharType="separate"/>
          </w:r>
          <w:r w:rsidR="00622F86">
            <w:rPr>
              <w:noProof/>
            </w:rPr>
            <w:t>34</w:t>
          </w:r>
          <w:r>
            <w:rPr>
              <w:noProof/>
            </w:rPr>
            <w:fldChar w:fldCharType="end"/>
          </w:r>
        </w:p>
        <w:p w14:paraId="07EF1100" w14:textId="77777777" w:rsidR="00A05D34" w:rsidRDefault="00A05D34">
          <w:pPr>
            <w:pStyle w:val="Indholdsfortegnelse2"/>
            <w:tabs>
              <w:tab w:val="left" w:pos="769"/>
              <w:tab w:val="right" w:leader="dot" w:pos="9622"/>
            </w:tabs>
            <w:rPr>
              <w:smallCaps w:val="0"/>
              <w:noProof/>
              <w:sz w:val="24"/>
              <w:szCs w:val="24"/>
              <w:lang w:eastAsia="ja-JP"/>
            </w:rPr>
          </w:pPr>
          <w:r>
            <w:rPr>
              <w:noProof/>
            </w:rPr>
            <w:t>4.4</w:t>
          </w:r>
          <w:r>
            <w:rPr>
              <w:smallCaps w:val="0"/>
              <w:noProof/>
              <w:sz w:val="24"/>
              <w:szCs w:val="24"/>
              <w:lang w:eastAsia="ja-JP"/>
            </w:rPr>
            <w:tab/>
          </w:r>
          <w:r>
            <w:rPr>
              <w:noProof/>
            </w:rPr>
            <w:t>Sammenfatning</w:t>
          </w:r>
          <w:r>
            <w:rPr>
              <w:noProof/>
            </w:rPr>
            <w:tab/>
          </w:r>
          <w:r>
            <w:rPr>
              <w:noProof/>
            </w:rPr>
            <w:fldChar w:fldCharType="begin"/>
          </w:r>
          <w:r>
            <w:rPr>
              <w:noProof/>
            </w:rPr>
            <w:instrText xml:space="preserve"> PAGEREF _Toc292966599 \h </w:instrText>
          </w:r>
          <w:r>
            <w:rPr>
              <w:noProof/>
            </w:rPr>
          </w:r>
          <w:r>
            <w:rPr>
              <w:noProof/>
            </w:rPr>
            <w:fldChar w:fldCharType="separate"/>
          </w:r>
          <w:r w:rsidR="00622F86">
            <w:rPr>
              <w:noProof/>
            </w:rPr>
            <w:t>35</w:t>
          </w:r>
          <w:r>
            <w:rPr>
              <w:noProof/>
            </w:rPr>
            <w:fldChar w:fldCharType="end"/>
          </w:r>
        </w:p>
        <w:p w14:paraId="796BCFB0" w14:textId="77777777" w:rsidR="00A05D34" w:rsidRDefault="00A05D34" w:rsidP="00A05D34">
          <w:pPr>
            <w:pStyle w:val="Indholdsfortegnelse1"/>
            <w:rPr>
              <w:noProof/>
              <w:sz w:val="24"/>
              <w:szCs w:val="24"/>
              <w:lang w:eastAsia="ja-JP"/>
            </w:rPr>
          </w:pPr>
          <w:r>
            <w:rPr>
              <w:noProof/>
            </w:rPr>
            <w:t>5</w:t>
          </w:r>
          <w:r>
            <w:rPr>
              <w:noProof/>
              <w:sz w:val="24"/>
              <w:szCs w:val="24"/>
              <w:lang w:eastAsia="ja-JP"/>
            </w:rPr>
            <w:tab/>
          </w:r>
          <w:r>
            <w:rPr>
              <w:noProof/>
            </w:rPr>
            <w:t>Retspraksis i forhold til afskedigelser i strid med direktiv 2001/23/EF art. 4, stk. 1 og VOL § 3, stk. 1</w:t>
          </w:r>
          <w:r>
            <w:rPr>
              <w:noProof/>
            </w:rPr>
            <w:tab/>
          </w:r>
          <w:r>
            <w:rPr>
              <w:noProof/>
            </w:rPr>
            <w:fldChar w:fldCharType="begin"/>
          </w:r>
          <w:r>
            <w:rPr>
              <w:noProof/>
            </w:rPr>
            <w:instrText xml:space="preserve"> PAGEREF _Toc292966600 \h </w:instrText>
          </w:r>
          <w:r>
            <w:rPr>
              <w:noProof/>
            </w:rPr>
          </w:r>
          <w:r>
            <w:rPr>
              <w:noProof/>
            </w:rPr>
            <w:fldChar w:fldCharType="separate"/>
          </w:r>
          <w:r w:rsidR="00622F86">
            <w:rPr>
              <w:noProof/>
            </w:rPr>
            <w:t>36</w:t>
          </w:r>
          <w:r>
            <w:rPr>
              <w:noProof/>
            </w:rPr>
            <w:fldChar w:fldCharType="end"/>
          </w:r>
        </w:p>
        <w:p w14:paraId="380B96F6" w14:textId="77777777" w:rsidR="00A05D34" w:rsidRDefault="00A05D34">
          <w:pPr>
            <w:pStyle w:val="Indholdsfortegnelse2"/>
            <w:tabs>
              <w:tab w:val="left" w:pos="769"/>
              <w:tab w:val="right" w:leader="dot" w:pos="9622"/>
            </w:tabs>
            <w:rPr>
              <w:smallCaps w:val="0"/>
              <w:noProof/>
              <w:sz w:val="24"/>
              <w:szCs w:val="24"/>
              <w:lang w:eastAsia="ja-JP"/>
            </w:rPr>
          </w:pPr>
          <w:r>
            <w:rPr>
              <w:noProof/>
            </w:rPr>
            <w:t>5.1</w:t>
          </w:r>
          <w:r>
            <w:rPr>
              <w:smallCaps w:val="0"/>
              <w:noProof/>
              <w:sz w:val="24"/>
              <w:szCs w:val="24"/>
              <w:lang w:eastAsia="ja-JP"/>
            </w:rPr>
            <w:tab/>
          </w:r>
          <w:r>
            <w:rPr>
              <w:noProof/>
            </w:rPr>
            <w:t>C-101/87 P. Bork International</w:t>
          </w:r>
          <w:r>
            <w:rPr>
              <w:noProof/>
            </w:rPr>
            <w:tab/>
          </w:r>
          <w:r>
            <w:rPr>
              <w:noProof/>
            </w:rPr>
            <w:fldChar w:fldCharType="begin"/>
          </w:r>
          <w:r>
            <w:rPr>
              <w:noProof/>
            </w:rPr>
            <w:instrText xml:space="preserve"> PAGEREF _Toc292966601 \h </w:instrText>
          </w:r>
          <w:r>
            <w:rPr>
              <w:noProof/>
            </w:rPr>
          </w:r>
          <w:r>
            <w:rPr>
              <w:noProof/>
            </w:rPr>
            <w:fldChar w:fldCharType="separate"/>
          </w:r>
          <w:r w:rsidR="00622F86">
            <w:rPr>
              <w:noProof/>
            </w:rPr>
            <w:t>36</w:t>
          </w:r>
          <w:r>
            <w:rPr>
              <w:noProof/>
            </w:rPr>
            <w:fldChar w:fldCharType="end"/>
          </w:r>
        </w:p>
        <w:p w14:paraId="2FAB374E" w14:textId="77777777" w:rsidR="00A05D34" w:rsidRDefault="00A05D34">
          <w:pPr>
            <w:pStyle w:val="Indholdsfortegnelse3"/>
            <w:tabs>
              <w:tab w:val="left" w:pos="1156"/>
              <w:tab w:val="right" w:leader="dot" w:pos="9622"/>
            </w:tabs>
            <w:rPr>
              <w:i w:val="0"/>
              <w:noProof/>
              <w:sz w:val="24"/>
              <w:szCs w:val="24"/>
              <w:lang w:eastAsia="ja-JP"/>
            </w:rPr>
          </w:pPr>
          <w:r>
            <w:rPr>
              <w:noProof/>
            </w:rPr>
            <w:t>5.1.1</w:t>
          </w:r>
          <w:r>
            <w:rPr>
              <w:i w:val="0"/>
              <w:noProof/>
              <w:sz w:val="24"/>
              <w:szCs w:val="24"/>
              <w:lang w:eastAsia="ja-JP"/>
            </w:rPr>
            <w:tab/>
          </w:r>
          <w:r>
            <w:rPr>
              <w:noProof/>
            </w:rPr>
            <w:t>Sammenfatning</w:t>
          </w:r>
          <w:r>
            <w:rPr>
              <w:noProof/>
            </w:rPr>
            <w:tab/>
          </w:r>
          <w:r>
            <w:rPr>
              <w:noProof/>
            </w:rPr>
            <w:fldChar w:fldCharType="begin"/>
          </w:r>
          <w:r>
            <w:rPr>
              <w:noProof/>
            </w:rPr>
            <w:instrText xml:space="preserve"> PAGEREF _Toc292966602 \h </w:instrText>
          </w:r>
          <w:r>
            <w:rPr>
              <w:noProof/>
            </w:rPr>
          </w:r>
          <w:r>
            <w:rPr>
              <w:noProof/>
            </w:rPr>
            <w:fldChar w:fldCharType="separate"/>
          </w:r>
          <w:r w:rsidR="00622F86">
            <w:rPr>
              <w:noProof/>
            </w:rPr>
            <w:t>41</w:t>
          </w:r>
          <w:r>
            <w:rPr>
              <w:noProof/>
            </w:rPr>
            <w:fldChar w:fldCharType="end"/>
          </w:r>
        </w:p>
        <w:p w14:paraId="5675804E" w14:textId="77777777" w:rsidR="00A05D34" w:rsidRDefault="00A05D34">
          <w:pPr>
            <w:pStyle w:val="Indholdsfortegnelse2"/>
            <w:tabs>
              <w:tab w:val="left" w:pos="769"/>
              <w:tab w:val="right" w:leader="dot" w:pos="9622"/>
            </w:tabs>
            <w:rPr>
              <w:smallCaps w:val="0"/>
              <w:noProof/>
              <w:sz w:val="24"/>
              <w:szCs w:val="24"/>
              <w:lang w:eastAsia="ja-JP"/>
            </w:rPr>
          </w:pPr>
          <w:r>
            <w:rPr>
              <w:noProof/>
            </w:rPr>
            <w:t>5.2</w:t>
          </w:r>
          <w:r>
            <w:rPr>
              <w:smallCaps w:val="0"/>
              <w:noProof/>
              <w:sz w:val="24"/>
              <w:szCs w:val="24"/>
              <w:lang w:eastAsia="ja-JP"/>
            </w:rPr>
            <w:tab/>
          </w:r>
          <w:r>
            <w:rPr>
              <w:noProof/>
            </w:rPr>
            <w:t>C-319/94 Dethier Equipement</w:t>
          </w:r>
          <w:r>
            <w:rPr>
              <w:noProof/>
            </w:rPr>
            <w:tab/>
          </w:r>
          <w:r>
            <w:rPr>
              <w:noProof/>
            </w:rPr>
            <w:fldChar w:fldCharType="begin"/>
          </w:r>
          <w:r>
            <w:rPr>
              <w:noProof/>
            </w:rPr>
            <w:instrText xml:space="preserve"> PAGEREF _Toc292966603 \h </w:instrText>
          </w:r>
          <w:r>
            <w:rPr>
              <w:noProof/>
            </w:rPr>
          </w:r>
          <w:r>
            <w:rPr>
              <w:noProof/>
            </w:rPr>
            <w:fldChar w:fldCharType="separate"/>
          </w:r>
          <w:r w:rsidR="00622F86">
            <w:rPr>
              <w:noProof/>
            </w:rPr>
            <w:t>42</w:t>
          </w:r>
          <w:r>
            <w:rPr>
              <w:noProof/>
            </w:rPr>
            <w:fldChar w:fldCharType="end"/>
          </w:r>
        </w:p>
        <w:p w14:paraId="74C8096C" w14:textId="77777777" w:rsidR="00A05D34" w:rsidRDefault="00A05D34">
          <w:pPr>
            <w:pStyle w:val="Indholdsfortegnelse3"/>
            <w:tabs>
              <w:tab w:val="left" w:pos="1156"/>
              <w:tab w:val="right" w:leader="dot" w:pos="9622"/>
            </w:tabs>
            <w:rPr>
              <w:i w:val="0"/>
              <w:noProof/>
              <w:sz w:val="24"/>
              <w:szCs w:val="24"/>
              <w:lang w:eastAsia="ja-JP"/>
            </w:rPr>
          </w:pPr>
          <w:r>
            <w:rPr>
              <w:noProof/>
            </w:rPr>
            <w:t>5.2.1</w:t>
          </w:r>
          <w:r>
            <w:rPr>
              <w:i w:val="0"/>
              <w:noProof/>
              <w:sz w:val="24"/>
              <w:szCs w:val="24"/>
              <w:lang w:eastAsia="ja-JP"/>
            </w:rPr>
            <w:tab/>
          </w:r>
          <w:r>
            <w:rPr>
              <w:noProof/>
            </w:rPr>
            <w:t>Sammenfatning</w:t>
          </w:r>
          <w:r>
            <w:rPr>
              <w:noProof/>
            </w:rPr>
            <w:tab/>
          </w:r>
          <w:r>
            <w:rPr>
              <w:noProof/>
            </w:rPr>
            <w:fldChar w:fldCharType="begin"/>
          </w:r>
          <w:r>
            <w:rPr>
              <w:noProof/>
            </w:rPr>
            <w:instrText xml:space="preserve"> PAGEREF _Toc292966604 \h </w:instrText>
          </w:r>
          <w:r>
            <w:rPr>
              <w:noProof/>
            </w:rPr>
          </w:r>
          <w:r>
            <w:rPr>
              <w:noProof/>
            </w:rPr>
            <w:fldChar w:fldCharType="separate"/>
          </w:r>
          <w:r w:rsidR="00622F86">
            <w:rPr>
              <w:noProof/>
            </w:rPr>
            <w:t>45</w:t>
          </w:r>
          <w:r>
            <w:rPr>
              <w:noProof/>
            </w:rPr>
            <w:fldChar w:fldCharType="end"/>
          </w:r>
        </w:p>
        <w:p w14:paraId="391E7350" w14:textId="77777777" w:rsidR="00A05D34" w:rsidRDefault="00A05D34">
          <w:pPr>
            <w:pStyle w:val="Indholdsfortegnelse2"/>
            <w:tabs>
              <w:tab w:val="left" w:pos="769"/>
              <w:tab w:val="right" w:leader="dot" w:pos="9622"/>
            </w:tabs>
            <w:rPr>
              <w:smallCaps w:val="0"/>
              <w:noProof/>
              <w:sz w:val="24"/>
              <w:szCs w:val="24"/>
              <w:lang w:eastAsia="ja-JP"/>
            </w:rPr>
          </w:pPr>
          <w:r>
            <w:rPr>
              <w:noProof/>
            </w:rPr>
            <w:t>5.3</w:t>
          </w:r>
          <w:r>
            <w:rPr>
              <w:smallCaps w:val="0"/>
              <w:noProof/>
              <w:sz w:val="24"/>
              <w:szCs w:val="24"/>
              <w:lang w:eastAsia="ja-JP"/>
            </w:rPr>
            <w:tab/>
          </w:r>
          <w:r>
            <w:rPr>
              <w:noProof/>
            </w:rPr>
            <w:t>C-51/00 Temco Service Industries SA</w:t>
          </w:r>
          <w:r>
            <w:rPr>
              <w:noProof/>
            </w:rPr>
            <w:tab/>
          </w:r>
          <w:r>
            <w:rPr>
              <w:noProof/>
            </w:rPr>
            <w:fldChar w:fldCharType="begin"/>
          </w:r>
          <w:r>
            <w:rPr>
              <w:noProof/>
            </w:rPr>
            <w:instrText xml:space="preserve"> PAGEREF _Toc292966605 \h </w:instrText>
          </w:r>
          <w:r>
            <w:rPr>
              <w:noProof/>
            </w:rPr>
          </w:r>
          <w:r>
            <w:rPr>
              <w:noProof/>
            </w:rPr>
            <w:fldChar w:fldCharType="separate"/>
          </w:r>
          <w:r w:rsidR="00622F86">
            <w:rPr>
              <w:noProof/>
            </w:rPr>
            <w:t>45</w:t>
          </w:r>
          <w:r>
            <w:rPr>
              <w:noProof/>
            </w:rPr>
            <w:fldChar w:fldCharType="end"/>
          </w:r>
        </w:p>
        <w:p w14:paraId="603AA04C" w14:textId="77777777" w:rsidR="00A05D34" w:rsidRDefault="00A05D34">
          <w:pPr>
            <w:pStyle w:val="Indholdsfortegnelse3"/>
            <w:tabs>
              <w:tab w:val="left" w:pos="1156"/>
              <w:tab w:val="right" w:leader="dot" w:pos="9622"/>
            </w:tabs>
            <w:rPr>
              <w:i w:val="0"/>
              <w:noProof/>
              <w:sz w:val="24"/>
              <w:szCs w:val="24"/>
              <w:lang w:eastAsia="ja-JP"/>
            </w:rPr>
          </w:pPr>
          <w:r>
            <w:rPr>
              <w:noProof/>
            </w:rPr>
            <w:t>5.3.1</w:t>
          </w:r>
          <w:r>
            <w:rPr>
              <w:i w:val="0"/>
              <w:noProof/>
              <w:sz w:val="24"/>
              <w:szCs w:val="24"/>
              <w:lang w:eastAsia="ja-JP"/>
            </w:rPr>
            <w:tab/>
          </w:r>
          <w:r>
            <w:rPr>
              <w:noProof/>
            </w:rPr>
            <w:t>Sammenfatning</w:t>
          </w:r>
          <w:r>
            <w:rPr>
              <w:noProof/>
            </w:rPr>
            <w:tab/>
          </w:r>
          <w:r>
            <w:rPr>
              <w:noProof/>
            </w:rPr>
            <w:fldChar w:fldCharType="begin"/>
          </w:r>
          <w:r>
            <w:rPr>
              <w:noProof/>
            </w:rPr>
            <w:instrText xml:space="preserve"> PAGEREF _Toc292966606 \h </w:instrText>
          </w:r>
          <w:r>
            <w:rPr>
              <w:noProof/>
            </w:rPr>
          </w:r>
          <w:r>
            <w:rPr>
              <w:noProof/>
            </w:rPr>
            <w:fldChar w:fldCharType="separate"/>
          </w:r>
          <w:r w:rsidR="00622F86">
            <w:rPr>
              <w:noProof/>
            </w:rPr>
            <w:t>47</w:t>
          </w:r>
          <w:r>
            <w:rPr>
              <w:noProof/>
            </w:rPr>
            <w:fldChar w:fldCharType="end"/>
          </w:r>
        </w:p>
        <w:p w14:paraId="44247474" w14:textId="77777777" w:rsidR="00A05D34" w:rsidRDefault="00A05D34">
          <w:pPr>
            <w:pStyle w:val="Indholdsfortegnelse2"/>
            <w:tabs>
              <w:tab w:val="left" w:pos="769"/>
              <w:tab w:val="right" w:leader="dot" w:pos="9622"/>
            </w:tabs>
            <w:rPr>
              <w:smallCaps w:val="0"/>
              <w:noProof/>
              <w:sz w:val="24"/>
              <w:szCs w:val="24"/>
              <w:lang w:eastAsia="ja-JP"/>
            </w:rPr>
          </w:pPr>
          <w:r>
            <w:rPr>
              <w:noProof/>
            </w:rPr>
            <w:t>5.4</w:t>
          </w:r>
          <w:r>
            <w:rPr>
              <w:smallCaps w:val="0"/>
              <w:noProof/>
              <w:sz w:val="24"/>
              <w:szCs w:val="24"/>
              <w:lang w:eastAsia="ja-JP"/>
            </w:rPr>
            <w:tab/>
          </w:r>
          <w:r>
            <w:rPr>
              <w:noProof/>
            </w:rPr>
            <w:t>C-14/83 Von Colson</w:t>
          </w:r>
          <w:r>
            <w:rPr>
              <w:noProof/>
            </w:rPr>
            <w:tab/>
          </w:r>
          <w:r>
            <w:rPr>
              <w:noProof/>
            </w:rPr>
            <w:fldChar w:fldCharType="begin"/>
          </w:r>
          <w:r>
            <w:rPr>
              <w:noProof/>
            </w:rPr>
            <w:instrText xml:space="preserve"> PAGEREF _Toc292966607 \h </w:instrText>
          </w:r>
          <w:r>
            <w:rPr>
              <w:noProof/>
            </w:rPr>
          </w:r>
          <w:r>
            <w:rPr>
              <w:noProof/>
            </w:rPr>
            <w:fldChar w:fldCharType="separate"/>
          </w:r>
          <w:r w:rsidR="00622F86">
            <w:rPr>
              <w:noProof/>
            </w:rPr>
            <w:t>47</w:t>
          </w:r>
          <w:r>
            <w:rPr>
              <w:noProof/>
            </w:rPr>
            <w:fldChar w:fldCharType="end"/>
          </w:r>
        </w:p>
        <w:p w14:paraId="45944EBF" w14:textId="77777777" w:rsidR="00A05D34" w:rsidRDefault="00A05D34">
          <w:pPr>
            <w:pStyle w:val="Indholdsfortegnelse3"/>
            <w:tabs>
              <w:tab w:val="left" w:pos="1156"/>
              <w:tab w:val="right" w:leader="dot" w:pos="9622"/>
            </w:tabs>
            <w:rPr>
              <w:i w:val="0"/>
              <w:noProof/>
              <w:sz w:val="24"/>
              <w:szCs w:val="24"/>
              <w:lang w:eastAsia="ja-JP"/>
            </w:rPr>
          </w:pPr>
          <w:r>
            <w:rPr>
              <w:noProof/>
            </w:rPr>
            <w:t>5.4.1</w:t>
          </w:r>
          <w:r>
            <w:rPr>
              <w:i w:val="0"/>
              <w:noProof/>
              <w:sz w:val="24"/>
              <w:szCs w:val="24"/>
              <w:lang w:eastAsia="ja-JP"/>
            </w:rPr>
            <w:tab/>
          </w:r>
          <w:r>
            <w:rPr>
              <w:noProof/>
            </w:rPr>
            <w:t>Sammenfatning</w:t>
          </w:r>
          <w:r>
            <w:rPr>
              <w:noProof/>
            </w:rPr>
            <w:tab/>
          </w:r>
          <w:r>
            <w:rPr>
              <w:noProof/>
            </w:rPr>
            <w:fldChar w:fldCharType="begin"/>
          </w:r>
          <w:r>
            <w:rPr>
              <w:noProof/>
            </w:rPr>
            <w:instrText xml:space="preserve"> PAGEREF _Toc292966608 \h </w:instrText>
          </w:r>
          <w:r>
            <w:rPr>
              <w:noProof/>
            </w:rPr>
          </w:r>
          <w:r>
            <w:rPr>
              <w:noProof/>
            </w:rPr>
            <w:fldChar w:fldCharType="separate"/>
          </w:r>
          <w:r w:rsidR="00622F86">
            <w:rPr>
              <w:noProof/>
            </w:rPr>
            <w:t>52</w:t>
          </w:r>
          <w:r>
            <w:rPr>
              <w:noProof/>
            </w:rPr>
            <w:fldChar w:fldCharType="end"/>
          </w:r>
        </w:p>
        <w:p w14:paraId="659DCF99" w14:textId="77777777" w:rsidR="00A05D34" w:rsidRDefault="00A05D34">
          <w:pPr>
            <w:pStyle w:val="Indholdsfortegnelse2"/>
            <w:tabs>
              <w:tab w:val="left" w:pos="769"/>
              <w:tab w:val="right" w:leader="dot" w:pos="9622"/>
            </w:tabs>
            <w:rPr>
              <w:smallCaps w:val="0"/>
              <w:noProof/>
              <w:sz w:val="24"/>
              <w:szCs w:val="24"/>
              <w:lang w:eastAsia="ja-JP"/>
            </w:rPr>
          </w:pPr>
          <w:r>
            <w:rPr>
              <w:noProof/>
            </w:rPr>
            <w:t>5.5</w:t>
          </w:r>
          <w:r>
            <w:rPr>
              <w:smallCaps w:val="0"/>
              <w:noProof/>
              <w:sz w:val="24"/>
              <w:szCs w:val="24"/>
              <w:lang w:eastAsia="ja-JP"/>
            </w:rPr>
            <w:tab/>
          </w:r>
          <w:r>
            <w:rPr>
              <w:noProof/>
            </w:rPr>
            <w:t>Fortolkning af VOL § 3 i dansk retspraksis – U.2009.307V</w:t>
          </w:r>
          <w:r>
            <w:rPr>
              <w:noProof/>
            </w:rPr>
            <w:tab/>
          </w:r>
          <w:r>
            <w:rPr>
              <w:noProof/>
            </w:rPr>
            <w:fldChar w:fldCharType="begin"/>
          </w:r>
          <w:r>
            <w:rPr>
              <w:noProof/>
            </w:rPr>
            <w:instrText xml:space="preserve"> PAGEREF _Toc292966609 \h </w:instrText>
          </w:r>
          <w:r>
            <w:rPr>
              <w:noProof/>
            </w:rPr>
          </w:r>
          <w:r>
            <w:rPr>
              <w:noProof/>
            </w:rPr>
            <w:fldChar w:fldCharType="separate"/>
          </w:r>
          <w:r w:rsidR="00622F86">
            <w:rPr>
              <w:noProof/>
            </w:rPr>
            <w:t>52</w:t>
          </w:r>
          <w:r>
            <w:rPr>
              <w:noProof/>
            </w:rPr>
            <w:fldChar w:fldCharType="end"/>
          </w:r>
        </w:p>
        <w:p w14:paraId="72321518" w14:textId="77777777" w:rsidR="00A05D34" w:rsidRDefault="00A05D34">
          <w:pPr>
            <w:pStyle w:val="Indholdsfortegnelse2"/>
            <w:tabs>
              <w:tab w:val="left" w:pos="769"/>
              <w:tab w:val="right" w:leader="dot" w:pos="9622"/>
            </w:tabs>
            <w:rPr>
              <w:smallCaps w:val="0"/>
              <w:noProof/>
              <w:sz w:val="24"/>
              <w:szCs w:val="24"/>
              <w:lang w:eastAsia="ja-JP"/>
            </w:rPr>
          </w:pPr>
          <w:r>
            <w:rPr>
              <w:noProof/>
            </w:rPr>
            <w:t>5.6</w:t>
          </w:r>
          <w:r>
            <w:rPr>
              <w:smallCaps w:val="0"/>
              <w:noProof/>
              <w:sz w:val="24"/>
              <w:szCs w:val="24"/>
              <w:lang w:eastAsia="ja-JP"/>
            </w:rPr>
            <w:tab/>
          </w:r>
          <w:r>
            <w:rPr>
              <w:noProof/>
            </w:rPr>
            <w:t>Sammenligning af retspraksis i forhold til afskedigelser i strid med direktiv 2001/23/EF art. 4, stk. 1 og VOL § 3, stk. 1</w:t>
          </w:r>
          <w:r>
            <w:rPr>
              <w:noProof/>
            </w:rPr>
            <w:tab/>
          </w:r>
          <w:r>
            <w:rPr>
              <w:noProof/>
            </w:rPr>
            <w:fldChar w:fldCharType="begin"/>
          </w:r>
          <w:r>
            <w:rPr>
              <w:noProof/>
            </w:rPr>
            <w:instrText xml:space="preserve"> PAGEREF _Toc292966610 \h </w:instrText>
          </w:r>
          <w:r>
            <w:rPr>
              <w:noProof/>
            </w:rPr>
          </w:r>
          <w:r>
            <w:rPr>
              <w:noProof/>
            </w:rPr>
            <w:fldChar w:fldCharType="separate"/>
          </w:r>
          <w:r w:rsidR="00622F86">
            <w:rPr>
              <w:noProof/>
            </w:rPr>
            <w:t>55</w:t>
          </w:r>
          <w:r>
            <w:rPr>
              <w:noProof/>
            </w:rPr>
            <w:fldChar w:fldCharType="end"/>
          </w:r>
        </w:p>
        <w:p w14:paraId="066024DF" w14:textId="77777777" w:rsidR="00A05D34" w:rsidRDefault="00A05D34" w:rsidP="00A05D34">
          <w:pPr>
            <w:pStyle w:val="Indholdsfortegnelse1"/>
            <w:rPr>
              <w:noProof/>
              <w:sz w:val="24"/>
              <w:szCs w:val="24"/>
              <w:lang w:eastAsia="ja-JP"/>
            </w:rPr>
          </w:pPr>
          <w:r>
            <w:rPr>
              <w:noProof/>
            </w:rPr>
            <w:t>6</w:t>
          </w:r>
          <w:r>
            <w:rPr>
              <w:noProof/>
              <w:sz w:val="24"/>
              <w:szCs w:val="24"/>
              <w:lang w:eastAsia="ja-JP"/>
            </w:rPr>
            <w:tab/>
          </w:r>
          <w:r>
            <w:rPr>
              <w:noProof/>
            </w:rPr>
            <w:t>Konklusion</w:t>
          </w:r>
          <w:r>
            <w:rPr>
              <w:noProof/>
            </w:rPr>
            <w:tab/>
          </w:r>
          <w:r>
            <w:rPr>
              <w:noProof/>
            </w:rPr>
            <w:fldChar w:fldCharType="begin"/>
          </w:r>
          <w:r>
            <w:rPr>
              <w:noProof/>
            </w:rPr>
            <w:instrText xml:space="preserve"> PAGEREF _Toc292966611 \h </w:instrText>
          </w:r>
          <w:r>
            <w:rPr>
              <w:noProof/>
            </w:rPr>
          </w:r>
          <w:r>
            <w:rPr>
              <w:noProof/>
            </w:rPr>
            <w:fldChar w:fldCharType="separate"/>
          </w:r>
          <w:r w:rsidR="00622F86">
            <w:rPr>
              <w:noProof/>
            </w:rPr>
            <w:t>56</w:t>
          </w:r>
          <w:r>
            <w:rPr>
              <w:noProof/>
            </w:rPr>
            <w:fldChar w:fldCharType="end"/>
          </w:r>
        </w:p>
        <w:p w14:paraId="317328E6" w14:textId="77777777" w:rsidR="00A05D34" w:rsidRDefault="00A05D34" w:rsidP="00A05D34">
          <w:pPr>
            <w:pStyle w:val="Indholdsfortegnelse1"/>
            <w:rPr>
              <w:noProof/>
              <w:sz w:val="24"/>
              <w:szCs w:val="24"/>
              <w:lang w:eastAsia="ja-JP"/>
            </w:rPr>
          </w:pPr>
          <w:r>
            <w:rPr>
              <w:noProof/>
            </w:rPr>
            <w:t>7</w:t>
          </w:r>
          <w:r>
            <w:rPr>
              <w:noProof/>
              <w:sz w:val="24"/>
              <w:szCs w:val="24"/>
              <w:lang w:eastAsia="ja-JP"/>
            </w:rPr>
            <w:tab/>
          </w:r>
          <w:r>
            <w:rPr>
              <w:noProof/>
            </w:rPr>
            <w:t>Litteraturliste</w:t>
          </w:r>
          <w:r>
            <w:rPr>
              <w:noProof/>
            </w:rPr>
            <w:tab/>
          </w:r>
          <w:r>
            <w:rPr>
              <w:noProof/>
            </w:rPr>
            <w:fldChar w:fldCharType="begin"/>
          </w:r>
          <w:r>
            <w:rPr>
              <w:noProof/>
            </w:rPr>
            <w:instrText xml:space="preserve"> PAGEREF _Toc292966612 \h </w:instrText>
          </w:r>
          <w:r>
            <w:rPr>
              <w:noProof/>
            </w:rPr>
          </w:r>
          <w:r>
            <w:rPr>
              <w:noProof/>
            </w:rPr>
            <w:fldChar w:fldCharType="separate"/>
          </w:r>
          <w:r w:rsidR="00622F86">
            <w:rPr>
              <w:noProof/>
            </w:rPr>
            <w:t>58</w:t>
          </w:r>
          <w:r>
            <w:rPr>
              <w:noProof/>
            </w:rPr>
            <w:fldChar w:fldCharType="end"/>
          </w:r>
        </w:p>
        <w:p w14:paraId="79DF4AD4" w14:textId="2500AEEB" w:rsidR="00441D9E" w:rsidRDefault="00692EC0" w:rsidP="00FE76BB">
          <w:pPr>
            <w:spacing w:line="360" w:lineRule="auto"/>
            <w:rPr>
              <w:noProof/>
            </w:rPr>
          </w:pPr>
          <w:r>
            <w:rPr>
              <w:b/>
              <w:bCs/>
              <w:noProof/>
            </w:rPr>
            <w:fldChar w:fldCharType="end"/>
          </w:r>
        </w:p>
      </w:sdtContent>
    </w:sdt>
    <w:p w14:paraId="4F34507D" w14:textId="37647EA0" w:rsidR="00692EC0" w:rsidRDefault="00441D9E" w:rsidP="00441D9E">
      <w:pPr>
        <w:rPr>
          <w:noProof/>
        </w:rPr>
      </w:pPr>
      <w:r>
        <w:rPr>
          <w:noProof/>
        </w:rPr>
        <w:br w:type="page"/>
      </w:r>
    </w:p>
    <w:p w14:paraId="7357DE1C" w14:textId="46738D71" w:rsidR="00736DF7" w:rsidRDefault="00692EC0" w:rsidP="00184189">
      <w:pPr>
        <w:pStyle w:val="Overskrift1"/>
        <w:numPr>
          <w:ilvl w:val="0"/>
          <w:numId w:val="3"/>
        </w:numPr>
      </w:pPr>
      <w:bookmarkStart w:id="0" w:name="_Toc292966567"/>
      <w:r>
        <w:t>In</w:t>
      </w:r>
      <w:r w:rsidR="001148CA">
        <w:t>troduktion</w:t>
      </w:r>
      <w:bookmarkEnd w:id="0"/>
      <w:r w:rsidR="001148CA">
        <w:t xml:space="preserve"> </w:t>
      </w:r>
    </w:p>
    <w:p w14:paraId="48EAF724" w14:textId="7F568737" w:rsidR="00924F7E" w:rsidRPr="00924F7E" w:rsidRDefault="00924F7E" w:rsidP="00184189">
      <w:pPr>
        <w:pStyle w:val="Overskrift2"/>
      </w:pPr>
      <w:bookmarkStart w:id="1" w:name="_Toc292966568"/>
      <w:r>
        <w:t>Indledning</w:t>
      </w:r>
      <w:bookmarkEnd w:id="1"/>
      <w:r>
        <w:t xml:space="preserve">  </w:t>
      </w:r>
    </w:p>
    <w:p w14:paraId="0E1281B2" w14:textId="77777777" w:rsidR="00924F7E" w:rsidRPr="00924F7E" w:rsidRDefault="00924F7E" w:rsidP="00924F7E"/>
    <w:p w14:paraId="46236E66" w14:textId="3B7517CD" w:rsidR="00AF7F3B" w:rsidRDefault="00424D3A" w:rsidP="00FE76BB">
      <w:pPr>
        <w:spacing w:line="360" w:lineRule="auto"/>
      </w:pPr>
      <w:r>
        <w:t>Formålet med dette speciale er, at bes</w:t>
      </w:r>
      <w:r w:rsidR="002D3520">
        <w:t>krive og analysere gældende ret</w:t>
      </w:r>
      <w:r>
        <w:t xml:space="preserve"> i forhold t</w:t>
      </w:r>
      <w:r w:rsidR="002D3520">
        <w:t>il det ansættelsesretlig aspekt</w:t>
      </w:r>
      <w:r>
        <w:t xml:space="preserve"> af en afskedigelse, i forbindelse med en virksomhedsoverdragelse. </w:t>
      </w:r>
    </w:p>
    <w:p w14:paraId="0F3F25E6" w14:textId="274360E3" w:rsidR="008A4339" w:rsidRDefault="0087670D" w:rsidP="00FE76BB">
      <w:pPr>
        <w:spacing w:line="360" w:lineRule="auto"/>
        <w:rPr>
          <w:i/>
        </w:rPr>
      </w:pPr>
      <w:r>
        <w:t>Overdragelse</w:t>
      </w:r>
      <w:r w:rsidR="008621C7">
        <w:t xml:space="preserve"> af en virksomhed</w:t>
      </w:r>
      <w:r w:rsidR="00712792">
        <w:t xml:space="preserve"> indebærer, at lønmodtagerne</w:t>
      </w:r>
      <w:r w:rsidR="008621C7">
        <w:t xml:space="preserve"> i den virksomhed</w:t>
      </w:r>
      <w:r w:rsidR="00712792">
        <w:t>,</w:t>
      </w:r>
      <w:r>
        <w:t xml:space="preserve"> der er blevet overdraget</w:t>
      </w:r>
      <w:r w:rsidR="008621C7">
        <w:t xml:space="preserve"> ved virksomhedsoverdragelsen, får en ny arbejdsgiver. Denne overgang til en ny arbejds</w:t>
      </w:r>
      <w:r w:rsidR="009D4C36">
        <w:t>giver omfattes af reglerne i virksomhedsoverdragelsesloven</w:t>
      </w:r>
      <w:r w:rsidR="00634166">
        <w:t>,</w:t>
      </w:r>
      <w:r w:rsidR="009D4C36">
        <w:rPr>
          <w:rStyle w:val="Fodnotehenvisning"/>
        </w:rPr>
        <w:footnoteReference w:id="1"/>
      </w:r>
      <w:r w:rsidR="00634166">
        <w:t xml:space="preserve"> der har til formål at sikre, at lønmodtagerens rettigheder opretholdes, når en virksomhed skifter inde</w:t>
      </w:r>
      <w:r w:rsidR="009D4C36">
        <w:t>haver. Der er dermed med virksomhedsoverdragelsesloven</w:t>
      </w:r>
      <w:r w:rsidR="00634166">
        <w:t xml:space="preserve"> indført en særlig civilretlig succession</w:t>
      </w:r>
      <w:r w:rsidR="00712792">
        <w:t>,</w:t>
      </w:r>
      <w:r w:rsidR="00634166">
        <w:t xml:space="preserve"> i</w:t>
      </w:r>
      <w:r w:rsidR="00712792">
        <w:t xml:space="preserve"> retsforholdet til lønmodtagerne</w:t>
      </w:r>
      <w:r w:rsidR="00634166">
        <w:t xml:space="preserve"> i virksomheden, hvorefter erhververen</w:t>
      </w:r>
      <w:r w:rsidR="00712792">
        <w:t xml:space="preserve"> af virksomheden</w:t>
      </w:r>
      <w:r w:rsidR="00634166">
        <w:t xml:space="preserve"> umiddelbart indtræder i rettigheder og forpligtelser i forhold til de lønmodtagere, som er ansat i virksomheden på overtagelsestidspunktet.</w:t>
      </w:r>
      <w:r w:rsidR="00634166">
        <w:rPr>
          <w:rStyle w:val="Fodnotehenvisning"/>
        </w:rPr>
        <w:footnoteReference w:id="2"/>
      </w:r>
      <w:r w:rsidR="00376F65">
        <w:t xml:space="preserve"> Samtidig mistes alle rettigheder i fo</w:t>
      </w:r>
      <w:r w:rsidR="00712792">
        <w:t>rhold til overdrageren af virksomheden</w:t>
      </w:r>
      <w:r w:rsidR="00376F65">
        <w:t>, idet der ved de danske regler er indført et debitorskifte.</w:t>
      </w:r>
      <w:r w:rsidR="00376F65">
        <w:rPr>
          <w:rStyle w:val="Fodnotehenvisning"/>
        </w:rPr>
        <w:footnoteReference w:id="3"/>
      </w:r>
      <w:r w:rsidR="00F05FFA">
        <w:rPr>
          <w:i/>
        </w:rPr>
        <w:t xml:space="preserve"> </w:t>
      </w:r>
    </w:p>
    <w:p w14:paraId="32EF6A9F" w14:textId="4D1D8731" w:rsidR="003F67D7" w:rsidRDefault="00924F7E" w:rsidP="00FE76BB">
      <w:pPr>
        <w:spacing w:line="360" w:lineRule="auto"/>
      </w:pPr>
      <w:r>
        <w:t>Som det i det følgende vil blive redegjort for,</w:t>
      </w:r>
      <w:r w:rsidR="003F67D7">
        <w:t xml:space="preserve"> har</w:t>
      </w:r>
      <w:r>
        <w:t xml:space="preserve"> det</w:t>
      </w:r>
      <w:r w:rsidR="003F67D7">
        <w:t xml:space="preserve"> i retslitteraturen væ</w:t>
      </w:r>
      <w:r w:rsidR="009D4C36">
        <w:t>ret diskuteret, hvilken retsvirkning</w:t>
      </w:r>
      <w:r w:rsidR="003F67D7">
        <w:t xml:space="preserve"> en afskedigelse</w:t>
      </w:r>
      <w:r>
        <w:t>,</w:t>
      </w:r>
      <w:r w:rsidR="003F67D7">
        <w:t xml:space="preserve"> i strid med virksomhedsoverdragelsesloven skulle have, for at </w:t>
      </w:r>
      <w:r w:rsidR="009D4C36">
        <w:t>den danske lov lever op til de</w:t>
      </w:r>
      <w:r w:rsidR="003F67D7">
        <w:t xml:space="preserve"> EU-retlige forpligtelser efter direktiv 2001/23/EF. Det har således været diskuteret, på baggrund af domme afsagt af EU-Domstolen, om der i direktivet er tale om et absolut afskedigelsesforbud, hvilket medfører afskedige</w:t>
      </w:r>
      <w:r w:rsidR="0061327F">
        <w:t>lsen underkendes</w:t>
      </w:r>
      <w:r>
        <w:t>, eller om retsvirkningen</w:t>
      </w:r>
      <w:r w:rsidR="003F67D7">
        <w:t xml:space="preserve"> af en usaglig afskedigelse,</w:t>
      </w:r>
      <w:r>
        <w:t xml:space="preserve"> jf. direktivets art. 4,</w:t>
      </w:r>
      <w:r w:rsidR="003F67D7">
        <w:t xml:space="preserve"> alene må bero på de almindelige regler i anden</w:t>
      </w:r>
      <w:r>
        <w:t xml:space="preserve"> dansk</w:t>
      </w:r>
      <w:r w:rsidR="003F67D7">
        <w:t xml:space="preserve"> lovgivning, overenskomst eller</w:t>
      </w:r>
      <w:r>
        <w:t xml:space="preserve"> individuel</w:t>
      </w:r>
      <w:r w:rsidR="003F67D7">
        <w:t xml:space="preserve"> aftale. </w:t>
      </w:r>
    </w:p>
    <w:p w14:paraId="67F16776" w14:textId="77777777" w:rsidR="0087670D" w:rsidRDefault="0087670D" w:rsidP="00FE76BB">
      <w:pPr>
        <w:spacing w:line="360" w:lineRule="auto"/>
      </w:pPr>
    </w:p>
    <w:p w14:paraId="7BCDA9E0" w14:textId="77777777" w:rsidR="00365888" w:rsidRDefault="00365888" w:rsidP="00365888">
      <w:pPr>
        <w:pStyle w:val="Overskrift2"/>
      </w:pPr>
      <w:bookmarkStart w:id="2" w:name="_Toc292966569"/>
      <w:r>
        <w:t>Problemformulering</w:t>
      </w:r>
      <w:bookmarkEnd w:id="2"/>
    </w:p>
    <w:p w14:paraId="02135055" w14:textId="77777777" w:rsidR="00E55D4D" w:rsidRPr="00E55D4D" w:rsidRDefault="00E55D4D" w:rsidP="00E55D4D"/>
    <w:p w14:paraId="1BFAE5A5" w14:textId="784A83A0" w:rsidR="00365888" w:rsidRDefault="00365888" w:rsidP="00365888">
      <w:pPr>
        <w:spacing w:line="360" w:lineRule="auto"/>
      </w:pPr>
      <w:r>
        <w:t>D</w:t>
      </w:r>
      <w:r w:rsidR="00552A5C">
        <w:t>en danske model, der</w:t>
      </w:r>
      <w:r>
        <w:t xml:space="preserve"> er en delvis partsstyret konsensusmodel, hvor arbejdsgiver- og lønmodtagerorganisationer, såfremt de er enige, kan udøve det meste af den lovgivende, dømmende og udøvende magt på det arbejdsretlige område.</w:t>
      </w:r>
      <w:r>
        <w:rPr>
          <w:rStyle w:val="Fodnotehenvisning"/>
        </w:rPr>
        <w:footnoteReference w:id="4"/>
      </w:r>
      <w:r>
        <w:t xml:space="preserve"> Den danske model har således, for den arbejdsretlige regulering, været karakteriseret ved, at regulering og retshåndhævelse i et stort omfang, er blevet overl</w:t>
      </w:r>
      <w:r w:rsidR="00552A5C">
        <w:t>adt til arbejdsmarkedets parter, og hvor</w:t>
      </w:r>
      <w:r>
        <w:t xml:space="preserve"> lovgiver har holdt sig i baggrunden. Som der i det følgende vil blive redegjort for, er der i dansk ret generelt, hverken i lovgivningen eller på det kollektive overenskomstområde, tradition for, at der gives hjemmel til, at usaglige afskedigelser sanktioneres med, at disse underkendes. Den danske model</w:t>
      </w:r>
      <w:r w:rsidR="00552A5C">
        <w:t xml:space="preserve"> har</w:t>
      </w:r>
      <w:r>
        <w:t xml:space="preserve"> ændret sig meget siden Danmark indtrådte i EU i 1973. Mange af de vigtigste arbejdsretlige love, der er vedtaget de sidste mange år, er således implementeringslove. Dette har medført, at Danmark stort set hver gang der bliver vedtaget et arbejdsretligt direktiv, har måtte ændre noget i dansk ret, for at leve op til de EU-retlige mindstekrav.</w:t>
      </w:r>
      <w:r>
        <w:rPr>
          <w:rStyle w:val="Fodnotehenvisning"/>
        </w:rPr>
        <w:footnoteReference w:id="5"/>
      </w:r>
    </w:p>
    <w:p w14:paraId="0348BABE" w14:textId="42F75EEA" w:rsidR="00365888" w:rsidRDefault="00552A5C" w:rsidP="00365888">
      <w:pPr>
        <w:spacing w:line="360" w:lineRule="auto"/>
      </w:pPr>
      <w:r>
        <w:t>På den baggrund er det interessant</w:t>
      </w:r>
      <w:r w:rsidR="00365888">
        <w:t xml:space="preserve"> at undersøge, om fællesskabsretten måtte kræve, at usaglige afskedigelser, i forbindelse med en virksomhedsoverdragelse, skal sanktioneres med en underkendelse, og dermed en genansættelse af lønmodtageren. Såfremt dette er tilfældet, er det relevant at undersøge, om den danske lov (virksomhedsoverdragelsesloven),</w:t>
      </w:r>
      <w:r w:rsidR="00365888">
        <w:rPr>
          <w:rStyle w:val="Fodnotehenvisning"/>
        </w:rPr>
        <w:footnoteReference w:id="6"/>
      </w:r>
      <w:r w:rsidR="00365888">
        <w:t xml:space="preserve"> som implementerer direktivet, også kræver, at en usaglig afskedigelse ska</w:t>
      </w:r>
      <w:r>
        <w:t>l sanktioneres med en underkendelse</w:t>
      </w:r>
      <w:r w:rsidR="00365888">
        <w:t>, og dermed en genansættelse. Dermed vil det være muligt at konstatere, om direktiv 2001/23/EF art. 4, er implementeret korrekt i dansk ret i virksomhedsoverdragelseslovens § 3. Problemformuleringen lyder dermed:</w:t>
      </w:r>
    </w:p>
    <w:p w14:paraId="1830CFA9" w14:textId="77777777" w:rsidR="00365888" w:rsidRDefault="00365888" w:rsidP="00365888">
      <w:pPr>
        <w:spacing w:line="360" w:lineRule="auto"/>
      </w:pPr>
    </w:p>
    <w:p w14:paraId="71CB1FAC" w14:textId="673074B7" w:rsidR="00365888" w:rsidRDefault="00365888" w:rsidP="0087670D">
      <w:pPr>
        <w:spacing w:line="360" w:lineRule="auto"/>
        <w:jc w:val="center"/>
        <w:rPr>
          <w:rFonts w:cs="Helvetica"/>
          <w:b/>
          <w:i/>
        </w:rPr>
      </w:pPr>
      <w:r w:rsidRPr="009A3A67">
        <w:rPr>
          <w:rFonts w:cs="Helvetica"/>
          <w:b/>
          <w:i/>
        </w:rPr>
        <w:t>Er Rådets Direktiv 2001/23/EF art. 4</w:t>
      </w:r>
      <w:r>
        <w:rPr>
          <w:rFonts w:cs="Helvetica"/>
          <w:b/>
          <w:i/>
        </w:rPr>
        <w:t xml:space="preserve"> om usaglige afskedigelser begrundet i en virksomhedsoverdragelse,</w:t>
      </w:r>
      <w:r w:rsidRPr="009A3A67">
        <w:rPr>
          <w:rFonts w:cs="Helvetica"/>
          <w:b/>
          <w:i/>
        </w:rPr>
        <w:t xml:space="preserve"> tilstrækkeligt implementeret i dansk ret i ”virksomhedsoverdragelseslovens” § 3?</w:t>
      </w:r>
    </w:p>
    <w:p w14:paraId="0AEAACBC" w14:textId="77777777" w:rsidR="0087670D" w:rsidRDefault="0087670D" w:rsidP="0087670D">
      <w:pPr>
        <w:spacing w:line="360" w:lineRule="auto"/>
        <w:jc w:val="center"/>
        <w:rPr>
          <w:rFonts w:cs="Helvetica"/>
          <w:b/>
          <w:i/>
        </w:rPr>
      </w:pPr>
    </w:p>
    <w:p w14:paraId="29DCCCA7" w14:textId="77777777" w:rsidR="00365888" w:rsidRDefault="00365888" w:rsidP="00365888">
      <w:pPr>
        <w:pStyle w:val="Overskrift2"/>
      </w:pPr>
      <w:bookmarkStart w:id="3" w:name="_Toc292966570"/>
      <w:r>
        <w:t>Afgrænsning</w:t>
      </w:r>
      <w:bookmarkEnd w:id="3"/>
    </w:p>
    <w:p w14:paraId="5CAD5E9B" w14:textId="77777777" w:rsidR="00E55D4D" w:rsidRPr="00E55D4D" w:rsidRDefault="00E55D4D" w:rsidP="00E55D4D"/>
    <w:p w14:paraId="16A3F1A5" w14:textId="77777777" w:rsidR="00365888" w:rsidRDefault="00365888" w:rsidP="00365888">
      <w:pPr>
        <w:spacing w:line="360" w:lineRule="auto"/>
      </w:pPr>
      <w:r>
        <w:t xml:space="preserve">Dette speciale omhandler alene ophør af et ansættelsesforhold, som ikke er sagligt begrundet, i forbindelse med en virksomhedsoverdragelse, jf. VOL § 3, stk. 1, hvorfor der alene tages udgangspunkt i denne bestemmelse, samt den bagvedliggende direktiv bestemmelses art. 4, stk. 1. Dette betyder, at der ikke vil være en nærmere gennemgang af de forskellige definitioner, der relaterer sig til loven, såfremt disse ikke har nogen betydning for lovens § 3, stk. 1. Der vil således ikke være nogle nærmere definitioner af eksempelvis hvad der forstås ved begrebet ”virksomhed,” hvornår der er tale om en overførsel af en virksomhed i lovens forstand, hvilke typer af overdragelser der er omfattet af loven, hvem der er omfattet af lønmodtagerbegrebet, samt det interne forhold mellem overdrageren og erhververen. </w:t>
      </w:r>
    </w:p>
    <w:p w14:paraId="1BFE2073" w14:textId="48FA84FE" w:rsidR="00365888" w:rsidRDefault="00365888" w:rsidP="00365888">
      <w:pPr>
        <w:spacing w:line="360" w:lineRule="auto"/>
      </w:pPr>
      <w:r>
        <w:t>Ved afskedigelse efter VOL § 3 anses også gennemførelse af væsentlige stillingsændringer, bortvisning samt lønmodtagernes berettigede ophævelse, jf. bestemmelsens stk. 2. VOL § 3, stk. 2 vil dog ikke blive omtalt i det følgende.</w:t>
      </w:r>
    </w:p>
    <w:p w14:paraId="74D42DB7" w14:textId="77777777" w:rsidR="0087670D" w:rsidRDefault="0087670D" w:rsidP="00365888">
      <w:pPr>
        <w:spacing w:line="360" w:lineRule="auto"/>
      </w:pPr>
    </w:p>
    <w:p w14:paraId="62015AF8" w14:textId="77777777" w:rsidR="00365888" w:rsidRDefault="00365888" w:rsidP="00365888">
      <w:pPr>
        <w:pStyle w:val="Overskrift2"/>
      </w:pPr>
      <w:bookmarkStart w:id="4" w:name="_Toc292966571"/>
      <w:r>
        <w:t>Metode</w:t>
      </w:r>
      <w:bookmarkEnd w:id="4"/>
      <w:r>
        <w:t xml:space="preserve"> </w:t>
      </w:r>
    </w:p>
    <w:p w14:paraId="690BC2D1" w14:textId="77777777" w:rsidR="00365888" w:rsidRDefault="00365888" w:rsidP="00365888"/>
    <w:p w14:paraId="033DCD42" w14:textId="0C6071D9" w:rsidR="00365888" w:rsidRDefault="00365888" w:rsidP="00365888">
      <w:pPr>
        <w:pStyle w:val="Overskrift3"/>
      </w:pPr>
      <w:bookmarkStart w:id="5" w:name="_Toc292966572"/>
      <w:r>
        <w:t>Retsdogmatisk metode</w:t>
      </w:r>
      <w:bookmarkEnd w:id="5"/>
      <w:r>
        <w:t xml:space="preserve"> </w:t>
      </w:r>
    </w:p>
    <w:p w14:paraId="3EDA6DA6" w14:textId="77777777" w:rsidR="00E55D4D" w:rsidRPr="00E55D4D" w:rsidRDefault="00E55D4D" w:rsidP="00E55D4D"/>
    <w:p w14:paraId="74F7FDB8" w14:textId="4547D50A" w:rsidR="00365888" w:rsidRDefault="00365888" w:rsidP="00365888">
      <w:pPr>
        <w:spacing w:line="360" w:lineRule="auto"/>
      </w:pPr>
      <w:r>
        <w:t>Specialet er udarbejdet ud fra en almindelig retsdogmatisk me</w:t>
      </w:r>
      <w:r w:rsidR="00552A5C">
        <w:t>tode, da formålet er at</w:t>
      </w:r>
      <w:r>
        <w:t xml:space="preserve"> analysere gældende ret i Danmark, i forhold til retsvirkningen af en usaglig afskedigelse, i forbindelse med en virksomhedsoverdragelse. Den retsdogmatiske metode går ud på først at identificere og systematisere de retskilder, der er afgørende for at fastlægge, hvad der på et givet område, er gældende ret,</w:t>
      </w:r>
      <w:r>
        <w:rPr>
          <w:rStyle w:val="Fodnotehenvisning"/>
        </w:rPr>
        <w:footnoteReference w:id="7"/>
      </w:r>
      <w:r>
        <w:t xml:space="preserve"> hvorefter retskilderne beskrives og analyseres.  </w:t>
      </w:r>
    </w:p>
    <w:p w14:paraId="24DFF7D7" w14:textId="77777777" w:rsidR="00E55D4D" w:rsidRDefault="00365888" w:rsidP="00365888">
      <w:pPr>
        <w:pStyle w:val="Overskrift3"/>
      </w:pPr>
      <w:bookmarkStart w:id="6" w:name="_Toc292966573"/>
      <w:r>
        <w:t>Kildehåndtering</w:t>
      </w:r>
      <w:bookmarkEnd w:id="6"/>
    </w:p>
    <w:p w14:paraId="68CD6425" w14:textId="3F33BCAF" w:rsidR="00365888" w:rsidRDefault="00365888" w:rsidP="00E55D4D">
      <w:r>
        <w:t xml:space="preserve"> </w:t>
      </w:r>
    </w:p>
    <w:p w14:paraId="2A87CA5E" w14:textId="63FEAE91" w:rsidR="00365888" w:rsidRDefault="009030FE" w:rsidP="00365888">
      <w:pPr>
        <w:spacing w:line="360" w:lineRule="auto"/>
      </w:pPr>
      <w:r>
        <w:t xml:space="preserve">Når </w:t>
      </w:r>
      <w:r w:rsidR="00365888">
        <w:t>virksomhedsoverdragelsesloven</w:t>
      </w:r>
      <w:r w:rsidR="009E1BEE">
        <w:t>s</w:t>
      </w:r>
      <w:r w:rsidR="009E1BEE">
        <w:rPr>
          <w:rStyle w:val="Fodnotehenvisning"/>
        </w:rPr>
        <w:footnoteReference w:id="8"/>
      </w:r>
      <w:r w:rsidR="009E1BEE">
        <w:t xml:space="preserve"> § 3, stk. 1</w:t>
      </w:r>
      <w:r>
        <w:t xml:space="preserve"> i det følgende vil blive analyseret,</w:t>
      </w:r>
      <w:r w:rsidR="00365888">
        <w:t xml:space="preserve"> </w:t>
      </w:r>
      <w:r w:rsidR="009E1BEE">
        <w:t>er der taget højde for</w:t>
      </w:r>
      <w:r>
        <w:t xml:space="preserve">, at denne er direktivstyret. </w:t>
      </w:r>
      <w:r w:rsidR="009E1BEE">
        <w:t>Dette vil</w:t>
      </w:r>
      <w:r w:rsidR="00C6743A">
        <w:t xml:space="preserve"> derfor</w:t>
      </w:r>
      <w:r w:rsidR="009E1BEE">
        <w:t xml:space="preserve"> have betydning for fortolkningen af</w:t>
      </w:r>
      <w:r w:rsidR="00365888">
        <w:t xml:space="preserve"> de danske lovmotiver</w:t>
      </w:r>
      <w:r w:rsidR="00C6743A">
        <w:t>.</w:t>
      </w:r>
      <w:r w:rsidR="009E1BEE">
        <w:t xml:space="preserve"> </w:t>
      </w:r>
      <w:r w:rsidR="00365888">
        <w:t>Der er ved fortolkningen</w:t>
      </w:r>
      <w:r w:rsidR="00C6743A">
        <w:t xml:space="preserve"> af lovens § 3, stk. 1, derfor</w:t>
      </w:r>
      <w:r w:rsidR="00365888">
        <w:t xml:space="preserve"> lagt særlig vægt på fortolkningen af det bagvedliggende direktiv, med inddragelse af de relevante KOM-dokumenter. </w:t>
      </w:r>
    </w:p>
    <w:p w14:paraId="366B3358" w14:textId="77777777" w:rsidR="00365888" w:rsidRDefault="00365888" w:rsidP="00365888">
      <w:pPr>
        <w:spacing w:line="360" w:lineRule="auto"/>
      </w:pPr>
      <w:r>
        <w:t xml:space="preserve">Da der er tale om en direktivstyret lov, er domme afsagt af EU-Domstolen, blevet tillagt betydelig vægt, i forbindelse med analysen af, hvad retsvirkningen af en usaglig afskedigelse, i forbindelse med en virksomhedsoverdragelse, ifølge EU-retten, skal være. </w:t>
      </w:r>
    </w:p>
    <w:p w14:paraId="499D7D7A" w14:textId="77777777" w:rsidR="00365888" w:rsidRDefault="00365888" w:rsidP="00365888">
      <w:pPr>
        <w:spacing w:line="360" w:lineRule="auto"/>
      </w:pPr>
      <w:r>
        <w:t xml:space="preserve">Det bagvedliggende direktiv blev udstedt tilbage i 1977, og der er kun blevet foretaget én ændring af direktivet. Den bestemmelse i direktivet der er genstand for analysen i dette speciale, blev dog ikke ændret. Der er således alene brugt forarbejder fra det oprindelige direktiv og den oprindelige implementeringslov, og dermed forarbejder tilbage fra 1978-1979. </w:t>
      </w:r>
    </w:p>
    <w:p w14:paraId="3040112F" w14:textId="77777777" w:rsidR="00E55D4D" w:rsidRDefault="00E55D4D" w:rsidP="00365888">
      <w:pPr>
        <w:spacing w:line="360" w:lineRule="auto"/>
      </w:pPr>
    </w:p>
    <w:p w14:paraId="39E3883D" w14:textId="77777777" w:rsidR="00365888" w:rsidRDefault="00365888" w:rsidP="00365888">
      <w:pPr>
        <w:spacing w:line="360" w:lineRule="auto"/>
      </w:pPr>
    </w:p>
    <w:p w14:paraId="68EE5A9C" w14:textId="2930EB62" w:rsidR="00365888" w:rsidRDefault="00365888" w:rsidP="00365888">
      <w:pPr>
        <w:pStyle w:val="Overskrift3"/>
      </w:pPr>
      <w:bookmarkStart w:id="7" w:name="_Ref292650306"/>
      <w:bookmarkStart w:id="8" w:name="_Ref292650426"/>
      <w:bookmarkStart w:id="9" w:name="_Toc292966574"/>
      <w:r>
        <w:t>Fortolkning af EU-retlige retskilder</w:t>
      </w:r>
      <w:bookmarkEnd w:id="7"/>
      <w:bookmarkEnd w:id="8"/>
      <w:bookmarkEnd w:id="9"/>
      <w:r>
        <w:t xml:space="preserve"> </w:t>
      </w:r>
    </w:p>
    <w:p w14:paraId="58FB001C" w14:textId="77777777" w:rsidR="00E55D4D" w:rsidRPr="00E55D4D" w:rsidRDefault="00E55D4D" w:rsidP="00E55D4D"/>
    <w:p w14:paraId="1B16F355" w14:textId="16EE682A" w:rsidR="00365888" w:rsidRDefault="00365888" w:rsidP="00365888">
      <w:pPr>
        <w:spacing w:line="360" w:lineRule="auto"/>
      </w:pPr>
      <w:r>
        <w:t>Domspraksis, i form af afgørelser afsagt af domstolen, er en meget vigtig retskilde i EU-retten.</w:t>
      </w:r>
      <w:r>
        <w:rPr>
          <w:rStyle w:val="Fodnotehenvisning"/>
        </w:rPr>
        <w:footnoteReference w:id="9"/>
      </w:r>
      <w:r>
        <w:t xml:space="preserve"> Ved undersøgelsen af et EU-retligt spørgsmål, er det således nødvendigt at væ</w:t>
      </w:r>
      <w:r w:rsidR="00565D82">
        <w:t xml:space="preserve">re </w:t>
      </w:r>
      <w:r w:rsidR="0086270B">
        <w:t>opmærksom på betydningen af EU-D</w:t>
      </w:r>
      <w:r>
        <w:t>omstolens praksis. Som det vil f</w:t>
      </w:r>
      <w:r w:rsidR="0086270B">
        <w:t>remgå af analysen, henviser EU-D</w:t>
      </w:r>
      <w:r>
        <w:t xml:space="preserve">omstolen i vidt omfang til tidligere domme, som en del af grundlaget for en ny dom. </w:t>
      </w:r>
      <w:r w:rsidR="0086270B">
        <w:t>EU-D</w:t>
      </w:r>
      <w:r>
        <w:t>omstolens domme har således en betydelig præjudikatsværdi.</w:t>
      </w:r>
      <w:r>
        <w:rPr>
          <w:rStyle w:val="Fodnotehenvisning"/>
        </w:rPr>
        <w:footnoteReference w:id="10"/>
      </w:r>
      <w:r>
        <w:t xml:space="preserve"> </w:t>
      </w:r>
    </w:p>
    <w:p w14:paraId="5A81C37E" w14:textId="5E3991C9" w:rsidR="00365888" w:rsidRDefault="0086270B" w:rsidP="00365888">
      <w:pPr>
        <w:spacing w:line="360" w:lineRule="auto"/>
      </w:pPr>
      <w:r>
        <w:t>EU-D</w:t>
      </w:r>
      <w:r w:rsidR="00365888">
        <w:t>omstolen har i sagen C</w:t>
      </w:r>
      <w:r w:rsidR="00A0604E">
        <w:t>-</w:t>
      </w:r>
      <w:r w:rsidR="00365888">
        <w:t xml:space="preserve">283/81, CILFIT, i præmis 18-20, om den EU-retlige fortolkningsmetode, fremhævet, at der først og fremmest skal tages hensyn til den omstændighed, at de EU-retlige bestemmelser er affattet på flere forskellige sprog, og at alle sproglige versioner er autentiske. Fortolkningen af EU-retlige bestemmelser kan derfor først ske efter en sammenligning af de sproglige versioner. Det blev også bemærket, at selvom de sproglige versioner stemmer nøje overnes med hinanden, anvendes der en særlig sprogbrug. Det blev i øvrigt bemærket, at indholdet af de retlige begreber ikke nødvendigvis er det samme i EU-retten, som i de forskellige nationale retsordener. Endelig skulle de enkelte EU-regler vurderes i deres rette sammenhæng, og fortolkes i lyset af EU-rettens bestemmelser som helhed, den bagvedliggende målsætning, og EU-rettens udviklingstrin på tidspunktet for de pågældende bestemmelsers anvendelse. </w:t>
      </w:r>
    </w:p>
    <w:p w14:paraId="3F359AC8" w14:textId="5FFF8D50" w:rsidR="00365888" w:rsidRDefault="00365888" w:rsidP="00365888">
      <w:pPr>
        <w:spacing w:line="360" w:lineRule="auto"/>
      </w:pPr>
      <w:r>
        <w:t>I den unionsretlige teori og praksis har forarbejder oprindeligt været tillagt en meget begrænset, eller slet ingen, betydning som fortolkningsfaktor. Årsagerne hertil har bl.a. været, at traditionerne i medlemsstaterne har været meget forskellige. I dansk ret tillægger man fx forarbejder en forholdsvis stor betydning, ved til fortolkning af en lovbestemmelse. Derimod har man fx i Storbritannien opfattet dette som en kontroversiel fremgangsmåde.</w:t>
      </w:r>
      <w:r>
        <w:rPr>
          <w:rStyle w:val="Fodnotehenvisning"/>
        </w:rPr>
        <w:footnoteReference w:id="11"/>
      </w:r>
      <w:r>
        <w:t xml:space="preserve"> En anden årsag har været det principielle synspunkt, at man af retssikkerhedsmæssige grunde skal være forsigtig med at anvende forarbejder, idet borgeren skal kunne bestemme sin retsstilling, på grundlag af lovgivningens ordlyd. En anden indvending mod brug af forarbejder, i forhold til EU-retlige bestemmelser, er, at unionslovgiver ikke er e</w:t>
      </w:r>
      <w:r w:rsidR="0086270B">
        <w:t>n, men flere institutioner. D</w:t>
      </w:r>
      <w:r>
        <w:t xml:space="preserve">et at institutionerne er blevet enige om en formulering, </w:t>
      </w:r>
      <w:r w:rsidR="0086270B">
        <w:t>er derfor ikke nødvendigvis</w:t>
      </w:r>
      <w:r>
        <w:t xml:space="preserve"> ensbetydende med, at man er enige om formuleringens betydning.</w:t>
      </w:r>
      <w:r>
        <w:rPr>
          <w:rStyle w:val="Fodnotehenvisning"/>
        </w:rPr>
        <w:footnoteReference w:id="12"/>
      </w:r>
      <w:r>
        <w:t xml:space="preserve"> Den unionsretlige lovgivningsprocedure understreger dermed, at værdien af forarbejderne som fortolkningsbidrag, altid beror på en konkret vurdering. Især forarbejder til ældre lovgivning er meget kortfattede og er formuleret i generelle vendinger.</w:t>
      </w:r>
      <w:r>
        <w:rPr>
          <w:rStyle w:val="Fodnotehenvisning"/>
        </w:rPr>
        <w:footnoteReference w:id="13"/>
      </w:r>
      <w:r>
        <w:t xml:space="preserve"> Da forarbejderne til det oprindelig direktiv 77/187/EØF blev lavet mellem 1974-1977, er der således tale om forarbejder til ældre lovgivning. Desuden er det klart, at det ikke er muligt at søge efter fortolkningsbidrag i forarbejderne, såfremt disse ikke findes, eller ikke er blevet offentliggjort. I forhold til direktiv 2001/23/EF gør dette sig gældende ved mange af de dokumenter, der blev lavet i forbindelse med fremsættelsen af det oprindelige forsalg til direktivet. Disse er således ikke blevet offentliggjort, og kan derfor ikke tjene som fortolkningsbidrag i analysen.</w:t>
      </w:r>
    </w:p>
    <w:p w14:paraId="023DC0E2" w14:textId="4A09D255" w:rsidR="008A3C4E" w:rsidRDefault="0086270B" w:rsidP="00FE76BB">
      <w:pPr>
        <w:spacing w:line="360" w:lineRule="auto"/>
      </w:pPr>
      <w:r>
        <w:t>I overensstemmelse med EU-D</w:t>
      </w:r>
      <w:r w:rsidR="00365888">
        <w:t xml:space="preserve">omstolens traditionelle fortolkningsmetoder, er der ud over direktivets ordlyd, i analysen også foretaget en formålsfortolkning. Formålsfortolkningen tilsigter at nå frem til en retstilstand, der inden for rammerne af ordlyden, stemmer bedst muligt overens med det formål, som fremgår af præamblen til direktivet. I grænsetilfælde har EU-Domstolen således ladet direktivets formål, være afgørende for fortolkningen af bestemmelserne. Generelt anvender </w:t>
      </w:r>
      <w:r>
        <w:t>EU-</w:t>
      </w:r>
      <w:r w:rsidR="00365888">
        <w:t>Domstolen mest en formålsfortolkning, frem for en streng ordlydsfortolkning. Dette er begrundet i, at de forskellige sproglige versioner af direktivet, ikke</w:t>
      </w:r>
      <w:r>
        <w:t xml:space="preserve"> altid udtrykker det samme. EU-D</w:t>
      </w:r>
      <w:r w:rsidR="00365888">
        <w:t>omstolen søger derfor, hvor teksten kan give anledning til tvivl, at fastlægge fortolkningen</w:t>
      </w:r>
      <w:r>
        <w:t>, ved bl.a.</w:t>
      </w:r>
      <w:r w:rsidR="00365888">
        <w:t xml:space="preserve"> at undersøge bestemmelsens og direktivets formål, bestemmelsens placering i direktivet, direktivets opbygning og struktur og dets placering i det fællesskabsretlige system.</w:t>
      </w:r>
      <w:r w:rsidR="00365888">
        <w:rPr>
          <w:rStyle w:val="Fodnotehenvisning"/>
        </w:rPr>
        <w:footnoteReference w:id="14"/>
      </w:r>
      <w:r w:rsidR="00365888">
        <w:t xml:space="preserve"> Der er således i analysen af direktivet</w:t>
      </w:r>
      <w:r w:rsidR="00365888">
        <w:rPr>
          <w:rStyle w:val="Fodnotehenvisning"/>
        </w:rPr>
        <w:footnoteReference w:id="15"/>
      </w:r>
      <w:r w:rsidR="00365888">
        <w:t xml:space="preserve"> lagt vægt på dette.</w:t>
      </w:r>
      <w:r w:rsidR="0087670D">
        <w:t xml:space="preserve"> </w:t>
      </w:r>
    </w:p>
    <w:p w14:paraId="331AF86E" w14:textId="77777777" w:rsidR="0087670D" w:rsidRDefault="0087670D" w:rsidP="00FE76BB">
      <w:pPr>
        <w:spacing w:line="360" w:lineRule="auto"/>
      </w:pPr>
    </w:p>
    <w:p w14:paraId="2CB95048" w14:textId="77777777" w:rsidR="0087670D" w:rsidRDefault="0087670D" w:rsidP="00FE76BB">
      <w:pPr>
        <w:spacing w:line="360" w:lineRule="auto"/>
      </w:pPr>
    </w:p>
    <w:p w14:paraId="663AB239" w14:textId="77777777" w:rsidR="0087670D" w:rsidRDefault="0087670D" w:rsidP="00FE76BB">
      <w:pPr>
        <w:spacing w:line="360" w:lineRule="auto"/>
      </w:pPr>
    </w:p>
    <w:p w14:paraId="7EC9812F" w14:textId="358E4B82" w:rsidR="008A3C4E" w:rsidRDefault="008A3C4E" w:rsidP="00184189">
      <w:pPr>
        <w:pStyle w:val="Overskrift2"/>
      </w:pPr>
      <w:bookmarkStart w:id="10" w:name="_Toc292966575"/>
      <w:r>
        <w:t>Begreber</w:t>
      </w:r>
      <w:bookmarkEnd w:id="10"/>
    </w:p>
    <w:p w14:paraId="66A07DD7" w14:textId="36089A7D" w:rsidR="00181A43" w:rsidRDefault="00181A43" w:rsidP="00181A43">
      <w:pPr>
        <w:pStyle w:val="Overskrift3"/>
      </w:pPr>
      <w:bookmarkStart w:id="11" w:name="_Toc292966576"/>
      <w:r>
        <w:t>Lønmodtager vs. arbejdstager</w:t>
      </w:r>
      <w:bookmarkEnd w:id="11"/>
    </w:p>
    <w:p w14:paraId="50C2B733" w14:textId="77777777" w:rsidR="00E55D4D" w:rsidRPr="00E55D4D" w:rsidRDefault="00E55D4D" w:rsidP="00E55D4D"/>
    <w:p w14:paraId="6931A169" w14:textId="31D1AFA8" w:rsidR="007A3399" w:rsidRDefault="008A3C4E" w:rsidP="008A3C4E">
      <w:pPr>
        <w:spacing w:line="360" w:lineRule="auto"/>
      </w:pPr>
      <w:r>
        <w:t>Den danske version af direktivet anvender begrebet ”arbejdstagere,” mens virksomhedsoverdragelsesloven</w:t>
      </w:r>
      <w:r>
        <w:rPr>
          <w:rStyle w:val="Fodnotehenvisning"/>
        </w:rPr>
        <w:footnoteReference w:id="16"/>
      </w:r>
      <w:r>
        <w:t xml:space="preserve"> anvender begrebet ”lønmodtager</w:t>
      </w:r>
      <w:r w:rsidR="0086270B">
        <w:t>e</w:t>
      </w:r>
      <w:r>
        <w:t>.” Der er dog ikke med de forskellige begreber</w:t>
      </w:r>
      <w:r w:rsidR="00181A43">
        <w:t>,</w:t>
      </w:r>
      <w:r>
        <w:t xml:space="preserve"> i hhv. direktivet og loven, tilsigtet nogen ændring af den i loven beskyttede personkreds, i forhold til direktivet.</w:t>
      </w:r>
      <w:r>
        <w:rPr>
          <w:rStyle w:val="Fodnotehenvisning"/>
        </w:rPr>
        <w:footnoteReference w:id="17"/>
      </w:r>
      <w:r>
        <w:t xml:space="preserve"> Af direktivet fremgår, at en arbejdstager er en person, som i den pågældende medlemsstat</w:t>
      </w:r>
      <w:r w:rsidR="00181A43">
        <w:t>,</w:t>
      </w:r>
      <w:r>
        <w:t xml:space="preserve"> er beskyttet som arbejdstager i henhold til den nationale lovgivning. Begrebet </w:t>
      </w:r>
      <w:r w:rsidR="007A3399">
        <w:t>”</w:t>
      </w:r>
      <w:r>
        <w:t>lønmodtager</w:t>
      </w:r>
      <w:r w:rsidR="007A3399">
        <w:t>”</w:t>
      </w:r>
      <w:r>
        <w:t xml:space="preserve"> er formentligt anvendt i virksomhedsoverdragelsesloven, fordi begrebet nok er mere almindeligt indarbejdet i dansk arbejdsretlig terminologi, sammenlignet med begrebet ”arbejdstager.”</w:t>
      </w:r>
      <w:r>
        <w:rPr>
          <w:rStyle w:val="Fodnotehenvisning"/>
        </w:rPr>
        <w:footnoteReference w:id="18"/>
      </w:r>
      <w:r>
        <w:t xml:space="preserve"> I det følgende vil begrebet ”lønmodtager” derfor blive anvendt</w:t>
      </w:r>
      <w:r w:rsidR="00AA567A">
        <w:t>.</w:t>
      </w:r>
    </w:p>
    <w:p w14:paraId="22D2E238" w14:textId="77777777" w:rsidR="00E55D4D" w:rsidRDefault="007A3399" w:rsidP="00E55D4D">
      <w:pPr>
        <w:pStyle w:val="Overskrift3"/>
      </w:pPr>
      <w:bookmarkStart w:id="12" w:name="_Toc292966577"/>
      <w:r>
        <w:t>Opsigelse vs. afskedigelse</w:t>
      </w:r>
      <w:bookmarkEnd w:id="12"/>
      <w:r>
        <w:t xml:space="preserve"> </w:t>
      </w:r>
    </w:p>
    <w:p w14:paraId="136DF192" w14:textId="0F3D46F4" w:rsidR="008A3C4E" w:rsidRDefault="008A3C4E" w:rsidP="00E55D4D">
      <w:r>
        <w:t xml:space="preserve">  </w:t>
      </w:r>
    </w:p>
    <w:p w14:paraId="7BD92D80" w14:textId="77777777" w:rsidR="008A3C4E" w:rsidRDefault="008A3C4E" w:rsidP="008A3C4E">
      <w:pPr>
        <w:spacing w:line="360" w:lineRule="auto"/>
      </w:pPr>
      <w:r>
        <w:t xml:space="preserve">Begreberne ”opsigelse” og ”afskedigelse” kan anvendes synonymt, men i det følgende vil alene begrebet ”afskedigelse” blive anvendt.   </w:t>
      </w:r>
    </w:p>
    <w:p w14:paraId="4745543B" w14:textId="49BD26A9" w:rsidR="007A3399" w:rsidRDefault="007A3399" w:rsidP="007A3399">
      <w:pPr>
        <w:pStyle w:val="Overskrift3"/>
      </w:pPr>
      <w:bookmarkStart w:id="13" w:name="_Toc292966578"/>
      <w:r>
        <w:t>Overdrager og erhverver</w:t>
      </w:r>
      <w:bookmarkEnd w:id="13"/>
      <w:r>
        <w:t xml:space="preserve"> </w:t>
      </w:r>
    </w:p>
    <w:p w14:paraId="29F52BC7" w14:textId="77777777" w:rsidR="00E55D4D" w:rsidRPr="00E55D4D" w:rsidRDefault="00E55D4D" w:rsidP="00E55D4D"/>
    <w:p w14:paraId="5C00D29C" w14:textId="77777777" w:rsidR="00A15D07" w:rsidRDefault="008A3C4E" w:rsidP="008A3C4E">
      <w:pPr>
        <w:spacing w:line="360" w:lineRule="auto"/>
      </w:pPr>
      <w:r>
        <w:t>I direktivets art. 2, stk. 1, litra a, er en overdrager defineret som: ”enhver fysisk eller juridisk person, der som følge af en overførsel efter art. 1, stk. 1, ophører med at være indehaver af virksomheden eller bedriften eller en del af virksomheden eller bedriften.” I direktivets art. 2, stk. 1, litra b, er en erhverver: ”enhver fysisk eller juridisk person, der som følge af en overførsel efter art. 1, stk. 1, bliver indehaver af virksomheden eller bedriften eller af en del af virksomheden eller bedriften. Virksomhedsoverdragelsesloven indeholder ikke disse definitioner, men derimod bare begreberne ”overdrager” og ”erhverver.” I det følgende må disse begreber således forstås i overensstemmelse med definitionerne i direktivet.</w:t>
      </w:r>
    </w:p>
    <w:p w14:paraId="7F43B6A0" w14:textId="77777777" w:rsidR="00E55D4D" w:rsidRDefault="00A15D07" w:rsidP="00E55D4D">
      <w:pPr>
        <w:pStyle w:val="Overskrift3"/>
      </w:pPr>
      <w:bookmarkStart w:id="14" w:name="_Toc292966579"/>
      <w:r>
        <w:t>Retsvirkning vs. sanktion</w:t>
      </w:r>
      <w:bookmarkEnd w:id="14"/>
    </w:p>
    <w:p w14:paraId="39E759ED" w14:textId="77777777" w:rsidR="00E55D4D" w:rsidRDefault="00A15D07" w:rsidP="00E55D4D">
      <w:r>
        <w:t xml:space="preserve"> </w:t>
      </w:r>
    </w:p>
    <w:p w14:paraId="737DA7DA" w14:textId="5C499619" w:rsidR="00E55D4D" w:rsidRDefault="00A15D07" w:rsidP="00E55D4D">
      <w:pPr>
        <w:spacing w:line="360" w:lineRule="auto"/>
      </w:pPr>
      <w:r>
        <w:t xml:space="preserve">I det følgende vil begreberne ”retsvirkning” og ”sanktion” begge blive anvendt. </w:t>
      </w:r>
      <w:r w:rsidR="005C0838">
        <w:t>Begrebet ”retsvirkning,” der er en juridisk</w:t>
      </w:r>
      <w:r w:rsidR="0061327F">
        <w:t xml:space="preserve"> konsekvens af noget, vil</w:t>
      </w:r>
      <w:r w:rsidR="005C0838">
        <w:t xml:space="preserve"> blive anvendt i forbindelse med at beskrive, hvad konsekvensen af en afskedigelse, i strid med virksomhedsoverdragelsesloven eller direktivet, skal være. Begrebet ”sanktion” vil herefter blive anvendt, såfremt denne konsekvens, relat</w:t>
      </w:r>
      <w:r w:rsidR="0061327F">
        <w:t xml:space="preserve">erer sig til en form for straf, eksempelvis en økonomisk godtgørelse. </w:t>
      </w:r>
      <w:r w:rsidR="005C0838">
        <w:t xml:space="preserve"> </w:t>
      </w:r>
    </w:p>
    <w:p w14:paraId="094F6629" w14:textId="460EDE94" w:rsidR="007A3399" w:rsidRDefault="007A3399" w:rsidP="007A3399">
      <w:pPr>
        <w:pStyle w:val="Overskrift3"/>
      </w:pPr>
      <w:bookmarkStart w:id="15" w:name="_Toc292966580"/>
      <w:r>
        <w:t>Forkortelser</w:t>
      </w:r>
      <w:bookmarkEnd w:id="15"/>
      <w:r>
        <w:t xml:space="preserve"> </w:t>
      </w:r>
    </w:p>
    <w:p w14:paraId="58DC1755" w14:textId="77777777" w:rsidR="00E55D4D" w:rsidRPr="00E55D4D" w:rsidRDefault="00E55D4D" w:rsidP="00E55D4D"/>
    <w:p w14:paraId="4AFA5065" w14:textId="75D6E762" w:rsidR="00E55D4D" w:rsidRDefault="007A3399" w:rsidP="00FE76BB">
      <w:pPr>
        <w:spacing w:line="360" w:lineRule="auto"/>
      </w:pPr>
      <w:r>
        <w:t>I det følgende vil virksomhedsoverdragelsesloven</w:t>
      </w:r>
      <w:r>
        <w:rPr>
          <w:rStyle w:val="Fodnotehenvisning"/>
        </w:rPr>
        <w:footnoteReference w:id="19"/>
      </w:r>
      <w:r>
        <w:t xml:space="preserve"> blive forkortet med betegnelsen VOL. Funktionærloven vil blive forkortet FUL.  </w:t>
      </w:r>
    </w:p>
    <w:p w14:paraId="385D16A6" w14:textId="77777777" w:rsidR="0087670D" w:rsidRDefault="0087670D" w:rsidP="00FE76BB">
      <w:pPr>
        <w:spacing w:line="360" w:lineRule="auto"/>
      </w:pPr>
    </w:p>
    <w:p w14:paraId="7F351412" w14:textId="77777777" w:rsidR="003D0F6D" w:rsidRDefault="003D0F6D" w:rsidP="00184189">
      <w:pPr>
        <w:pStyle w:val="Overskrift2"/>
      </w:pPr>
      <w:bookmarkStart w:id="16" w:name="_Toc292966581"/>
      <w:r>
        <w:t>Direktiv 2001/23/EF</w:t>
      </w:r>
      <w:bookmarkEnd w:id="16"/>
    </w:p>
    <w:p w14:paraId="6F6034F2" w14:textId="77777777" w:rsidR="00E55D4D" w:rsidRPr="00E55D4D" w:rsidRDefault="00E55D4D" w:rsidP="00E55D4D"/>
    <w:p w14:paraId="324FE5F5" w14:textId="6DC2C77A" w:rsidR="003D0F6D" w:rsidRDefault="003D0F6D" w:rsidP="003D0F6D">
      <w:pPr>
        <w:spacing w:line="360" w:lineRule="auto"/>
      </w:pPr>
      <w:r>
        <w:t>Den 31. Maj 1974 blev Rådet</w:t>
      </w:r>
      <w:r w:rsidR="0086270B">
        <w:t>,</w:t>
      </w:r>
      <w:r>
        <w:t xml:space="preserve"> af Kommissionen</w:t>
      </w:r>
      <w:r w:rsidR="0086270B">
        <w:t>,</w:t>
      </w:r>
      <w:r>
        <w:t xml:space="preserve"> forelagt et forslag til et direktiv om harmonisering af medlemsstaternes lovgivning om varetagelse af arbejdstagernes rettigheder og fordele i forbindelse med selskabsfusioner, virksomhedsoverdragelser og virksomhedssammenslutninger.</w:t>
      </w:r>
      <w:r>
        <w:rPr>
          <w:rStyle w:val="Fodnotehenvisning"/>
        </w:rPr>
        <w:footnoteReference w:id="20"/>
      </w:r>
      <w:r>
        <w:t xml:space="preserve"> Formålet med forslaget var bl.a., at der skulle være en beskyttelse af arbejdstagerne, i tilfælde af ændringer af virksomhedsstrukturerne, for så vidt muligt at sikre dem deres arbejdsplads, at opretholde deres arbejdsvilkår og de rettigheder, som de havde erhvervet sig, på grundlag af individuelle arbejdsaftaler eller lønoverenskomster, almindelig anerkendt praksis samt særordninger i virksomheden. Det endelige direktiv blev vedtaget den 14. Februar 1977 – Rådets direktiv 77/187/EØF, med hjemmel i EØF traktatens art. 100 (som nu er EF-t</w:t>
      </w:r>
      <w:r w:rsidR="00B43BAA">
        <w:t xml:space="preserve">raktatens art. 94). Præamblen til direktivet </w:t>
      </w:r>
      <w:r>
        <w:t>begrunder</w:t>
      </w:r>
      <w:r w:rsidR="00B43BAA">
        <w:t xml:space="preserve"> udstedelsen af</w:t>
      </w:r>
      <w:r>
        <w:t xml:space="preserve"> direktivet med, at det er nødvendigt at have bestemmelser </w:t>
      </w:r>
      <w:r w:rsidR="00B43BAA">
        <w:t>til beskyttelse af lønmodtagere</w:t>
      </w:r>
      <w:r>
        <w:t xml:space="preserve">, i tilfælde af ny indehaver. Samtidig skulle direktivet mindske de forskelle, der stadig er mellem medlemsstaterne, i forhold til omfanget af beskyttelsen, fordi disse forskelle kunne indvirke direkte på det fælles markeds funktion. </w:t>
      </w:r>
    </w:p>
    <w:p w14:paraId="2FEFC66B" w14:textId="0ECA3D9A" w:rsidR="003D0F6D" w:rsidRDefault="003D0F6D" w:rsidP="003D0F6D">
      <w:pPr>
        <w:spacing w:line="360" w:lineRule="auto"/>
      </w:pPr>
      <w:r>
        <w:t>Ved Rådets ændringsdirektiv 98/50/EF af 29. Juni 1998 er direktivet af 14. Februar 1977 (77/187/EØF) blevet ændret. Reglerne i ændrin</w:t>
      </w:r>
      <w:r w:rsidR="00B43BAA">
        <w:t>gsdirektivet indeholder</w:t>
      </w:r>
      <w:r>
        <w:t xml:space="preserve"> alene præciseringer af direktivet fra 1977, som er en følge af EF-Domstolens pr</w:t>
      </w:r>
      <w:r w:rsidR="00B43BAA">
        <w:t>aksis.</w:t>
      </w:r>
      <w:r>
        <w:t xml:space="preserve"> Ændringsdirektivet indeholder dermed præciseringer af direktivets anvendelsesområde, indførelse af en definition af arbejdstagerbegrebet, regler om overdragelse af virksomheder under konkurs, udvidelse af definitionen af repræsentanter for arbejdstagere, udvidelse af informationspligten samt mulighed for at lovfæste en solidarisk hæftelse mellem overdrager og erhverver.</w:t>
      </w:r>
      <w:r>
        <w:rPr>
          <w:rStyle w:val="Fodnotehenvisning"/>
        </w:rPr>
        <w:footnoteReference w:id="21"/>
      </w:r>
      <w:r>
        <w:t xml:space="preserve"> Direktiv 77/187/EØF og ændringsdirektivet 98/50/EF er blevet kodificeret ved direktiv 2001/23/EF. Direktivet er i dansk ret imple</w:t>
      </w:r>
      <w:r w:rsidR="008E6C1C">
        <w:t>menteret ved lov nr. 441 af 7. j</w:t>
      </w:r>
      <w:r w:rsidR="0000710E">
        <w:t xml:space="preserve">uni 2001 om lønmodtageres retsstilling ved virksomhedsoverdragelse. </w:t>
      </w:r>
      <w:r>
        <w:t>Direktivet indeholder følgende hovedprincipper:</w:t>
      </w:r>
    </w:p>
    <w:p w14:paraId="1C9BB9C9" w14:textId="77777777" w:rsidR="003D0F6D" w:rsidRDefault="003D0F6D" w:rsidP="003D0F6D">
      <w:pPr>
        <w:pStyle w:val="Listeafsnit"/>
        <w:numPr>
          <w:ilvl w:val="0"/>
          <w:numId w:val="1"/>
        </w:numPr>
        <w:spacing w:line="360" w:lineRule="auto"/>
      </w:pPr>
      <w:r>
        <w:t>Erhververen af en virksomhed eller en del heraf indtræder i overdragerens rettigheder og forpligtelser over for lønmodtageren, jf. direktivets i art. 3.</w:t>
      </w:r>
    </w:p>
    <w:p w14:paraId="1D330F5D" w14:textId="77777777" w:rsidR="003D0F6D" w:rsidRDefault="003D0F6D" w:rsidP="003D0F6D">
      <w:pPr>
        <w:pStyle w:val="Listeafsnit"/>
        <w:numPr>
          <w:ilvl w:val="0"/>
          <w:numId w:val="1"/>
        </w:numPr>
        <w:spacing w:line="360" w:lineRule="auto"/>
      </w:pPr>
      <w:r>
        <w:t>Overdragelse af en virksomhed eller en del heraf kan ikke i sig selv begrunde en afskedigelse, jf. direktivets art. 4.</w:t>
      </w:r>
    </w:p>
    <w:p w14:paraId="4AE1373B" w14:textId="77777777" w:rsidR="003D0F6D" w:rsidRDefault="003D0F6D" w:rsidP="003D0F6D">
      <w:pPr>
        <w:pStyle w:val="Listeafsnit"/>
        <w:numPr>
          <w:ilvl w:val="0"/>
          <w:numId w:val="1"/>
        </w:numPr>
        <w:spacing w:line="360" w:lineRule="auto"/>
      </w:pPr>
      <w:r>
        <w:t>Beskyttelse af lønmodtagerrepræsentanter efter overdragelsen, jf. direktivets art. 5.</w:t>
      </w:r>
    </w:p>
    <w:p w14:paraId="3D10A11C" w14:textId="77777777" w:rsidR="003D0F6D" w:rsidRDefault="003D0F6D" w:rsidP="003D0F6D">
      <w:pPr>
        <w:pStyle w:val="Listeafsnit"/>
        <w:numPr>
          <w:ilvl w:val="0"/>
          <w:numId w:val="1"/>
        </w:numPr>
        <w:spacing w:line="360" w:lineRule="auto"/>
      </w:pPr>
      <w:r>
        <w:t>Overdrageren og erhververen har pligt til at informere repræsentanterne for de lønmodtagere, der berøres af overdragelsen, og at indlede forhandlinger med disse om eventuelle foranstaltninger for lønmodtagerne, jf. direktivets art. 6.</w:t>
      </w:r>
      <w:r>
        <w:rPr>
          <w:rStyle w:val="Fodnotehenvisning"/>
        </w:rPr>
        <w:footnoteReference w:id="22"/>
      </w:r>
    </w:p>
    <w:p w14:paraId="7FA9E51A" w14:textId="77777777" w:rsidR="00B43BAA" w:rsidRDefault="00B43BAA" w:rsidP="00B43BAA">
      <w:pPr>
        <w:pStyle w:val="Listeafsnit"/>
        <w:spacing w:line="360" w:lineRule="auto"/>
      </w:pPr>
    </w:p>
    <w:p w14:paraId="42017E5F" w14:textId="77777777" w:rsidR="003D0F6D" w:rsidRDefault="003D0F6D" w:rsidP="003D0F6D">
      <w:pPr>
        <w:spacing w:line="360" w:lineRule="auto"/>
      </w:pPr>
      <w:r>
        <w:t xml:space="preserve">Medlemsstaterne har generelt mulighed for at indføre bestemmelser, der er mere gunstige for arbejdstagerne, idet der er tale om et minimumsdirektiv, jf. direktivets art. 8. </w:t>
      </w:r>
    </w:p>
    <w:p w14:paraId="685E9AC1" w14:textId="77777777" w:rsidR="003D0F6D" w:rsidRDefault="003D0F6D" w:rsidP="003D0F6D">
      <w:pPr>
        <w:spacing w:line="360" w:lineRule="auto"/>
      </w:pPr>
      <w:r>
        <w:t>Den danske udgave af art. 4, stk. 1 lyder således:</w:t>
      </w:r>
    </w:p>
    <w:p w14:paraId="1063C3DE" w14:textId="77777777" w:rsidR="003D0F6D" w:rsidRDefault="003D0F6D" w:rsidP="003D0F6D">
      <w:pPr>
        <w:spacing w:line="360" w:lineRule="auto"/>
      </w:pPr>
    </w:p>
    <w:p w14:paraId="1735A5B0" w14:textId="77777777" w:rsidR="0087670D" w:rsidRDefault="001331A2" w:rsidP="0087670D">
      <w:pPr>
        <w:spacing w:line="360" w:lineRule="auto"/>
        <w:jc w:val="both"/>
        <w:rPr>
          <w:i/>
        </w:rPr>
      </w:pPr>
      <w:r>
        <w:rPr>
          <w:i/>
        </w:rPr>
        <w:t>”</w:t>
      </w:r>
      <w:r w:rsidR="003D0F6D">
        <w:rPr>
          <w:i/>
        </w:rPr>
        <w:t>Overførsel af en virksomhed eller bedrift eller af en del af en virksomhed eller bedrift giver ikke i sig selv overdrageren eller erhververen nogen begrundelse for at foretage afskedigelser. Denne bestemmelse er ikke til hinder for, at der kan ske afskedigelser af økonomiske, tekniske eller organisatoriske årsager, der medfører beskæftigelsesmæssige ændringer.</w:t>
      </w:r>
      <w:r>
        <w:rPr>
          <w:i/>
        </w:rPr>
        <w:t>”</w:t>
      </w:r>
    </w:p>
    <w:p w14:paraId="53B6E411" w14:textId="0022211D" w:rsidR="003D0F6D" w:rsidRPr="0087670D" w:rsidRDefault="003D0F6D" w:rsidP="0087670D">
      <w:pPr>
        <w:spacing w:line="360" w:lineRule="auto"/>
        <w:jc w:val="both"/>
        <w:rPr>
          <w:i/>
        </w:rPr>
      </w:pPr>
      <w:r>
        <w:t xml:space="preserve">    </w:t>
      </w:r>
    </w:p>
    <w:p w14:paraId="2A58439B" w14:textId="77777777" w:rsidR="003D0F6D" w:rsidRDefault="003D0F6D" w:rsidP="00184189">
      <w:pPr>
        <w:pStyle w:val="Overskrift2"/>
      </w:pPr>
      <w:bookmarkStart w:id="17" w:name="_Toc292966582"/>
      <w:r>
        <w:t>Lov om lønmodtageres retsstilling ved virksomhedsoverdragelse (virksomhedsoverdragelsesloven)</w:t>
      </w:r>
      <w:bookmarkEnd w:id="17"/>
      <w:r>
        <w:t xml:space="preserve"> </w:t>
      </w:r>
    </w:p>
    <w:p w14:paraId="05322272" w14:textId="77777777" w:rsidR="00E55D4D" w:rsidRPr="00E55D4D" w:rsidRDefault="00E55D4D" w:rsidP="00E55D4D"/>
    <w:p w14:paraId="40B997E7" w14:textId="77777777" w:rsidR="00FC5D7C" w:rsidRDefault="003D0F6D" w:rsidP="003D0F6D">
      <w:pPr>
        <w:spacing w:line="360" w:lineRule="auto"/>
      </w:pPr>
      <w:r>
        <w:t xml:space="preserve">Lov om Lønmodtageres retsstilling ved Virksomhedsoverdragelse (Lov nr. 111 af 21. Marts 1979) trådte i kraft den 1. April 1979. Loven er herefter kun blevet ændret en gang siden dens ikrafttrædelse, ved lov nr. 441 af 7. Juni 2001. </w:t>
      </w:r>
    </w:p>
    <w:p w14:paraId="17266C93" w14:textId="2B0551DC" w:rsidR="003D0F6D" w:rsidRDefault="003D0F6D" w:rsidP="003D0F6D">
      <w:pPr>
        <w:spacing w:line="360" w:lineRule="auto"/>
      </w:pPr>
      <w:r>
        <w:t xml:space="preserve">Arbejdsministeriet nedsatte den 25. August 1978 et udvalg, med repræsentanter fra LO, DA, Handelsministeriet, Justitsministeriet og arbejdsministeriet. Udvalget skulle herefter forberede den nødvendige lovgivning, der skulle </w:t>
      </w:r>
      <w:r w:rsidR="00B43BAA">
        <w:t>til for at implementere</w:t>
      </w:r>
      <w:r>
        <w:t xml:space="preserve"> direktivet i dansk ret.</w:t>
      </w:r>
      <w:r>
        <w:rPr>
          <w:rStyle w:val="Fodnotehenvisning"/>
        </w:rPr>
        <w:footnoteReference w:id="23"/>
      </w:r>
      <w:r>
        <w:t xml:space="preserve"> Loven er med enkelt</w:t>
      </w:r>
      <w:r w:rsidR="001331A2">
        <w:t>e</w:t>
      </w:r>
      <w:r>
        <w:t xml:space="preserve"> mindre ændring</w:t>
      </w:r>
      <w:r w:rsidR="001331A2">
        <w:t>er</w:t>
      </w:r>
      <w:r>
        <w:t xml:space="preserve"> en konfirmering af Udvalgets forslag.</w:t>
      </w:r>
      <w:r>
        <w:rPr>
          <w:rStyle w:val="Fodnotehenvisning"/>
        </w:rPr>
        <w:footnoteReference w:id="24"/>
      </w:r>
      <w:r>
        <w:t xml:space="preserve"> </w:t>
      </w:r>
    </w:p>
    <w:p w14:paraId="38200005" w14:textId="61CDA04E" w:rsidR="003D0F6D" w:rsidRDefault="003D0F6D" w:rsidP="003D0F6D">
      <w:pPr>
        <w:spacing w:line="360" w:lineRule="auto"/>
      </w:pPr>
      <w:r>
        <w:t>I Udvalget blev det overvejet, om implementeringen af dire</w:t>
      </w:r>
      <w:r w:rsidR="00FC5D7C">
        <w:t>ktiv 77/187/EØF skulle ske</w:t>
      </w:r>
      <w:r>
        <w:t xml:space="preserve"> ved lov eller ved kollektiv overenskomst, og om en evt. lovregulering skulle gennemføres ved en selvstændig lov, eller ved ænd</w:t>
      </w:r>
      <w:r w:rsidR="00FC5D7C">
        <w:t>ringer i eksisterende love, fx S</w:t>
      </w:r>
      <w:r>
        <w:t>elskabsloven. Det blev dog afvist at indf</w:t>
      </w:r>
      <w:r w:rsidR="00FC5D7C">
        <w:t>øre direktivets bestemmelser i S</w:t>
      </w:r>
      <w:r>
        <w:t>el</w:t>
      </w:r>
      <w:r w:rsidR="00760AE1">
        <w:t>skabsloven. U</w:t>
      </w:r>
      <w:r w:rsidR="00B43BAA">
        <w:t>nder hensyn til</w:t>
      </w:r>
      <w:r w:rsidR="00760AE1">
        <w:t xml:space="preserve"> at direktivets indhold </w:t>
      </w:r>
      <w:r>
        <w:t>falder uden for de eksisterende kollektive overenskomster, mente Udvalget, at direktivets be</w:t>
      </w:r>
      <w:r w:rsidR="00B43BAA">
        <w:t>stemmelser bedst blev implementeret</w:t>
      </w:r>
      <w:r>
        <w:t xml:space="preserve"> ved en selvstændig lov.</w:t>
      </w:r>
      <w:r>
        <w:rPr>
          <w:rStyle w:val="Fodnotehenvisning"/>
        </w:rPr>
        <w:footnoteReference w:id="25"/>
      </w:r>
      <w:r>
        <w:t xml:space="preserve"> Det fremgår også af Udvalgets rapport, at det var justitsministeriets principelle indstilling, at EF-direktiver</w:t>
      </w:r>
      <w:r w:rsidR="00B43BAA">
        <w:t>,</w:t>
      </w:r>
      <w:r>
        <w:t xml:space="preserve"> så vidt muligt</w:t>
      </w:r>
      <w:r w:rsidR="00B43BAA">
        <w:t>,</w:t>
      </w:r>
      <w:r>
        <w:t xml:space="preserve"> bør gennemføres ved lov i uændret form. Der skulle derved opnås sikkerhed for opfyldelse af direk</w:t>
      </w:r>
      <w:r w:rsidR="00760AE1">
        <w:t>tivet, samt</w:t>
      </w:r>
      <w:r w:rsidR="00FC5D7C">
        <w:t xml:space="preserve"> at EU-D</w:t>
      </w:r>
      <w:r>
        <w:t>omstolens fortolkning af uklarheder i direk</w:t>
      </w:r>
      <w:r w:rsidR="00760AE1">
        <w:t>tivets tekst, samtidig indebar</w:t>
      </w:r>
      <w:r>
        <w:t xml:space="preserve"> en fortolkning af den dans</w:t>
      </w:r>
      <w:r w:rsidR="00FC5D7C">
        <w:t>ke lovtekst</w:t>
      </w:r>
      <w:r>
        <w:t>.</w:t>
      </w:r>
      <w:r>
        <w:rPr>
          <w:rStyle w:val="Fodnotehenvisning"/>
        </w:rPr>
        <w:footnoteReference w:id="26"/>
      </w:r>
      <w:r w:rsidR="00760AE1">
        <w:t xml:space="preserve"> </w:t>
      </w:r>
      <w:r>
        <w:t xml:space="preserve"> </w:t>
      </w:r>
    </w:p>
    <w:p w14:paraId="3EAD97A2" w14:textId="24A04871" w:rsidR="003D0F6D" w:rsidRDefault="003D0F6D" w:rsidP="003D0F6D">
      <w:pPr>
        <w:spacing w:line="360" w:lineRule="auto"/>
      </w:pPr>
      <w:r>
        <w:t>Formålet med loven er som nævnt, at sikre lønmodtagernes rettigheders opretholdelse, når en virks</w:t>
      </w:r>
      <w:r w:rsidR="00FC5D7C">
        <w:t>omhed skifter indehaver, og</w:t>
      </w:r>
      <w:r>
        <w:t xml:space="preserve"> at lønmodtageren</w:t>
      </w:r>
      <w:r w:rsidR="00760AE1">
        <w:t>e</w:t>
      </w:r>
      <w:r>
        <w:t xml:space="preserve"> kan forblive ansat i virks</w:t>
      </w:r>
      <w:r w:rsidR="00FC5D7C">
        <w:t>omheden</w:t>
      </w:r>
      <w:r w:rsidR="00760AE1">
        <w:t>,</w:t>
      </w:r>
      <w:r w:rsidR="00FC5D7C">
        <w:t xml:space="preserve"> på samme vilkår</w:t>
      </w:r>
      <w:r w:rsidR="00760AE1">
        <w:t>,</w:t>
      </w:r>
      <w:r w:rsidR="00FC5D7C">
        <w:t xml:space="preserve"> under den nye indehaver</w:t>
      </w:r>
      <w:r>
        <w:t xml:space="preserve">. Den personkreds der beskyttes efter loven, er i princippet alle lønmodtagere. </w:t>
      </w:r>
    </w:p>
    <w:p w14:paraId="5C080668" w14:textId="77061DFE" w:rsidR="003D0F6D" w:rsidRDefault="003D0F6D" w:rsidP="003D0F6D">
      <w:pPr>
        <w:spacing w:line="360" w:lineRule="auto"/>
      </w:pPr>
      <w:r>
        <w:t>Virksomhedsoverdragelsesloven er præce</w:t>
      </w:r>
      <w:r w:rsidR="00FC5D7C">
        <w:t>ptiv i forhold til lønmodtagerne, som derfor</w:t>
      </w:r>
      <w:r>
        <w:t xml:space="preserve"> ikke</w:t>
      </w:r>
      <w:r w:rsidR="00FC5D7C">
        <w:t xml:space="preserve"> kan give afkald på loves beskyttelse</w:t>
      </w:r>
      <w:r>
        <w:t>.</w:t>
      </w:r>
      <w:r>
        <w:rPr>
          <w:rStyle w:val="Fodnotehenvisning"/>
        </w:rPr>
        <w:footnoteReference w:id="27"/>
      </w:r>
      <w:r>
        <w:t xml:space="preserve"> Virksomhedsoverdragelseslovens § 3, stk. 1 lyder således:</w:t>
      </w:r>
    </w:p>
    <w:p w14:paraId="3AEAA1E5" w14:textId="77777777" w:rsidR="003D0F6D" w:rsidRDefault="003D0F6D" w:rsidP="003D0F6D">
      <w:pPr>
        <w:spacing w:line="360" w:lineRule="auto"/>
        <w:jc w:val="center"/>
        <w:rPr>
          <w:i/>
        </w:rPr>
      </w:pPr>
    </w:p>
    <w:p w14:paraId="56519286" w14:textId="555ACDDD" w:rsidR="003D0F6D" w:rsidRDefault="001331A2" w:rsidP="001331A2">
      <w:pPr>
        <w:spacing w:line="360" w:lineRule="auto"/>
        <w:jc w:val="both"/>
        <w:rPr>
          <w:i/>
        </w:rPr>
      </w:pPr>
      <w:r>
        <w:rPr>
          <w:i/>
        </w:rPr>
        <w:t>”</w:t>
      </w:r>
      <w:r w:rsidR="003D0F6D" w:rsidRPr="002D7D01">
        <w:rPr>
          <w:i/>
        </w:rPr>
        <w:t>Afskedigelse på grund af overdragelse af en virksomhed eller en del heraf anses ikke for rimeligt begrundet i virksomhedens forhold, medmindre afskedigelsen skyldes økonomiske, tekniske eller organisatoriske årsager, der medfører beskæftigelsesmæssige ændringer.</w:t>
      </w:r>
      <w:r>
        <w:rPr>
          <w:i/>
        </w:rPr>
        <w:t>”</w:t>
      </w:r>
    </w:p>
    <w:p w14:paraId="6C433E28" w14:textId="77777777" w:rsidR="00F44906" w:rsidRDefault="00F44906" w:rsidP="00FE76BB">
      <w:pPr>
        <w:spacing w:line="360" w:lineRule="auto"/>
      </w:pPr>
    </w:p>
    <w:p w14:paraId="7856B8A7" w14:textId="7B4EBD7F" w:rsidR="00924F7E" w:rsidRDefault="00AB41C2" w:rsidP="00184189">
      <w:pPr>
        <w:pStyle w:val="Overskrift1"/>
      </w:pPr>
      <w:bookmarkStart w:id="18" w:name="_Toc292966583"/>
      <w:r>
        <w:t>EU-rettens forhold til national ret</w:t>
      </w:r>
      <w:bookmarkEnd w:id="18"/>
      <w:r>
        <w:t xml:space="preserve"> </w:t>
      </w:r>
    </w:p>
    <w:p w14:paraId="287D2C9C" w14:textId="77777777" w:rsidR="00E55D4D" w:rsidRDefault="00924F7E" w:rsidP="00184189">
      <w:pPr>
        <w:pStyle w:val="Overskrift2"/>
      </w:pPr>
      <w:bookmarkStart w:id="19" w:name="_Toc292966584"/>
      <w:r>
        <w:t xml:space="preserve">2.1. </w:t>
      </w:r>
      <w:r w:rsidR="00F44906">
        <w:t>EU-rettens virkning i national ret</w:t>
      </w:r>
      <w:bookmarkEnd w:id="19"/>
      <w:r w:rsidR="00F44906">
        <w:t xml:space="preserve"> </w:t>
      </w:r>
    </w:p>
    <w:p w14:paraId="002C17C2" w14:textId="77777777" w:rsidR="00E55D4D" w:rsidRPr="00E55D4D" w:rsidRDefault="00E55D4D" w:rsidP="00E55D4D"/>
    <w:p w14:paraId="1830E7CF" w14:textId="0A036103" w:rsidR="00F44906" w:rsidRDefault="00F44906" w:rsidP="00E55D4D">
      <w:pPr>
        <w:spacing w:line="360" w:lineRule="auto"/>
      </w:pPr>
      <w:r>
        <w:t>Spørgsmålet omkring EU-rettens virkning i national ret, herunder i forhold til direktivers umiddelbare anvendelighed</w:t>
      </w:r>
      <w:r w:rsidR="008937BE">
        <w:t>,</w:t>
      </w:r>
      <w:r>
        <w:t xml:space="preserve"> samt fortolkningsforpligtelse</w:t>
      </w:r>
      <w:r w:rsidR="008937BE">
        <w:t>n i national ret, er væsentligt for at kunne analysere, om direktiv 2001/23/EF</w:t>
      </w:r>
      <w:r>
        <w:t xml:space="preserve"> er tilstrækkeligt implementeret i dansk ret i</w:t>
      </w:r>
      <w:r w:rsidR="00760AE1">
        <w:t xml:space="preserve"> virksomhedsoverdragelsesloven.</w:t>
      </w:r>
    </w:p>
    <w:p w14:paraId="27399BBC" w14:textId="60DBCB9D" w:rsidR="00F44906" w:rsidRDefault="00F44906" w:rsidP="00FE76BB">
      <w:pPr>
        <w:spacing w:line="360" w:lineRule="auto"/>
      </w:pPr>
      <w:r>
        <w:t>Rådet</w:t>
      </w:r>
      <w:r w:rsidR="00760AE1">
        <w:t xml:space="preserve"> for de Europæiske Fællesskaber</w:t>
      </w:r>
      <w:r>
        <w:t xml:space="preserve"> tilslutter sig diversitet, navnlig gennem valget af minimumsharmonisering frem for fuld harmonisering, men EU-Domstolen har i</w:t>
      </w:r>
      <w:r w:rsidR="00E06F17">
        <w:t xml:space="preserve"> praksis krævet høj</w:t>
      </w:r>
      <w:r>
        <w:t xml:space="preserve"> uniformitet, for at undgå restriktioner på den fri bevægelighed eller konkurrenceforvridning.</w:t>
      </w:r>
      <w:r>
        <w:rPr>
          <w:rStyle w:val="Fodnotehenvisning"/>
        </w:rPr>
        <w:footnoteReference w:id="28"/>
      </w:r>
      <w:r>
        <w:t xml:space="preserve"> </w:t>
      </w:r>
      <w:r w:rsidR="00E6661A">
        <w:t>Der ville således være r</w:t>
      </w:r>
      <w:r w:rsidR="00E06F17">
        <w:t>estriktioner på den fri bevægelighed eller konkurrenceforvridning</w:t>
      </w:r>
      <w:r w:rsidR="00E6661A">
        <w:t>, så</w:t>
      </w:r>
      <w:r w:rsidR="00760AE1">
        <w:t>fremt denne diversitet skulle føre</w:t>
      </w:r>
      <w:r w:rsidR="00E6661A">
        <w:t xml:space="preserve"> til, at eksempelvis lønmodtageres rettigheder bliver forskellige, alt efter hvilken medlemsstat man er lønmodtager i.</w:t>
      </w:r>
      <w:r w:rsidR="00760AE1">
        <w:t xml:space="preserve"> </w:t>
      </w:r>
      <w:r w:rsidR="00E6661A">
        <w:t xml:space="preserve">  </w:t>
      </w:r>
    </w:p>
    <w:p w14:paraId="05D7F04D" w14:textId="7196ADEA" w:rsidR="00F44906" w:rsidRDefault="00F44906" w:rsidP="00FE76BB">
      <w:pPr>
        <w:spacing w:line="360" w:lineRule="auto"/>
      </w:pPr>
      <w:r>
        <w:t>Den vigtigste hjemmelsbestemmelse for arbejdsretlige direktiver, er art. 153 TEUF, der ku</w:t>
      </w:r>
      <w:r w:rsidR="00760AE1">
        <w:t>n hjemler minimumsharmonisering. M</w:t>
      </w:r>
      <w:r>
        <w:t>edlemsstaterne</w:t>
      </w:r>
      <w:r w:rsidR="00760AE1">
        <w:t xml:space="preserve"> er med minimumsharmonisering </w:t>
      </w:r>
      <w:r>
        <w:t>frist stillet til at indføre eller bevare forskellig regulering</w:t>
      </w:r>
      <w:r w:rsidR="00760AE1">
        <w:t>er</w:t>
      </w:r>
      <w:r>
        <w:t xml:space="preserve"> på nationalt niveau, når blot de overholder det mindste niveau</w:t>
      </w:r>
      <w:r w:rsidR="00760AE1">
        <w:t>,</w:t>
      </w:r>
      <w:r>
        <w:t xml:space="preserve"> som direktivet stiller.</w:t>
      </w:r>
      <w:r>
        <w:rPr>
          <w:rStyle w:val="Fodnotehenvisning"/>
        </w:rPr>
        <w:footnoteReference w:id="29"/>
      </w:r>
      <w:r>
        <w:t xml:space="preserve"> Derudover er direktiver alene bindende for medlemsstaterne, med hensyn til det tilsigtede mål. Det overlades</w:t>
      </w:r>
      <w:r w:rsidR="002A4601">
        <w:t xml:space="preserve"> dermed </w:t>
      </w:r>
      <w:r>
        <w:t>til de nationale myndigheder</w:t>
      </w:r>
      <w:r w:rsidR="00D62B5D">
        <w:t>,</w:t>
      </w:r>
      <w:r>
        <w:t xml:space="preserve"> at bestemme form og midler for gennemførelsen</w:t>
      </w:r>
      <w:r w:rsidR="002A4601" w:rsidRPr="002A4601">
        <w:t xml:space="preserve"> </w:t>
      </w:r>
      <w:r w:rsidR="002A4601">
        <w:t>jf. TEUF art. 288, stk. 3.</w:t>
      </w:r>
      <w:r>
        <w:rPr>
          <w:rStyle w:val="Fodnotehenvisning"/>
        </w:rPr>
        <w:footnoteReference w:id="30"/>
      </w:r>
      <w:r w:rsidR="002A4601">
        <w:t xml:space="preserve"> </w:t>
      </w:r>
      <w:r>
        <w:t>Direktiver er</w:t>
      </w:r>
      <w:r w:rsidR="002A4601">
        <w:t xml:space="preserve"> derfor</w:t>
      </w:r>
      <w:r>
        <w:t xml:space="preserve"> særligt egnede, hvis formålet ikke er at skabe en identisk retsstilling</w:t>
      </w:r>
      <w:r w:rsidR="002A4601">
        <w:t xml:space="preserve"> i alle medlemsstaterne, men alene</w:t>
      </w:r>
      <w:r>
        <w:t xml:space="preserve"> at harmonisere medlemsstaternes retsstilling i forhold til hinanden. Direktivformen gør det således muligt at indarbejde direktivets regler i d</w:t>
      </w:r>
      <w:r w:rsidR="002A4601">
        <w:t>en nationale lovgivning, sådan</w:t>
      </w:r>
      <w:r>
        <w:t xml:space="preserve"> at nationale lovgivningstra</w:t>
      </w:r>
      <w:r w:rsidR="008937BE">
        <w:t>ditioner for</w:t>
      </w:r>
      <w:r w:rsidR="002A4601">
        <w:t>t</w:t>
      </w:r>
      <w:r w:rsidR="008937BE">
        <w:t>sat opretholdes. Der</w:t>
      </w:r>
      <w:r>
        <w:t xml:space="preserve"> er også ofte overladt medlemsstaterne nogle valgmuligheder mellem forskellige løsninge</w:t>
      </w:r>
      <w:r w:rsidR="002A4601">
        <w:t xml:space="preserve">r, eller overladt et skøn over </w:t>
      </w:r>
      <w:r>
        <w:t>hvilke nationale regler</w:t>
      </w:r>
      <w:r w:rsidR="002A4601">
        <w:t>,</w:t>
      </w:r>
      <w:r>
        <w:t xml:space="preserve"> der er tilstrækkelige for at opnå direktivets formål. Valgmulighederne</w:t>
      </w:r>
      <w:r w:rsidR="002A4601">
        <w:t>,</w:t>
      </w:r>
      <w:r>
        <w:t xml:space="preserve"> eller et evt. skøn i reglerne</w:t>
      </w:r>
      <w:r w:rsidR="002A4601">
        <w:t>,</w:t>
      </w:r>
      <w:r>
        <w:t xml:space="preserve"> i direktiverne anvendes ofte, hvis det ikke er nødvendigt, at fællesskabsretten er fuldstændig ens i alle medlemsstater. I disse tilfælde vil direktiver ofte være udformet som </w:t>
      </w:r>
      <w:r w:rsidR="002A4601">
        <w:t>et minimumsdirektiv, som gør det</w:t>
      </w:r>
      <w:r>
        <w:t xml:space="preserve"> muligt for medlemsstaterne, at lave mere vidtgående eller strengere regler, end dem der er forudsat i direktivet.</w:t>
      </w:r>
      <w:r>
        <w:rPr>
          <w:rStyle w:val="Fodnotehenvisning"/>
        </w:rPr>
        <w:footnoteReference w:id="31"/>
      </w:r>
      <w:r w:rsidR="002A4601">
        <w:t xml:space="preserve"> Direktiv 2001/23/EF er</w:t>
      </w:r>
      <w:r>
        <w:t xml:space="preserve"> et eksempel på et minimumsdirektiv. </w:t>
      </w:r>
    </w:p>
    <w:p w14:paraId="6176D53B" w14:textId="18DCC555" w:rsidR="006B3FA2" w:rsidRDefault="006B3FA2" w:rsidP="00FE76BB">
      <w:pPr>
        <w:spacing w:line="360" w:lineRule="auto"/>
      </w:pPr>
    </w:p>
    <w:p w14:paraId="26DF3112" w14:textId="77777777" w:rsidR="006B3FA2" w:rsidRDefault="006B3FA2" w:rsidP="00184189">
      <w:pPr>
        <w:pStyle w:val="Overskrift2"/>
      </w:pPr>
      <w:bookmarkStart w:id="20" w:name="_Toc292966585"/>
      <w:r>
        <w:t>Direktivers umiddelbare anvendelighed</w:t>
      </w:r>
      <w:bookmarkEnd w:id="20"/>
      <w:r>
        <w:t xml:space="preserve"> </w:t>
      </w:r>
    </w:p>
    <w:p w14:paraId="04721ADC" w14:textId="77777777" w:rsidR="00E55D4D" w:rsidRPr="00E55D4D" w:rsidRDefault="00E55D4D" w:rsidP="00E55D4D"/>
    <w:p w14:paraId="2968C49B" w14:textId="0BD7F1A4" w:rsidR="00024D07" w:rsidRDefault="00024D07" w:rsidP="00FE76BB">
      <w:pPr>
        <w:spacing w:line="360" w:lineRule="auto"/>
      </w:pPr>
      <w:r>
        <w:t xml:space="preserve">I det følgende beskrives betingelserne for direktivers umiddelbare anvendelighed. Dette har betydning for konklusionen af problemformuleringen, såfremt det konkluders, at direktiv 2001/23/EF art. 4, stk. 1, ikke er tilstrækkeligt implementeret i dansk ret i VOL § 3, stk. 1. </w:t>
      </w:r>
    </w:p>
    <w:p w14:paraId="5B6A43F2" w14:textId="3CBE173F" w:rsidR="006B3FA2" w:rsidRDefault="006B3FA2" w:rsidP="00FE76BB">
      <w:pPr>
        <w:spacing w:line="360" w:lineRule="auto"/>
      </w:pPr>
      <w:r>
        <w:t>Man sondrer mellem vertikal og horisontal direkte virkning af EU-regler. Den vertikale dimension er relationen mellem staten og borgerne/virksomhederne. Vertikal, direkte virkning foreligg</w:t>
      </w:r>
      <w:r w:rsidR="002A4601">
        <w:t>er, når et direktiv</w:t>
      </w:r>
      <w:r>
        <w:t xml:space="preserve"> er direkte forpligtende for myndigheder og lignende i den vertikale relation mellem disse. Horisontal, direkte virkning angår relationer mellem borgerne eller virksomhederne indbyrdes, fx forholdet mellem en privat arbejdsgiver og private fagforbund.</w:t>
      </w:r>
      <w:r>
        <w:rPr>
          <w:rStyle w:val="Fodnotehenvisning"/>
        </w:rPr>
        <w:footnoteReference w:id="32"/>
      </w:r>
      <w:r>
        <w:t xml:space="preserve"> </w:t>
      </w:r>
    </w:p>
    <w:p w14:paraId="16BD94E6" w14:textId="2BCD5EA1" w:rsidR="006B3FA2" w:rsidRDefault="002A4601" w:rsidP="00FE76BB">
      <w:pPr>
        <w:spacing w:line="360" w:lineRule="auto"/>
      </w:pPr>
      <w:r>
        <w:t>EU-</w:t>
      </w:r>
      <w:r w:rsidR="006B3FA2">
        <w:t xml:space="preserve">Domstolen har udviklet nogle grundlæggende retsprincipper, som regulerer EU-rettens virkning i national ret. De af </w:t>
      </w:r>
      <w:r>
        <w:t>EU-</w:t>
      </w:r>
      <w:r w:rsidR="006B3FA2">
        <w:t>Domstolen udviklede principper omfatter</w:t>
      </w:r>
      <w:r>
        <w:t xml:space="preserve"> bl.a.</w:t>
      </w:r>
      <w:r w:rsidR="006B3FA2">
        <w:t xml:space="preserve"> princippet om umiddelbar anvendelighed, der</w:t>
      </w:r>
      <w:r w:rsidR="000908B5">
        <w:t xml:space="preserve"> skal</w:t>
      </w:r>
      <w:r w:rsidR="006B3FA2">
        <w:t xml:space="preserve"> sik</w:t>
      </w:r>
      <w:r w:rsidR="000908B5">
        <w:t>re, at private har mulighed for</w:t>
      </w:r>
      <w:r w:rsidR="006B3FA2">
        <w:t xml:space="preserve"> at påberåbe sig EU-retten over for de nationale myndigheder og domstole.</w:t>
      </w:r>
      <w:r w:rsidR="006B3FA2">
        <w:rPr>
          <w:rStyle w:val="Fodnotehenvisning"/>
        </w:rPr>
        <w:footnoteReference w:id="33"/>
      </w:r>
      <w:r w:rsidR="000908B5">
        <w:t xml:space="preserve"> </w:t>
      </w:r>
    </w:p>
    <w:p w14:paraId="02060A4F" w14:textId="5112242F" w:rsidR="006B3FA2" w:rsidRDefault="000908B5" w:rsidP="00FE76BB">
      <w:pPr>
        <w:spacing w:line="360" w:lineRule="auto"/>
      </w:pPr>
      <w:r>
        <w:t>I tilfælde af</w:t>
      </w:r>
      <w:r w:rsidR="006B3FA2">
        <w:t xml:space="preserve"> at en medlemsstat ikke har implementeret et direktiv korrekt</w:t>
      </w:r>
      <w:r>
        <w:t xml:space="preserve"> eller tilstrækkeligt, kan </w:t>
      </w:r>
      <w:r w:rsidR="006B3FA2">
        <w:t>private</w:t>
      </w:r>
      <w:r>
        <w:t xml:space="preserve"> have</w:t>
      </w:r>
      <w:r w:rsidR="006B3FA2">
        <w:t xml:space="preserve"> en interesse i at kunne påberåbe sig direktivet direkte for de nationale domstole. I dis</w:t>
      </w:r>
      <w:r>
        <w:t>se tilfælde bliver det derfor relevant, om</w:t>
      </w:r>
      <w:r w:rsidR="006B3FA2">
        <w:t xml:space="preserve"> direktiv</w:t>
      </w:r>
      <w:r>
        <w:t>et</w:t>
      </w:r>
      <w:r w:rsidR="006B3FA2">
        <w:t xml:space="preserve"> er umiddelbart anvendeligt.</w:t>
      </w:r>
      <w:r w:rsidR="006B3FA2">
        <w:rPr>
          <w:rStyle w:val="Fodnotehenvisning"/>
        </w:rPr>
        <w:footnoteReference w:id="34"/>
      </w:r>
      <w:r w:rsidR="006B3FA2">
        <w:t xml:space="preserve"> </w:t>
      </w:r>
      <w:r>
        <w:t>EU-</w:t>
      </w:r>
      <w:r w:rsidR="006B3FA2">
        <w:t>Domstolen har i flere sager fastslået, at direktivbestemmelser er umiddelbart anvendelige. Direktiver kan dog ikke være umiddelbart anvendelige før udløbet af den i direktivet fastsatte frist for implementeringen, idet direktivet ikke tilsigter at have retsvirkning før dette tidspunkt.</w:t>
      </w:r>
      <w:r w:rsidR="006B3FA2">
        <w:rPr>
          <w:rStyle w:val="Fodnotehenvisning"/>
        </w:rPr>
        <w:footnoteReference w:id="35"/>
      </w:r>
      <w:r w:rsidR="006B3FA2">
        <w:t xml:space="preserve"> </w:t>
      </w:r>
      <w:r>
        <w:t>EU-</w:t>
      </w:r>
      <w:r w:rsidR="006B3FA2">
        <w:t>Domstolen har dog også fastslået, at direktiver ikke kan pålægge private forpligtelser – horisontal effekt, jf. C 152/84. Dette er begrundet i, at direktiver er rettet til medlemsstaterne, og som følge heraf ikke kan skabe pligter for private. Dertil kommer også, at almindelige retssikkerhedsgarantier tilsigter dette, idet private sjældent er opmærksomme p</w:t>
      </w:r>
      <w:r>
        <w:t>å direktiver, medmindre de</w:t>
      </w:r>
      <w:r w:rsidR="006B3FA2">
        <w:t xml:space="preserve"> implementeres korrekt af medlemsstaterne.</w:t>
      </w:r>
      <w:r w:rsidR="006B3FA2">
        <w:rPr>
          <w:rStyle w:val="Fodnotehenvisning"/>
        </w:rPr>
        <w:footnoteReference w:id="36"/>
      </w:r>
      <w:r w:rsidR="006B3FA2">
        <w:t xml:space="preserve"> Dette kan dog</w:t>
      </w:r>
      <w:r>
        <w:t xml:space="preserve"> have den uheldige effekt, </w:t>
      </w:r>
      <w:r w:rsidR="006B3FA2">
        <w:t>at der i forhold til de berettigede kan opstå en uheldig forskelsbehandling, såfremt man udelukker den horisontale effekt. Dette vil</w:t>
      </w:r>
      <w:r>
        <w:t xml:space="preserve"> eksempelvis</w:t>
      </w:r>
      <w:r w:rsidR="006B3FA2">
        <w:t xml:space="preserve"> kunne ske</w:t>
      </w:r>
      <w:r>
        <w:t>,</w:t>
      </w:r>
      <w:r w:rsidR="006B3FA2">
        <w:t xml:space="preserve"> såfremt direktiv 2001/23/EF, der pålægger arbejdsgivere visse </w:t>
      </w:r>
      <w:r>
        <w:t xml:space="preserve">forpligtelser, alene </w:t>
      </w:r>
      <w:r w:rsidR="006B3FA2">
        <w:t>kunne påberåbes af offentligt ansatte, men ikke af ansatte i private virksomheder.</w:t>
      </w:r>
      <w:r w:rsidR="006B3FA2">
        <w:rPr>
          <w:rStyle w:val="Fodnotehenvisning"/>
        </w:rPr>
        <w:footnoteReference w:id="37"/>
      </w:r>
      <w:r w:rsidR="006B3FA2">
        <w:t xml:space="preserve"> </w:t>
      </w:r>
    </w:p>
    <w:p w14:paraId="0E1022EA" w14:textId="77777777" w:rsidR="0087670D" w:rsidRDefault="006B3FA2" w:rsidP="00FE76BB">
      <w:pPr>
        <w:spacing w:line="360" w:lineRule="auto"/>
      </w:pPr>
      <w:r>
        <w:t xml:space="preserve">Det er langt fra alle direktivbestemmelser, der er egnet til at være umiddelbart anvendelige. Som nævnt er det for det første en betingelse, at direktivet indeholder forpligtelser for en medlemsstat og ikke en privat. Derudover har </w:t>
      </w:r>
      <w:r w:rsidR="00024D07">
        <w:t>EU-</w:t>
      </w:r>
      <w:r>
        <w:t>Domstolen opstillet en række bet</w:t>
      </w:r>
      <w:r w:rsidR="00024D07">
        <w:t>ingelser, hvorefter</w:t>
      </w:r>
      <w:r>
        <w:t xml:space="preserve"> der stilles krav</w:t>
      </w:r>
      <w:r w:rsidR="00470D0F">
        <w:t xml:space="preserve"> om</w:t>
      </w:r>
      <w:r>
        <w:t>, at forpligtelsen er klar, præcis og ubetinget, samt at den ikke forudsætter yderligere gennemførelsesforanstaltninger.</w:t>
      </w:r>
      <w:r>
        <w:rPr>
          <w:rStyle w:val="Fodnotehenvisning"/>
        </w:rPr>
        <w:footnoteReference w:id="38"/>
      </w:r>
      <w:r>
        <w:t xml:space="preserve"> Det kræver således en grundig undersøgelse af de enkelte direktiv</w:t>
      </w:r>
      <w:r w:rsidR="00024D07">
        <w:t>bestemmelser,</w:t>
      </w:r>
      <w:r>
        <w:t xml:space="preserve"> før det kan konkluderes</w:t>
      </w:r>
      <w:r w:rsidR="00024D07">
        <w:t>,</w:t>
      </w:r>
      <w:r>
        <w:t xml:space="preserve"> om bestemmelsen opfylder betingelserne for umiddelbar anvendelighed.</w:t>
      </w:r>
      <w:r>
        <w:rPr>
          <w:rStyle w:val="Fodnotehenvisning"/>
        </w:rPr>
        <w:footnoteReference w:id="39"/>
      </w:r>
      <w:r>
        <w:t xml:space="preserve"> Det forhold, at direktivet indeholder valg/skønsmuligheder, udelukker ikke, at enkelte bestemmelser er umiddelbart anvendelige, såfremt den isoleret set er tilstrækkelig klar og præcis.</w:t>
      </w:r>
      <w:r>
        <w:rPr>
          <w:rStyle w:val="Fodnotehenvisning"/>
        </w:rPr>
        <w:footnoteReference w:id="40"/>
      </w:r>
      <w:r>
        <w:t xml:space="preserve"> </w:t>
      </w:r>
    </w:p>
    <w:p w14:paraId="38C8626D" w14:textId="1C1818B7" w:rsidR="00516121" w:rsidRPr="007D0746" w:rsidRDefault="006B3FA2" w:rsidP="00FE76BB">
      <w:pPr>
        <w:spacing w:line="360" w:lineRule="auto"/>
      </w:pPr>
      <w:r>
        <w:t xml:space="preserve"> </w:t>
      </w:r>
      <w:r w:rsidR="00EE4AAA">
        <w:t xml:space="preserve">  </w:t>
      </w:r>
    </w:p>
    <w:p w14:paraId="204656BA" w14:textId="77777777" w:rsidR="00F44906" w:rsidRDefault="00F44906" w:rsidP="00184189">
      <w:pPr>
        <w:pStyle w:val="Overskrift2"/>
      </w:pPr>
      <w:bookmarkStart w:id="21" w:name="_Ref292649868"/>
      <w:bookmarkStart w:id="22" w:name="_Ref292649873"/>
      <w:bookmarkStart w:id="23" w:name="_Ref292650744"/>
      <w:bookmarkStart w:id="24" w:name="_Toc292966586"/>
      <w:r>
        <w:t>Fortolkningsforpligtelsen</w:t>
      </w:r>
      <w:bookmarkEnd w:id="21"/>
      <w:bookmarkEnd w:id="22"/>
      <w:bookmarkEnd w:id="23"/>
      <w:bookmarkEnd w:id="24"/>
    </w:p>
    <w:p w14:paraId="12A95016" w14:textId="77777777" w:rsidR="00E55D4D" w:rsidRPr="00E55D4D" w:rsidRDefault="00E55D4D" w:rsidP="00E55D4D"/>
    <w:p w14:paraId="4579DF95" w14:textId="57CA1197" w:rsidR="00F44906" w:rsidRDefault="00F44906" w:rsidP="00FE76BB">
      <w:pPr>
        <w:spacing w:line="360" w:lineRule="auto"/>
      </w:pPr>
      <w:r>
        <w:t xml:space="preserve">Selvom nogle direktiver ikke egner sig til </w:t>
      </w:r>
      <w:r w:rsidR="00024D07">
        <w:t>at være umiddelbart anvendelige</w:t>
      </w:r>
      <w:r>
        <w:t xml:space="preserve"> har </w:t>
      </w:r>
      <w:r w:rsidR="00024D07">
        <w:t>EU-</w:t>
      </w:r>
      <w:r>
        <w:t>Domstolen fastslåe</w:t>
      </w:r>
      <w:r w:rsidR="00B87CEF">
        <w:t>t, at medlemsstaterne har en</w:t>
      </w:r>
      <w:r>
        <w:t xml:space="preserve"> pligt til at fortolke national ret i overensstemmelse med de EU-retlige regler, og således fortolke national ret direktivkonformt. Denne virkning af EU-retten betyder, at selvom private ikke umiddelbart kan påberåbe sig en bestemmelse i et direktiv, kan de pga. fortolkningsforpligtelsen, i nogle tilfælde alligevel opnå en retsstilling, der er i overensstemmelse med EU-retten.</w:t>
      </w:r>
      <w:r>
        <w:rPr>
          <w:rStyle w:val="Fodnotehenvisning"/>
        </w:rPr>
        <w:footnoteReference w:id="41"/>
      </w:r>
      <w:r>
        <w:t xml:space="preserve"> </w:t>
      </w:r>
    </w:p>
    <w:p w14:paraId="436826E2" w14:textId="62AC56DC" w:rsidR="00000CFA" w:rsidRDefault="00000CFA" w:rsidP="00FE76BB">
      <w:pPr>
        <w:spacing w:line="360" w:lineRule="auto"/>
      </w:pPr>
      <w:r>
        <w:t xml:space="preserve">Fortolkningsforpligtelsen blev </w:t>
      </w:r>
      <w:r w:rsidR="00F770CD">
        <w:t>første gang fastslået i sagen C-</w:t>
      </w:r>
      <w:r>
        <w:t xml:space="preserve">14/83 (von Colson). Her forelagde den tyske domstol en række spørgsmål for EU-Domstolen, som vedrørte fortolkningen af direktiv 76/207 om gennemførelse af princippet om ligebehandling. Domstolen skulle således tage stilling til, om dette direktiv stillede nogle krav vedrørende de sanktioner, som medlemsstaterne skulle fastsætte for overtrædelser af ligestillingsprincippet. </w:t>
      </w:r>
      <w:r w:rsidR="001007B1">
        <w:t>EU-</w:t>
      </w:r>
      <w:r>
        <w:t xml:space="preserve">Domstolen konstaterede, at direktivet overlader det til medlemsstaterne selv, at fastsætte de passende sanktioner, der er tilstrækkeligt effektive, til at sikre opfyldelsen af direktivets formål. </w:t>
      </w:r>
      <w:r w:rsidR="001007B1">
        <w:t>EU-</w:t>
      </w:r>
      <w:r>
        <w:t>Domstolen fastslog dog, at medlemsstaterne, ved deres valg af sanktioner, skulle sikre en faktisk og effektiv beskyttelse, som dermed havde en reelt afskrækkende virkning over for arbejdsgiverne. En sanktion som bestod i en rent symbolsk godtgørelse, opfyldte ikke disse krav. Dette betød derfor, at der ikke f</w:t>
      </w:r>
      <w:r w:rsidR="008D1BDE">
        <w:t xml:space="preserve">orelå en korrekt implementering, såfremt tysk ret alene gav mulighed for negativ opfyldelsesinteresse. Spørgsmålet var herefter, hvilken virkning direktivet skulle tillægges. Direktivet var ikke tilstrækkeligt præcist til, at det på dette punkt var umiddelbart anvendeligt, og direktivet kunne således ikke påberåbes direkte. Derimod påpegede </w:t>
      </w:r>
      <w:r w:rsidR="001007B1">
        <w:t>EU-</w:t>
      </w:r>
      <w:r w:rsidR="008D1BDE">
        <w:t>Domstolen, at den tyske domstol havde pligt til, for så vidt muligt, at fortolke tysk ret, sådan at retsstillingen blev direktivkonform. I Domstolens præmis 26 fremgår: ”</w:t>
      </w:r>
      <w:r w:rsidR="008D1BDE" w:rsidRPr="00166579">
        <w:rPr>
          <w:i/>
        </w:rPr>
        <w:t>Imidlertid skal det fastslås, at den pligt for medlemsstaterne, der følger af et direktiv, til at virkeliggøre dets mål, og pligten i medfør af traktatens art. 5 (nu TEU art. 4) til at træffe alle almindelige eller særlige foranstaltninger til at sikre opfyldelsen af denne pligt, påhviler alle myndigheder i medlemsstaterne, herunder også domstolene inden for deres kompetence. Heraf følger, at ved anvendelsen af national ret, især bestemmelserne</w:t>
      </w:r>
      <w:r w:rsidR="00166579" w:rsidRPr="00166579">
        <w:rPr>
          <w:i/>
        </w:rPr>
        <w:t xml:space="preserve"> i en national lov, der særligt er vedtaget for at gennemføre direktiv 76/207, er den nationale domstol forpligtet til at fortolke intern ret i lyset af direktivets ordlyd og formål og at fremkalde det resultat, der tilstræbes ved traktatens art. 189, stk. 3”</w:t>
      </w:r>
      <w:r w:rsidR="00166579">
        <w:t xml:space="preserve"> (nu art. 288, stk. 3).</w:t>
      </w:r>
      <w:r w:rsidR="008D1BDE">
        <w:t xml:space="preserve"> </w:t>
      </w:r>
      <w:r w:rsidR="00166579">
        <w:t xml:space="preserve">I Domstolens præmis 28 fremgår det, at: </w:t>
      </w:r>
      <w:r w:rsidR="00166579" w:rsidRPr="00F770CD">
        <w:rPr>
          <w:i/>
        </w:rPr>
        <w:t>”Det tilkommer den nationale domstol, under fuld anvendelse af det skøn, den råder over i henhold til national ret, at fortolke</w:t>
      </w:r>
      <w:r w:rsidR="00F770CD" w:rsidRPr="00F770CD">
        <w:rPr>
          <w:i/>
        </w:rPr>
        <w:t xml:space="preserve"> og anvende loven om gennemførsel af direktivet i overensstemmelse med fællesskabsrettens krav.”</w:t>
      </w:r>
      <w:r w:rsidR="00166579">
        <w:t xml:space="preserve"> </w:t>
      </w:r>
      <w:r w:rsidR="00F770CD">
        <w:t xml:space="preserve"> Fortolkningsforpligtelsen rækker således ikke videre end en pligt til at fortolke EU-konformt i det omfang, dette kan lade sig gøre inden for det nationale fortolkningsskøn.</w:t>
      </w:r>
      <w:r w:rsidR="00F770CD">
        <w:rPr>
          <w:rStyle w:val="Fodnotehenvisning"/>
        </w:rPr>
        <w:footnoteReference w:id="42"/>
      </w:r>
      <w:r w:rsidR="00F770CD">
        <w:t xml:space="preserve"> </w:t>
      </w:r>
      <w:r w:rsidR="001007B1">
        <w:t>EU-</w:t>
      </w:r>
      <w:r w:rsidR="00F770CD">
        <w:t xml:space="preserve">Domstolen har også understreget, at den ikke mener, at de nationale domstole, pga. anførelse i nationale lovforarbejder, skulle være afskåret fra at foretage en EU-konform fortolkning, jf. C-371/02, præmis 13. </w:t>
      </w:r>
    </w:p>
    <w:p w14:paraId="3072EB79" w14:textId="3A3480F4" w:rsidR="00166579" w:rsidRDefault="00166579" w:rsidP="00FE76BB">
      <w:pPr>
        <w:spacing w:line="360" w:lineRule="auto"/>
      </w:pPr>
      <w:r>
        <w:t>Ved at pålægge de nationale domstole en sådan forpligtelse til at fortolke direktivkonformt, kan private således blive stillet, som om direktivet havde været implementeret korrekt eller havde været umiddelbart anvendeligt.</w:t>
      </w:r>
      <w:r>
        <w:rPr>
          <w:rStyle w:val="Fodnotehenvisning"/>
        </w:rPr>
        <w:footnoteReference w:id="43"/>
      </w:r>
      <w:r>
        <w:t xml:space="preserve"> </w:t>
      </w:r>
    </w:p>
    <w:p w14:paraId="6B1152FB" w14:textId="2BD281C4" w:rsidR="00E55D4D" w:rsidRDefault="00F44906" w:rsidP="00FE76BB">
      <w:pPr>
        <w:spacing w:line="360" w:lineRule="auto"/>
      </w:pPr>
      <w:r>
        <w:t>Fortolkningsforpligtelsen er særlig relevant, hvis en medlemsstat har forsøgt at implemen</w:t>
      </w:r>
      <w:r w:rsidR="00B87CEF">
        <w:t>tere et direktiv, men hvor implementeringen</w:t>
      </w:r>
      <w:r>
        <w:t xml:space="preserve"> ikke er sket korrekt.</w:t>
      </w:r>
      <w:r>
        <w:rPr>
          <w:rStyle w:val="Fodnotehenvisning"/>
        </w:rPr>
        <w:footnoteReference w:id="44"/>
      </w:r>
      <w:r>
        <w:t xml:space="preserve"> Fortolkningsforpligtelsen er også relevant i tilfælde, hvor en bestemmelse måske ikke i sig selv er tilstrækkelig præcis og ubetinget, men hvor den dog er klar nok til at angive det formål med direktivet, som medlemsstaterne skal nå. Fortolkningsforpligtelsen er også relevant i det tilfælde, hvor et direktiv ikke er umiddelbart anvendeligt, idet det forsøger at pålægge private forpligtelser.</w:t>
      </w:r>
      <w:r>
        <w:rPr>
          <w:rStyle w:val="Fodnotehenvisning"/>
        </w:rPr>
        <w:footnoteReference w:id="45"/>
      </w:r>
      <w:r w:rsidR="00F770CD">
        <w:t xml:space="preserve"> Resultatet af fortolkningsforpligtelsen kan således blive, at private</w:t>
      </w:r>
      <w:r w:rsidR="001007B1">
        <w:t xml:space="preserve"> alligevel</w:t>
      </w:r>
      <w:r w:rsidR="00F770CD">
        <w:t xml:space="preserve"> pålægges forpligtelser.</w:t>
      </w:r>
      <w:r w:rsidR="00F770CD">
        <w:rPr>
          <w:rStyle w:val="Fodnotehenvisning"/>
        </w:rPr>
        <w:footnoteReference w:id="46"/>
      </w:r>
      <w:r>
        <w:t xml:space="preserve"> </w:t>
      </w:r>
    </w:p>
    <w:p w14:paraId="171FCA16" w14:textId="77777777" w:rsidR="00F44906" w:rsidRDefault="00F44906" w:rsidP="00FE76BB">
      <w:pPr>
        <w:spacing w:line="360" w:lineRule="auto"/>
      </w:pPr>
    </w:p>
    <w:p w14:paraId="62D42095" w14:textId="77777777" w:rsidR="00F44906" w:rsidRDefault="00F44906" w:rsidP="00184189">
      <w:pPr>
        <w:pStyle w:val="Overskrift2"/>
      </w:pPr>
      <w:bookmarkStart w:id="25" w:name="_Ref292650698"/>
      <w:bookmarkStart w:id="26" w:name="_Toc292966587"/>
      <w:r>
        <w:t>Implementering af EU-direktiver i arbejds- og ansættelsesret</w:t>
      </w:r>
      <w:bookmarkEnd w:id="25"/>
      <w:bookmarkEnd w:id="26"/>
      <w:r>
        <w:t xml:space="preserve"> </w:t>
      </w:r>
    </w:p>
    <w:p w14:paraId="2A49C4D8" w14:textId="77777777" w:rsidR="00E55D4D" w:rsidRPr="00E55D4D" w:rsidRDefault="00E55D4D" w:rsidP="00E55D4D"/>
    <w:p w14:paraId="7EF2E9D6" w14:textId="7BB781B8" w:rsidR="00F44906" w:rsidRDefault="00F44906" w:rsidP="00FE76BB">
      <w:pPr>
        <w:spacing w:line="360" w:lineRule="auto"/>
      </w:pPr>
      <w:r>
        <w:t>Implementering af EU-direktiver har gennem tiden været et problem i dansk arbejds- og ansættelsesret.</w:t>
      </w:r>
      <w:r w:rsidR="001007B1" w:rsidRPr="001007B1">
        <w:rPr>
          <w:rStyle w:val="Fodnotehenvisning"/>
        </w:rPr>
        <w:t xml:space="preserve"> </w:t>
      </w:r>
      <w:r>
        <w:t>Problemet skyldes</w:t>
      </w:r>
      <w:r w:rsidR="00175493">
        <w:t xml:space="preserve"> en kombination af flere ting. b</w:t>
      </w:r>
      <w:r>
        <w:t>l.a. at EU-retten tager udgangspunkt i lønmodtagernes individuelle forhold, hvorimod en stor del af den arbejdsretlige regulering i Danmark</w:t>
      </w:r>
      <w:r w:rsidR="006A38C0">
        <w:t>,</w:t>
      </w:r>
      <w:r>
        <w:t xml:space="preserve"> bygger på kollektive rettigh</w:t>
      </w:r>
      <w:r w:rsidR="00175493">
        <w:t>eder og forpligtelser. Dette skyldes, at</w:t>
      </w:r>
      <w:r>
        <w:t xml:space="preserve"> væsentlige dele af regelfastsættelsen i Danmark sker ved kollektive overenskomster.</w:t>
      </w:r>
      <w:r w:rsidR="001007B1" w:rsidRPr="001007B1">
        <w:rPr>
          <w:rStyle w:val="Fodnotehenvisning"/>
        </w:rPr>
        <w:t xml:space="preserve"> </w:t>
      </w:r>
      <w:r w:rsidR="001007B1">
        <w:rPr>
          <w:rStyle w:val="Fodnotehenvisning"/>
        </w:rPr>
        <w:footnoteReference w:id="47"/>
      </w:r>
      <w:r>
        <w:t xml:space="preserve"> Der er generelt fire hovedmodeller for implementering af direktiver i dansk ret:</w:t>
      </w:r>
    </w:p>
    <w:p w14:paraId="4801C4A8" w14:textId="77777777" w:rsidR="00F44906" w:rsidRDefault="00F44906" w:rsidP="00FE76BB">
      <w:pPr>
        <w:pStyle w:val="Listeafsnit"/>
        <w:numPr>
          <w:ilvl w:val="0"/>
          <w:numId w:val="5"/>
        </w:numPr>
        <w:spacing w:line="360" w:lineRule="auto"/>
      </w:pPr>
      <w:r>
        <w:t>En ren lovmodel</w:t>
      </w:r>
    </w:p>
    <w:p w14:paraId="06E23C13" w14:textId="77777777" w:rsidR="00F44906" w:rsidRDefault="00F44906" w:rsidP="00FE76BB">
      <w:pPr>
        <w:pStyle w:val="Listeafsnit"/>
        <w:numPr>
          <w:ilvl w:val="0"/>
          <w:numId w:val="5"/>
        </w:numPr>
        <w:spacing w:line="360" w:lineRule="auto"/>
      </w:pPr>
      <w:r>
        <w:t>En blandet lov- og overenskomstmodel</w:t>
      </w:r>
    </w:p>
    <w:p w14:paraId="30274C9E" w14:textId="77777777" w:rsidR="00F44906" w:rsidRDefault="00F44906" w:rsidP="00FE76BB">
      <w:pPr>
        <w:pStyle w:val="Listeafsnit"/>
        <w:numPr>
          <w:ilvl w:val="0"/>
          <w:numId w:val="5"/>
        </w:numPr>
        <w:spacing w:line="360" w:lineRule="auto"/>
      </w:pPr>
      <w:r>
        <w:t>En ren overenskomstmodel med almengyldige overenskomster</w:t>
      </w:r>
    </w:p>
    <w:p w14:paraId="6EB30736" w14:textId="77777777" w:rsidR="00F44906" w:rsidRDefault="00F44906" w:rsidP="00FE76BB">
      <w:pPr>
        <w:pStyle w:val="Listeafsnit"/>
        <w:numPr>
          <w:ilvl w:val="0"/>
          <w:numId w:val="5"/>
        </w:numPr>
        <w:spacing w:line="360" w:lineRule="auto"/>
      </w:pPr>
      <w:r>
        <w:t xml:space="preserve">En ren overenskomstmodel med gældende overenskomster </w:t>
      </w:r>
    </w:p>
    <w:p w14:paraId="790077E4" w14:textId="77777777" w:rsidR="00175493" w:rsidRDefault="00175493" w:rsidP="00175493">
      <w:pPr>
        <w:pStyle w:val="Listeafsnit"/>
        <w:spacing w:line="360" w:lineRule="auto"/>
        <w:ind w:left="780"/>
      </w:pPr>
    </w:p>
    <w:p w14:paraId="65289D33" w14:textId="10A110F4" w:rsidR="00F44906" w:rsidRDefault="00F44906" w:rsidP="00FE76BB">
      <w:pPr>
        <w:spacing w:line="360" w:lineRule="auto"/>
      </w:pPr>
      <w:r>
        <w:t>At der er t</w:t>
      </w:r>
      <w:r w:rsidR="00175493">
        <w:t>ale om hovedmodeller betyder, at det er op til medlemsstaterne selv, at vælge den model de ønsker, samt at disse hovedmodeller</w:t>
      </w:r>
      <w:r>
        <w:t xml:space="preserve"> kan forekomme i flere varianter. Modellerne og varianterne kan kombineres på flere forskellige måder:</w:t>
      </w:r>
    </w:p>
    <w:p w14:paraId="220463A3" w14:textId="77777777" w:rsidR="00175493" w:rsidRDefault="00175493" w:rsidP="00FE76BB">
      <w:pPr>
        <w:spacing w:line="360" w:lineRule="auto"/>
      </w:pPr>
    </w:p>
    <w:p w14:paraId="62238DA9" w14:textId="77777777" w:rsidR="00F44906" w:rsidRDefault="00F44906" w:rsidP="00FE76BB">
      <w:pPr>
        <w:pStyle w:val="Listeafsnit"/>
        <w:numPr>
          <w:ilvl w:val="0"/>
          <w:numId w:val="6"/>
        </w:numPr>
        <w:spacing w:line="360" w:lineRule="auto"/>
      </w:pPr>
      <w:r>
        <w:t xml:space="preserve">Ved implementering kan man fra lovgivers side nøjes med at overføre direktivets minimumsbestemmelser </w:t>
      </w:r>
    </w:p>
    <w:p w14:paraId="08FE67F6" w14:textId="77777777" w:rsidR="00F44906" w:rsidRDefault="00F44906" w:rsidP="00FE76BB">
      <w:pPr>
        <w:pStyle w:val="Listeafsnit"/>
        <w:numPr>
          <w:ilvl w:val="0"/>
          <w:numId w:val="6"/>
        </w:numPr>
        <w:spacing w:line="360" w:lineRule="auto"/>
      </w:pPr>
      <w:r>
        <w:t>Lovgiver kan i stedet vælge også at gennemføre eventuelle fravigelige bestemmelser i direktivet i dansk ret</w:t>
      </w:r>
    </w:p>
    <w:p w14:paraId="22E6FA7F" w14:textId="72A13B18" w:rsidR="00F44906" w:rsidRPr="00321C81" w:rsidRDefault="00F44906" w:rsidP="00FE76BB">
      <w:pPr>
        <w:pStyle w:val="Listeafsnit"/>
        <w:numPr>
          <w:ilvl w:val="0"/>
          <w:numId w:val="6"/>
        </w:numPr>
        <w:spacing w:line="360" w:lineRule="auto"/>
        <w:rPr>
          <w:b/>
        </w:rPr>
      </w:pPr>
      <w:r w:rsidRPr="00321C81">
        <w:rPr>
          <w:b/>
        </w:rPr>
        <w:t xml:space="preserve">Ved implementeringen kan lovgiver søge at tilpasse direktivet bedst muligt i eksisterende regelsæt. En sådan tilpasning betyder, at Danmark kan få problemer med direktivteksten, med den </w:t>
      </w:r>
      <w:r w:rsidR="00321C81" w:rsidRPr="00321C81">
        <w:rPr>
          <w:b/>
        </w:rPr>
        <w:t>følge, at der er risiko for EU-D</w:t>
      </w:r>
      <w:r w:rsidRPr="00321C81">
        <w:rPr>
          <w:b/>
        </w:rPr>
        <w:t>omstolssager</w:t>
      </w:r>
    </w:p>
    <w:p w14:paraId="1224A179" w14:textId="77777777" w:rsidR="00F44906" w:rsidRDefault="00F44906" w:rsidP="00FE76BB">
      <w:pPr>
        <w:pStyle w:val="Listeafsnit"/>
        <w:numPr>
          <w:ilvl w:val="0"/>
          <w:numId w:val="6"/>
        </w:numPr>
        <w:spacing w:line="360" w:lineRule="auto"/>
      </w:pPr>
      <w:r>
        <w:t>Lovgiver kan vælge at skrive direktivteksten af. Dette kan give problemer i praktisk retsanvendelse, når det bliver nødvendigt at læse i flere ikke afstemte regelsæt for at finde retsstillingen</w:t>
      </w:r>
    </w:p>
    <w:p w14:paraId="22534F70" w14:textId="77777777" w:rsidR="00F44906" w:rsidRDefault="00F44906" w:rsidP="00FE76BB">
      <w:pPr>
        <w:pStyle w:val="Listeafsnit"/>
        <w:numPr>
          <w:ilvl w:val="0"/>
          <w:numId w:val="6"/>
        </w:numPr>
        <w:spacing w:line="360" w:lineRule="auto"/>
      </w:pPr>
      <w:r>
        <w:t>Lovgiver kan vælge at bruge en implementeringslov som anledning til at supplere med yderligere national regulering.</w:t>
      </w:r>
      <w:r>
        <w:rPr>
          <w:rStyle w:val="Fodnotehenvisning"/>
        </w:rPr>
        <w:footnoteReference w:id="48"/>
      </w:r>
      <w:r>
        <w:t xml:space="preserve">  </w:t>
      </w:r>
    </w:p>
    <w:p w14:paraId="711B432B" w14:textId="77777777" w:rsidR="00F44906" w:rsidRDefault="00F44906" w:rsidP="00FE76BB">
      <w:pPr>
        <w:spacing w:line="360" w:lineRule="auto"/>
      </w:pPr>
    </w:p>
    <w:p w14:paraId="1D25492F" w14:textId="77777777" w:rsidR="00441D9E" w:rsidRDefault="00F44906" w:rsidP="00FE76BB">
      <w:pPr>
        <w:spacing w:line="360" w:lineRule="auto"/>
      </w:pPr>
      <w:r>
        <w:t>I forhold til direktiv 2001/237EF, har lovgiver valgt den rene lovmodel i kombination med variant nr. 3</w:t>
      </w:r>
      <w:r w:rsidR="001331A2">
        <w:t>,</w:t>
      </w:r>
      <w:r>
        <w:rPr>
          <w:rStyle w:val="Fodnotehenvisning"/>
        </w:rPr>
        <w:footnoteReference w:id="49"/>
      </w:r>
      <w:r w:rsidR="001331A2">
        <w:t xml:space="preserve"> som er fremhævet ovenfor. </w:t>
      </w:r>
    </w:p>
    <w:p w14:paraId="42DDA52B" w14:textId="77777777" w:rsidR="00441D9E" w:rsidRDefault="00441D9E">
      <w:r>
        <w:br w:type="page"/>
      </w:r>
    </w:p>
    <w:p w14:paraId="6AB4761F" w14:textId="4C162887" w:rsidR="00F44906" w:rsidRDefault="00F44906" w:rsidP="00FE76BB">
      <w:pPr>
        <w:spacing w:line="360" w:lineRule="auto"/>
      </w:pPr>
      <w:r>
        <w:t xml:space="preserve"> </w:t>
      </w:r>
    </w:p>
    <w:p w14:paraId="1132DC95" w14:textId="091DAEF2" w:rsidR="004B6426" w:rsidRPr="00AB41C2" w:rsidRDefault="00AB41C2" w:rsidP="00184189">
      <w:pPr>
        <w:pStyle w:val="Overskrift1"/>
      </w:pPr>
      <w:bookmarkStart w:id="27" w:name="_Toc292966588"/>
      <w:r>
        <w:t>Usaglige afskedigelser i dansk ret</w:t>
      </w:r>
      <w:bookmarkEnd w:id="27"/>
      <w:r>
        <w:t xml:space="preserve"> </w:t>
      </w:r>
    </w:p>
    <w:p w14:paraId="6744F28E" w14:textId="77777777" w:rsidR="004B6426" w:rsidRDefault="004B6426" w:rsidP="00FE76BB">
      <w:pPr>
        <w:spacing w:line="360" w:lineRule="auto"/>
        <w:rPr>
          <w:i/>
        </w:rPr>
      </w:pPr>
    </w:p>
    <w:p w14:paraId="2C7DFC2F" w14:textId="77777777" w:rsidR="00AD4621" w:rsidRDefault="00AD4621" w:rsidP="00184189">
      <w:pPr>
        <w:pStyle w:val="Overskrift2"/>
      </w:pPr>
      <w:bookmarkStart w:id="28" w:name="_Toc292966589"/>
      <w:r>
        <w:t>Ophør af ansættelsesforholdet i forbindelse med en virksomhedsoverdragelse (VOL § 3, stk. 1)</w:t>
      </w:r>
      <w:bookmarkEnd w:id="28"/>
    </w:p>
    <w:p w14:paraId="735F4E3F" w14:textId="77777777" w:rsidR="00E55D4D" w:rsidRPr="00E55D4D" w:rsidRDefault="00E55D4D" w:rsidP="00E55D4D"/>
    <w:p w14:paraId="78406ED0" w14:textId="4D3E89B1" w:rsidR="00AD4621" w:rsidRDefault="00AD4621" w:rsidP="00FE76BB">
      <w:pPr>
        <w:spacing w:line="360" w:lineRule="auto"/>
      </w:pPr>
      <w:r>
        <w:t>I det føl</w:t>
      </w:r>
      <w:r w:rsidR="0000710E">
        <w:t>gende beskrives forskellene mellem, at en afskedigelse</w:t>
      </w:r>
      <w:r>
        <w:t xml:space="preserve"> enten kan være usaglig, fordi den er begrundet i en virksomhedsoverdragelse, eller saglig, fordi den er begrundet i virksomhedens forhold. </w:t>
      </w:r>
    </w:p>
    <w:p w14:paraId="5AE8164D" w14:textId="62FE131A" w:rsidR="00AD4621" w:rsidRDefault="00321C81" w:rsidP="00FE76BB">
      <w:pPr>
        <w:spacing w:line="360" w:lineRule="auto"/>
      </w:pPr>
      <w:r>
        <w:t>Afskedigelse af en lønmodtager</w:t>
      </w:r>
      <w:r w:rsidR="00AD4621">
        <w:t>, i forbindelse med en virksomhedsoverdragelse, skal som udgangspunkt altid betragtes som usaglig, medmindre arbejdsgiveren kan godtgøre, at der foreligger økonomiske, tekniske eller organisatoriske årsager til afskedigelsen, der medfører beskæftigelsesmæssige ændringer. Såfremt arbejdsgiveren kan bevise, at et af disse forhold er til stede, er afskedigelsen saglig, selvom den sker i forbindelse med en virksomhedsoverdragelse. Forhold som er enten økonomisk, tekniske eller organisatoriske, er de samme forhold, som efter retspraksis kan begrunde, at en afskedigelse er rimelig, jf. Hovedaftalens § 4, stk. 3, eller saglig efter funktionærlovens § 2 b.</w:t>
      </w:r>
      <w:r w:rsidR="00AD4621">
        <w:rPr>
          <w:rStyle w:val="Fodnotehenvisning"/>
        </w:rPr>
        <w:footnoteReference w:id="50"/>
      </w:r>
      <w:r w:rsidR="00AD4621">
        <w:t xml:space="preserve"> Det er forholdene på opsigelsestidspunktet, der skal lægges til grund v</w:t>
      </w:r>
      <w:r>
        <w:t>ed vurderingen af, om afskedigelsen</w:t>
      </w:r>
      <w:r w:rsidR="00AD4621">
        <w:t xml:space="preserve"> er saglig.</w:t>
      </w:r>
      <w:r w:rsidR="00AD4621">
        <w:rPr>
          <w:rStyle w:val="Fodnotehenvisning"/>
        </w:rPr>
        <w:footnoteReference w:id="51"/>
      </w:r>
      <w:r w:rsidR="00AD4621">
        <w:t xml:space="preserve"> Dette gælder også selvom forholdene ved en senere fratræden, er blevet væsentligt ændret, jf. U.2005.886H. Dette medfører dog ikke, at domstolene er afskåret fra at lægge vægt på, om de af arbejdsgiveren påberåbte afskedigelsesgrunde også er bestyrket af det videre forløb, ved vurderingen af afskedigelsens rimelighed.</w:t>
      </w:r>
      <w:r w:rsidR="00AD4621">
        <w:rPr>
          <w:rStyle w:val="Fodnotehenvisning"/>
        </w:rPr>
        <w:footnoteReference w:id="52"/>
      </w:r>
      <w:r w:rsidR="00AD4621">
        <w:t xml:space="preserve"> Andre afskedigelser, som er foretaget før indgåelsen af en overdragelsesaftale, og dermed uafhængig af denne, vil ikke være omfattet af VOL § 3, stk. 1.</w:t>
      </w:r>
    </w:p>
    <w:p w14:paraId="34313A3C" w14:textId="56C7C7BB" w:rsidR="00AD4621" w:rsidRDefault="00AD4621" w:rsidP="00FE76BB">
      <w:pPr>
        <w:spacing w:line="360" w:lineRule="auto"/>
      </w:pPr>
      <w:r>
        <w:t>Afskediges en lønmodtager af overdrageren, efter at der er indgået en overdragelsesaftale, er afskedigelsen omfattet af VOL § 3, stk. 1. Overdrageren</w:t>
      </w:r>
      <w:r w:rsidR="00321C81">
        <w:t xml:space="preserve"> må dermed oplyse lønmodtageren</w:t>
      </w:r>
      <w:r>
        <w:t xml:space="preserve"> om årsagen til afskedigelsen. Såfremt årsagen er begrundet i forhold, der er uafhængige af virksomhedsoverdragelsen, eksempelvis utilfredshed m</w:t>
      </w:r>
      <w:r w:rsidR="00321C81">
        <w:t>ed kvaliteten af lønmodtagerens</w:t>
      </w:r>
      <w:r>
        <w:t xml:space="preserve"> arbejde, vil forholdet skulle bedømmes efter andre lovbestemmelser, og falder dermed ikke ind under virksomhedsoverdragelseslovens anvendelsesområde.</w:t>
      </w:r>
      <w:r>
        <w:rPr>
          <w:rStyle w:val="Fodnotehenvisning"/>
        </w:rPr>
        <w:footnoteReference w:id="53"/>
      </w:r>
      <w:r>
        <w:t xml:space="preserve">   </w:t>
      </w:r>
    </w:p>
    <w:p w14:paraId="5F93E92F" w14:textId="4D1D5411" w:rsidR="00AD4621" w:rsidRDefault="00AD4621" w:rsidP="00FE76BB">
      <w:pPr>
        <w:spacing w:line="360" w:lineRule="auto"/>
      </w:pPr>
      <w:r>
        <w:t xml:space="preserve">En virksomhedsoverdragelse kan også medføre, at erhververen af </w:t>
      </w:r>
      <w:r w:rsidR="008E6C1C">
        <w:t>virksomheden afskediger noget af</w:t>
      </w:r>
      <w:r>
        <w:t xml:space="preserve"> sit personale, i forbindelse med overtagelsen af den nye virksomhed. Afskedigelserne vil i en sådan situation også være omfattet af VOL § 3.</w:t>
      </w:r>
    </w:p>
    <w:p w14:paraId="5B1A14CA" w14:textId="14870D3A" w:rsidR="004B6426" w:rsidRPr="00AD4621" w:rsidRDefault="00AD4621" w:rsidP="00FE76BB">
      <w:pPr>
        <w:spacing w:line="360" w:lineRule="auto"/>
      </w:pPr>
      <w:r>
        <w:t>Det er både den, der overdrager en virksomhed og den der erhverver en virksomhed</w:t>
      </w:r>
      <w:r w:rsidR="00321C81">
        <w:t>,</w:t>
      </w:r>
      <w:r>
        <w:t xml:space="preserve"> i forbindelse m</w:t>
      </w:r>
      <w:r w:rsidR="00C919DE">
        <w:t>ed virksomhedsoverdragelsen, som</w:t>
      </w:r>
      <w:r>
        <w:t xml:space="preserve"> kan foretage en afskedigelse af enten økonomiske, tekniske eller organisatoriske årsager. Der er en formodning for, at afskedigelser, der foretages tidsmæssigt i forbindelse med, eller umiddelbart efter, at der er indgået en aftale om virksomhedsoverdragelse, skyldes virksomhedsoverdragelsen. Dette indebærer, at det er arbejdsgiveren, der har bevisbyrden for, at afskedigelsen ikke er begrundet i</w:t>
      </w:r>
      <w:r w:rsidR="00952847">
        <w:t xml:space="preserve"> virksomhedsoverdragelsen, og</w:t>
      </w:r>
      <w:r>
        <w:t xml:space="preserve"> at der foreligger de nødvendige økonomiske, tekniske eller organisatoriske årsager til afskedigelsen.</w:t>
      </w:r>
    </w:p>
    <w:p w14:paraId="129C761B" w14:textId="77777777" w:rsidR="004B6426" w:rsidRDefault="004B6426" w:rsidP="00FE76BB">
      <w:pPr>
        <w:spacing w:line="360" w:lineRule="auto"/>
        <w:rPr>
          <w:i/>
        </w:rPr>
      </w:pPr>
    </w:p>
    <w:p w14:paraId="18B684BF" w14:textId="7CA036AC" w:rsidR="00FB0959" w:rsidRDefault="00AB41C2" w:rsidP="00184189">
      <w:pPr>
        <w:pStyle w:val="Overskrift2"/>
      </w:pPr>
      <w:bookmarkStart w:id="29" w:name="_Ref292650000"/>
      <w:bookmarkStart w:id="30" w:name="_Ref292650003"/>
      <w:bookmarkStart w:id="31" w:name="_Toc292966590"/>
      <w:r>
        <w:t>Dansk lovgivning og overenskomster</w:t>
      </w:r>
      <w:bookmarkEnd w:id="29"/>
      <w:bookmarkEnd w:id="30"/>
      <w:bookmarkEnd w:id="31"/>
      <w:r>
        <w:t xml:space="preserve"> </w:t>
      </w:r>
    </w:p>
    <w:p w14:paraId="6AA2673C" w14:textId="77777777" w:rsidR="00E55D4D" w:rsidRPr="00E55D4D" w:rsidRDefault="00E55D4D" w:rsidP="00E55D4D"/>
    <w:p w14:paraId="12068566" w14:textId="26557F08" w:rsidR="005C6C97" w:rsidRDefault="005C6C97" w:rsidP="00FE76BB">
      <w:pPr>
        <w:spacing w:line="360" w:lineRule="auto"/>
      </w:pPr>
      <w:r>
        <w:t>Formålet med dette a</w:t>
      </w:r>
      <w:r w:rsidR="00C919DE">
        <w:t>fsnit er</w:t>
      </w:r>
      <w:r>
        <w:t xml:space="preserve"> at få</w:t>
      </w:r>
      <w:r w:rsidR="008D2292">
        <w:t xml:space="preserve"> beskrevet de</w:t>
      </w:r>
      <w:r>
        <w:t xml:space="preserve"> ansættelse</w:t>
      </w:r>
      <w:r w:rsidR="00C919DE">
        <w:t>sretlige principper i dansk ret</w:t>
      </w:r>
      <w:r>
        <w:t xml:space="preserve"> i forbindelse med usaglige afskedigelser. </w:t>
      </w:r>
      <w:r w:rsidR="001F3CD4">
        <w:t xml:space="preserve">For at finde </w:t>
      </w:r>
      <w:r w:rsidR="00C919DE">
        <w:t>ud af, om direktiv 2001/23/EF er</w:t>
      </w:r>
      <w:r w:rsidR="001F3CD4">
        <w:t xml:space="preserve"> tilstrækkeligt implement</w:t>
      </w:r>
      <w:r w:rsidR="00C919DE">
        <w:t>eret i dansk ret, er det</w:t>
      </w:r>
      <w:r w:rsidR="001F3CD4">
        <w:t xml:space="preserve"> relevant først at se på, hvordan dansk ret generelt forholder sig til usaglige afskedigelser</w:t>
      </w:r>
      <w:r w:rsidR="007510BF">
        <w:t xml:space="preserve"> og sanktioneringen heraf</w:t>
      </w:r>
      <w:r w:rsidR="001F3CD4">
        <w:t>.</w:t>
      </w:r>
      <w:r w:rsidR="007510BF">
        <w:t xml:space="preserve"> Når det senere analyseres hvordan EU-rett</w:t>
      </w:r>
      <w:r w:rsidR="00952847">
        <w:t>en forholder til retsvirkningen</w:t>
      </w:r>
      <w:r w:rsidR="003D265D">
        <w:t xml:space="preserve"> af</w:t>
      </w:r>
      <w:r w:rsidR="007510BF">
        <w:t xml:space="preserve"> usaglige afskedigelser i forbindelse med en virksomhedsoverdragelse, samt hvordan den danske virksomhedsoverdragelseslov forholder sig til spørgsmålet, vil det være muligt til sidst at konkludere, om virksomhedsoverdragelsesloven</w:t>
      </w:r>
      <w:r w:rsidR="00C919DE">
        <w:t>, eller anden lovgivning,</w:t>
      </w:r>
      <w:r w:rsidR="007510BF">
        <w:t xml:space="preserve"> implementerer direktivet tilstrækkeligt.</w:t>
      </w:r>
      <w:r w:rsidR="00C919DE">
        <w:t xml:space="preserve"> </w:t>
      </w:r>
      <w:r w:rsidR="007510BF">
        <w:t xml:space="preserve"> </w:t>
      </w:r>
    </w:p>
    <w:p w14:paraId="2D0F430B" w14:textId="2CCB7EF9" w:rsidR="00FB0959" w:rsidRDefault="00FA2A9E" w:rsidP="00FE76BB">
      <w:pPr>
        <w:spacing w:line="360" w:lineRule="auto"/>
      </w:pPr>
      <w:r>
        <w:t>Det er et centralt træk ved dansk ret omkring afskedigelse, at der ikke er en mere systematisk lovgivning på området. Dansk arbejdsret indtager således en særstilling i forhold til de andre nordiske lande, idet Norge har haft en generel lovgivning om afskedigelse siden 1936, og Sverige fik en sådan lovgivning i 1974. I dansk ret har man dog principielt fastholdt dette område som et aftalemæssigt anliggende.</w:t>
      </w:r>
      <w:r w:rsidR="00103938">
        <w:t xml:space="preserve"> Pa</w:t>
      </w:r>
      <w:r w:rsidR="00DA071E">
        <w:t>r</w:t>
      </w:r>
      <w:r w:rsidR="00103938">
        <w:t>ternes ulige forhandlingsdisposition har medført, at kollektive aftaler</w:t>
      </w:r>
      <w:r w:rsidR="00952847">
        <w:t xml:space="preserve"> stadig</w:t>
      </w:r>
      <w:r w:rsidR="00103938">
        <w:t xml:space="preserve"> spiller en fremtræden rolle i Danmark inden for de fleste ansættelsesretlige områder. Hovedorganisationerne på arbejdsmarkedet, især DA og LO, har været enige om at prioritere en retsudvikling via kollektive overenskomster, frem for arbejdsretlige lo</w:t>
      </w:r>
      <w:r w:rsidR="00952847">
        <w:t xml:space="preserve">ve. Folketinget har derfor </w:t>
      </w:r>
      <w:r w:rsidR="00103938">
        <w:t>kun lovgivet, når hovedorganisationerne har været enige om behovet og indholdet</w:t>
      </w:r>
      <w:r w:rsidR="008D45DF">
        <w:t>.</w:t>
      </w:r>
      <w:r w:rsidR="008D45DF">
        <w:rPr>
          <w:rStyle w:val="Fodnotehenvisning"/>
        </w:rPr>
        <w:footnoteReference w:id="54"/>
      </w:r>
      <w:r w:rsidR="008D45DF">
        <w:t xml:space="preserve"> </w:t>
      </w:r>
      <w:r w:rsidR="00952847">
        <w:t>R</w:t>
      </w:r>
      <w:r>
        <w:t>egler om afskedigelse</w:t>
      </w:r>
      <w:r w:rsidR="00952847">
        <w:t xml:space="preserve"> er derfor</w:t>
      </w:r>
      <w:r>
        <w:t xml:space="preserve"> et af de centrale emner for de kollektive overenskomster. Dette gælder både </w:t>
      </w:r>
      <w:r w:rsidR="007D18C2">
        <w:t>spørgsmålet om lønmodtagernes opsigelsesvarsler, samt indskrænkninger i arbejdsgi</w:t>
      </w:r>
      <w:r w:rsidR="00952847">
        <w:t>verens adgang til at foretage</w:t>
      </w:r>
      <w:r w:rsidR="007D18C2">
        <w:t xml:space="preserve"> afskedigelse</w:t>
      </w:r>
      <w:r w:rsidR="00952847">
        <w:t>r</w:t>
      </w:r>
      <w:r w:rsidR="007D18C2">
        <w:t>.</w:t>
      </w:r>
      <w:r w:rsidR="007D18C2">
        <w:rPr>
          <w:rStyle w:val="Fodnotehenvisning"/>
        </w:rPr>
        <w:footnoteReference w:id="55"/>
      </w:r>
      <w:r w:rsidR="007D18C2">
        <w:t xml:space="preserve"> </w:t>
      </w:r>
    </w:p>
    <w:p w14:paraId="3D8BC48E" w14:textId="2471566F" w:rsidR="007D18C2" w:rsidRDefault="007D18C2" w:rsidP="00FE76BB">
      <w:pPr>
        <w:spacing w:line="360" w:lineRule="auto"/>
      </w:pPr>
      <w:r>
        <w:t xml:space="preserve">I dansk ret ligger det som en centralt princip i ledelsesretten, at arbejdsgiveren har en fri afskedigelsesret. En arbejdsgiver kan derfor som udgangspunkt frit opsige et ansættelsesforhold. Dette harmonerer også med almindelige kontraktretlige principper om parternes gensidige adgang til at opsige kontraktforholdet, med et aftalt eller rimeligt varsel. </w:t>
      </w:r>
      <w:r w:rsidR="002409A7">
        <w:t>På gr</w:t>
      </w:r>
      <w:r w:rsidR="00952847">
        <w:t>und af de væsentlige interesser</w:t>
      </w:r>
      <w:r w:rsidR="002409A7">
        <w:t xml:space="preserve"> der</w:t>
      </w:r>
      <w:r w:rsidR="00952847">
        <w:t xml:space="preserve"> er for lønmodtagere </w:t>
      </w:r>
      <w:r w:rsidR="002409A7">
        <w:t>til</w:t>
      </w:r>
      <w:r w:rsidR="00952847">
        <w:t xml:space="preserve"> at bevare deres arbejde</w:t>
      </w:r>
      <w:r w:rsidR="002409A7">
        <w:t>, er afskedigelsesfriheden imidlertid gennem tiden blevet indskrænket på flere punkter.</w:t>
      </w:r>
      <w:r w:rsidR="00B33845">
        <w:rPr>
          <w:rStyle w:val="Fodnotehenvisning"/>
        </w:rPr>
        <w:footnoteReference w:id="56"/>
      </w:r>
      <w:r w:rsidR="00B33845">
        <w:t xml:space="preserve"> </w:t>
      </w:r>
      <w:r>
        <w:t>Ved Hovedaftal</w:t>
      </w:r>
      <w:r w:rsidR="00B33845">
        <w:t>en af 1960 indførte DA og LO</w:t>
      </w:r>
      <w:r>
        <w:t xml:space="preserve"> den principielle nydannelse, at vilkårligheder ikke måtte finde sted, og at påståede urimelige afskedigelser, skulle kunne indbringes for et særligt nævn – Afskedigelsesnævnet, jf. Hovedaftalens § 4, stk. 3. Der er efterfølgende blevet i</w:t>
      </w:r>
      <w:r w:rsidR="00952847">
        <w:t>ndført tilsvarende bestemmelser</w:t>
      </w:r>
      <w:r>
        <w:t xml:space="preserve"> på stort set alle andre kollektive aftaleområder. I 1964</w:t>
      </w:r>
      <w:r w:rsidR="008F57F4">
        <w:t xml:space="preserve"> blev reglen også indsat i funktionærloven, som nu fremgår af § 2 b. I praksis er langt størstedelen af danske lønmodtagere</w:t>
      </w:r>
      <w:r w:rsidR="00952847">
        <w:t xml:space="preserve"> derfor</w:t>
      </w:r>
      <w:r w:rsidR="008F57F4">
        <w:t xml:space="preserve"> omfattet af en regel om, at en arbejdsgivers opsigelse af et ansætt</w:t>
      </w:r>
      <w:r w:rsidR="00952847">
        <w:t>elsesforhold, skal være rimeligt</w:t>
      </w:r>
      <w:r w:rsidR="008F57F4">
        <w:t xml:space="preserve"> begrundet. Der er dog ikke tale om nogen almen standard, som gælder for ethvert ansættelsesforhold. Rimelighedskravet gæler kun såfremt der er støtte herfor i lovgivning, overenskomst eller ansættelseskontrakt.</w:t>
      </w:r>
      <w:r w:rsidR="008F57F4">
        <w:rPr>
          <w:rStyle w:val="Fodnotehenvisning"/>
        </w:rPr>
        <w:footnoteReference w:id="57"/>
      </w:r>
    </w:p>
    <w:p w14:paraId="44B21ABD" w14:textId="77777777" w:rsidR="000D4316" w:rsidRDefault="000D4316" w:rsidP="00FE76BB">
      <w:pPr>
        <w:spacing w:line="360" w:lineRule="auto"/>
      </w:pPr>
      <w:r>
        <w:t>I forhold til retsvirkningen af usaglige</w:t>
      </w:r>
      <w:r w:rsidR="008F57F4">
        <w:t xml:space="preserve"> afskedigelser, varierer disse mellem overenskomstområderne</w:t>
      </w:r>
      <w:r w:rsidR="00BB1F9F">
        <w:t xml:space="preserve"> og lovgivningen</w:t>
      </w:r>
      <w:r w:rsidR="008F57F4">
        <w:t xml:space="preserve">. Der er især </w:t>
      </w:r>
      <w:r>
        <w:t>variationer i forhold til</w:t>
      </w:r>
      <w:r w:rsidR="008F57F4">
        <w:t xml:space="preserve"> adgangen til at underkende en afskedigelse, m</w:t>
      </w:r>
      <w:r>
        <w:t>ed den virkning, at</w:t>
      </w:r>
      <w:r w:rsidR="008F57F4">
        <w:t xml:space="preserve"> ansættelsesforhold</w:t>
      </w:r>
      <w:r>
        <w:t>et</w:t>
      </w:r>
      <w:r w:rsidR="008F57F4">
        <w:t xml:space="preserve"> stadig består.</w:t>
      </w:r>
      <w:r w:rsidR="008F57F4">
        <w:rPr>
          <w:rStyle w:val="Fodnotehenvisning"/>
        </w:rPr>
        <w:footnoteReference w:id="58"/>
      </w:r>
      <w:r w:rsidR="008F57F4">
        <w:t xml:space="preserve"> </w:t>
      </w:r>
      <w:r w:rsidR="00BB1F9F">
        <w:t>Det er almindelig antaget, at genansættelse kræver særlig hjemmel.</w:t>
      </w:r>
      <w:r w:rsidR="00BB1F9F">
        <w:rPr>
          <w:rStyle w:val="Fodnotehenvisning"/>
        </w:rPr>
        <w:footnoteReference w:id="59"/>
      </w:r>
      <w:r w:rsidR="00BB1F9F">
        <w:t xml:space="preserve"> </w:t>
      </w:r>
      <w:r w:rsidR="00E8710E">
        <w:t xml:space="preserve">I en faglig voldgiftskendelse af 2. </w:t>
      </w:r>
      <w:r w:rsidR="00E43404">
        <w:t>J</w:t>
      </w:r>
      <w:r w:rsidR="00E8710E">
        <w:t xml:space="preserve">anuar 1990 hed det, at </w:t>
      </w:r>
      <w:r w:rsidR="00BB6108">
        <w:t>”</w:t>
      </w:r>
      <w:r w:rsidR="00BB6108">
        <w:rPr>
          <w:i/>
        </w:rPr>
        <w:t>parterne har ikke indgået hovedaftale, og der er ikke i deres overenskomstgrundlag, hjemmel til at bestemme genansættelse eller yde godtgørelse, såfremt en afskedigelse måtte vise sig urimelig.</w:t>
      </w:r>
      <w:r w:rsidR="00BB6108">
        <w:t>”</w:t>
      </w:r>
      <w:r w:rsidR="00E8710E">
        <w:t xml:space="preserve"> </w:t>
      </w:r>
    </w:p>
    <w:p w14:paraId="360040F8" w14:textId="7FB8A1B8" w:rsidR="008F57F4" w:rsidRDefault="00870F50" w:rsidP="00FE76BB">
      <w:pPr>
        <w:spacing w:line="360" w:lineRule="auto"/>
      </w:pPr>
      <w:r>
        <w:t>Teorien om særlig hjemmel for genansættelse, har formentlig baggrund i det forhold, at man ikke ved fogedens hjælp, kan blive indsat i sin gamle stilling.</w:t>
      </w:r>
      <w:r>
        <w:rPr>
          <w:rStyle w:val="Fodnotehenvisning"/>
        </w:rPr>
        <w:footnoteReference w:id="60"/>
      </w:r>
      <w:r>
        <w:t xml:space="preserve"> </w:t>
      </w:r>
    </w:p>
    <w:p w14:paraId="3F652C4E" w14:textId="6378F6AD" w:rsidR="008F281E" w:rsidRDefault="003D35FB" w:rsidP="00FE76BB">
      <w:pPr>
        <w:spacing w:line="360" w:lineRule="auto"/>
      </w:pPr>
      <w:r>
        <w:t>Den mest almindelige sanktionering af en usaglig afskedigelse, er en godtgørelse. Det var tidligere tvivlsomt, om en</w:t>
      </w:r>
      <w:r w:rsidR="00E8710E">
        <w:t xml:space="preserve"> udbetaling af en</w:t>
      </w:r>
      <w:r>
        <w:t xml:space="preserve"> godtgørelse</w:t>
      </w:r>
      <w:r w:rsidR="00E8710E">
        <w:t xml:space="preserve"> for usaglig afskedigelse, overhovedet krævede en særlig hjemmel.</w:t>
      </w:r>
      <w:r w:rsidR="00E8710E">
        <w:rPr>
          <w:rStyle w:val="Fodnotehenvisning"/>
        </w:rPr>
        <w:footnoteReference w:id="61"/>
      </w:r>
      <w:r w:rsidR="00E8710E">
        <w:t xml:space="preserve"> Højesteret har dog i dommen U.2003.1570 opstillet et krav om hjemmel for at tilkende en godtgørelse. </w:t>
      </w:r>
      <w:r>
        <w:t xml:space="preserve"> </w:t>
      </w:r>
    </w:p>
    <w:p w14:paraId="27618760" w14:textId="77777777" w:rsidR="008F281E" w:rsidRDefault="008F281E" w:rsidP="00BF23B6">
      <w:pPr>
        <w:pStyle w:val="Overskrift3"/>
      </w:pPr>
      <w:bookmarkStart w:id="32" w:name="_Toc292966591"/>
      <w:r>
        <w:t>Funktionærlovens regel om usaglig afskedigelse</w:t>
      </w:r>
      <w:bookmarkEnd w:id="32"/>
    </w:p>
    <w:p w14:paraId="0D35F91C" w14:textId="77777777" w:rsidR="00E55D4D" w:rsidRPr="00E55D4D" w:rsidRDefault="00E55D4D" w:rsidP="00E55D4D"/>
    <w:p w14:paraId="226FBD75" w14:textId="329C2EA7" w:rsidR="00412953" w:rsidRDefault="008F281E" w:rsidP="00FE76BB">
      <w:pPr>
        <w:spacing w:line="360" w:lineRule="auto"/>
      </w:pPr>
      <w:r>
        <w:t>Det almene værn mod usaglig afskedigelse på funktionærområdet er hjemlet i funktionærlovens § 2 b. Der er dog en betingelse for, at der kan rejses krav efter bestemmelsen. Funktionæren skal således have været uafbrudt beskæftiget i den pågældende virksomhed i</w:t>
      </w:r>
      <w:r w:rsidR="00412953">
        <w:t xml:space="preserve"> mindst 1 år. Er betingelsen</w:t>
      </w:r>
      <w:r>
        <w:t xml:space="preserve"> opfyldt, kan en usaglig afskedigelse</w:t>
      </w:r>
      <w:r w:rsidR="00412953">
        <w:t xml:space="preserve"> alene</w:t>
      </w:r>
      <w:r>
        <w:t xml:space="preserve"> udløse en godtgørelse, såfremt afskedigelsen ikke kan anses for rimeligt begrundet i funktionærens eller virksomhedens forhold.</w:t>
      </w:r>
      <w:r w:rsidR="00412953">
        <w:t xml:space="preserve"> Godtgørelsen fastsættes efter FUL § 2 b, under hensyn til funktionærens ansættelsestid og sagens øvrige omstændigheder. Godtgørelsen er ikke en erstatning, idet den udmåles uafhængigt af, om funktionæren har lidt et tab. </w:t>
      </w:r>
    </w:p>
    <w:p w14:paraId="33C405B9" w14:textId="77777777" w:rsidR="00412953" w:rsidRDefault="00412953" w:rsidP="00BF23B6">
      <w:pPr>
        <w:pStyle w:val="Overskrift3"/>
      </w:pPr>
      <w:bookmarkStart w:id="33" w:name="_Toc292966592"/>
      <w:r>
        <w:t>Overenskomstmæssige regler om usaglig afskedigelse</w:t>
      </w:r>
      <w:bookmarkEnd w:id="33"/>
      <w:r>
        <w:t xml:space="preserve"> </w:t>
      </w:r>
    </w:p>
    <w:p w14:paraId="547E52A9" w14:textId="77777777" w:rsidR="00E55D4D" w:rsidRPr="00E55D4D" w:rsidRDefault="00E55D4D" w:rsidP="00E55D4D"/>
    <w:p w14:paraId="1728672C" w14:textId="26939406" w:rsidR="00412953" w:rsidRDefault="00412953" w:rsidP="00FE76BB">
      <w:pPr>
        <w:spacing w:line="360" w:lineRule="auto"/>
      </w:pPr>
      <w:r>
        <w:t>Kendes en afskedigelse for at have været usaglig begrundet, kan Afskedigelsesnævnet</w:t>
      </w:r>
      <w:r w:rsidR="004A2E4A">
        <w:t xml:space="preserve"> efter DA og LO’s hovedaftale, </w:t>
      </w:r>
      <w:r w:rsidR="004A2E4A" w:rsidRPr="004A2E4A">
        <w:rPr>
          <w:i/>
        </w:rPr>
        <w:t>efter påstand herom underkende opsigelsen, medmindre samarbejdet mellem virksomheden og arbejdstageren har lidt eller må antages at ville lide væsentlig skade</w:t>
      </w:r>
      <w:r w:rsidR="004A2E4A">
        <w:t xml:space="preserve"> </w:t>
      </w:r>
      <w:r w:rsidR="004A2E4A" w:rsidRPr="004A2E4A">
        <w:rPr>
          <w:i/>
        </w:rPr>
        <w:t>ved en fortsættelse af ansættelsesforholdet</w:t>
      </w:r>
      <w:r w:rsidR="004A2E4A">
        <w:t>.</w:t>
      </w:r>
      <w:r w:rsidR="00774C9B">
        <w:t xml:space="preserve"> Jf. Hovedaftalens § 4, stk. 3, litra e.</w:t>
      </w:r>
      <w:r w:rsidR="004A2E4A">
        <w:t xml:space="preserve"> Finder Af</w:t>
      </w:r>
      <w:r w:rsidR="000D4316">
        <w:t>skedigelsesnævnet, at afskedigelsen</w:t>
      </w:r>
      <w:r w:rsidR="004A2E4A">
        <w:t xml:space="preserve"> er urimelig, men at der dog ikke alligevel er grund</w:t>
      </w:r>
      <w:r w:rsidR="000D4316">
        <w:t>lag for at underkende afskedigelsen</w:t>
      </w:r>
      <w:r w:rsidR="004A2E4A">
        <w:t>, eller såfremt der alene nedlægges påstand om godtgørelse, kan Afskedigelsesnævnet bestemme, at virksomheden skal</w:t>
      </w:r>
      <w:r w:rsidR="00774C9B">
        <w:t xml:space="preserve"> betale</w:t>
      </w:r>
      <w:r w:rsidR="004A2E4A">
        <w:t xml:space="preserve"> en godtgørelse. </w:t>
      </w:r>
      <w:r w:rsidR="00617CE7">
        <w:t xml:space="preserve">Størrelsen af godtgørelsen afhænger af sagens omstændigheder og ancienniteten. Godtgørelsen kan dog ikke overstige 52 ugers løn. </w:t>
      </w:r>
      <w:r w:rsidR="00774C9B">
        <w:t>Hovedaftalerne giver ikke lønmodtageren krav på at blive i sin stilling under sagen, men den pågældende må fratræde ved opsigelsens udløb. Underkendes afskedigelsen, bliver den ansatte stillet lønmæssigt, som om ansættelsesfor</w:t>
      </w:r>
      <w:r w:rsidR="000D4316">
        <w:t>holdet har bestået uafbrudt</w:t>
      </w:r>
      <w:r w:rsidR="00774C9B">
        <w:t>.</w:t>
      </w:r>
      <w:r w:rsidR="00774C9B">
        <w:rPr>
          <w:rStyle w:val="Fodnotehenvisning"/>
        </w:rPr>
        <w:footnoteReference w:id="62"/>
      </w:r>
      <w:r w:rsidR="00103FC1">
        <w:t xml:space="preserve"> </w:t>
      </w:r>
    </w:p>
    <w:p w14:paraId="29D2F7DF" w14:textId="2C3480C0" w:rsidR="00533B72" w:rsidRDefault="00103FC1" w:rsidP="00FE76BB">
      <w:pPr>
        <w:spacing w:line="360" w:lineRule="auto"/>
      </w:pPr>
      <w:r>
        <w:t xml:space="preserve">Såfremt der nedlægges påstand om underkendelse af en påstået urimelig opsigelse, har både arbejdsgiveren og lønmodtageren en særlig interesse i, at behandling af sagen går hurtigt. </w:t>
      </w:r>
      <w:r w:rsidR="00843BA3">
        <w:t xml:space="preserve">Det er hensigten, at arbejdsgangen i Afskedigelsesnævnet skal være så hurtig, at enhver sag om urimelig afskedigelse, kan behandles inden opsigelsesfristens udløb. </w:t>
      </w:r>
      <w:r>
        <w:t>Sagen skal således så vidt muligt være afsluttet inden udløbet af den pågældende arbejdstageres opsigelsesvarsel.</w:t>
      </w:r>
      <w:r>
        <w:rPr>
          <w:rStyle w:val="Fodnotehenvisning"/>
        </w:rPr>
        <w:footnoteReference w:id="63"/>
      </w:r>
      <w:r w:rsidR="00843BA3">
        <w:t xml:space="preserve"> Træffes afgørelsen af Afskedigelsesnæ</w:t>
      </w:r>
      <w:r w:rsidR="000D4316">
        <w:t>vnet først efter, at lønmodtagerens</w:t>
      </w:r>
      <w:r w:rsidR="00843BA3">
        <w:t xml:space="preserve"> opsigelsesvarsel er udløbet, vil der formelt ske gen</w:t>
      </w:r>
      <w:r w:rsidR="00533B72">
        <w:t>ansættelse, såfremt Afskedigelsesnævnet finder, at samarbejdet mellem virksomheden og arbejdstageren ikke har lidt væsentlig skade, eller må antages ikke at</w:t>
      </w:r>
      <w:r w:rsidR="000D4316">
        <w:t xml:space="preserve"> ville</w:t>
      </w:r>
      <w:r w:rsidR="00533B72">
        <w:t xml:space="preserve"> lide væsentlig skade ved en fortsættelse af ansættelsesforholdet. Det forhold, at ansættelsesforholdet er ophørt efter opsigelsesvarslets udløb, kan ikke undgå at få indflydelse på vurdering</w:t>
      </w:r>
      <w:r w:rsidR="00BF23CC">
        <w:t>en af det fremtidige samarbejde, der alt andet lige vil gøre det</w:t>
      </w:r>
      <w:r w:rsidR="00533B72">
        <w:t xml:space="preserve"> vanskeligere at få en kendelse</w:t>
      </w:r>
      <w:r w:rsidR="00BF23CC">
        <w:t xml:space="preserve"> om genansættelse</w:t>
      </w:r>
      <w:r w:rsidR="00533B72">
        <w:t>.</w:t>
      </w:r>
      <w:r w:rsidR="00533B72">
        <w:rPr>
          <w:rStyle w:val="Fodnotehenvisning"/>
        </w:rPr>
        <w:footnoteReference w:id="64"/>
      </w:r>
      <w:r w:rsidR="00C919DE">
        <w:t xml:space="preserve"> </w:t>
      </w:r>
      <w:r w:rsidR="00533B72">
        <w:t>En kendelse om underkendelse/genansættelse forudsætter dermed:</w:t>
      </w:r>
    </w:p>
    <w:p w14:paraId="1D7BF3CA" w14:textId="77777777" w:rsidR="00533B72" w:rsidRDefault="00533B72" w:rsidP="00FE76BB">
      <w:pPr>
        <w:pStyle w:val="Listeafsnit"/>
        <w:numPr>
          <w:ilvl w:val="0"/>
          <w:numId w:val="2"/>
        </w:numPr>
        <w:spacing w:line="360" w:lineRule="auto"/>
      </w:pPr>
      <w:r>
        <w:t>at der nedlægges påstand om underkendelse/genansættelse fra arbejdstagersiden</w:t>
      </w:r>
    </w:p>
    <w:p w14:paraId="374454B1" w14:textId="77777777" w:rsidR="00533B72" w:rsidRDefault="00533B72" w:rsidP="00FE76BB">
      <w:pPr>
        <w:pStyle w:val="Listeafsnit"/>
        <w:numPr>
          <w:ilvl w:val="0"/>
          <w:numId w:val="2"/>
        </w:numPr>
        <w:spacing w:line="360" w:lineRule="auto"/>
      </w:pPr>
      <w:r>
        <w:t>at den foretagne opsigelse er urimelig og således ikke sagligt begrundet i arbejdstagerens eller virksomhedens forhold</w:t>
      </w:r>
    </w:p>
    <w:p w14:paraId="5371C8A4" w14:textId="77777777" w:rsidR="00533B72" w:rsidRDefault="00533B72" w:rsidP="00FE76BB">
      <w:pPr>
        <w:pStyle w:val="Listeafsnit"/>
        <w:numPr>
          <w:ilvl w:val="0"/>
          <w:numId w:val="2"/>
        </w:numPr>
        <w:spacing w:line="360" w:lineRule="auto"/>
      </w:pPr>
      <w:r>
        <w:t>at samarbejdet mellem virksomheden og arbejdstageren ikke har lidt væsentlig skade, eller må antages at ville lide væsentlig skade ved en fortsættelse af ansættelsesforholdet</w:t>
      </w:r>
    </w:p>
    <w:p w14:paraId="4F2B1A36" w14:textId="77777777" w:rsidR="00533B72" w:rsidRDefault="00533B72" w:rsidP="00FE76BB">
      <w:pPr>
        <w:pStyle w:val="Listeafsnit"/>
        <w:numPr>
          <w:ilvl w:val="0"/>
          <w:numId w:val="2"/>
        </w:numPr>
        <w:spacing w:line="360" w:lineRule="auto"/>
      </w:pPr>
      <w:r>
        <w:t>at ansættelsesforholdet skal være underlagt Hovedaftalen mellem LO og DA, eller en anden tilsvarende hovedaftale, hvor d</w:t>
      </w:r>
      <w:r w:rsidR="00F80F44">
        <w:t>er er hjemmel til at genansætte arbejdstageren.</w:t>
      </w:r>
      <w:r w:rsidR="00F80F44">
        <w:rPr>
          <w:rStyle w:val="Fodnotehenvisning"/>
        </w:rPr>
        <w:footnoteReference w:id="65"/>
      </w:r>
    </w:p>
    <w:p w14:paraId="43997344" w14:textId="77777777" w:rsidR="00F80F44" w:rsidRDefault="00F80F44" w:rsidP="00FE76BB">
      <w:pPr>
        <w:pStyle w:val="Listeafsnit"/>
        <w:spacing w:line="360" w:lineRule="auto"/>
      </w:pPr>
    </w:p>
    <w:p w14:paraId="70E7D5E3" w14:textId="2DD71114" w:rsidR="00103FC1" w:rsidRPr="003D35FB" w:rsidRDefault="003D35FB" w:rsidP="00FE76BB">
      <w:pPr>
        <w:spacing w:line="360" w:lineRule="auto"/>
      </w:pPr>
      <w:r>
        <w:t xml:space="preserve">Underkendelsesadgangen blev først indsat i 1981. Fra 1. </w:t>
      </w:r>
      <w:r w:rsidR="00E43404">
        <w:t>J</w:t>
      </w:r>
      <w:r>
        <w:t>anuar 1993, blev ordlyden</w:t>
      </w:r>
      <w:r w:rsidR="0027202E">
        <w:t xml:space="preserve"> i Hovedaftalens § 4, stk. 3, litra e</w:t>
      </w:r>
      <w:r>
        <w:t xml:space="preserve"> skærpet</w:t>
      </w:r>
      <w:r w:rsidR="0027202E">
        <w:t>,</w:t>
      </w:r>
      <w:r>
        <w:t xml:space="preserve"> ved indsættelsen af ordet ”</w:t>
      </w:r>
      <w:r>
        <w:rPr>
          <w:i/>
        </w:rPr>
        <w:t>væsentlig.</w:t>
      </w:r>
      <w:r>
        <w:t>”</w:t>
      </w:r>
      <w:r>
        <w:rPr>
          <w:rStyle w:val="Fodnotehenvisning"/>
        </w:rPr>
        <w:footnoteReference w:id="66"/>
      </w:r>
      <w:r>
        <w:t xml:space="preserve"> </w:t>
      </w:r>
    </w:p>
    <w:p w14:paraId="09054BAC" w14:textId="1B5E9A84" w:rsidR="00103FC1" w:rsidRDefault="00103FC1" w:rsidP="00FE76BB">
      <w:pPr>
        <w:spacing w:line="360" w:lineRule="auto"/>
      </w:pPr>
      <w:r>
        <w:t>På det offentlige område er der også adgang til at underkende en opsigelse, såfremt den ikke er rimeligt begrundet. Dog forudsætter en underkendelse, at parterne er enige herom</w:t>
      </w:r>
      <w:r w:rsidR="006D6A35">
        <w:t>. I praksis kan den off</w:t>
      </w:r>
      <w:r w:rsidR="00BF23CC">
        <w:t>entlige arbejdsgiver derfor</w:t>
      </w:r>
      <w:r w:rsidR="006D6A35">
        <w:t xml:space="preserve"> modsætte sig underkendelsen med den virkning, at der reelt kun er adgang til at tilkende lønmodtageren en godtgørelse.</w:t>
      </w:r>
      <w:r w:rsidR="006D6A35">
        <w:rPr>
          <w:rStyle w:val="Fodnotehenvisning"/>
        </w:rPr>
        <w:footnoteReference w:id="67"/>
      </w:r>
    </w:p>
    <w:p w14:paraId="2B34AFAC" w14:textId="34A121D1" w:rsidR="00441D9E" w:rsidRDefault="00617CE7" w:rsidP="00FE76BB">
      <w:pPr>
        <w:spacing w:line="360" w:lineRule="auto"/>
      </w:pPr>
      <w:r>
        <w:t>Tilsvarende regler går igen med variationer i andre overenskomster og hovedaftaler. Det er dog ikke alle disse, der hjemler mulig</w:t>
      </w:r>
      <w:r w:rsidR="00BF23CC">
        <w:t>hed for at underkende afskedigelsen</w:t>
      </w:r>
      <w:r>
        <w:t>, og dermed en bevarelse af stillingen. Bestemmelser om godtgørel</w:t>
      </w:r>
      <w:r w:rsidR="00BF23CC">
        <w:t>sens størrelse kan også variere</w:t>
      </w:r>
      <w:r>
        <w:t>.</w:t>
      </w:r>
      <w:r>
        <w:rPr>
          <w:rStyle w:val="Fodnotehenvisning"/>
        </w:rPr>
        <w:footnoteReference w:id="68"/>
      </w:r>
      <w:r>
        <w:t xml:space="preserve"> </w:t>
      </w:r>
      <w:r w:rsidR="00BF23CC">
        <w:t xml:space="preserve"> </w:t>
      </w:r>
    </w:p>
    <w:p w14:paraId="4BF69518" w14:textId="38DD26AF" w:rsidR="00090AC0" w:rsidRPr="004B6426" w:rsidRDefault="00441D9E" w:rsidP="00441D9E">
      <w:r>
        <w:br w:type="page"/>
      </w:r>
    </w:p>
    <w:p w14:paraId="3D2858F6" w14:textId="1D6C0812" w:rsidR="0084015D" w:rsidRDefault="00D24E28" w:rsidP="00E55D4D">
      <w:pPr>
        <w:pStyle w:val="Overskrift1"/>
      </w:pPr>
      <w:bookmarkStart w:id="34" w:name="_Toc292966593"/>
      <w:r>
        <w:t>S</w:t>
      </w:r>
      <w:r w:rsidR="00772DD4">
        <w:t>ammenligning mellem</w:t>
      </w:r>
      <w:r w:rsidR="00A64F28">
        <w:t xml:space="preserve"> </w:t>
      </w:r>
      <w:r w:rsidR="009C793B">
        <w:t>direktiv</w:t>
      </w:r>
      <w:r w:rsidR="002F4141">
        <w:t xml:space="preserve"> 2001/23/EF art. 4, stk. 1, og</w:t>
      </w:r>
      <w:r w:rsidR="009C793B">
        <w:t xml:space="preserve"> </w:t>
      </w:r>
      <w:r w:rsidR="00A64F28">
        <w:t xml:space="preserve">VOL § 3, stk. 1, </w:t>
      </w:r>
      <w:r w:rsidR="006A38C0">
        <w:t>i forhold til retsvirkningen</w:t>
      </w:r>
      <w:r w:rsidR="00A64F28">
        <w:t xml:space="preserve"> af en usaglig afskedigelse</w:t>
      </w:r>
      <w:bookmarkEnd w:id="34"/>
      <w:r w:rsidR="00A64F28">
        <w:t xml:space="preserve"> </w:t>
      </w:r>
      <w:r w:rsidR="0084015D">
        <w:t xml:space="preserve"> </w:t>
      </w:r>
    </w:p>
    <w:p w14:paraId="7FEAFEF7" w14:textId="77777777" w:rsidR="00E55D4D" w:rsidRPr="00E55D4D" w:rsidRDefault="00E55D4D" w:rsidP="00E55D4D"/>
    <w:p w14:paraId="51821A39" w14:textId="71DFEF46" w:rsidR="00A64F28" w:rsidRDefault="00DA071E" w:rsidP="00FE76BB">
      <w:pPr>
        <w:spacing w:line="360" w:lineRule="auto"/>
      </w:pPr>
      <w:r>
        <w:t>Det er</w:t>
      </w:r>
      <w:r w:rsidR="00684CA7">
        <w:t xml:space="preserve"> som nævnt</w:t>
      </w:r>
      <w:r w:rsidR="0064414C">
        <w:t>,</w:t>
      </w:r>
      <w:r w:rsidR="00684CA7">
        <w:t xml:space="preserve"> indledningsvist i problemformuleringen</w:t>
      </w:r>
      <w:r>
        <w:t>,</w:t>
      </w:r>
      <w:r w:rsidR="0064414C">
        <w:t xml:space="preserve"> forudsat, at der i retslitterat</w:t>
      </w:r>
      <w:r w:rsidR="0007446F">
        <w:t>uren</w:t>
      </w:r>
      <w:r>
        <w:t xml:space="preserve"> har været tvivl </w:t>
      </w:r>
      <w:r w:rsidR="000D2D8F">
        <w:t>om, hvordan dir</w:t>
      </w:r>
      <w:r w:rsidR="0007446F">
        <w:t>ektiv 2001/23/EF art. 4, stk. 1</w:t>
      </w:r>
      <w:r w:rsidR="000D2D8F">
        <w:t xml:space="preserve"> skulle fortolkes,</w:t>
      </w:r>
      <w:r w:rsidR="00257A1A">
        <w:t xml:space="preserve"> i forhold til retsvirkningen</w:t>
      </w:r>
      <w:r w:rsidR="0064414C">
        <w:t xml:space="preserve"> af usaglig afskedigelse.</w:t>
      </w:r>
      <w:r w:rsidR="00860E48">
        <w:rPr>
          <w:rStyle w:val="Fodnotehenvisning"/>
        </w:rPr>
        <w:footnoteReference w:id="69"/>
      </w:r>
      <w:r w:rsidR="00257A1A">
        <w:t xml:space="preserve"> </w:t>
      </w:r>
      <w:r w:rsidR="0064414C">
        <w:t>Fortolkningstvivlen skyldes, at der</w:t>
      </w:r>
      <w:r w:rsidR="000F596C">
        <w:t xml:space="preserve"> efter</w:t>
      </w:r>
      <w:r w:rsidR="0007446F">
        <w:t xml:space="preserve"> EU-D</w:t>
      </w:r>
      <w:r w:rsidR="0064414C">
        <w:t xml:space="preserve">omstolens praksis, </w:t>
      </w:r>
      <w:r w:rsidR="000D2D8F">
        <w:t>har været argumente</w:t>
      </w:r>
      <w:r w:rsidR="0007446F">
        <w:t>ret for, at der måske kan</w:t>
      </w:r>
      <w:r w:rsidR="0064414C">
        <w:t xml:space="preserve"> u</w:t>
      </w:r>
      <w:r w:rsidR="00257A1A">
        <w:t>dledes et krav om, at retsvirkningen</w:t>
      </w:r>
      <w:r w:rsidR="0007446F">
        <w:t xml:space="preserve"> af en usaglig afskedigelse</w:t>
      </w:r>
      <w:r w:rsidR="0064414C">
        <w:t xml:space="preserve"> skulle være en underkendelse, og dermed en genansættelse</w:t>
      </w:r>
      <w:r w:rsidR="00482352">
        <w:t xml:space="preserve"> (naturalopfyldelsestankegangen)</w:t>
      </w:r>
      <w:r w:rsidR="0064414C">
        <w:t>.</w:t>
      </w:r>
      <w:r w:rsidR="009105FC">
        <w:t xml:space="preserve"> Direktivbestemmelsen skulle således indeholde et egentligt afskedigelsesforbud med den konsekvens, at</w:t>
      </w:r>
      <w:r w:rsidR="00A72C0D">
        <w:t xml:space="preserve"> et ansættelsesforhold, der i umiddelbar tilknytning til en virksomhedsoverdragelse</w:t>
      </w:r>
      <w:r w:rsidR="000F596C">
        <w:t>,</w:t>
      </w:r>
      <w:r w:rsidR="009105FC">
        <w:t xml:space="preserve"> er ophørt i strid med art. 4, st</w:t>
      </w:r>
      <w:r w:rsidR="00A72C0D">
        <w:t xml:space="preserve">k. 1, skal opretholdes overfor </w:t>
      </w:r>
      <w:r w:rsidR="009105FC">
        <w:t>erhververen af virksomheden.</w:t>
      </w:r>
      <w:r w:rsidR="00A72C0D">
        <w:t xml:space="preserve"> </w:t>
      </w:r>
      <w:r w:rsidR="009105FC">
        <w:t xml:space="preserve"> </w:t>
      </w:r>
    </w:p>
    <w:p w14:paraId="7872C4B1" w14:textId="41BA8B59" w:rsidR="00852BE5" w:rsidRDefault="00257A1A" w:rsidP="00FE76BB">
      <w:pPr>
        <w:spacing w:line="360" w:lineRule="auto"/>
      </w:pPr>
      <w:r>
        <w:t>Der er</w:t>
      </w:r>
      <w:r w:rsidR="00A72C0D">
        <w:t>,</w:t>
      </w:r>
      <w:r w:rsidR="00565D82">
        <w:t xml:space="preserve"> som nævnt i afsnit </w:t>
      </w:r>
      <w:r w:rsidR="00565D82">
        <w:fldChar w:fldCharType="begin"/>
      </w:r>
      <w:r w:rsidR="00565D82">
        <w:instrText xml:space="preserve"> REF _Ref292650000 \r \h </w:instrText>
      </w:r>
      <w:r w:rsidR="00565D82">
        <w:fldChar w:fldCharType="separate"/>
      </w:r>
      <w:r w:rsidR="00565D82">
        <w:t>3.2</w:t>
      </w:r>
      <w:r w:rsidR="00565D82">
        <w:fldChar w:fldCharType="end"/>
      </w:r>
      <w:r w:rsidR="00A72C0D">
        <w:t>, i Danmark,</w:t>
      </w:r>
      <w:r w:rsidR="007D5BEC">
        <w:t xml:space="preserve"> hverken i lovgivn</w:t>
      </w:r>
      <w:r>
        <w:t>ingen eller i overenskomster, generelt</w:t>
      </w:r>
      <w:r w:rsidR="007D5BEC">
        <w:t xml:space="preserve"> hjem</w:t>
      </w:r>
      <w:r>
        <w:t>mel til en</w:t>
      </w:r>
      <w:r w:rsidR="007D5BEC">
        <w:t xml:space="preserve"> underkendelsesadgang</w:t>
      </w:r>
      <w:r w:rsidR="00A72C0D">
        <w:t xml:space="preserve"> ved usaglige afskedigelser</w:t>
      </w:r>
      <w:r w:rsidR="007D5BEC">
        <w:t>. Såfremt EU-retten m</w:t>
      </w:r>
      <w:r w:rsidR="00A72C0D">
        <w:t>åtte kræve dette, er det derfor</w:t>
      </w:r>
      <w:r w:rsidR="007D5BEC">
        <w:t xml:space="preserve"> relevant at analysere, om virksomhedsoverdragelseslovens § 3, stk. 1 </w:t>
      </w:r>
      <w:r w:rsidR="00A72C0D">
        <w:t>også hjemler en sådan</w:t>
      </w:r>
      <w:r w:rsidR="007D5BEC">
        <w:t xml:space="preserve"> underkendelsesadgang, eller om det evt. må konstateres, at direktivet ikke er implement</w:t>
      </w:r>
      <w:r w:rsidR="000D2D8F">
        <w:t>eret tilstrækkeligt i dansk ret.</w:t>
      </w:r>
      <w:r w:rsidR="00C919DE">
        <w:t xml:space="preserve"> </w:t>
      </w:r>
      <w:r w:rsidR="006B3CD3">
        <w:t>På denne baggrund er det</w:t>
      </w:r>
      <w:r w:rsidR="00852BE5">
        <w:t xml:space="preserve"> relevant at analysere, om retsvirkningen af en afske</w:t>
      </w:r>
      <w:r w:rsidR="000D2D8F">
        <w:t>digelse i strid med art. 4, stk. 1</w:t>
      </w:r>
      <w:r w:rsidR="00852BE5">
        <w:t>,</w:t>
      </w:r>
      <w:r w:rsidR="00581992">
        <w:t xml:space="preserve"> dermed</w:t>
      </w:r>
      <w:r w:rsidR="00852BE5">
        <w:t xml:space="preserve"> er:</w:t>
      </w:r>
    </w:p>
    <w:p w14:paraId="5F8E9444" w14:textId="25552D0F" w:rsidR="00852BE5" w:rsidRDefault="00852BE5" w:rsidP="00FE76BB">
      <w:pPr>
        <w:pStyle w:val="Listeafsnit"/>
        <w:numPr>
          <w:ilvl w:val="0"/>
          <w:numId w:val="10"/>
        </w:numPr>
        <w:spacing w:line="360" w:lineRule="auto"/>
      </w:pPr>
      <w:r>
        <w:t>at afskedigelse</w:t>
      </w:r>
      <w:r w:rsidR="006B3CD3">
        <w:t>n underkendes</w:t>
      </w:r>
      <w:r>
        <w:t>, og at lønmodtageren derfor fortsat er ansat, og dermed overgår til</w:t>
      </w:r>
      <w:r w:rsidR="00581992">
        <w:t>/forbliver hos</w:t>
      </w:r>
      <w:r>
        <w:t xml:space="preserve"> erhververen</w:t>
      </w:r>
    </w:p>
    <w:p w14:paraId="650E5C79" w14:textId="77777777" w:rsidR="00852BE5" w:rsidRDefault="00852BE5" w:rsidP="00FE76BB">
      <w:pPr>
        <w:pStyle w:val="Listeafsnit"/>
        <w:numPr>
          <w:ilvl w:val="0"/>
          <w:numId w:val="10"/>
        </w:numPr>
        <w:spacing w:line="360" w:lineRule="auto"/>
      </w:pPr>
      <w:r>
        <w:t>at afskedigelsen opretholdes, medmindre den kan underkendes i kraft af andre regler</w:t>
      </w:r>
    </w:p>
    <w:p w14:paraId="2901D719" w14:textId="4FAE646D" w:rsidR="007D5BEC" w:rsidRDefault="00852BE5" w:rsidP="00FE76BB">
      <w:pPr>
        <w:pStyle w:val="Listeafsnit"/>
        <w:numPr>
          <w:ilvl w:val="0"/>
          <w:numId w:val="10"/>
        </w:numPr>
        <w:spacing w:line="360" w:lineRule="auto"/>
      </w:pPr>
      <w:r>
        <w:t xml:space="preserve">at afskedigelsen medfører, at lønmodtageren </w:t>
      </w:r>
      <w:r w:rsidR="00695054">
        <w:t>alene får ret til en økonomisk godtgørelse for</w:t>
      </w:r>
      <w:r w:rsidR="00581992">
        <w:t xml:space="preserve"> en</w:t>
      </w:r>
      <w:r w:rsidR="00695054">
        <w:t xml:space="preserve"> usaglig afskedigelse, hvor dette er hjemlet i anden lovgivning, overenskomst eller efter aftale. </w:t>
      </w:r>
      <w:r w:rsidR="007D5BEC">
        <w:t xml:space="preserve"> </w:t>
      </w:r>
    </w:p>
    <w:p w14:paraId="75F84E71" w14:textId="77777777" w:rsidR="0064414C" w:rsidRDefault="0064414C" w:rsidP="00FE76BB">
      <w:pPr>
        <w:spacing w:line="360" w:lineRule="auto"/>
      </w:pPr>
    </w:p>
    <w:p w14:paraId="5F2D912F" w14:textId="58061602" w:rsidR="0064414C" w:rsidRDefault="0064414C" w:rsidP="00FE76BB">
      <w:pPr>
        <w:spacing w:line="360" w:lineRule="auto"/>
      </w:pPr>
      <w:r>
        <w:t>Det skal således i det følgende analyseres, om direktiv 2001/23/EF kræver, at en</w:t>
      </w:r>
      <w:r w:rsidR="00581992">
        <w:t xml:space="preserve"> usaglig</w:t>
      </w:r>
      <w:r>
        <w:t xml:space="preserve"> afskedigelse skal</w:t>
      </w:r>
      <w:r w:rsidR="00581992">
        <w:t>/kan</w:t>
      </w:r>
      <w:r>
        <w:t xml:space="preserve"> underkendes, således at den pågældende</w:t>
      </w:r>
      <w:r w:rsidR="00EA78CE">
        <w:t xml:space="preserve"> lønmodtager</w:t>
      </w:r>
      <w:r>
        <w:t xml:space="preserve"> har krav på at blive genansat. </w:t>
      </w:r>
      <w:r w:rsidR="00581992">
        <w:t>Det skal derfor</w:t>
      </w:r>
      <w:r w:rsidR="00D653F6">
        <w:t xml:space="preserve"> først efterprøves, om best</w:t>
      </w:r>
      <w:r w:rsidR="009236BD">
        <w:t>emmelsernes ordlyd</w:t>
      </w:r>
      <w:r w:rsidR="00D653F6">
        <w:t>,</w:t>
      </w:r>
      <w:r w:rsidR="009236BD">
        <w:t xml:space="preserve"> samt forarbejderne til hhv. direktivet og virksomhedsoverdragelsesloven,</w:t>
      </w:r>
      <w:r w:rsidR="00D653F6">
        <w:t xml:space="preserve"> giver et tilstrækkeligt grundlag for at antage, at der er tale om et egentligt afskedigelsesforbud. </w:t>
      </w:r>
      <w:r w:rsidR="007D5BEC">
        <w:t>Såfremt det</w:t>
      </w:r>
      <w:r w:rsidR="006B3CD3">
        <w:t>te er tilfældet, vil der</w:t>
      </w:r>
      <w:r w:rsidR="00BF46A5">
        <w:t xml:space="preserve"> således</w:t>
      </w:r>
      <w:r w:rsidR="007D5BEC">
        <w:t xml:space="preserve"> være tale om e</w:t>
      </w:r>
      <w:r w:rsidR="00BF46A5">
        <w:t>n generel underkendelsesadgang</w:t>
      </w:r>
      <w:r w:rsidR="007D5BEC">
        <w:t xml:space="preserve">, som </w:t>
      </w:r>
      <w:r w:rsidR="00BF46A5">
        <w:t>er uafhængig af medlemsstaternes eksisterende</w:t>
      </w:r>
      <w:r w:rsidR="007D5BEC">
        <w:t xml:space="preserve"> nationale lovgivning og overenskomster. </w:t>
      </w:r>
      <w:r w:rsidR="00D653F6">
        <w:t>For Danmarks vedkomm</w:t>
      </w:r>
      <w:r w:rsidR="00BF46A5">
        <w:t>ende vil dette medføre</w:t>
      </w:r>
      <w:r w:rsidR="00D653F6">
        <w:t xml:space="preserve">, at man </w:t>
      </w:r>
      <w:r w:rsidR="00EA78CE">
        <w:t>fra EU’s</w:t>
      </w:r>
      <w:r w:rsidR="00BF46A5">
        <w:t xml:space="preserve"> side,</w:t>
      </w:r>
      <w:r w:rsidR="00D653F6">
        <w:t xml:space="preserve"> tilsidesætter en retstilstand, der gennem mang</w:t>
      </w:r>
      <w:r w:rsidR="00BF46A5">
        <w:t>e år har udviklet sig i Danmark på baggrund af den danske aftalemodel. L</w:t>
      </w:r>
      <w:r w:rsidR="00D653F6">
        <w:t>ovgivningsmæssigt er</w:t>
      </w:r>
      <w:r w:rsidR="00BF46A5">
        <w:t xml:space="preserve"> der i Danmark kun</w:t>
      </w:r>
      <w:r w:rsidR="00D653F6">
        <w:t xml:space="preserve"> sikret en underkendelsesadgang efter ligebehandlingsprincipper, jf. ligebehandlingslovens § 16, ligelønslovens § 3 og foreningsfrihedslovens § 4.</w:t>
      </w:r>
      <w:r w:rsidR="001A3857">
        <w:t xml:space="preserve"> </w:t>
      </w:r>
      <w:r w:rsidR="00D653F6">
        <w:t>Andre lovbestemmelser</w:t>
      </w:r>
      <w:r w:rsidR="006B3CD3">
        <w:t>,</w:t>
      </w:r>
      <w:r w:rsidR="00D653F6">
        <w:t xml:space="preserve"> om usaglige afskedigelser</w:t>
      </w:r>
      <w:r w:rsidR="006B3CD3">
        <w:t>,</w:t>
      </w:r>
      <w:r w:rsidR="00D653F6">
        <w:t xml:space="preserve"> sanktioneres alene med en</w:t>
      </w:r>
      <w:r w:rsidR="00BF46A5">
        <w:t xml:space="preserve"> økonomisk</w:t>
      </w:r>
      <w:r w:rsidR="00D653F6">
        <w:t xml:space="preserve"> godtgørelse. </w:t>
      </w:r>
      <w:r w:rsidR="001A3857">
        <w:t>Overenskomstmæssigt består der kun en adgang til at underkende en afskedigelse, såfremt man har forhandlet sig til denne.</w:t>
      </w:r>
      <w:r w:rsidR="001A3857">
        <w:rPr>
          <w:rStyle w:val="Fodnotehenvisning"/>
        </w:rPr>
        <w:footnoteReference w:id="70"/>
      </w:r>
      <w:r w:rsidR="001A3857">
        <w:t xml:space="preserve"> </w:t>
      </w:r>
    </w:p>
    <w:p w14:paraId="32F66BF0" w14:textId="386E6F18" w:rsidR="009236BD" w:rsidRDefault="009236BD" w:rsidP="009236BD">
      <w:pPr>
        <w:spacing w:line="360" w:lineRule="auto"/>
      </w:pPr>
      <w:r>
        <w:t>Ens f</w:t>
      </w:r>
      <w:r w:rsidR="00BF46A5">
        <w:t xml:space="preserve">or både direktivets art. 4 og VOL § 3 </w:t>
      </w:r>
      <w:r>
        <w:t>er, at in</w:t>
      </w:r>
      <w:r w:rsidR="00BF46A5">
        <w:t>gen af dem, i selve bestemmelserne</w:t>
      </w:r>
      <w:r>
        <w:t>, tager konkret stilling til retsvirkningen af en afskedigelse i strid med bestemmelserne.</w:t>
      </w:r>
      <w:r w:rsidR="006B74ED">
        <w:t xml:space="preserve"> Der vil derfor først være en analyse af</w:t>
      </w:r>
      <w:r w:rsidR="00BF46A5">
        <w:t xml:space="preserve"> det bagvedliggende</w:t>
      </w:r>
      <w:r w:rsidR="006B74ED">
        <w:t xml:space="preserve"> direktiv 2001/23/EF art. 4, stk. 1. Formålet med dette er, at der</w:t>
      </w:r>
      <w:r w:rsidR="004E3862">
        <w:t xml:space="preserve"> efterfølgende</w:t>
      </w:r>
      <w:r w:rsidR="006B74ED">
        <w:t xml:space="preserve"> ligeledes vil være en analyse af VOL § 3, stk. 1. Herefter vil det være muligt at konkludere, om fortolkningen af VOL § 3, stk. 1, stemmer overnes med fortolkningen af</w:t>
      </w:r>
      <w:r w:rsidR="004E3862">
        <w:t xml:space="preserve"> det bagvedliggende</w:t>
      </w:r>
      <w:r w:rsidR="006B74ED">
        <w:t xml:space="preserve"> d</w:t>
      </w:r>
      <w:r w:rsidR="004E3862">
        <w:t>i</w:t>
      </w:r>
      <w:r w:rsidR="00EA78CE">
        <w:t>rektivs art. 4, stk. 1. Det</w:t>
      </w:r>
      <w:r w:rsidR="004E3862">
        <w:t xml:space="preserve"> vil</w:t>
      </w:r>
      <w:r w:rsidR="00EA78CE">
        <w:t xml:space="preserve"> dermed også </w:t>
      </w:r>
      <w:r w:rsidR="004E3862">
        <w:t>være muligt at konkludere, om</w:t>
      </w:r>
      <w:r w:rsidR="006B74ED">
        <w:t xml:space="preserve"> art. 4, stk. 1, efter hensigten, er implementeret tilstrækkeligt i VOL § 3, stk. 1. Analysen tager udgangspunkt i forarbejderne til direktivet og virksomhedsoverdragelsesloven.    </w:t>
      </w:r>
      <w:r>
        <w:t xml:space="preserve"> </w:t>
      </w:r>
    </w:p>
    <w:p w14:paraId="45323A61" w14:textId="77777777" w:rsidR="009236BD" w:rsidRDefault="009236BD" w:rsidP="00FE76BB">
      <w:pPr>
        <w:spacing w:line="360" w:lineRule="auto"/>
      </w:pPr>
    </w:p>
    <w:p w14:paraId="0FBE8DCA" w14:textId="77777777" w:rsidR="00177349" w:rsidRDefault="00177349" w:rsidP="00FE76BB">
      <w:pPr>
        <w:spacing w:line="360" w:lineRule="auto"/>
      </w:pPr>
    </w:p>
    <w:p w14:paraId="5BFBA759" w14:textId="77777777" w:rsidR="00177349" w:rsidRDefault="00177349" w:rsidP="00184189">
      <w:pPr>
        <w:pStyle w:val="Overskrift2"/>
      </w:pPr>
      <w:bookmarkStart w:id="35" w:name="_Toc292966594"/>
      <w:r>
        <w:t>Fortolkning af direktiv 2001/23/EF art. 4, stk. 1</w:t>
      </w:r>
      <w:bookmarkEnd w:id="35"/>
    </w:p>
    <w:p w14:paraId="68465ABC" w14:textId="77777777" w:rsidR="00A74247" w:rsidRPr="00A74247" w:rsidRDefault="00A74247" w:rsidP="00A74247"/>
    <w:p w14:paraId="1E978279" w14:textId="0111CDC6" w:rsidR="002A0E71" w:rsidRDefault="004E3862" w:rsidP="00FE76BB">
      <w:pPr>
        <w:spacing w:line="360" w:lineRule="auto"/>
      </w:pPr>
      <w:r>
        <w:t>I det følgende vil</w:t>
      </w:r>
      <w:r w:rsidR="00177349">
        <w:t xml:space="preserve"> direktiv 2001/</w:t>
      </w:r>
      <w:r w:rsidR="006B3CD3">
        <w:t>23/EF art. 4, stk. 1</w:t>
      </w:r>
      <w:r>
        <w:t>, blive a</w:t>
      </w:r>
      <w:r w:rsidR="00A704CD">
        <w:t>nalyseret. Analysen skal</w:t>
      </w:r>
      <w:r>
        <w:t xml:space="preserve"> lede</w:t>
      </w:r>
      <w:r w:rsidR="00177349">
        <w:t xml:space="preserve"> frem til, hvad</w:t>
      </w:r>
      <w:r w:rsidR="006B3CD3">
        <w:t xml:space="preserve"> der</w:t>
      </w:r>
      <w:r>
        <w:t xml:space="preserve"> fra </w:t>
      </w:r>
      <w:r w:rsidR="006B3CD3">
        <w:t>EU’s</w:t>
      </w:r>
      <w:r w:rsidR="00A704CD">
        <w:t xml:space="preserve"> side</w:t>
      </w:r>
      <w:r>
        <w:t xml:space="preserve"> har været meningen</w:t>
      </w:r>
      <w:r w:rsidR="00A704CD">
        <w:t>,</w:t>
      </w:r>
      <w:r w:rsidR="00177349">
        <w:t xml:space="preserve"> i</w:t>
      </w:r>
      <w:r w:rsidR="00D465E1">
        <w:t xml:space="preserve"> forhold til</w:t>
      </w:r>
      <w:r w:rsidR="00AA765E">
        <w:t xml:space="preserve"> retsvirkningen af</w:t>
      </w:r>
      <w:r w:rsidR="00177349">
        <w:t xml:space="preserve"> en afskedigelse i str</w:t>
      </w:r>
      <w:r w:rsidR="00111569">
        <w:t>id med direktivet</w:t>
      </w:r>
      <w:r w:rsidR="00177349">
        <w:t xml:space="preserve">. </w:t>
      </w:r>
    </w:p>
    <w:p w14:paraId="7EF502FC" w14:textId="77777777" w:rsidR="002A0E71" w:rsidRDefault="002A0E71" w:rsidP="00FE76BB">
      <w:pPr>
        <w:spacing w:line="360" w:lineRule="auto"/>
      </w:pPr>
      <w:r>
        <w:t>Bestemmelsen i direktiv 2001/23/EF art. 4, stk. 1, lyder således:</w:t>
      </w:r>
    </w:p>
    <w:p w14:paraId="156D749A" w14:textId="77777777" w:rsidR="002A0E71" w:rsidRDefault="002A0E71" w:rsidP="00FE76BB">
      <w:pPr>
        <w:spacing w:line="360" w:lineRule="auto"/>
      </w:pPr>
    </w:p>
    <w:p w14:paraId="17FFA33D" w14:textId="311F788B" w:rsidR="00EC2C89" w:rsidRPr="00EC2C89" w:rsidRDefault="004A28EA" w:rsidP="004A28EA">
      <w:pPr>
        <w:spacing w:line="360" w:lineRule="auto"/>
        <w:rPr>
          <w:i/>
        </w:rPr>
      </w:pPr>
      <w:r>
        <w:rPr>
          <w:i/>
        </w:rPr>
        <w:t>”</w:t>
      </w:r>
      <w:r w:rsidR="002A0E71" w:rsidRPr="00EC2C89">
        <w:rPr>
          <w:i/>
        </w:rPr>
        <w:t xml:space="preserve">Overførsel af en virksomhed, bedrift eller del af en bedrift giver ikke i sig selv overdrageren eller erhververen nogen begrundelse for at foretage afskedigelser. Denne bestemmelse er ikke til hinder for, at der kan ske afskedigelser af økonomiske, tekniske eller organisatoriske årsager, der medfører </w:t>
      </w:r>
      <w:r w:rsidR="00EC2C89" w:rsidRPr="00EC2C89">
        <w:rPr>
          <w:i/>
        </w:rPr>
        <w:t>beskæftigelsesmæssige ændringer.</w:t>
      </w:r>
    </w:p>
    <w:p w14:paraId="1C523229" w14:textId="2CB69469" w:rsidR="00177349" w:rsidRDefault="00EC2C89" w:rsidP="00FE76BB">
      <w:pPr>
        <w:spacing w:line="360" w:lineRule="auto"/>
      </w:pPr>
      <w:r w:rsidRPr="00EC2C89">
        <w:rPr>
          <w:i/>
        </w:rPr>
        <w:t>Medlemsstaterne kan bestemme, at første afsnit ikke skal gælde for gælde for visse afgrænsede kategorier af arbejdstagere, der ikke er dækket af medlemsstaternes lovgivning eller praksis vedrørende beskyttelse mod afskedigelse.</w:t>
      </w:r>
      <w:r w:rsidR="004A28EA">
        <w:rPr>
          <w:i/>
        </w:rPr>
        <w:t>”</w:t>
      </w:r>
    </w:p>
    <w:p w14:paraId="04DDF141" w14:textId="517D0043" w:rsidR="00465935" w:rsidRDefault="00465935" w:rsidP="00BF23B6">
      <w:pPr>
        <w:pStyle w:val="Overskrift3"/>
      </w:pPr>
      <w:bookmarkStart w:id="36" w:name="_Toc292966595"/>
      <w:r>
        <w:t>Forarbejder til direktiv 2001/23/EF</w:t>
      </w:r>
      <w:bookmarkEnd w:id="36"/>
    </w:p>
    <w:p w14:paraId="7407BF64" w14:textId="77777777" w:rsidR="00A74247" w:rsidRPr="00A74247" w:rsidRDefault="00A74247" w:rsidP="00A74247"/>
    <w:p w14:paraId="70D73C0B" w14:textId="30081550" w:rsidR="008033E5" w:rsidRDefault="0006491C" w:rsidP="00FE76BB">
      <w:pPr>
        <w:spacing w:line="360" w:lineRule="auto"/>
      </w:pPr>
      <w:r>
        <w:t>I maj 1974 blev Rådet for de europæiske fællesskaber, af kommissio</w:t>
      </w:r>
      <w:r w:rsidR="004A28EA">
        <w:t>nen, forelagt det første forslag</w:t>
      </w:r>
      <w:r>
        <w:t xml:space="preserve"> til direktiv</w:t>
      </w:r>
      <w:r w:rsidR="006B74ED">
        <w:t>,</w:t>
      </w:r>
      <w:r>
        <w:t xml:space="preserve"> om harmonisering af medlemsstaternes lovgivning om varetagelse af arbejdstagernes rettigheder og fordele i forbindelse med selskabsfusioner, virksomhedsoverdragelser og virksomhedssammenslutninger</w:t>
      </w:r>
      <w:r w:rsidR="008033E5">
        <w:t>.</w:t>
      </w:r>
      <w:r w:rsidR="008033E5">
        <w:rPr>
          <w:rStyle w:val="Fodnotehenvisning"/>
        </w:rPr>
        <w:footnoteReference w:id="71"/>
      </w:r>
      <w:r>
        <w:t xml:space="preserve"> </w:t>
      </w:r>
      <w:r w:rsidR="004A28EA">
        <w:t>I forslagets</w:t>
      </w:r>
      <w:r w:rsidR="00465935">
        <w:t xml:space="preserve"> indledende bemærkninger fremgik bl.a., </w:t>
      </w:r>
      <w:r w:rsidR="00886E98">
        <w:t>at virksomhedsstrukturerne truede med at forringe lønmodtagernes</w:t>
      </w:r>
      <w:r w:rsidR="00465935">
        <w:t xml:space="preserve"> leve- og arbejdsvilkår, navnlig med hensyn til varetagelsen af deres </w:t>
      </w:r>
      <w:r w:rsidR="004A28EA">
        <w:t>rettigheder og fordele. D</w:t>
      </w:r>
      <w:r w:rsidR="00465935">
        <w:t xml:space="preserve">er </w:t>
      </w:r>
      <w:r w:rsidR="004A28EA">
        <w:t>måtte derfor</w:t>
      </w:r>
      <w:r w:rsidR="00465935">
        <w:t xml:space="preserve"> gennemfør</w:t>
      </w:r>
      <w:r w:rsidR="00A704CD">
        <w:t>es en aktion på fællesskabsplan</w:t>
      </w:r>
      <w:r w:rsidR="00465935">
        <w:t xml:space="preserve"> t</w:t>
      </w:r>
      <w:r w:rsidR="006B74ED">
        <w:t>il beskyttelse af lønmodtagerne</w:t>
      </w:r>
      <w:r w:rsidR="004A28EA">
        <w:t>,</w:t>
      </w:r>
      <w:r w:rsidR="00465935">
        <w:t xml:space="preserve"> i tilfælde af ændringer af virksomhedsstrukturerne</w:t>
      </w:r>
      <w:r w:rsidR="008033E5">
        <w:t>, og</w:t>
      </w:r>
      <w:r w:rsidR="00465935">
        <w:t xml:space="preserve"> for så vidt muligt </w:t>
      </w:r>
      <w:r w:rsidR="00C656E0">
        <w:t>at sikre dem deres arbejdsplads</w:t>
      </w:r>
      <w:r w:rsidR="006B74ED">
        <w:t>,</w:t>
      </w:r>
      <w:r w:rsidR="00C656E0">
        <w:t xml:space="preserve"> og opretholdelse af deres arbejdsvilkår. </w:t>
      </w:r>
      <w:r w:rsidR="008033E5">
        <w:t>I</w:t>
      </w:r>
      <w:r w:rsidR="009D588E">
        <w:t xml:space="preserve"> det</w:t>
      </w:r>
      <w:r w:rsidR="008033E5">
        <w:t>te</w:t>
      </w:r>
      <w:r w:rsidR="009D588E">
        <w:t xml:space="preserve"> oprindelige forslag</w:t>
      </w:r>
      <w:r w:rsidR="008033E5">
        <w:t>, blev artikel 4 udformet med et stykke 1, 2 og 3, og lød således:</w:t>
      </w:r>
    </w:p>
    <w:p w14:paraId="5CA8EA7D" w14:textId="77777777" w:rsidR="008033E5" w:rsidRDefault="008033E5" w:rsidP="00FE76BB">
      <w:pPr>
        <w:spacing w:line="360" w:lineRule="auto"/>
      </w:pPr>
    </w:p>
    <w:p w14:paraId="57389BAB" w14:textId="77777777" w:rsidR="008033E5" w:rsidRDefault="008033E5" w:rsidP="00FE76BB">
      <w:pPr>
        <w:spacing w:line="360" w:lineRule="auto"/>
      </w:pPr>
      <w:r>
        <w:t>Art. 4:</w:t>
      </w:r>
    </w:p>
    <w:p w14:paraId="1BE7F5AD" w14:textId="29742CB8" w:rsidR="008033E5" w:rsidRPr="00FB4C0D" w:rsidRDefault="008033E5" w:rsidP="00FE76BB">
      <w:pPr>
        <w:pStyle w:val="Listeafsnit"/>
        <w:numPr>
          <w:ilvl w:val="0"/>
          <w:numId w:val="9"/>
        </w:numPr>
        <w:spacing w:line="360" w:lineRule="auto"/>
        <w:rPr>
          <w:i/>
        </w:rPr>
      </w:pPr>
      <w:r w:rsidRPr="00FB4C0D">
        <w:rPr>
          <w:i/>
        </w:rPr>
        <w:t>Selskabsfusion eller virksomhedsoverdragelse som sådan er ikke grund til opløsning af arbejdsforholdet fra sælgers eller købers side. Opsigelser i forbindelse med selskabsfusioner eller virksomhedsoverdragelser på grund af tvingende årsager i virksomheden berøres dog ikke deraf.</w:t>
      </w:r>
    </w:p>
    <w:p w14:paraId="43BDF8B4" w14:textId="77777777" w:rsidR="00FB4C0D" w:rsidRPr="00A01063" w:rsidRDefault="008033E5" w:rsidP="00FE76BB">
      <w:pPr>
        <w:pStyle w:val="Listeafsnit"/>
        <w:numPr>
          <w:ilvl w:val="0"/>
          <w:numId w:val="9"/>
        </w:numPr>
        <w:spacing w:line="360" w:lineRule="auto"/>
        <w:rPr>
          <w:i/>
        </w:rPr>
      </w:pPr>
      <w:r w:rsidRPr="00A01063">
        <w:rPr>
          <w:i/>
        </w:rPr>
        <w:t>Retsvirkningen af en opsigelse, der i henhold til stk. 1 er ulovlig, afhænger af medlemsstaternes ved lov eller administrativt fastsatte bestemmelser. Affindelser eller andre retlige krav, som medlemsstaternes ved lov eller administrativt fastsatte bestemmelser fastlægger, berøres ikke.</w:t>
      </w:r>
    </w:p>
    <w:p w14:paraId="1C657A0A" w14:textId="5841DD93" w:rsidR="00EC2C89" w:rsidRDefault="00FB4C0D" w:rsidP="00FE76BB">
      <w:pPr>
        <w:pStyle w:val="Listeafsnit"/>
        <w:numPr>
          <w:ilvl w:val="0"/>
          <w:numId w:val="9"/>
        </w:numPr>
        <w:spacing w:line="360" w:lineRule="auto"/>
      </w:pPr>
      <w:r w:rsidRPr="00FB4C0D">
        <w:rPr>
          <w:i/>
        </w:rPr>
        <w:t>Såfremt arbejdsforholdet opløses fra arbejdstagers side, fordi selskabsfusionen eller virksomhedsoverdragelsen medfører en væsentlig ændring af dennes arbejdsvilkår, antages det, at arbejdsforholdets opløsning er forårsaget af en omstændighed, som arbejdsgiver er ansvarlig for.</w:t>
      </w:r>
      <w:r>
        <w:t xml:space="preserve"> </w:t>
      </w:r>
      <w:r w:rsidR="009D588E">
        <w:t xml:space="preserve"> </w:t>
      </w:r>
    </w:p>
    <w:p w14:paraId="2C114329" w14:textId="77777777" w:rsidR="00FB4C0D" w:rsidRDefault="00FB4C0D" w:rsidP="00FE76BB">
      <w:pPr>
        <w:spacing w:line="360" w:lineRule="auto"/>
      </w:pPr>
    </w:p>
    <w:p w14:paraId="745348D0" w14:textId="789DFF82" w:rsidR="00E92368" w:rsidRDefault="00E92368" w:rsidP="00FE76BB">
      <w:pPr>
        <w:spacing w:line="360" w:lineRule="auto"/>
      </w:pPr>
      <w:r>
        <w:t>Der var således i det opr</w:t>
      </w:r>
      <w:r w:rsidR="00A704CD">
        <w:t>indelige forslag til direktivet</w:t>
      </w:r>
      <w:r w:rsidR="004A28EA">
        <w:t xml:space="preserve"> indsat et stk. 2, der forholdt</w:t>
      </w:r>
      <w:r w:rsidR="0087429F">
        <w:t xml:space="preserve"> sig til</w:t>
      </w:r>
      <w:r>
        <w:t xml:space="preserve"> retsvirkning</w:t>
      </w:r>
      <w:r w:rsidR="006B74ED">
        <w:t>en af en usaglig</w:t>
      </w:r>
      <w:r w:rsidR="0087429F">
        <w:t xml:space="preserve"> afskedigelse. Oprindeligt blev det således for</w:t>
      </w:r>
      <w:r w:rsidR="008061DA">
        <w:t>e</w:t>
      </w:r>
      <w:r w:rsidR="0087429F">
        <w:t>slået, at retsvirkningen, og derme</w:t>
      </w:r>
      <w:r w:rsidR="00E40C41">
        <w:t>d også sanktionen, af en usaglig</w:t>
      </w:r>
      <w:r w:rsidR="0087429F">
        <w:t xml:space="preserve"> afskedigelse, afhang af medlemsstaternes</w:t>
      </w:r>
      <w:r w:rsidR="006B74ED">
        <w:t xml:space="preserve"> egne</w:t>
      </w:r>
      <w:r w:rsidR="0087429F">
        <w:t xml:space="preserve"> love eller administrativt fastsætte bestemmelser. For Danmark</w:t>
      </w:r>
      <w:r w:rsidR="00886E98">
        <w:t>s vedkommende</w:t>
      </w:r>
      <w:r w:rsidR="006B74ED">
        <w:t xml:space="preserve"> ville man dermed,</w:t>
      </w:r>
      <w:r w:rsidR="0087429F">
        <w:t xml:space="preserve"> efter direktivets art. 4, stk. 2, finde retsvirkningen i enten loven, som på det arbejdsretlige område ville være FUL § 2 b, eller administrativt fastsatte bestemmelser, som ville være Hovedaftalens § 4, stk. 3. </w:t>
      </w:r>
      <w:r w:rsidR="00C96A1B">
        <w:t>Efter FUL § 2 b, ville retsvirkningen således være en sanktion, i form af en godtgørelse. Efter Hovedaftalens § 4, stk. 3, ville retsvirkningen enten være en genansættelse, eller en sanktion, i form af en godtgørelse.</w:t>
      </w:r>
      <w:r w:rsidR="0087429F">
        <w:t xml:space="preserve">  </w:t>
      </w:r>
    </w:p>
    <w:p w14:paraId="21C36E0D" w14:textId="3B8167D7" w:rsidR="004A6543" w:rsidRDefault="00FB4C0D" w:rsidP="00FE76BB">
      <w:pPr>
        <w:spacing w:line="360" w:lineRule="auto"/>
      </w:pPr>
      <w:r>
        <w:t xml:space="preserve">På baggrund af </w:t>
      </w:r>
      <w:r w:rsidR="00385C8F">
        <w:t>forslaget kom Det Økonomiske og Sociale Udvalg med en udtalelse om</w:t>
      </w:r>
      <w:r w:rsidR="00E40C41">
        <w:t>kring</w:t>
      </w:r>
      <w:r w:rsidR="00385C8F">
        <w:t xml:space="preserve"> </w:t>
      </w:r>
      <w:r w:rsidR="00C96A1B">
        <w:t>”</w:t>
      </w:r>
      <w:r w:rsidR="00385C8F" w:rsidRPr="00385C8F">
        <w:rPr>
          <w:i/>
        </w:rPr>
        <w:t>forslag til Rådets direktiv om harmonisering af medlemsstaternes lovgivning om varetagelse af arbejdstagernes rettigheder og fordele i forbindelse med selskabsfusioner, virksomhedsoverdragelser og virksomhedssammenslutninger.</w:t>
      </w:r>
      <w:r w:rsidR="00C96A1B">
        <w:rPr>
          <w:i/>
        </w:rPr>
        <w:t>”</w:t>
      </w:r>
      <w:r w:rsidR="00385C8F">
        <w:rPr>
          <w:rStyle w:val="Fodnotehenvisning"/>
          <w:i/>
        </w:rPr>
        <w:footnoteReference w:id="72"/>
      </w:r>
      <w:r w:rsidR="00032228">
        <w:rPr>
          <w:i/>
        </w:rPr>
        <w:t xml:space="preserve"> </w:t>
      </w:r>
      <w:r w:rsidR="001C796B">
        <w:t>I udtalelsen kom Det Økonomiske og Sociale udvalg med nogle særlige bemærkninger til d</w:t>
      </w:r>
      <w:r w:rsidR="00A01063">
        <w:t>e enkelte artikler i direktivet, samt nogle forslag til ændringer.</w:t>
      </w:r>
      <w:r w:rsidR="001C796B">
        <w:t xml:space="preserve"> Til art. 4</w:t>
      </w:r>
      <w:r w:rsidR="00A01063">
        <w:t xml:space="preserve"> havde udvalge</w:t>
      </w:r>
      <w:r w:rsidR="008061DA">
        <w:t>t dog kun bemærkninger og forsla</w:t>
      </w:r>
      <w:r w:rsidR="00A01063">
        <w:t xml:space="preserve">g til ændringer til art. 4, stk. 1 </w:t>
      </w:r>
      <w:r w:rsidR="00A704CD">
        <w:t>og 3. Art. 4, stk. 2, som omhandlede</w:t>
      </w:r>
      <w:r w:rsidR="004A6543">
        <w:t xml:space="preserve"> retsvirkningen af en usaglig</w:t>
      </w:r>
      <w:r w:rsidR="00A704CD">
        <w:t xml:space="preserve"> afskedigelse, blev ikke bemærket af U</w:t>
      </w:r>
      <w:r w:rsidR="00A01063">
        <w:t>dvalget.</w:t>
      </w:r>
      <w:r w:rsidR="004A6543">
        <w:rPr>
          <w:rStyle w:val="Fodnotehenvisning"/>
        </w:rPr>
        <w:footnoteReference w:id="73"/>
      </w:r>
      <w:r w:rsidR="00A01063">
        <w:t xml:space="preserve"> De ændringer som blev for</w:t>
      </w:r>
      <w:r w:rsidR="008061DA">
        <w:t>e</w:t>
      </w:r>
      <w:r w:rsidR="00A01063">
        <w:t>slået til stk. 1 og 3</w:t>
      </w:r>
      <w:r w:rsidR="004A6543">
        <w:t>,</w:t>
      </w:r>
      <w:r w:rsidR="00A01063">
        <w:t xml:space="preserve"> har ingen betydning for retsvirkningen af en usaglig afskedigelse</w:t>
      </w:r>
      <w:r w:rsidR="004A6543">
        <w:t xml:space="preserve">, eller til fortolkningen heraf. </w:t>
      </w:r>
      <w:r w:rsidR="001C796B">
        <w:t xml:space="preserve"> </w:t>
      </w:r>
    </w:p>
    <w:p w14:paraId="1334C18A" w14:textId="79F8B023" w:rsidR="001F326C" w:rsidRDefault="004A6543" w:rsidP="00FE76BB">
      <w:pPr>
        <w:spacing w:line="360" w:lineRule="auto"/>
      </w:pPr>
      <w:r>
        <w:t>Europa-Parlamentet udtalte sig også på baggrund af det oprindelige forslag til direktivet.</w:t>
      </w:r>
      <w:r>
        <w:rPr>
          <w:rStyle w:val="Fodnotehenvisning"/>
        </w:rPr>
        <w:footnoteReference w:id="74"/>
      </w:r>
      <w:r>
        <w:t xml:space="preserve"> </w:t>
      </w:r>
      <w:r w:rsidR="00575762">
        <w:t>Af udtalelserne fra Europa-Parlamentet fremgår, at der har været u</w:t>
      </w:r>
      <w:r w:rsidR="00E40C41">
        <w:t>darbejdet en betænkning, som blev</w:t>
      </w:r>
      <w:r w:rsidR="00575762">
        <w:t xml:space="preserve"> udarbejdet for arbejds- og socialudvalget</w:t>
      </w:r>
      <w:r w:rsidR="00E40C41">
        <w:t>,</w:t>
      </w:r>
      <w:r w:rsidR="00575762">
        <w:t xml:space="preserve"> over forsalget fra Kommissionen for De europæiske Fællesskaber til Rådet. Betænkningen er ikke offentliggjort. På baggrund af udtalelserne fremgår det, at Parlamentet behandlede de ændringsfo</w:t>
      </w:r>
      <w:r w:rsidR="00A704CD">
        <w:t>rsalg, der var stillet til fors</w:t>
      </w:r>
      <w:r w:rsidR="00575762">
        <w:t>l</w:t>
      </w:r>
      <w:r w:rsidR="00A704CD">
        <w:t>a</w:t>
      </w:r>
      <w:r w:rsidR="00575762">
        <w:t xml:space="preserve">get til direktivet. Det fremgår således, at der til art. 4, stk. 1, art. 4, stk. 2 samt art. 4, stk. 3, blev stillet nogle ændringsforsalg, men at disse ændringsforsalg alle blev forkastet. </w:t>
      </w:r>
      <w:r w:rsidR="00B33CAB">
        <w:t>Det fremgår dog ikke af udtalelsern</w:t>
      </w:r>
      <w:r w:rsidR="00D33E3C">
        <w:t>e, hvad de enkelte ændringsfors</w:t>
      </w:r>
      <w:r w:rsidR="00B33CAB">
        <w:t>l</w:t>
      </w:r>
      <w:r w:rsidR="00D33E3C">
        <w:t>a</w:t>
      </w:r>
      <w:r w:rsidR="00B33CAB">
        <w:t>g gik ud på, og hvorfor de alle blev forkastet af Europa-Parlamentet. Det blev dog alligevel, af Europa-Parlamentet, besluttet</w:t>
      </w:r>
      <w:r w:rsidR="00E40C41">
        <w:t>,</w:t>
      </w:r>
      <w:r w:rsidR="00B33CAB">
        <w:t xml:space="preserve"> at lave et forslag til en ændring af direktivet, som også skete på baggrund af betænkningen fra arbejds- og socialudvalget</w:t>
      </w:r>
      <w:r w:rsidR="00886E98">
        <w:t>,</w:t>
      </w:r>
      <w:r w:rsidR="00B33CAB">
        <w:t xml:space="preserve"> samt nogle </w:t>
      </w:r>
      <w:r w:rsidR="005F49F5">
        <w:t>udtalelser fra retsudvalget og økonomi- og valutaudvalget (heller ikke offentliggjort). I dette forsalg er art. 4, stk. 1-3 uændret, men der blev for</w:t>
      </w:r>
      <w:r w:rsidR="00D33E3C">
        <w:t>e</w:t>
      </w:r>
      <w:r w:rsidR="005F49F5">
        <w:t>slået et nyt stk. 2,</w:t>
      </w:r>
      <w:r w:rsidR="005F49F5">
        <w:rPr>
          <w:rStyle w:val="Fodnotehenvisning"/>
        </w:rPr>
        <w:footnoteReference w:id="75"/>
      </w:r>
      <w:r w:rsidR="00D33E3C">
        <w:t xml:space="preserve"> som heller ikke vedrørte</w:t>
      </w:r>
      <w:r w:rsidR="005F49F5">
        <w:t xml:space="preserve"> retsvirkningen af en usaglig afskedigelse eller fortolkningen heraf. Det blev således foreslået, at art. 4 skulle have et stk. 1-4 i direktivet. </w:t>
      </w:r>
    </w:p>
    <w:p w14:paraId="3698F99C" w14:textId="77777777" w:rsidR="002C3B65" w:rsidRDefault="001F326C" w:rsidP="00FE76BB">
      <w:pPr>
        <w:spacing w:line="360" w:lineRule="auto"/>
      </w:pPr>
      <w:r>
        <w:t xml:space="preserve">Den 25. </w:t>
      </w:r>
      <w:r w:rsidR="00E43404">
        <w:t>J</w:t>
      </w:r>
      <w:r>
        <w:t xml:space="preserve">uli 1975 vedtog Kommissionen et ændret forslag til direktivet (heller ikke offentliggjort), som senere blev fremsendt til Rådet og Europa-Parlamentet, hvorefter der den 9. </w:t>
      </w:r>
      <w:r w:rsidR="00E43404">
        <w:t>D</w:t>
      </w:r>
      <w:r>
        <w:t>ecember 1976 var politisk enighed i Rådet om</w:t>
      </w:r>
      <w:r w:rsidR="002C3B65">
        <w:t xml:space="preserve"> udfærdigelsen af</w:t>
      </w:r>
      <w:r>
        <w:t xml:space="preserve"> direktivet, og som formelt blev vedtaget i Rådet den 14. </w:t>
      </w:r>
      <w:r w:rsidR="00E43404">
        <w:t>F</w:t>
      </w:r>
      <w:r>
        <w:t xml:space="preserve">ebruar 1977. </w:t>
      </w:r>
    </w:p>
    <w:p w14:paraId="7CBA4E16" w14:textId="3D22C883" w:rsidR="001F326C" w:rsidRDefault="00E40C41" w:rsidP="00FE76BB">
      <w:pPr>
        <w:spacing w:line="360" w:lineRule="auto"/>
      </w:pPr>
      <w:r>
        <w:t>Sammenfattende var der således i det oprindelige</w:t>
      </w:r>
      <w:r w:rsidR="002C3B65">
        <w:t xml:space="preserve"> forslag til</w:t>
      </w:r>
      <w:r>
        <w:t xml:space="preserve"> direktiv</w:t>
      </w:r>
      <w:r w:rsidR="002C3B65">
        <w:t>et</w:t>
      </w:r>
      <w:r>
        <w:t>, taget stilling til retsvirkningen af en afskedigelse i strid med art. 4. Dette blev</w:t>
      </w:r>
      <w:r w:rsidR="00A65DFC">
        <w:t xml:space="preserve"> dog</w:t>
      </w:r>
      <w:r>
        <w:t xml:space="preserve"> efterfølgende ændret, </w:t>
      </w:r>
      <w:r w:rsidR="00A65DFC">
        <w:t>men årsagen til ændringen fremgår ikke af</w:t>
      </w:r>
      <w:r>
        <w:t xml:space="preserve"> de offentliggjorte forarbejder til direkt</w:t>
      </w:r>
      <w:r w:rsidR="00A65DFC">
        <w:t xml:space="preserve">ivet. </w:t>
      </w:r>
    </w:p>
    <w:p w14:paraId="1CB4D39D" w14:textId="77777777" w:rsidR="00D33E3C" w:rsidRDefault="008061DA" w:rsidP="000275BC">
      <w:pPr>
        <w:spacing w:line="360" w:lineRule="auto"/>
      </w:pPr>
      <w:r>
        <w:t xml:space="preserve">Hvilke overvejelser der har været </w:t>
      </w:r>
      <w:r w:rsidR="008A3C4E">
        <w:t>fra det første forslag</w:t>
      </w:r>
      <w:r w:rsidR="001F326C">
        <w:t xml:space="preserve"> til direktivet, </w:t>
      </w:r>
      <w:r w:rsidR="00376C6B">
        <w:t>og</w:t>
      </w:r>
      <w:r>
        <w:t xml:space="preserve"> frem</w:t>
      </w:r>
      <w:r w:rsidR="00376C6B">
        <w:t xml:space="preserve"> til det endelige direktiv, </w:t>
      </w:r>
      <w:r>
        <w:t>er derfor uvist</w:t>
      </w:r>
      <w:r w:rsidR="001F326C">
        <w:t>.</w:t>
      </w:r>
      <w:r w:rsidR="001C5CE8">
        <w:t xml:space="preserve"> </w:t>
      </w:r>
      <w:r w:rsidR="00D33E3C">
        <w:t>Dette skyldes de ikke-</w:t>
      </w:r>
      <w:r w:rsidR="001C5CE8">
        <w:t>offentliggjorte forarbejder, hvor den endelige direktivtekst er blevet udarbejdet. De tanker der har været omkring det oprindelige direktivs art. 4, stk. 2, og hvorfor man valgte ikke at have dette med i det endelige direktivs art. 4, kan således ikke hjælpe som et fortolkningsbidrag til, hvilken retsvirkning en afskedigelse i strid med direktivet skal have. Det er dog bemærkelsesværdigt</w:t>
      </w:r>
      <w:r w:rsidR="00B55C12">
        <w:t>, at man fra starten havde forholdt sig til retsvirkningen, som var en del</w:t>
      </w:r>
      <w:r w:rsidR="006179C2">
        <w:t xml:space="preserve"> af bestemmelsen. </w:t>
      </w:r>
    </w:p>
    <w:p w14:paraId="128553EF" w14:textId="0BF9656C" w:rsidR="00AD32A1" w:rsidRDefault="006179C2" w:rsidP="000275BC">
      <w:pPr>
        <w:spacing w:line="360" w:lineRule="auto"/>
      </w:pPr>
      <w:r>
        <w:t>En af årsagerne til</w:t>
      </w:r>
      <w:r w:rsidR="00B55C12">
        <w:t xml:space="preserve"> at man</w:t>
      </w:r>
      <w:r w:rsidR="002C3B65">
        <w:t xml:space="preserve"> fra EU’s side </w:t>
      </w:r>
      <w:r w:rsidR="00B55C12">
        <w:t>valgte ikke at have det med</w:t>
      </w:r>
      <w:r w:rsidR="00AD32A1">
        <w:t>,</w:t>
      </w:r>
      <w:r>
        <w:t xml:space="preserve"> kan e</w:t>
      </w:r>
      <w:r w:rsidR="000275BC">
        <w:t>ksempelvis</w:t>
      </w:r>
      <w:r>
        <w:t xml:space="preserve"> være,</w:t>
      </w:r>
      <w:r w:rsidR="000275BC">
        <w:t xml:space="preserve"> a</w:t>
      </w:r>
      <w:r>
        <w:t>t man</w:t>
      </w:r>
      <w:r w:rsidR="00B55C12">
        <w:t xml:space="preserve"> har fundet det overflødigt</w:t>
      </w:r>
      <w:r w:rsidR="004E53D7">
        <w:t>,</w:t>
      </w:r>
      <w:r w:rsidR="00B55C12">
        <w:t xml:space="preserve"> at have en bes</w:t>
      </w:r>
      <w:r w:rsidR="004E53D7">
        <w:t>temmelse, som sagde det ”selvfølgelige</w:t>
      </w:r>
      <w:r w:rsidR="000275BC">
        <w:t>.”</w:t>
      </w:r>
      <w:r>
        <w:t xml:space="preserve"> </w:t>
      </w:r>
      <w:r w:rsidR="00D33E3C">
        <w:t>Det selvfølgelige kunne</w:t>
      </w:r>
      <w:r w:rsidR="00B21CDF">
        <w:t xml:space="preserve"> være, at fordi </w:t>
      </w:r>
      <w:r>
        <w:t>der er tale om et minimumsdirektiv,</w:t>
      </w:r>
      <w:r w:rsidR="00B21CDF">
        <w:t xml:space="preserve"> der er tavs omkring retsvirkningen, og fordi man </w:t>
      </w:r>
      <w:r>
        <w:t>fra EU’s side alene kræver minimumshar</w:t>
      </w:r>
      <w:r w:rsidR="00B21CDF">
        <w:t xml:space="preserve">monisering, </w:t>
      </w:r>
      <w:r w:rsidR="00BC52EC">
        <w:t xml:space="preserve">skulle </w:t>
      </w:r>
      <w:r w:rsidR="00B21CDF">
        <w:t>retsvirkningen</w:t>
      </w:r>
      <w:r w:rsidR="00BC52EC">
        <w:t xml:space="preserve"> derfor</w:t>
      </w:r>
      <w:r w:rsidR="00875232">
        <w:t xml:space="preserve"> være op til m</w:t>
      </w:r>
      <w:r w:rsidR="00B21CDF">
        <w:t>edlemsstaterne egen lovgivning</w:t>
      </w:r>
      <w:r w:rsidR="00BC52EC">
        <w:t xml:space="preserve"> og praksis</w:t>
      </w:r>
      <w:r w:rsidR="00B21CDF">
        <w:t>.</w:t>
      </w:r>
      <w:r w:rsidR="00BC52EC">
        <w:t xml:space="preserve">  </w:t>
      </w:r>
      <w:r w:rsidR="00B21CDF">
        <w:t xml:space="preserve"> </w:t>
      </w:r>
    </w:p>
    <w:p w14:paraId="5F2D5D81" w14:textId="09D561ED" w:rsidR="00613636" w:rsidRDefault="000275BC" w:rsidP="000275BC">
      <w:pPr>
        <w:spacing w:line="360" w:lineRule="auto"/>
      </w:pPr>
      <w:r>
        <w:t>En anden årsag kunne være, a</w:t>
      </w:r>
      <w:r w:rsidR="00AD32A1">
        <w:t>t man i forløbet m</w:t>
      </w:r>
      <w:r w:rsidR="00B32034">
        <w:t xml:space="preserve">ed udarbejdelsen af direktivet </w:t>
      </w:r>
      <w:r w:rsidR="00AD32A1">
        <w:t xml:space="preserve">har fundet ud af, at man netop </w:t>
      </w:r>
      <w:r w:rsidR="00AD32A1" w:rsidRPr="000275BC">
        <w:rPr>
          <w:i/>
        </w:rPr>
        <w:t>ikke</w:t>
      </w:r>
      <w:r w:rsidR="00AD32A1">
        <w:t xml:space="preserve"> ønskede den retsstilling, som først</w:t>
      </w:r>
      <w:r>
        <w:t xml:space="preserve"> blev foreslået af Kommissionen. </w:t>
      </w:r>
      <w:r w:rsidR="00613636">
        <w:t>Det skulle d</w:t>
      </w:r>
      <w:r>
        <w:t>ermed ikke</w:t>
      </w:r>
      <w:r w:rsidR="00AD32A1">
        <w:t xml:space="preserve"> være op til de enkelte medlemsstater selv, at bestemme retsvirkningen af en afskedigelse i strid med direktivet. Såfremt dette skulle</w:t>
      </w:r>
      <w:r w:rsidR="00613636">
        <w:t xml:space="preserve"> være tilfældet, er det dog</w:t>
      </w:r>
      <w:r w:rsidR="00AD32A1">
        <w:t xml:space="preserve"> bemærkelsesværdi</w:t>
      </w:r>
      <w:r w:rsidR="00613636">
        <w:t>gt, at man ikke</w:t>
      </w:r>
      <w:r w:rsidR="00AD32A1">
        <w:t xml:space="preserve"> valgt</w:t>
      </w:r>
      <w:r w:rsidR="00613636">
        <w:t>e</w:t>
      </w:r>
      <w:r w:rsidR="00AD32A1">
        <w:t xml:space="preserve"> at lade det</w:t>
      </w:r>
      <w:r w:rsidR="00B32034">
        <w:t>te</w:t>
      </w:r>
      <w:r w:rsidR="00AD32A1">
        <w:t xml:space="preserve"> fremgå direkte af bes</w:t>
      </w:r>
      <w:r w:rsidR="00613636">
        <w:t xml:space="preserve">temmelsen. </w:t>
      </w:r>
      <w:r w:rsidR="00127542">
        <w:t xml:space="preserve">Desuden kan der argumenteres for, at </w:t>
      </w:r>
      <w:r w:rsidR="00B07A03">
        <w:t xml:space="preserve">en generel underkendelsesadgang ved usaglige afskedigelser, ville være en så betydelig indgriben i medlemsstaternes ansættelsesretlige principper og lovgivning, og at en generel underkendelsesadgang derfor må kræve en meget klar hjemmel i direktivet. </w:t>
      </w:r>
    </w:p>
    <w:p w14:paraId="15615B1C" w14:textId="62689BFD" w:rsidR="00E52C83" w:rsidRDefault="00613636" w:rsidP="00FE76BB">
      <w:pPr>
        <w:spacing w:line="360" w:lineRule="auto"/>
      </w:pPr>
      <w:r>
        <w:t xml:space="preserve">Når man fra EU’s side har valgt ikke at lade retsvirkningen fremgå direkte af bestemmelsen, skaber dette usikkerhed omkring retsstillingen. </w:t>
      </w:r>
      <w:r w:rsidR="00127D7D">
        <w:t>Dette skal ses i lyset af, at der er tale om</w:t>
      </w:r>
      <w:r w:rsidR="00E52C83">
        <w:t xml:space="preserve"> et </w:t>
      </w:r>
      <w:r w:rsidR="00190065">
        <w:t>minimums</w:t>
      </w:r>
      <w:r w:rsidR="00E52C83">
        <w:t>direktiv, som de enkelte medlemsstater skal implementere i deres egen lovgivning</w:t>
      </w:r>
      <w:r w:rsidR="00190065">
        <w:t>.</w:t>
      </w:r>
      <w:r w:rsidR="00127D7D">
        <w:t xml:space="preserve"> </w:t>
      </w:r>
      <w:r w:rsidR="00190065">
        <w:t xml:space="preserve">Usikkerheden kan derfor medføre, at retsvirkningen kommer til at afhænge af, hvilken medlemsstat man er lønmodtager i. </w:t>
      </w:r>
    </w:p>
    <w:p w14:paraId="31869691" w14:textId="7E182DF4" w:rsidR="004922DD" w:rsidRDefault="007D1DA1" w:rsidP="004922DD">
      <w:pPr>
        <w:spacing w:line="360" w:lineRule="auto"/>
      </w:pPr>
      <w:r>
        <w:t>Den omstændighed at direktivet er tavs omkring retsvirkningen, kan</w:t>
      </w:r>
      <w:r w:rsidR="00B32034">
        <w:t xml:space="preserve"> på baggrund af de nævnte årsager ovenfor,</w:t>
      </w:r>
      <w:r>
        <w:t xml:space="preserve"> næsten kun betyde, at det har været meningen, at bestemmelsen skal fungere som et supplement ti</w:t>
      </w:r>
      <w:r w:rsidR="00B32034">
        <w:t>l anden lovgivning</w:t>
      </w:r>
      <w:r>
        <w:t xml:space="preserve"> i de enkelte medlemsstater.</w:t>
      </w:r>
      <w:r w:rsidR="004922DD">
        <w:t xml:space="preserve"> Direk</w:t>
      </w:r>
      <w:r w:rsidR="009C7246">
        <w:t>tivets art. 4, stk. 1 giver</w:t>
      </w:r>
      <w:r w:rsidR="00B32034">
        <w:t xml:space="preserve"> desuden</w:t>
      </w:r>
      <w:r w:rsidR="004922DD">
        <w:t xml:space="preserve"> medlemsstaterne mulighed for at undtage visse afgrænsede kategorier af lønmodtagere, der ikke er dækket af medlemsstaternes lovgivning eller praksis, i forhold til beskyttelse mod afskedigelse</w:t>
      </w:r>
      <w:r w:rsidR="00ED076B">
        <w:t>, fra</w:t>
      </w:r>
      <w:r w:rsidR="009C7246">
        <w:t xml:space="preserve"> direktivets beskyttelse</w:t>
      </w:r>
      <w:r w:rsidR="004922DD">
        <w:t xml:space="preserve">. </w:t>
      </w:r>
      <w:r w:rsidR="009C7246">
        <w:t>Det forhold, at</w:t>
      </w:r>
      <w:r w:rsidR="004922DD">
        <w:t xml:space="preserve"> beskyttelsen</w:t>
      </w:r>
      <w:r w:rsidR="009C7246">
        <w:t xml:space="preserve"> mod afskedigelse efter direktivet,</w:t>
      </w:r>
      <w:r w:rsidR="004922DD">
        <w:t xml:space="preserve"> er op til medlemsstaternes eg</w:t>
      </w:r>
      <w:r w:rsidR="00ED076B">
        <w:t>en lovgivning og praksis, kunne</w:t>
      </w:r>
      <w:r w:rsidR="004922DD">
        <w:t xml:space="preserve"> tyde på, at det også skulle være op til medlemsstaternes egen lovgivning og praksis på området, at fastsætte retsvirkningen af afskedigelser i strid med</w:t>
      </w:r>
      <w:r w:rsidR="002C3203">
        <w:t xml:space="preserve"> direktivet. Dette stemmer også bedst overens med, at der fra EU-rettens side alene kræves m</w:t>
      </w:r>
      <w:r w:rsidR="00ED076B">
        <w:t>inimumsharmonisering. M</w:t>
      </w:r>
      <w:r w:rsidR="002C3203">
        <w:t>edlemsstaterne</w:t>
      </w:r>
      <w:r w:rsidR="00ED076B">
        <w:t xml:space="preserve"> kan dermed</w:t>
      </w:r>
      <w:r w:rsidR="002C3203">
        <w:t xml:space="preserve"> bevare forskellige reguleringer på nationalt niveau, når blot de overholder det mindste niveau,</w:t>
      </w:r>
      <w:r w:rsidR="00ED076B">
        <w:t xml:space="preserve"> som direktivet stiller. Da</w:t>
      </w:r>
      <w:r w:rsidR="005F3CA9">
        <w:t xml:space="preserve"> formålet med direktiver</w:t>
      </w:r>
      <w:r w:rsidR="002C3203">
        <w:t xml:space="preserve"> ikke nødvendigvis er, at skabe en identisk retsstilling i alle</w:t>
      </w:r>
      <w:r w:rsidR="005F3CA9">
        <w:t xml:space="preserve"> medlemsstater, kunne dette</w:t>
      </w:r>
      <w:r w:rsidR="00ED076B">
        <w:t xml:space="preserve"> derfor</w:t>
      </w:r>
      <w:r w:rsidR="002C3203">
        <w:t xml:space="preserve"> tyde på, at man i forhold til retsvirkningen af afskedigelser i strid med direktivet, har ville overlade dette til de enkelte medlemsstater selv, for dermed at opretholde de nationale lovgivningstraditioner på området for usaglige afskedigelser. </w:t>
      </w:r>
    </w:p>
    <w:p w14:paraId="73684E84" w14:textId="77777777" w:rsidR="0087670D" w:rsidRDefault="00565D82" w:rsidP="00FE76BB">
      <w:pPr>
        <w:spacing w:line="360" w:lineRule="auto"/>
      </w:pPr>
      <w:r>
        <w:t xml:space="preserve">Som beskrevet i afsnit </w:t>
      </w:r>
      <w:r>
        <w:fldChar w:fldCharType="begin"/>
      </w:r>
      <w:r>
        <w:instrText xml:space="preserve"> REF _Ref292649868 \r \h </w:instrText>
      </w:r>
      <w:r>
        <w:fldChar w:fldCharType="separate"/>
      </w:r>
      <w:r>
        <w:t>2.3</w:t>
      </w:r>
      <w:r>
        <w:fldChar w:fldCharType="end"/>
      </w:r>
      <w:r w:rsidR="00533F96">
        <w:t xml:space="preserve"> har EU-Domstolen i sagen C</w:t>
      </w:r>
      <w:r w:rsidR="00190065">
        <w:t>-</w:t>
      </w:r>
      <w:r w:rsidR="00533F96">
        <w:t xml:space="preserve">283/81, CILFIT, om fortolkning </w:t>
      </w:r>
      <w:r w:rsidR="00EA1742">
        <w:t>af EU-retlige bestemmelser,</w:t>
      </w:r>
      <w:r w:rsidR="00533F96">
        <w:t xml:space="preserve"> fremhævet, a</w:t>
      </w:r>
      <w:r w:rsidR="00D465E1">
        <w:t>t der</w:t>
      </w:r>
      <w:r w:rsidR="00533F96">
        <w:t xml:space="preserve"> skal tages hensyn til den omstændighed, at de EU-retlige bestemmelser er affattet på flere forskellige sprog, og at alle sproglige versioner er autentiske. Fortolkningen af EU-retlige bestemmelser</w:t>
      </w:r>
      <w:r w:rsidR="00940B20">
        <w:t>,</w:t>
      </w:r>
      <w:r w:rsidR="00533F96">
        <w:t xml:space="preserve"> kan derfor først ske</w:t>
      </w:r>
      <w:r w:rsidR="00D465E1">
        <w:t>,</w:t>
      </w:r>
      <w:r w:rsidR="00533F96">
        <w:t xml:space="preserve"> efter en sammenligning af de sproglige versioner. </w:t>
      </w:r>
      <w:r w:rsidR="00940B20">
        <w:t>Ud fra denne betragtning kunne det således være relevant at sammenligne den danske udgave af art. 4, stk. 1, med</w:t>
      </w:r>
      <w:r w:rsidR="00D465E1">
        <w:t xml:space="preserve"> eksempelvis</w:t>
      </w:r>
      <w:r w:rsidR="00940B20">
        <w:t xml:space="preserve"> den engelske udgave, for at se om de forskellige sproglige versioner, kan give et fortolkningsbidrag til retss</w:t>
      </w:r>
      <w:r w:rsidR="00ED076B">
        <w:t>tillingen</w:t>
      </w:r>
      <w:r w:rsidR="00940B20">
        <w:t>. Dog findes dette ikke at være relevant her, idet art. 4, stk. 1, uanset forskellig</w:t>
      </w:r>
      <w:r w:rsidR="00D465E1">
        <w:t>e sproglige versioner,</w:t>
      </w:r>
      <w:r w:rsidR="00940B20">
        <w:t xml:space="preserve"> ikke tager konkret stilling til retsvirkningen af en afskedigelse i strid med direktivet. En analyse af den engelske version vil derfor ikke kunn</w:t>
      </w:r>
      <w:r w:rsidR="00D465E1">
        <w:t xml:space="preserve">e hjælpe som fortolkningsbidrag, idet det ikke er selve ordlyden af bestemmelsen, der hersker tvivl om. </w:t>
      </w:r>
      <w:r w:rsidR="000D2E8D">
        <w:t xml:space="preserve"> </w:t>
      </w:r>
    </w:p>
    <w:p w14:paraId="16B953E4" w14:textId="03991E02" w:rsidR="00533F96" w:rsidRDefault="00940B20" w:rsidP="00FE76BB">
      <w:pPr>
        <w:spacing w:line="360" w:lineRule="auto"/>
      </w:pPr>
      <w:r>
        <w:t xml:space="preserve">  </w:t>
      </w:r>
    </w:p>
    <w:p w14:paraId="0734E8E8" w14:textId="264461CF" w:rsidR="00A64F28" w:rsidRDefault="009A2296" w:rsidP="00184189">
      <w:pPr>
        <w:pStyle w:val="Overskrift2"/>
      </w:pPr>
      <w:bookmarkStart w:id="37" w:name="_Toc292966596"/>
      <w:r>
        <w:t>F</w:t>
      </w:r>
      <w:r w:rsidR="00A64F28">
        <w:t>ortolkning af VOL § 3, stk. 1</w:t>
      </w:r>
      <w:bookmarkEnd w:id="37"/>
    </w:p>
    <w:p w14:paraId="3A76A0E8" w14:textId="77777777" w:rsidR="00A74247" w:rsidRPr="00A74247" w:rsidRDefault="00A74247" w:rsidP="00A74247"/>
    <w:p w14:paraId="13D7CAD9" w14:textId="1F1F5EB7" w:rsidR="00A64F28" w:rsidRDefault="00A64F28" w:rsidP="00FE76BB">
      <w:pPr>
        <w:spacing w:line="360" w:lineRule="auto"/>
      </w:pPr>
      <w:r>
        <w:t>Det skal i det følgende analyseres, hvordan den danske udgave af dire</w:t>
      </w:r>
      <w:r w:rsidR="00A86316">
        <w:t>ktiv 2001/23/EF art. 4, stk. 1 og dermed</w:t>
      </w:r>
      <w:r>
        <w:t xml:space="preserve"> VOL § 3, stk. 1, skal for</w:t>
      </w:r>
      <w:r w:rsidR="00E52C83">
        <w:t>tolkes, i forhold til retsvirkningen</w:t>
      </w:r>
      <w:r>
        <w:t xml:space="preserve"> af en usaglig afsked</w:t>
      </w:r>
      <w:r w:rsidR="009A2296">
        <w:t>igelse</w:t>
      </w:r>
      <w:r>
        <w:t>. For at kunne analysere dette, vil det</w:t>
      </w:r>
      <w:r w:rsidR="00E52C83">
        <w:t xml:space="preserve"> alene</w:t>
      </w:r>
      <w:r>
        <w:t xml:space="preserve"> være relevant at inddrage </w:t>
      </w:r>
      <w:r w:rsidR="00E52C83">
        <w:t xml:space="preserve">de danske </w:t>
      </w:r>
      <w:r>
        <w:t>forarbejder til loven,</w:t>
      </w:r>
      <w:r w:rsidR="00E52C83">
        <w:t xml:space="preserve"> idet den bagvedliggende direktivbestemmelse og dennes forarbejder, er analyseret i afsnittet ovenfor</w:t>
      </w:r>
      <w:r>
        <w:t>. Bestemmelsen i VOL § 3, stk. 1 lyder således:</w:t>
      </w:r>
      <w:r w:rsidR="00565D82">
        <w:t xml:space="preserve"> </w:t>
      </w:r>
    </w:p>
    <w:p w14:paraId="1CB921C6" w14:textId="77777777" w:rsidR="00A64F28" w:rsidRDefault="00A64F28" w:rsidP="00FE76BB">
      <w:pPr>
        <w:spacing w:line="360" w:lineRule="auto"/>
      </w:pPr>
    </w:p>
    <w:p w14:paraId="1FE7F5B6" w14:textId="2463E086" w:rsidR="00A64F28" w:rsidRDefault="00A64F28" w:rsidP="00FE76BB">
      <w:pPr>
        <w:spacing w:line="360" w:lineRule="auto"/>
      </w:pPr>
      <w:r>
        <w:rPr>
          <w:i/>
        </w:rPr>
        <w:t>”</w:t>
      </w:r>
      <w:r w:rsidRPr="002D7D01">
        <w:rPr>
          <w:i/>
        </w:rPr>
        <w:t>Afskedigelse på grund af overdragelse af en virksomhed eller en del heraf anses ikke for rimeligt begrundet i virksomhedens forhold, medmindre afskedigelsen skyldes økonomiske, tekniske eller organisatoriske årsager, der medfører beskæftigelsesmæssige ændringer</w:t>
      </w:r>
      <w:r>
        <w:rPr>
          <w:i/>
        </w:rPr>
        <w:t xml:space="preserve">.” </w:t>
      </w:r>
    </w:p>
    <w:p w14:paraId="4C1AFDC5" w14:textId="77777777" w:rsidR="00A64F28" w:rsidRDefault="00A64F28" w:rsidP="00FE76BB">
      <w:pPr>
        <w:spacing w:line="360" w:lineRule="auto"/>
      </w:pPr>
    </w:p>
    <w:p w14:paraId="56B4E580" w14:textId="77777777" w:rsidR="00435750" w:rsidRDefault="00A64F28" w:rsidP="00FE76BB">
      <w:pPr>
        <w:spacing w:line="360" w:lineRule="auto"/>
      </w:pPr>
      <w:r>
        <w:t>Der er således intet i selve bestemmelsen,</w:t>
      </w:r>
      <w:r w:rsidR="00613636">
        <w:t xml:space="preserve"> der behandler spørgsmålet om</w:t>
      </w:r>
      <w:r>
        <w:t xml:space="preserve">, </w:t>
      </w:r>
      <w:r w:rsidR="0017227C">
        <w:t>hvilken retsvirkning</w:t>
      </w:r>
      <w:r>
        <w:t xml:space="preserve"> en afskedig</w:t>
      </w:r>
      <w:r w:rsidR="0017227C">
        <w:t>else i strid med loven</w:t>
      </w:r>
      <w:r w:rsidR="00A86316">
        <w:t>, skal være</w:t>
      </w:r>
      <w:r w:rsidR="00A203FE">
        <w:t>.</w:t>
      </w:r>
      <w:r w:rsidR="00A86316">
        <w:t xml:space="preserve">  </w:t>
      </w:r>
      <w:r w:rsidR="0017227C">
        <w:t xml:space="preserve"> </w:t>
      </w:r>
    </w:p>
    <w:p w14:paraId="34DFDAF1" w14:textId="77777777" w:rsidR="00435750" w:rsidRDefault="00435750" w:rsidP="00FE76BB">
      <w:pPr>
        <w:spacing w:line="360" w:lineRule="auto"/>
      </w:pPr>
    </w:p>
    <w:p w14:paraId="42863D6E" w14:textId="74D545B3" w:rsidR="00A64F28" w:rsidRPr="00A64F28" w:rsidRDefault="00A64F28" w:rsidP="00FE76BB">
      <w:pPr>
        <w:spacing w:line="360" w:lineRule="auto"/>
      </w:pPr>
      <w:r>
        <w:t xml:space="preserve"> </w:t>
      </w:r>
    </w:p>
    <w:p w14:paraId="4FE99727" w14:textId="77777777" w:rsidR="0084015D" w:rsidRDefault="0084015D" w:rsidP="00FE76BB">
      <w:pPr>
        <w:spacing w:line="360" w:lineRule="auto"/>
      </w:pPr>
    </w:p>
    <w:p w14:paraId="5BA3926D" w14:textId="6D56B5F4" w:rsidR="00A64F28" w:rsidRDefault="00A64F28" w:rsidP="00BF23B6">
      <w:pPr>
        <w:pStyle w:val="Overskrift3"/>
      </w:pPr>
      <w:bookmarkStart w:id="38" w:name="_Toc292966597"/>
      <w:r>
        <w:t>Forarbejder</w:t>
      </w:r>
      <w:bookmarkEnd w:id="38"/>
    </w:p>
    <w:p w14:paraId="28AAC5E5" w14:textId="77777777" w:rsidR="00A74247" w:rsidRPr="00A74247" w:rsidRDefault="00A74247" w:rsidP="00A74247"/>
    <w:p w14:paraId="4F735DB1" w14:textId="77777777" w:rsidR="008A7D83" w:rsidRDefault="008A7D83" w:rsidP="00FE76BB">
      <w:pPr>
        <w:spacing w:line="360" w:lineRule="auto"/>
      </w:pPr>
      <w:r>
        <w:t>Det fremgår af bemærkningerne til lovforslaget, at dette indeholder følgende hovedprincipper:</w:t>
      </w:r>
    </w:p>
    <w:p w14:paraId="2D35359E" w14:textId="7733F54F" w:rsidR="00A64F28" w:rsidRDefault="008A7D83" w:rsidP="00FE76BB">
      <w:pPr>
        <w:pStyle w:val="Listeafsnit"/>
        <w:numPr>
          <w:ilvl w:val="0"/>
          <w:numId w:val="7"/>
        </w:numPr>
        <w:spacing w:line="360" w:lineRule="auto"/>
      </w:pPr>
      <w:r>
        <w:t>Erhververen af en virksomhed eller en del heraf indtræder i overdragerens rettigheder og forpl</w:t>
      </w:r>
      <w:r w:rsidR="008E6C1C">
        <w:t xml:space="preserve">igtelser over for lønmodtagerne </w:t>
      </w:r>
    </w:p>
    <w:p w14:paraId="11996F4F" w14:textId="2759E03D" w:rsidR="008A7D83" w:rsidRPr="008A7D83" w:rsidRDefault="008A7D83" w:rsidP="00FE76BB">
      <w:pPr>
        <w:pStyle w:val="Listeafsnit"/>
        <w:numPr>
          <w:ilvl w:val="0"/>
          <w:numId w:val="7"/>
        </w:numPr>
        <w:spacing w:line="360" w:lineRule="auto"/>
        <w:rPr>
          <w:b/>
        </w:rPr>
      </w:pPr>
      <w:r w:rsidRPr="008A7D83">
        <w:rPr>
          <w:b/>
        </w:rPr>
        <w:t>Overdragelse af en virksomhed eller en del heraf kan ikke i sig selv begrunde afskedigelse (art. 4)</w:t>
      </w:r>
    </w:p>
    <w:p w14:paraId="011896B2" w14:textId="14F42B95" w:rsidR="008A7D83" w:rsidRDefault="008A7D83" w:rsidP="00FE76BB">
      <w:pPr>
        <w:pStyle w:val="Listeafsnit"/>
        <w:numPr>
          <w:ilvl w:val="0"/>
          <w:numId w:val="7"/>
        </w:numPr>
        <w:spacing w:line="360" w:lineRule="auto"/>
      </w:pPr>
      <w:r>
        <w:t>Beskyttelse af lønmodtagerrepræsentanter efter overdragelsen</w:t>
      </w:r>
    </w:p>
    <w:p w14:paraId="3DFC5921" w14:textId="496ED317" w:rsidR="008A7D83" w:rsidRDefault="008A7D83" w:rsidP="00FE76BB">
      <w:pPr>
        <w:pStyle w:val="Listeafsnit"/>
        <w:numPr>
          <w:ilvl w:val="0"/>
          <w:numId w:val="7"/>
        </w:numPr>
        <w:spacing w:line="360" w:lineRule="auto"/>
      </w:pPr>
      <w:r>
        <w:t>Overdrageren og erhververen har pligt til at informere repræsentanterne for de lønmodtagere, der berøres af overdragelsen, og at indlede forhandlinger med disse om eventuelle foranstaltninger for lønmodtagerne</w:t>
      </w:r>
      <w:r w:rsidR="00A86316">
        <w:t>.</w:t>
      </w:r>
      <w:r>
        <w:rPr>
          <w:rStyle w:val="Fodnotehenvisning"/>
        </w:rPr>
        <w:footnoteReference w:id="76"/>
      </w:r>
    </w:p>
    <w:p w14:paraId="60D940E9" w14:textId="77777777" w:rsidR="008A7D83" w:rsidRDefault="008A7D83" w:rsidP="00FE76BB">
      <w:pPr>
        <w:spacing w:line="360" w:lineRule="auto"/>
      </w:pPr>
    </w:p>
    <w:p w14:paraId="629D4A29" w14:textId="4963556B" w:rsidR="00514102" w:rsidRDefault="008A7D83" w:rsidP="00FE76BB">
      <w:pPr>
        <w:spacing w:line="360" w:lineRule="auto"/>
      </w:pPr>
      <w:r>
        <w:t>Beskyttelsen af lønmodtagerne</w:t>
      </w:r>
      <w:r w:rsidR="00A86316">
        <w:t xml:space="preserve"> mod afskedigelse</w:t>
      </w:r>
      <w:r>
        <w:t>, i forbindelse med en virksomhedsoverdr</w:t>
      </w:r>
      <w:r w:rsidR="00A86316">
        <w:t>agelse</w:t>
      </w:r>
      <w:r>
        <w:t xml:space="preserve">, er således nævnt som en af hovedprincipperne bag loven. </w:t>
      </w:r>
      <w:r w:rsidR="002C32A7">
        <w:t>Det fremgår også, at det er lovens § 2, stk. 1, der er hovedbestemmelsen. Denne fastslår, at den der køber en virksomhed</w:t>
      </w:r>
      <w:r w:rsidR="00ED346A">
        <w:t>,</w:t>
      </w:r>
      <w:r w:rsidR="002C32A7">
        <w:t xml:space="preserve"> eller på anden måde erhverver en virksomhed ved overdragelse, umiddelbart indtræder i den tidligere ejers rettigheder og forpligtelser med hensyn til de løn- og arbejdsforhold, som bestod forud for overdragelsen. Betydninge</w:t>
      </w:r>
      <w:r w:rsidR="00C1011F">
        <w:t>n af bestemmelsen skulle dermed</w:t>
      </w:r>
      <w:r w:rsidR="002C32A7">
        <w:t xml:space="preserve"> være, i modsætning til hvad der var </w:t>
      </w:r>
      <w:r w:rsidR="00ED346A">
        <w:t>gældende før</w:t>
      </w:r>
      <w:r w:rsidR="002C32A7">
        <w:t xml:space="preserve"> lovens ikrafttræden, at erhververen bliver forpligtet til at opretholde løn- og arbejdsvilkår på virksomheden i samme omfang som overdrageren forud for overdragelsen.</w:t>
      </w:r>
      <w:r w:rsidR="002C32A7">
        <w:rPr>
          <w:rStyle w:val="Fodnotehenvisning"/>
        </w:rPr>
        <w:footnoteReference w:id="77"/>
      </w:r>
      <w:r w:rsidR="00190065">
        <w:t xml:space="preserve"> </w:t>
      </w:r>
      <w:r w:rsidR="00951E9D">
        <w:t>Det fremgår af bemærkningerne til lovforslagets enkelte bestemmelser, at erhververe</w:t>
      </w:r>
      <w:r w:rsidR="00A86316">
        <w:t>ns ændrede retsstilling både kommer til udtryk i</w:t>
      </w:r>
      <w:r w:rsidR="00951E9D">
        <w:t xml:space="preserve"> lovens §§ 2 og 3, men at det er fundet mest rigtigt at tydeliggøre lønmo</w:t>
      </w:r>
      <w:r w:rsidR="00514102">
        <w:t xml:space="preserve">dtagerens rettigheder i en særskilt bestemmelse (VOL § </w:t>
      </w:r>
      <w:r w:rsidR="00ED346A">
        <w:t>3). Det</w:t>
      </w:r>
      <w:r w:rsidR="00C1011F">
        <w:t>te begrundes med, at der dermed</w:t>
      </w:r>
      <w:r w:rsidR="00514102">
        <w:t xml:space="preserve"> ikke vil kunne rejses tvivl om den </w:t>
      </w:r>
      <w:r w:rsidR="00C1011F">
        <w:t>danske implementeringslovs</w:t>
      </w:r>
      <w:r w:rsidR="00514102">
        <w:t xml:space="preserve"> overensstemmelse med direktivets krav.</w:t>
      </w:r>
      <w:r w:rsidR="00514102">
        <w:rPr>
          <w:rStyle w:val="Fodnotehenvisning"/>
        </w:rPr>
        <w:footnoteReference w:id="78"/>
      </w:r>
      <w:r w:rsidR="00C1011F">
        <w:t xml:space="preserve"> </w:t>
      </w:r>
    </w:p>
    <w:p w14:paraId="5FD47BCF" w14:textId="090850F8" w:rsidR="0047070E" w:rsidRDefault="00C1011F" w:rsidP="00FE76BB">
      <w:pPr>
        <w:spacing w:line="360" w:lineRule="auto"/>
      </w:pPr>
      <w:r>
        <w:t>B</w:t>
      </w:r>
      <w:r w:rsidR="00514102">
        <w:t xml:space="preserve">estemmelsen tager sigte på områder, hvor der i henhold til lovgivning eller kollektiv overenskomst findes regler, der hjemler </w:t>
      </w:r>
      <w:r w:rsidR="00514102" w:rsidRPr="008863C4">
        <w:rPr>
          <w:i/>
        </w:rPr>
        <w:t>godtgørelse</w:t>
      </w:r>
      <w:r w:rsidR="00514102">
        <w:t xml:space="preserve"> for såkaldt usaglige afskedigelser, men vil også finde anvendelse, såfremt det af det individuelle kontraktforhold måtte følge, at lønmodtageren har et </w:t>
      </w:r>
      <w:r w:rsidR="00514102" w:rsidRPr="008863C4">
        <w:rPr>
          <w:i/>
        </w:rPr>
        <w:t>økonomisk krav</w:t>
      </w:r>
      <w:r w:rsidR="00514102">
        <w:t xml:space="preserve"> på arbejdsgiveren</w:t>
      </w:r>
      <w:r w:rsidR="00986321">
        <w:t>,</w:t>
      </w:r>
      <w:r w:rsidR="00514102">
        <w:t xml:space="preserve"> i tilf</w:t>
      </w:r>
      <w:r w:rsidR="00D02054">
        <w:t>ælde af en usaglig</w:t>
      </w:r>
      <w:r>
        <w:t xml:space="preserve"> afskedigelse, jf. bemærkningerne til lovforslagets enkelte bestemmelser.</w:t>
      </w:r>
      <w:r w:rsidR="00D02054" w:rsidRPr="00D02054">
        <w:rPr>
          <w:rStyle w:val="Fodnotehenvisning"/>
        </w:rPr>
        <w:t xml:space="preserve"> </w:t>
      </w:r>
      <w:r w:rsidR="00D02054">
        <w:rPr>
          <w:rStyle w:val="Fodnotehenvisning"/>
        </w:rPr>
        <w:footnoteReference w:id="79"/>
      </w:r>
      <w:r w:rsidR="00514102">
        <w:t xml:space="preserve"> Det fremgår også af bemærkningerne, at der i Hovedaftalens § 4, stk. 3, er indeholdt regler om godtgørelse til lønmodtageren, hvis afskedigelsen ikke har været rimelig</w:t>
      </w:r>
      <w:r w:rsidR="00986321">
        <w:t>t</w:t>
      </w:r>
      <w:r w:rsidR="00514102">
        <w:t xml:space="preserve"> begrundet i enten lønmodtagerens eller virksomhedens forhold, og</w:t>
      </w:r>
      <w:r w:rsidR="00D02054">
        <w:t xml:space="preserve"> at en</w:t>
      </w:r>
      <w:r w:rsidR="00514102">
        <w:t xml:space="preserve"> tilsvarende </w:t>
      </w:r>
      <w:r w:rsidR="00D02054">
        <w:t>bestemmelse</w:t>
      </w:r>
      <w:r w:rsidR="008863C4">
        <w:t xml:space="preserve"> er indeholdt i FUL § 2 b.</w:t>
      </w:r>
      <w:r>
        <w:t xml:space="preserve"> Ud fra lovforslagets bemærkninger er det</w:t>
      </w:r>
      <w:r w:rsidR="008863C4">
        <w:t xml:space="preserve"> så</w:t>
      </w:r>
      <w:r>
        <w:t>ledes tydeligt</w:t>
      </w:r>
      <w:r w:rsidR="008863C4">
        <w:t>, at bestemmelsen tager sigte på situationer, hvor lønmodtageren</w:t>
      </w:r>
      <w:r w:rsidR="00ED346A">
        <w:t xml:space="preserve"> allerede</w:t>
      </w:r>
      <w:r w:rsidR="00D02054">
        <w:t xml:space="preserve"> </w:t>
      </w:r>
      <w:r w:rsidR="008863C4">
        <w:t>har en form for økonomisk krav</w:t>
      </w:r>
      <w:r w:rsidR="00986321">
        <w:t xml:space="preserve"> på arbejdsgive</w:t>
      </w:r>
      <w:r w:rsidR="00D02054">
        <w:t>ren, i tilfælde af misligholdelse eller usaglig afskedigelse.</w:t>
      </w:r>
      <w:r w:rsidR="00986321">
        <w:t xml:space="preserve"> Dette kan som nævnt </w:t>
      </w:r>
      <w:r w:rsidR="008863C4">
        <w:t>enten</w:t>
      </w:r>
      <w:r w:rsidR="00986321">
        <w:t xml:space="preserve"> være</w:t>
      </w:r>
      <w:r w:rsidR="008863C4">
        <w:t xml:space="preserve"> på en </w:t>
      </w:r>
      <w:r w:rsidR="008863C4" w:rsidRPr="008863C4">
        <w:rPr>
          <w:i/>
        </w:rPr>
        <w:t>godtgørelse</w:t>
      </w:r>
      <w:r w:rsidR="008863C4">
        <w:t xml:space="preserve"> i h</w:t>
      </w:r>
      <w:r w:rsidR="00986321">
        <w:t>enhold til</w:t>
      </w:r>
      <w:r w:rsidR="008863C4">
        <w:t xml:space="preserve"> Hovedaftalens § 4, stk. 3 eller</w:t>
      </w:r>
      <w:r w:rsidR="00D02054">
        <w:t xml:space="preserve"> efter FUL § 2 b, samt </w:t>
      </w:r>
      <w:r w:rsidR="008863C4">
        <w:t>tilfælde, hvor lønmodtageren</w:t>
      </w:r>
      <w:r w:rsidR="00986321">
        <w:t xml:space="preserve"> efter individuel aftale,</w:t>
      </w:r>
      <w:r w:rsidR="008863C4">
        <w:t xml:space="preserve"> har et </w:t>
      </w:r>
      <w:r w:rsidR="008863C4" w:rsidRPr="008863C4">
        <w:rPr>
          <w:i/>
        </w:rPr>
        <w:t>økonomisk</w:t>
      </w:r>
      <w:r w:rsidR="008863C4">
        <w:t xml:space="preserve"> krav på arbejdsgiveren. Det er således bemærkelses</w:t>
      </w:r>
      <w:r w:rsidR="0047070E">
        <w:t>værdigt, at d</w:t>
      </w:r>
      <w:r w:rsidR="00D02054">
        <w:t>er kun anvendes ord som</w:t>
      </w:r>
      <w:r w:rsidR="008863C4">
        <w:t xml:space="preserve"> ”godtgørelse” og ”økon</w:t>
      </w:r>
      <w:r w:rsidR="00F263EE">
        <w:t>omisk krav.” Særligt</w:t>
      </w:r>
      <w:r w:rsidR="0047070E">
        <w:t xml:space="preserve"> fordi der</w:t>
      </w:r>
      <w:r w:rsidR="008863C4">
        <w:t xml:space="preserve"> i Hovedaftalens § 4, stk. 3, faktisk er hjemmel til også underkende en afskedigelse. </w:t>
      </w:r>
      <w:r w:rsidR="00CC1647">
        <w:t>Det at man ikke har fremhævet denne underkendelsesadgang tyder derfor på, at man fra Udvalgets side alene har tænkt sanktionen som en økonomisk godtgørelse.</w:t>
      </w:r>
    </w:p>
    <w:p w14:paraId="5EAF2B25" w14:textId="324C1158" w:rsidR="00203CCA" w:rsidRDefault="00547D5C" w:rsidP="00FE76BB">
      <w:pPr>
        <w:spacing w:line="360" w:lineRule="auto"/>
      </w:pPr>
      <w:r>
        <w:t>Det fremgår yderligere af bemærkningerne, at der i forhold til overdrageren af en virksomhed, alene er tale om en lovfæstelse af gældende praksis, og at der</w:t>
      </w:r>
      <w:r w:rsidR="00F263EE">
        <w:t xml:space="preserve"> derfor</w:t>
      </w:r>
      <w:r>
        <w:t xml:space="preserve"> ikke er grundlag for at antage, at bestemmelsen vil</w:t>
      </w:r>
      <w:r w:rsidR="00F263EE">
        <w:t xml:space="preserve"> medføre ændringer i den dom</w:t>
      </w:r>
      <w:r>
        <w:t>spraksis, der har dannet s</w:t>
      </w:r>
      <w:r w:rsidR="00F263EE">
        <w:t>ig på baggrund af</w:t>
      </w:r>
      <w:r>
        <w:t xml:space="preserve"> FUL § 2 b.</w:t>
      </w:r>
      <w:r>
        <w:rPr>
          <w:rStyle w:val="Fodnotehenvisning"/>
        </w:rPr>
        <w:footnoteReference w:id="80"/>
      </w:r>
      <w:r w:rsidR="00417604">
        <w:t xml:space="preserve"> Her er det således</w:t>
      </w:r>
      <w:r>
        <w:t xml:space="preserve"> bemærkelsesværdigt, at man ikke regne</w:t>
      </w:r>
      <w:r w:rsidR="00986321">
        <w:t>r med en ændring i praksis i for</w:t>
      </w:r>
      <w:r>
        <w:t>hold til FUL § 2 b. Såfremt det havde væ</w:t>
      </w:r>
      <w:r w:rsidR="00417604">
        <w:t>ret meningen,</w:t>
      </w:r>
      <w:r>
        <w:t xml:space="preserve"> at der med VOL § 3 skulle være</w:t>
      </w:r>
      <w:r w:rsidR="00417604">
        <w:t xml:space="preserve"> indført en</w:t>
      </w:r>
      <w:r>
        <w:t xml:space="preserve"> hjemmel til at underkende en afskedigelse, ville dette således medføre en stor ændring i domstolenes</w:t>
      </w:r>
      <w:r w:rsidR="00417604">
        <w:t xml:space="preserve"> hidtidige</w:t>
      </w:r>
      <w:r>
        <w:t xml:space="preserve"> praksis</w:t>
      </w:r>
      <w:r w:rsidR="00417604">
        <w:t>,</w:t>
      </w:r>
      <w:r>
        <w:t xml:space="preserve"> </w:t>
      </w:r>
      <w:r w:rsidR="00417604">
        <w:t xml:space="preserve">i forhold til usaglige afskedigelser, idet FUL § 2 b alene hjemler en godtgørelse. </w:t>
      </w:r>
    </w:p>
    <w:p w14:paraId="4B1CCB67" w14:textId="24BD65BD" w:rsidR="009A7172" w:rsidRDefault="002F5121" w:rsidP="00FE76BB">
      <w:pPr>
        <w:spacing w:line="360" w:lineRule="auto"/>
      </w:pPr>
      <w:r>
        <w:t xml:space="preserve">Det fremgår også, i forhold til </w:t>
      </w:r>
      <w:r w:rsidR="00203CCA">
        <w:t>en sanktionsbestemmelse, at såfremt lønmodtageren er omfattet af Hovedaftalens § 4, stk. 3, eller af FUL § 2 b, skal arbejdsgiveren udrede en godtgørelse, der fastsættes under hensyn til ansættelsestiden og sagens ø</w:t>
      </w:r>
      <w:r w:rsidR="009A7172">
        <w:t>vrige omstændigheder, der</w:t>
      </w:r>
      <w:r w:rsidR="00203CCA">
        <w:t xml:space="preserve"> kan udgøre op til 26 ugers løn for den pågældende lønmodtager.</w:t>
      </w:r>
      <w:r w:rsidR="00932E1F">
        <w:rPr>
          <w:rStyle w:val="Fodnotehenvisning"/>
        </w:rPr>
        <w:footnoteReference w:id="81"/>
      </w:r>
      <w:r w:rsidR="009A7172">
        <w:t xml:space="preserve"> Her er der igen tale om et godtgørelseskrav, der minder om funktionærlovens. </w:t>
      </w:r>
    </w:p>
    <w:p w14:paraId="602D23FF" w14:textId="4B5F9EF1" w:rsidR="00336269" w:rsidRDefault="009A7172" w:rsidP="00FE76BB">
      <w:pPr>
        <w:spacing w:line="360" w:lineRule="auto"/>
      </w:pPr>
      <w:r>
        <w:t>Det fremgår desuden</w:t>
      </w:r>
      <w:r w:rsidR="00F263EE">
        <w:t>, at</w:t>
      </w:r>
      <w:r w:rsidR="00203CCA">
        <w:t xml:space="preserve"> ligebehan</w:t>
      </w:r>
      <w:r w:rsidR="00DC1C1C">
        <w:t>dlingsloven, som også er direktivstyret, har en</w:t>
      </w:r>
      <w:r w:rsidR="00203CCA">
        <w:t xml:space="preserve"> godtgørelsesbestemmelse, </w:t>
      </w:r>
      <w:r>
        <w:t>som</w:t>
      </w:r>
      <w:r w:rsidR="00DC1C1C">
        <w:t xml:space="preserve"> svarer til funktionærlovens</w:t>
      </w:r>
      <w:r>
        <w:t xml:space="preserve">, </w:t>
      </w:r>
      <w:r w:rsidR="00203CCA">
        <w:t>og at denne sanktionsbestemmelse blev indført</w:t>
      </w:r>
      <w:r w:rsidR="00DC1C1C">
        <w:t xml:space="preserve"> direkte</w:t>
      </w:r>
      <w:r w:rsidR="00203CCA">
        <w:t xml:space="preserve"> i loven</w:t>
      </w:r>
      <w:r w:rsidR="007A18BF">
        <w:t>,</w:t>
      </w:r>
      <w:r w:rsidR="00203CCA">
        <w:t xml:space="preserve"> for at opfylde ligebehandlingsdirektivets krav. Direktivet</w:t>
      </w:r>
      <w:r w:rsidR="00C03195">
        <w:t xml:space="preserve"> om lønmodtageres retsstilling ved virksomhedsoverdragelse, stiller ikke et lignede krav til den nationale lovgivning, hvorefter en sanktionsbestemmelse</w:t>
      </w:r>
      <w:r w:rsidR="007A18BF">
        <w:t>,</w:t>
      </w:r>
      <w:r w:rsidR="00C03195">
        <w:t xml:space="preserve"> efter Udvalgets opfattelse</w:t>
      </w:r>
      <w:r w:rsidR="007A18BF">
        <w:t>,</w:t>
      </w:r>
      <w:r w:rsidR="00C03195">
        <w:t xml:space="preserve"> ikke var påkrævet,</w:t>
      </w:r>
      <w:r w:rsidR="00C03195">
        <w:rPr>
          <w:rStyle w:val="Fodnotehenvisning"/>
        </w:rPr>
        <w:footnoteReference w:id="82"/>
      </w:r>
      <w:r w:rsidR="00F263EE">
        <w:t xml:space="preserve"> og dermed begrundelsen for</w:t>
      </w:r>
      <w:r w:rsidR="00C03195">
        <w:t xml:space="preserve"> ikke at have en sankti</w:t>
      </w:r>
      <w:r w:rsidR="007A18BF">
        <w:t>onsbestemmelse med i VOL</w:t>
      </w:r>
      <w:r w:rsidR="00C03195">
        <w:t xml:space="preserve"> § 3.</w:t>
      </w:r>
      <w:r w:rsidR="00127542">
        <w:t xml:space="preserve"> D</w:t>
      </w:r>
      <w:r w:rsidR="007A18BF">
        <w:t>et forhold at der ikke er noge</w:t>
      </w:r>
      <w:r>
        <w:t>n sanktionsbestemmelse, kommer i dansk ret til</w:t>
      </w:r>
      <w:r w:rsidR="007A18BF">
        <w:t xml:space="preserve"> at</w:t>
      </w:r>
      <w:r>
        <w:t xml:space="preserve"> betyde, at</w:t>
      </w:r>
      <w:r w:rsidR="007A18BF">
        <w:t xml:space="preserve"> bestemmelsen kun fungerer i forbindelse med en anden best</w:t>
      </w:r>
      <w:r w:rsidR="00DC1C1C">
        <w:t>emmelsen, som måtte indeholde hjemmel til en</w:t>
      </w:r>
      <w:r w:rsidR="007A18BF">
        <w:t xml:space="preserve"> sanktion. Såfremt det </w:t>
      </w:r>
      <w:r>
        <w:t>var meningen ved implementeringen</w:t>
      </w:r>
      <w:r w:rsidR="007A18BF">
        <w:t xml:space="preserve"> af lo</w:t>
      </w:r>
      <w:r w:rsidR="00DC62BA">
        <w:t>ven, at denne skulle give hjemmel</w:t>
      </w:r>
      <w:r w:rsidR="007A18BF">
        <w:t xml:space="preserve"> til at underkende </w:t>
      </w:r>
      <w:r w:rsidR="00336269">
        <w:t>en usaglig afskedigelse, må det have stået lovgiver klart, at dette ikke ville opnås ved alene at henvise til andre bestemm</w:t>
      </w:r>
      <w:r w:rsidR="00DC62BA">
        <w:t>elser</w:t>
      </w:r>
      <w:r w:rsidR="00336269">
        <w:t>, idet disse</w:t>
      </w:r>
      <w:r w:rsidR="00DC62BA">
        <w:t xml:space="preserve"> bestemmelser</w:t>
      </w:r>
      <w:r w:rsidR="00336269">
        <w:t xml:space="preserve"> hovedsagelig</w:t>
      </w:r>
      <w:r>
        <w:t>t</w:t>
      </w:r>
      <w:r w:rsidR="00336269">
        <w:t xml:space="preserve"> </w:t>
      </w:r>
      <w:r w:rsidR="00DC62BA">
        <w:t xml:space="preserve">kun </w:t>
      </w:r>
      <w:r w:rsidR="00336269">
        <w:t xml:space="preserve">indeholder </w:t>
      </w:r>
      <w:r w:rsidR="00DC62BA">
        <w:t>hjemmel til en</w:t>
      </w:r>
      <w:r w:rsidR="00DC1C1C">
        <w:t xml:space="preserve"> </w:t>
      </w:r>
      <w:r w:rsidR="00127542">
        <w:t>godtgørelse</w:t>
      </w:r>
      <w:r w:rsidR="00DC62BA">
        <w:t xml:space="preserve">. </w:t>
      </w:r>
      <w:r w:rsidR="00336269">
        <w:t xml:space="preserve"> </w:t>
      </w:r>
    </w:p>
    <w:p w14:paraId="375A9ABA" w14:textId="06EE44B4" w:rsidR="00AA765E" w:rsidRDefault="00336269" w:rsidP="00FE76BB">
      <w:pPr>
        <w:spacing w:line="360" w:lineRule="auto"/>
      </w:pPr>
      <w:r>
        <w:t xml:space="preserve">Sammenfattende kan der dermed ikke være tvivl om, at der med den danske </w:t>
      </w:r>
      <w:r w:rsidR="009A7172">
        <w:t>lov, ikke har været tilsigtet en egentligt underkendelsesadgang</w:t>
      </w:r>
      <w:r>
        <w:t xml:space="preserve"> med den konsekvens, at et ansættelsesforhold, der er bragt til ophør i strid med loven, skal opretholdes i forhold ti</w:t>
      </w:r>
      <w:r w:rsidR="00EC5AB2">
        <w:t>l erhververen af virksomheden, og</w:t>
      </w:r>
      <w:r w:rsidR="00127542">
        <w:t xml:space="preserve"> at den afskediget lønmodtager</w:t>
      </w:r>
      <w:r w:rsidR="00EC5AB2">
        <w:t xml:space="preserve"> dermed</w:t>
      </w:r>
      <w:r w:rsidR="00127542">
        <w:t xml:space="preserve"> skal</w:t>
      </w:r>
      <w:r w:rsidR="00EC5AB2">
        <w:t xml:space="preserve"> genansættes. </w:t>
      </w:r>
      <w:r w:rsidR="004922DD">
        <w:t>Denne retstilstand vil også stemme bedst overens med et af de grundlæggende principper i virksomhedsoverdragelsesloven – nemlig at en lønmodtager kun kan gøre samme rettigheder gældende overfor erhververen, som han kunne overfor overdrageren af virksomheden. Såfremt der var tale om et egentligt afskedigelsesforbud, ville virksomhedsoverdragelsesloven medføre, at en lønmodtager, i tilfælde af en afskedigelse i strid med loven, ville få en beføjelse til at kræve genansættelse overfor erhververen, som han ikke havde overfor overdrageren efter eksempelvis FUL § 2 b.</w:t>
      </w:r>
    </w:p>
    <w:p w14:paraId="420AC5A6" w14:textId="77777777" w:rsidR="00AA765E" w:rsidRDefault="00AA765E" w:rsidP="00FE76BB">
      <w:pPr>
        <w:spacing w:line="360" w:lineRule="auto"/>
      </w:pPr>
    </w:p>
    <w:p w14:paraId="324D3C4F" w14:textId="659AFCD8" w:rsidR="00AA765E" w:rsidRDefault="00AB783C" w:rsidP="00AB783C">
      <w:pPr>
        <w:pStyle w:val="Overskrift2"/>
      </w:pPr>
      <w:bookmarkStart w:id="39" w:name="_Toc292966598"/>
      <w:r>
        <w:t>De to retskilder</w:t>
      </w:r>
      <w:r w:rsidR="00BC6024">
        <w:t xml:space="preserve"> set i forhold til hinanden</w:t>
      </w:r>
      <w:bookmarkEnd w:id="39"/>
      <w:r w:rsidR="00BC6024">
        <w:t xml:space="preserve"> </w:t>
      </w:r>
      <w:r>
        <w:t xml:space="preserve"> </w:t>
      </w:r>
    </w:p>
    <w:p w14:paraId="1EC5E339" w14:textId="77777777" w:rsidR="00A74247" w:rsidRPr="00A74247" w:rsidRDefault="00A74247" w:rsidP="00A74247"/>
    <w:p w14:paraId="6EF6A01C" w14:textId="77777777" w:rsidR="00A74247" w:rsidRDefault="00D465E1" w:rsidP="00FE76BB">
      <w:pPr>
        <w:spacing w:line="360" w:lineRule="auto"/>
      </w:pPr>
      <w:r>
        <w:t>Ud fra en samme</w:t>
      </w:r>
      <w:r w:rsidR="00DC62BA">
        <w:t>nligning af art. 4, stk. 1, og VOL</w:t>
      </w:r>
      <w:r>
        <w:t xml:space="preserve"> § 3, stk. 1, kan det først og fremmest konkluderes, at</w:t>
      </w:r>
      <w:r w:rsidR="000E6F91">
        <w:t xml:space="preserve"> begge bestemmelser, efter deres ordlyd, minder om hinanden, og at ingen af dem tager konkret stilling til retsvirkningen af en afskedigelse i strid med bestemmelserne.</w:t>
      </w:r>
      <w:r w:rsidR="00D61057">
        <w:t xml:space="preserve"> Der er således</w:t>
      </w:r>
      <w:r w:rsidR="009C7246">
        <w:t>,</w:t>
      </w:r>
      <w:r w:rsidR="00D61057">
        <w:t xml:space="preserve"> ud fra</w:t>
      </w:r>
      <w:r w:rsidR="00AB783C">
        <w:t xml:space="preserve"> begge bestemmelsers</w:t>
      </w:r>
      <w:r w:rsidR="00D61057">
        <w:t xml:space="preserve"> ordlyd, ikke noget der tyder på, at de skal forstås som et</w:t>
      </w:r>
      <w:r w:rsidR="009C7246">
        <w:t xml:space="preserve"> egentligt afskedigelsesforbud</w:t>
      </w:r>
      <w:r w:rsidR="009F1D02">
        <w:t xml:space="preserve">, der giver adgang til </w:t>
      </w:r>
      <w:r w:rsidR="00D24DED">
        <w:t>at underkende afskedigelser. Den omstændighed</w:t>
      </w:r>
      <w:r w:rsidR="009F1D02">
        <w:t xml:space="preserve"> at direktivet er tavs omkring </w:t>
      </w:r>
      <w:r w:rsidR="00D24DED">
        <w:t>retsvirkningen</w:t>
      </w:r>
      <w:r w:rsidR="009F1D02">
        <w:t>, at der er tale om et minimumsdirektiv,</w:t>
      </w:r>
      <w:r w:rsidR="00D24DED">
        <w:t xml:space="preserve"> samt det forhold, at EU alene kræver minimumsharmonisering,</w:t>
      </w:r>
      <w:r w:rsidR="009F1D02">
        <w:t xml:space="preserve"> må de</w:t>
      </w:r>
      <w:r w:rsidR="00AB783C">
        <w:t>rfor fortolkes som om, at det må være</w:t>
      </w:r>
      <w:r w:rsidR="009F1D02">
        <w:t xml:space="preserve"> op til medlemsstaterne selv a</w:t>
      </w:r>
      <w:r w:rsidR="00BC6024">
        <w:t>t fastsætte retsvirkningen.</w:t>
      </w:r>
      <w:r w:rsidR="009F1D02">
        <w:t xml:space="preserve"> F</w:t>
      </w:r>
      <w:r w:rsidR="00D61057">
        <w:t>orarbejderne ti</w:t>
      </w:r>
      <w:r w:rsidR="009F1D02">
        <w:t>l virksomhedsoverdragelsesloven viser også,</w:t>
      </w:r>
      <w:r w:rsidR="00D61057">
        <w:t xml:space="preserve"> at man fra </w:t>
      </w:r>
      <w:r w:rsidR="00AB783C">
        <w:t>dansk lovgivnings</w:t>
      </w:r>
      <w:r w:rsidR="00D61057">
        <w:t xml:space="preserve"> side, har opfattet direktivet sådan, og</w:t>
      </w:r>
      <w:r w:rsidR="00BC6024">
        <w:t xml:space="preserve"> at det dermed er</w:t>
      </w:r>
      <w:r w:rsidR="00D61057">
        <w:t xml:space="preserve"> op til medlemsstaternes egen </w:t>
      </w:r>
      <w:r w:rsidR="002F4785">
        <w:t>lovgivning og praksis</w:t>
      </w:r>
      <w:r w:rsidR="00D61057">
        <w:t>, at f</w:t>
      </w:r>
      <w:r w:rsidR="009F1D02">
        <w:t xml:space="preserve">astsætte retsvirkningen. </w:t>
      </w:r>
      <w:r w:rsidR="00BC6024">
        <w:t>Når man sammenligner de to bestemmelser med hinanden, er der derfor ikke noget der tyder på, at disse skal fortolkes sådan, som der i retslitteraturen har</w:t>
      </w:r>
      <w:r w:rsidR="00A74247">
        <w:t xml:space="preserve"> været argumenteret for, at EU-D</w:t>
      </w:r>
      <w:r w:rsidR="00BC6024">
        <w:t>oms</w:t>
      </w:r>
      <w:r w:rsidR="00420C3C">
        <w:t xml:space="preserve">tolen fortolker direktivets art. 4, stk. 1. </w:t>
      </w:r>
    </w:p>
    <w:p w14:paraId="0FEEF10B" w14:textId="77777777" w:rsidR="00A74247" w:rsidRDefault="00A74247" w:rsidP="00FE76BB">
      <w:pPr>
        <w:spacing w:line="360" w:lineRule="auto"/>
      </w:pPr>
    </w:p>
    <w:p w14:paraId="1AF69AE1" w14:textId="5CA1F3E2" w:rsidR="004A4B56" w:rsidRDefault="00A74247" w:rsidP="00A74247">
      <w:pPr>
        <w:pStyle w:val="Overskrift2"/>
      </w:pPr>
      <w:bookmarkStart w:id="40" w:name="_Toc292966599"/>
      <w:r>
        <w:t>Sammenfatning</w:t>
      </w:r>
      <w:bookmarkEnd w:id="40"/>
      <w:r>
        <w:t xml:space="preserve"> </w:t>
      </w:r>
      <w:r w:rsidR="00D61057">
        <w:t xml:space="preserve"> </w:t>
      </w:r>
    </w:p>
    <w:p w14:paraId="18D42CC3" w14:textId="77777777" w:rsidR="00A74247" w:rsidRDefault="00A74247" w:rsidP="00FE76BB">
      <w:pPr>
        <w:spacing w:line="360" w:lineRule="auto"/>
      </w:pPr>
    </w:p>
    <w:p w14:paraId="1E2479C8" w14:textId="2599D02E" w:rsidR="00441D9E" w:rsidRDefault="00A74247" w:rsidP="00FE76BB">
      <w:pPr>
        <w:spacing w:line="360" w:lineRule="auto"/>
      </w:pPr>
      <w:r>
        <w:t>På baggrund af sammenligningen mellem direktivets art. 4, stk. 1 og den danske implementering heraf i VOL § 3, stk. 1,</w:t>
      </w:r>
      <w:r w:rsidR="00D24DED">
        <w:t xml:space="preserve"> kan der</w:t>
      </w:r>
      <w:r w:rsidR="00D325F5">
        <w:t xml:space="preserve"> ikke påvises nogen uoverensstemmelse mellem </w:t>
      </w:r>
      <w:r>
        <w:t xml:space="preserve">bestemmelserne, </w:t>
      </w:r>
      <w:r w:rsidR="0050388A">
        <w:t>der</w:t>
      </w:r>
      <w:r>
        <w:t xml:space="preserve"> derfor</w:t>
      </w:r>
      <w:r w:rsidR="0050388A">
        <w:t xml:space="preserve"> umiddelbart tyder på, at en afskedigelse i strid med direktivet, </w:t>
      </w:r>
      <w:r>
        <w:t xml:space="preserve">skal </w:t>
      </w:r>
      <w:r w:rsidR="0050388A">
        <w:t>sanktioneres efter national rets egen lovgivning og praksis på omr</w:t>
      </w:r>
      <w:r w:rsidR="00681086">
        <w:t>ådet.</w:t>
      </w:r>
      <w:r w:rsidR="0050388A">
        <w:t xml:space="preserve"> </w:t>
      </w:r>
    </w:p>
    <w:p w14:paraId="57D97830" w14:textId="57DACB61" w:rsidR="00C81EA3" w:rsidRDefault="00441D9E" w:rsidP="00441D9E">
      <w:r>
        <w:br w:type="page"/>
      </w:r>
    </w:p>
    <w:p w14:paraId="4CE4A320" w14:textId="441F063E" w:rsidR="00C81EA3" w:rsidRDefault="00D24E28" w:rsidP="00184189">
      <w:pPr>
        <w:pStyle w:val="Overskrift1"/>
      </w:pPr>
      <w:bookmarkStart w:id="41" w:name="_Toc292966600"/>
      <w:r>
        <w:t>R</w:t>
      </w:r>
      <w:r w:rsidR="00C81EA3">
        <w:t>etspraksis i forhold til afskedigelser i strid med direktiv 2001/23/EF art. 4, stk. 1 og VOL § 3, stk. 1</w:t>
      </w:r>
      <w:bookmarkEnd w:id="41"/>
    </w:p>
    <w:p w14:paraId="77B918EF" w14:textId="77777777" w:rsidR="006F0020" w:rsidRPr="006F0020" w:rsidRDefault="006F0020" w:rsidP="006F0020"/>
    <w:p w14:paraId="3B3B036D" w14:textId="638D0B31" w:rsidR="00AA636C" w:rsidRDefault="00565D82" w:rsidP="00FE76BB">
      <w:pPr>
        <w:spacing w:line="360" w:lineRule="auto"/>
      </w:pPr>
      <w:r>
        <w:t xml:space="preserve">Som nævnt i afsnit </w:t>
      </w:r>
      <w:r>
        <w:fldChar w:fldCharType="begin"/>
      </w:r>
      <w:r>
        <w:instrText xml:space="preserve"> REF _Ref292650306 \r \h </w:instrText>
      </w:r>
      <w:r>
        <w:fldChar w:fldCharType="separate"/>
      </w:r>
      <w:r>
        <w:t>1.4.3</w:t>
      </w:r>
      <w:r>
        <w:fldChar w:fldCharType="end"/>
      </w:r>
      <w:r w:rsidR="00C81EA3">
        <w:t>, er domspraksis, i form af afgørelser afsagt af Domstolen, en meget vigtig retskilde i EU-retten.</w:t>
      </w:r>
      <w:r w:rsidR="00783C84">
        <w:t xml:space="preserve"> D</w:t>
      </w:r>
      <w:r w:rsidR="00B10A1D">
        <w:t>ette</w:t>
      </w:r>
      <w:r w:rsidR="00783C84">
        <w:t xml:space="preserve"> skal</w:t>
      </w:r>
      <w:r w:rsidR="00B10A1D">
        <w:t xml:space="preserve"> sammenholdes med, at</w:t>
      </w:r>
      <w:r w:rsidR="00D62B5D">
        <w:t xml:space="preserve"> forarbejder i EU-retlig sammenhæng</w:t>
      </w:r>
      <w:r w:rsidR="00B10A1D">
        <w:t>, er</w:t>
      </w:r>
      <w:r w:rsidR="00D62B5D">
        <w:t xml:space="preserve"> af</w:t>
      </w:r>
      <w:r w:rsidR="00B10A1D">
        <w:t xml:space="preserve"> meget begrænset betydning,</w:t>
      </w:r>
      <w:r w:rsidR="00783C84">
        <w:t xml:space="preserve"> og i øvrigt i begrænset omfang er offentliggjorte. Det er</w:t>
      </w:r>
      <w:r w:rsidR="006F0020">
        <w:t xml:space="preserve"> derfor ikke tilstrækkeligt</w:t>
      </w:r>
      <w:r w:rsidR="00C81EA3">
        <w:t xml:space="preserve"> til at svare på problemformuleringen, at det ovenfor er blevet konkluderet, at der ikke kan påvises nogen uoverensstemmelse, mellem direktivets art. 4, stk. 1 og de</w:t>
      </w:r>
      <w:r w:rsidR="006F0020">
        <w:t>n danske implementering heraf i VOL</w:t>
      </w:r>
      <w:r w:rsidR="00B10A1D">
        <w:t xml:space="preserve"> § 3, stk. 1.</w:t>
      </w:r>
      <w:r w:rsidR="006F0020">
        <w:t xml:space="preserve"> Det er derfor nødvendigt også</w:t>
      </w:r>
      <w:r w:rsidR="00C81EA3">
        <w:t xml:space="preserve"> at analysere de relevante domme, der er blevet afsagt på området</w:t>
      </w:r>
      <w:r w:rsidR="00FA79EE">
        <w:t xml:space="preserve">, </w:t>
      </w:r>
      <w:r w:rsidR="00AA636C">
        <w:t>set ud fra deres</w:t>
      </w:r>
      <w:r w:rsidR="00FA79EE">
        <w:t xml:space="preserve"> retskildemæssi</w:t>
      </w:r>
      <w:r w:rsidR="006F0020">
        <w:t>ge værdi</w:t>
      </w:r>
      <w:r w:rsidR="00FA79EE">
        <w:t xml:space="preserve">. </w:t>
      </w:r>
      <w:r w:rsidR="006F0020">
        <w:t>I det følgende vil det derfor</w:t>
      </w:r>
      <w:r w:rsidR="00AA636C">
        <w:t xml:space="preserve"> bliv</w:t>
      </w:r>
      <w:r w:rsidR="006F0020">
        <w:t>e analyseret, hvordan EU-Domstolen fortolker</w:t>
      </w:r>
      <w:r w:rsidR="00AA636C">
        <w:t xml:space="preserve"> direktivets art. 4, stk. 1, og dermed retsvirkningen af en afskedigelse i </w:t>
      </w:r>
      <w:r w:rsidR="00B10A1D">
        <w:t>strid med direktivet, og sammenholde det</w:t>
      </w:r>
      <w:r w:rsidR="00783C84">
        <w:t>te med</w:t>
      </w:r>
      <w:r w:rsidR="00AA636C">
        <w:t xml:space="preserve"> dansk </w:t>
      </w:r>
      <w:r w:rsidR="0024525F">
        <w:t>retspraksis’ fortolkning</w:t>
      </w:r>
      <w:r w:rsidR="00B10A1D">
        <w:t xml:space="preserve"> af</w:t>
      </w:r>
      <w:r w:rsidR="00AA636C">
        <w:t xml:space="preserve"> VOL § 3, stk. 1.</w:t>
      </w:r>
      <w:r w:rsidR="0024525F">
        <w:t xml:space="preserve"> </w:t>
      </w:r>
      <w:r w:rsidR="00B10A1D">
        <w:t xml:space="preserve"> </w:t>
      </w:r>
      <w:r w:rsidR="00AA636C">
        <w:t xml:space="preserve"> </w:t>
      </w:r>
    </w:p>
    <w:p w14:paraId="1B0FB369" w14:textId="77777777" w:rsidR="00AA636C" w:rsidRDefault="00AA636C" w:rsidP="00FE76BB">
      <w:pPr>
        <w:spacing w:line="360" w:lineRule="auto"/>
      </w:pPr>
    </w:p>
    <w:p w14:paraId="054946F1" w14:textId="193DB50A" w:rsidR="006213CB" w:rsidRDefault="0024525F" w:rsidP="00184189">
      <w:pPr>
        <w:pStyle w:val="Overskrift2"/>
      </w:pPr>
      <w:bookmarkStart w:id="42" w:name="_Toc292966601"/>
      <w:r>
        <w:t>C-</w:t>
      </w:r>
      <w:r w:rsidR="006213CB">
        <w:t>101/87 P. Bork International</w:t>
      </w:r>
      <w:bookmarkEnd w:id="42"/>
    </w:p>
    <w:p w14:paraId="34F34A91" w14:textId="77777777" w:rsidR="0024525F" w:rsidRPr="0024525F" w:rsidRDefault="0024525F" w:rsidP="0024525F"/>
    <w:p w14:paraId="3D802318" w14:textId="2FEA77F3" w:rsidR="00FD2071" w:rsidRDefault="00FD2071" w:rsidP="00FE76BB">
      <w:pPr>
        <w:spacing w:line="360" w:lineRule="auto"/>
      </w:pPr>
      <w:r>
        <w:t>I denne dom af 15. juni 1988</w:t>
      </w:r>
      <w:r w:rsidR="00E36FFE">
        <w:t>,</w:t>
      </w:r>
      <w:r>
        <w:t xml:space="preserve"> tog </w:t>
      </w:r>
      <w:r w:rsidR="0024525F">
        <w:t>EU-d</w:t>
      </w:r>
      <w:r>
        <w:t xml:space="preserve">omstolen for første gang stilling til fortolkningen af art. 4, stk. 1. </w:t>
      </w:r>
    </w:p>
    <w:p w14:paraId="47DAFD1E" w14:textId="40D04DA8" w:rsidR="00410C0C" w:rsidRDefault="00410C0C" w:rsidP="00FE76BB">
      <w:pPr>
        <w:spacing w:line="360" w:lineRule="auto"/>
      </w:pPr>
      <w:r>
        <w:t>Sagen omhandler en anmodning fra</w:t>
      </w:r>
      <w:r w:rsidR="00E36FFE">
        <w:t xml:space="preserve"> Højesteret i</w:t>
      </w:r>
      <w:r>
        <w:t xml:space="preserve"> den danske</w:t>
      </w:r>
      <w:r w:rsidR="00E36FFE">
        <w:t xml:space="preserve"> hovedsag</w:t>
      </w:r>
      <w:r>
        <w:t>,</w:t>
      </w:r>
      <w:r w:rsidR="00181737">
        <w:t xml:space="preserve"> jf. U.1989.372/4H,</w:t>
      </w:r>
      <w:r>
        <w:t xml:space="preserve"> der ved beslutning af 4. December 1</w:t>
      </w:r>
      <w:r w:rsidR="001A7D08">
        <w:t>985, forelagde</w:t>
      </w:r>
      <w:r w:rsidR="0024525F">
        <w:t xml:space="preserve"> EU-D</w:t>
      </w:r>
      <w:r w:rsidR="001A7D08">
        <w:t>omstolen</w:t>
      </w:r>
      <w:r>
        <w:t xml:space="preserve"> et præjudicielt spørgsmål</w:t>
      </w:r>
      <w:r w:rsidR="001A7D08">
        <w:t>,</w:t>
      </w:r>
      <w:r>
        <w:t xml:space="preserve"> vedrørende fortolkningen af</w:t>
      </w:r>
      <w:r w:rsidR="001A7D08">
        <w:t xml:space="preserve"> art. 1, stk. 1 i</w:t>
      </w:r>
      <w:r>
        <w:t xml:space="preserve"> direktiv 77/187/EØF. </w:t>
      </w:r>
      <w:r w:rsidR="000619EF">
        <w:t>Spørgsmålet blev rejst under nogle sager anlagt dels af Foreningen af Arbejdsledere i Danmark mod P. Bork International A/S, og d</w:t>
      </w:r>
      <w:r w:rsidR="001A7D08">
        <w:t>els af en række lønmodtagere</w:t>
      </w:r>
      <w:r w:rsidR="000619EF">
        <w:t xml:space="preserve"> mod Junckers Industrier A/S. I en af sagerne har Foreningen af Arbejdsledere i Danmark, rejst krav om betaling af løntilgodehavende</w:t>
      </w:r>
      <w:r w:rsidR="0024525F">
        <w:t>r</w:t>
      </w:r>
      <w:r w:rsidR="000619EF">
        <w:t xml:space="preserve"> og feriegodtgørelse over for P. Bork International, ud fra den påstand, at Junckers Industriers erhvervelse af virksomheden</w:t>
      </w:r>
      <w:r w:rsidR="0024525F">
        <w:t>,</w:t>
      </w:r>
      <w:r w:rsidR="000619EF">
        <w:t xml:space="preserve"> ikke udgjorde en virksomhedsoverdragelse, som var omfattet af virksomhedsoverdragelsesloven</w:t>
      </w:r>
      <w:r w:rsidR="0024525F">
        <w:t>. K</w:t>
      </w:r>
      <w:r w:rsidR="000619EF">
        <w:t>rav</w:t>
      </w:r>
      <w:r w:rsidR="000740A5">
        <w:t>ene derfor skulle honoreres af P</w:t>
      </w:r>
      <w:r w:rsidR="000619EF">
        <w:t xml:space="preserve">. Bork Internationals konkursbo. </w:t>
      </w:r>
      <w:r w:rsidR="00510A7E">
        <w:t>I de t</w:t>
      </w:r>
      <w:r w:rsidR="00E92FA6">
        <w:t>re andre sager har de lønmodtagere</w:t>
      </w:r>
      <w:r w:rsidR="00510A7E">
        <w:t>, som blev afskediget af P. Bork International og genansat af Junckers Industrier, derimod rejst krav om betaling af løntilgodehavender og feriegodtgørelse overfor Junckers Industrier, med den påstand, at der forelå en overdragelse af virksomheden, som var omfattet af virksomhedsoverdragelseslo</w:t>
      </w:r>
      <w:r w:rsidR="0024525F">
        <w:t xml:space="preserve">ven. </w:t>
      </w:r>
      <w:r w:rsidR="00510A7E">
        <w:t>P. Bork Internationals forpligtelser</w:t>
      </w:r>
      <w:r w:rsidR="0024525F">
        <w:t xml:space="preserve"> var derfor</w:t>
      </w:r>
      <w:r w:rsidR="00510A7E">
        <w:t xml:space="preserve"> overgået til Junckers Industrier.</w:t>
      </w:r>
      <w:r w:rsidR="0024525F">
        <w:t xml:space="preserve"> </w:t>
      </w:r>
      <w:r w:rsidR="00510A7E">
        <w:t xml:space="preserve"> </w:t>
      </w:r>
      <w:r w:rsidR="000619EF">
        <w:t xml:space="preserve"> </w:t>
      </w:r>
    </w:p>
    <w:p w14:paraId="52FA7644" w14:textId="12400AE3" w:rsidR="00446795" w:rsidRDefault="00B01A53" w:rsidP="00FE76BB">
      <w:pPr>
        <w:spacing w:line="360" w:lineRule="auto"/>
      </w:pPr>
      <w:r>
        <w:t>Spørgsmålet var således, om direktiv 77/187</w:t>
      </w:r>
      <w:r w:rsidR="0024525F">
        <w:t>/EØF</w:t>
      </w:r>
      <w:r>
        <w:t xml:space="preserve"> fandt anvendelse i en sag, som er karakteriseret ved følgende tre faktiske omstændigheder:</w:t>
      </w:r>
    </w:p>
    <w:p w14:paraId="7A58F04A" w14:textId="77777777" w:rsidR="00446795" w:rsidRDefault="00446795" w:rsidP="00FE76BB">
      <w:pPr>
        <w:spacing w:line="360" w:lineRule="auto"/>
      </w:pPr>
    </w:p>
    <w:p w14:paraId="0E5E0D79" w14:textId="4B39017D" w:rsidR="00B01A53" w:rsidRDefault="00B01A53" w:rsidP="00FE76BB">
      <w:pPr>
        <w:pStyle w:val="Listeafsnit"/>
        <w:numPr>
          <w:ilvl w:val="0"/>
          <w:numId w:val="12"/>
        </w:numPr>
        <w:spacing w:line="360" w:lineRule="auto"/>
      </w:pPr>
      <w:r>
        <w:t>Overdrageren havde indtil ca. en uge før overdragelsen udlejet virksomheden til et andet selskab</w:t>
      </w:r>
      <w:r w:rsidR="00D03206">
        <w:t xml:space="preserve"> (P. Bork International)</w:t>
      </w:r>
      <w:r>
        <w:t xml:space="preserve">, og det var således ikke overdrageren, men </w:t>
      </w:r>
      <w:r w:rsidR="0024525F">
        <w:t>lejeren, der var lønmodtagernes</w:t>
      </w:r>
      <w:r>
        <w:t xml:space="preserve"> arbejdsgiver</w:t>
      </w:r>
    </w:p>
    <w:p w14:paraId="7CDA0B97" w14:textId="2B2BF4B0" w:rsidR="00B01A53" w:rsidRDefault="00B01A53" w:rsidP="00FE76BB">
      <w:pPr>
        <w:pStyle w:val="Listeafsnit"/>
        <w:numPr>
          <w:ilvl w:val="0"/>
          <w:numId w:val="12"/>
        </w:numPr>
        <w:spacing w:line="360" w:lineRule="auto"/>
      </w:pPr>
      <w:r>
        <w:t>Lejeren havde opsagt eller ophævet lejekontrakten</w:t>
      </w:r>
      <w:r w:rsidR="00446795">
        <w:t>, og ved lejemålets ophør standsede virksomhedens drift</w:t>
      </w:r>
    </w:p>
    <w:p w14:paraId="79AE34C9" w14:textId="64FAF385" w:rsidR="00446795" w:rsidRDefault="00446795" w:rsidP="00FE76BB">
      <w:pPr>
        <w:pStyle w:val="Listeafsnit"/>
        <w:numPr>
          <w:ilvl w:val="0"/>
          <w:numId w:val="12"/>
        </w:numPr>
        <w:spacing w:line="360" w:lineRule="auto"/>
      </w:pPr>
      <w:r>
        <w:t>Erhververen</w:t>
      </w:r>
      <w:r w:rsidR="00D03206">
        <w:t xml:space="preserve"> (Junckers Industrier)</w:t>
      </w:r>
      <w:r>
        <w:t xml:space="preserve"> genoptog driften af virksomheden og genansatte godt halvdelen af de lønmodtagere, der havde været ansat i virksomheden af den tidligere lejer</w:t>
      </w:r>
    </w:p>
    <w:p w14:paraId="5056CC8B" w14:textId="77777777" w:rsidR="00446795" w:rsidRDefault="00446795" w:rsidP="00FE76BB">
      <w:pPr>
        <w:pStyle w:val="Listeafsnit"/>
        <w:spacing w:line="360" w:lineRule="auto"/>
      </w:pPr>
    </w:p>
    <w:p w14:paraId="0821FBB6" w14:textId="544B871C" w:rsidR="00510A7E" w:rsidRDefault="00F0563B" w:rsidP="00FE76BB">
      <w:pPr>
        <w:spacing w:line="360" w:lineRule="auto"/>
      </w:pPr>
      <w:r>
        <w:t>Sagen vedrører</w:t>
      </w:r>
      <w:r w:rsidR="00446795">
        <w:t xml:space="preserve"> dermed</w:t>
      </w:r>
      <w:r>
        <w:t xml:space="preserve"> i det væsentlige spørgsmålet om, hvorvidt P. Bork Internationals forpligtelser</w:t>
      </w:r>
      <w:r w:rsidR="00D03206">
        <w:t>, over for lønmodtagerne</w:t>
      </w:r>
      <w:r>
        <w:t xml:space="preserve"> i virksomheden, navnlig med hensyn til løn og feriegodtgørelse, er overgået til Junckers In</w:t>
      </w:r>
      <w:r w:rsidR="00D03206">
        <w:t xml:space="preserve">dustrier, som ny arbejdsgiver. </w:t>
      </w:r>
      <w:r w:rsidR="00510A7E">
        <w:t>Da Højesteret fandt, at</w:t>
      </w:r>
      <w:r w:rsidR="00D03206">
        <w:t xml:space="preserve"> dette</w:t>
      </w:r>
      <w:r w:rsidR="00510A7E">
        <w:t xml:space="preserve"> afhang af fortolkningen af direkti</w:t>
      </w:r>
      <w:r w:rsidR="000740A5">
        <w:t>v 77/187</w:t>
      </w:r>
      <w:r w:rsidR="00D03206">
        <w:t>/EØF,</w:t>
      </w:r>
      <w:r w:rsidR="000740A5">
        <w:t xml:space="preserve"> forelagde</w:t>
      </w:r>
      <w:r w:rsidR="00D03206">
        <w:t xml:space="preserve"> Højesteret derfor</w:t>
      </w:r>
      <w:r w:rsidR="00510A7E">
        <w:t xml:space="preserve"> </w:t>
      </w:r>
      <w:r w:rsidR="00D03206">
        <w:t>EU-</w:t>
      </w:r>
      <w:r w:rsidR="00510A7E">
        <w:t>Domstolen følgende præjudicielle spørgsmål:</w:t>
      </w:r>
      <w:r w:rsidR="00D03206">
        <w:t xml:space="preserve"> </w:t>
      </w:r>
      <w:r w:rsidR="00510A7E">
        <w:t xml:space="preserve"> </w:t>
      </w:r>
    </w:p>
    <w:p w14:paraId="0E2495BC" w14:textId="77777777" w:rsidR="000740A5" w:rsidRDefault="000740A5" w:rsidP="00FE76BB">
      <w:pPr>
        <w:spacing w:line="360" w:lineRule="auto"/>
      </w:pPr>
    </w:p>
    <w:p w14:paraId="276DCBF1" w14:textId="6F150805" w:rsidR="00510A7E" w:rsidRDefault="00510A7E" w:rsidP="00FE76BB">
      <w:pPr>
        <w:spacing w:line="360" w:lineRule="auto"/>
        <w:rPr>
          <w:i/>
        </w:rPr>
      </w:pPr>
      <w:r>
        <w:t>”</w:t>
      </w:r>
      <w:r>
        <w:rPr>
          <w:i/>
        </w:rPr>
        <w:t xml:space="preserve">Finder Rådets direktiv 77/187 af 14. </w:t>
      </w:r>
      <w:r w:rsidR="00E43404">
        <w:rPr>
          <w:i/>
        </w:rPr>
        <w:t>F</w:t>
      </w:r>
      <w:r>
        <w:rPr>
          <w:i/>
        </w:rPr>
        <w:t>ebruar anvendelse i tilfælde, hvor udlejeren af de til driften af en virksomhed hørende bygninger, installationer og maskiner efter opsigelse eller ophævelse af lejekontrakten og virksomhedens standsning modtager det udlejede tilbage og derefter overdrager dette til tredjemand, der kort efter genoptager driften af virksomheden</w:t>
      </w:r>
      <w:r w:rsidR="000740A5">
        <w:rPr>
          <w:i/>
        </w:rPr>
        <w:t xml:space="preserve">, uden at der er indgået aftale herom hverken med den tidligere lejer eller overdrageren eller mellem disse indbyrdes – genansætter godt halvdelen af de lønmodtagere, der var ansat i virksomheden af den tidligere lejer?” </w:t>
      </w:r>
    </w:p>
    <w:p w14:paraId="14D28433" w14:textId="77777777" w:rsidR="00077015" w:rsidRDefault="00077015" w:rsidP="00FE76BB">
      <w:pPr>
        <w:spacing w:line="360" w:lineRule="auto"/>
        <w:rPr>
          <w:i/>
        </w:rPr>
      </w:pPr>
    </w:p>
    <w:p w14:paraId="6B265032" w14:textId="2E710F1F" w:rsidR="00077015" w:rsidRPr="00070B2F" w:rsidRDefault="00077015" w:rsidP="00FE76BB">
      <w:pPr>
        <w:spacing w:line="360" w:lineRule="auto"/>
      </w:pPr>
      <w:r w:rsidRPr="00070B2F">
        <w:t>Med det</w:t>
      </w:r>
      <w:r w:rsidR="00D03206">
        <w:t>te</w:t>
      </w:r>
      <w:r w:rsidRPr="00070B2F">
        <w:t xml:space="preserve"> præjudicielle spørgsmål ønskede Højesteret dermed oplyst, om art. 1, stk. 1 i Rådets direktiv 77/187, skulle fortolkes således, at direktivet fandt anvendelse i en situation, hvor ejeren af en virksomhed</w:t>
      </w:r>
      <w:r w:rsidR="00E43404" w:rsidRPr="00070B2F">
        <w:t>,</w:t>
      </w:r>
      <w:r w:rsidRPr="00070B2F">
        <w:t xml:space="preserve"> efter opsigelse eller ophævelse af en lejekontrakt, igen overtager virksomheden, for senere at sælge den til tredjemand, som ko</w:t>
      </w:r>
      <w:r w:rsidR="001A7D08">
        <w:t>rt tid efter fortsætter driften</w:t>
      </w:r>
      <w:r w:rsidRPr="00070B2F">
        <w:t xml:space="preserve"> med l</w:t>
      </w:r>
      <w:r w:rsidR="007F2C99">
        <w:t>idt over halvdelen af den</w:t>
      </w:r>
      <w:r w:rsidRPr="00070B2F">
        <w:t xml:space="preserve"> tidligere lejer</w:t>
      </w:r>
      <w:r w:rsidR="007F2C99">
        <w:t>s</w:t>
      </w:r>
      <w:r w:rsidRPr="00070B2F">
        <w:t xml:space="preserve"> ansatte personale. </w:t>
      </w:r>
    </w:p>
    <w:p w14:paraId="3BC4FE9E" w14:textId="77777777" w:rsidR="007F2C99" w:rsidRDefault="00446795" w:rsidP="00070B2F">
      <w:pPr>
        <w:widowControl w:val="0"/>
        <w:autoSpaceDE w:val="0"/>
        <w:autoSpaceDN w:val="0"/>
        <w:adjustRightInd w:val="0"/>
        <w:spacing w:after="240" w:line="360" w:lineRule="auto"/>
        <w:rPr>
          <w:rFonts w:cs="Times"/>
        </w:rPr>
      </w:pPr>
      <w:r w:rsidRPr="00070B2F">
        <w:t>Spørgsmålet i dommen berører således ikke en fortolkning af</w:t>
      </w:r>
      <w:r w:rsidR="007F2C99">
        <w:t xml:space="preserve"> direktivets</w:t>
      </w:r>
      <w:r w:rsidRPr="00070B2F">
        <w:t xml:space="preserve"> art. 4, stk. 1 og</w:t>
      </w:r>
      <w:r w:rsidR="007F2C99">
        <w:t xml:space="preserve"> dermed</w:t>
      </w:r>
      <w:r w:rsidRPr="00070B2F">
        <w:t xml:space="preserve"> retsvirkningen af en afskedigelse i strid med direktivet. Grunden til at sagen alligevel er interessant er, at der i retsmøderapportens begrundelse for det præjudicielle spørgsmåls besvarelse, henvises til fortolkningen af art. 4, stk. 1. </w:t>
      </w:r>
      <w:r w:rsidR="00B84231" w:rsidRPr="00070B2F">
        <w:t xml:space="preserve">Det fremgår således af retsmøderapporten, at: </w:t>
      </w:r>
      <w:r w:rsidR="00B84231" w:rsidRPr="00070B2F">
        <w:rPr>
          <w:i/>
        </w:rPr>
        <w:t>”for at en arbejdstager er beskyttet af direktivet, skal der imidlertid også bestå en arbejdskontrakt eller et arbejdsforhold på tidspunktet for overførslen. Hvad det angår, må det antages, at ansættelsesforholdet fortsætter, selv om opsigelse er afgivet, indtil fratrædelse sker…</w:t>
      </w:r>
      <w:r w:rsidR="00B84231" w:rsidRPr="00070B2F">
        <w:t>”</w:t>
      </w:r>
      <w:r w:rsidRPr="00070B2F">
        <w:t xml:space="preserve"> </w:t>
      </w:r>
      <w:r w:rsidR="00B84231" w:rsidRPr="00070B2F">
        <w:t>Endvidere fremgår det, at: ”</w:t>
      </w:r>
      <w:r w:rsidR="00B84231" w:rsidRPr="00070B2F">
        <w:rPr>
          <w:i/>
        </w:rPr>
        <w:t xml:space="preserve">Det fremgår imidlertid af direktivets artikel 4, at arbejdstagere, som er blevet ulovligt afskediget, må betragtes, som om de stadig var ansat, og at de derfor er beskyttet af direktivet. Såfremt den pågældende overførsel er omfattet af direktivet, medfører artikel 4, at afskedigelsen af arbejdstagere, som bliver genansat af erhververen, er </w:t>
      </w:r>
      <w:r w:rsidR="00B84231" w:rsidRPr="0051622A">
        <w:rPr>
          <w:i/>
        </w:rPr>
        <w:t>uden virkning</w:t>
      </w:r>
      <w:r w:rsidR="00B84231" w:rsidRPr="00070B2F">
        <w:rPr>
          <w:i/>
        </w:rPr>
        <w:t xml:space="preserve">…” </w:t>
      </w:r>
      <w:r w:rsidR="00EA440C" w:rsidRPr="00070B2F">
        <w:t xml:space="preserve"> Ud fra den forudsætning, at der i sagen var tale om en overførsel efter art. 1, stk. 1, skulle: </w:t>
      </w:r>
      <w:r w:rsidR="00EA440C" w:rsidRPr="00070B2F">
        <w:rPr>
          <w:i/>
        </w:rPr>
        <w:t>”direktivets artikel 4, stk. 1 fortolkes således, at parterne ikke kan forhindre direktivet i at finde anvendelse på genansatte arbejdstagere, som på grund af lejerens standsning af virksomhedens drift er blevet afskediget kort før overførslen, og sådanne arbejdstagere kan ikke blive frataget den anciennitet, de har opnået ved deres arbejde for lejeren.”</w:t>
      </w:r>
      <w:r w:rsidR="00E43404" w:rsidRPr="00070B2F">
        <w:rPr>
          <w:i/>
        </w:rPr>
        <w:t xml:space="preserve"> </w:t>
      </w:r>
      <w:r w:rsidR="00E43404" w:rsidRPr="00070B2F">
        <w:t xml:space="preserve">I dommens præmis nr. 12 fremgår ligeledes, </w:t>
      </w:r>
      <w:r w:rsidR="008529FC" w:rsidRPr="00070B2F">
        <w:t xml:space="preserve">at: </w:t>
      </w:r>
      <w:r w:rsidR="008529FC" w:rsidRPr="00070B2F">
        <w:rPr>
          <w:i/>
        </w:rPr>
        <w:t xml:space="preserve">”såfremt direktivet finder anvendelse, forudsætter dets artikel 4, stk. 1, at de arbejdstagere, som er blevet afskediget i strid med denne bestemmelse, må betragtes, som om de stadig er ansat i virksomheden. Det gælder navnlig med hensyn til arbejdstagere, som er blevet genansat af den nye arbejdsgiver efter at være blevet afskediget kort tid før overførslen.” </w:t>
      </w:r>
      <w:r w:rsidR="008529FC" w:rsidRPr="00070B2F">
        <w:t xml:space="preserve">I præmis nr. 18 fremgår, at: </w:t>
      </w:r>
      <w:r w:rsidR="008529FC" w:rsidRPr="00070B2F">
        <w:rPr>
          <w:i/>
        </w:rPr>
        <w:t>”… de i virksomheden ansatte arbejdstagere, hvis arbejdskontrakt eller arbejdsforhold i strid med direktivets artikel 4, stk. 1, er blevet bragt til ophør på et tidligere tidspunkt end overførselstidspunktet</w:t>
      </w:r>
      <w:r w:rsidR="008529FC" w:rsidRPr="00070B2F">
        <w:rPr>
          <w:i/>
          <w:u w:val="single"/>
        </w:rPr>
        <w:t>, betragtes, som om de stadig var ansat i virksomheden på overførselstidspunktet</w:t>
      </w:r>
      <w:r w:rsidR="008529FC" w:rsidRPr="00070B2F">
        <w:rPr>
          <w:i/>
        </w:rPr>
        <w:t>, hvilket bl.a. bevirker, at arbejdsgiverens forpligtelser over for arbejdstagerne uden videre overgår fra overdrageren til erhververen i medfør af direktivets artikel 3, stk. 1.”</w:t>
      </w:r>
      <w:r w:rsidR="008529FC" w:rsidRPr="00070B2F">
        <w:t xml:space="preserve"> </w:t>
      </w:r>
      <w:r w:rsidR="00070B2F" w:rsidRPr="00070B2F">
        <w:t xml:space="preserve"> En sammenligning</w:t>
      </w:r>
      <w:r w:rsidR="00FE44BA" w:rsidRPr="00070B2F">
        <w:t xml:space="preserve"> med den engelske </w:t>
      </w:r>
      <w:r w:rsidR="00070B2F" w:rsidRPr="00070B2F">
        <w:t xml:space="preserve">udgave af dommens præmis </w:t>
      </w:r>
      <w:r w:rsidR="00320D74">
        <w:t xml:space="preserve">nr. </w:t>
      </w:r>
      <w:r w:rsidR="00070B2F" w:rsidRPr="00070B2F">
        <w:t>18 lyder således: ”</w:t>
      </w:r>
      <w:r w:rsidR="00070B2F" w:rsidRPr="00070B2F">
        <w:rPr>
          <w:rFonts w:cs="Times"/>
          <w:sz w:val="26"/>
          <w:szCs w:val="26"/>
          <w:lang w:val="en-US"/>
        </w:rPr>
        <w:t xml:space="preserve"> </w:t>
      </w:r>
      <w:r w:rsidR="00070B2F" w:rsidRPr="00070B2F">
        <w:rPr>
          <w:rFonts w:cs="Times"/>
          <w:lang w:val="en-US"/>
        </w:rPr>
        <w:t xml:space="preserve">contrary to Article 4 (1) of the directive, </w:t>
      </w:r>
      <w:r w:rsidR="00070B2F" w:rsidRPr="00070B2F">
        <w:rPr>
          <w:rFonts w:cs="Times"/>
          <w:u w:val="single"/>
          <w:lang w:val="en-US"/>
        </w:rPr>
        <w:t>must be regarded as still in the employ of the undertaking on the date of the transfer</w:t>
      </w:r>
      <w:r w:rsidR="00070B2F" w:rsidRPr="00070B2F">
        <w:rPr>
          <w:rFonts w:cs="Times"/>
          <w:lang w:val="en-US"/>
        </w:rPr>
        <w:t>…”</w:t>
      </w:r>
    </w:p>
    <w:p w14:paraId="3B55D459" w14:textId="4016A845" w:rsidR="0044655B" w:rsidRPr="00AF1793" w:rsidRDefault="00E36FFE" w:rsidP="00070B2F">
      <w:pPr>
        <w:widowControl w:val="0"/>
        <w:autoSpaceDE w:val="0"/>
        <w:autoSpaceDN w:val="0"/>
        <w:adjustRightInd w:val="0"/>
        <w:spacing w:after="240" w:line="360" w:lineRule="auto"/>
        <w:rPr>
          <w:rFonts w:cs="Times"/>
        </w:rPr>
      </w:pPr>
      <w:r>
        <w:t>E</w:t>
      </w:r>
      <w:r w:rsidR="008E5F10" w:rsidRPr="00070B2F">
        <w:t xml:space="preserve">n direkte ordlydsfortolkning af dommens præmisser, </w:t>
      </w:r>
      <w:r w:rsidR="00070B2F" w:rsidRPr="00070B2F">
        <w:t xml:space="preserve">både den danske og den engelske, </w:t>
      </w:r>
      <w:r w:rsidR="008E5F10" w:rsidRPr="00070B2F">
        <w:t>herunder bl.a. formuleringen: ”</w:t>
      </w:r>
      <w:r w:rsidR="008E5F10" w:rsidRPr="00070B2F">
        <w:rPr>
          <w:i/>
        </w:rPr>
        <w:t>betragtes som om de stadig var ansat i virksomheden</w:t>
      </w:r>
      <w:r w:rsidR="00070B2F" w:rsidRPr="00070B2F">
        <w:t>,” kunne give det</w:t>
      </w:r>
      <w:r w:rsidR="008E5F10" w:rsidRPr="00070B2F">
        <w:t xml:space="preserve"> indtryk, at retsvirkningen af en afskedigelse, i strid med bestemmelsen, skulle være</w:t>
      </w:r>
      <w:r w:rsidR="0050498C">
        <w:t>, at</w:t>
      </w:r>
      <w:r w:rsidR="006F2392">
        <w:t xml:space="preserve"> fordi man</w:t>
      </w:r>
      <w:r w:rsidR="00070B2F" w:rsidRPr="00070B2F">
        <w:t xml:space="preserve"> ”</w:t>
      </w:r>
      <w:r w:rsidR="00070B2F" w:rsidRPr="0050498C">
        <w:rPr>
          <w:i/>
        </w:rPr>
        <w:t>betragtes som om man sta</w:t>
      </w:r>
      <w:r w:rsidR="006F2392" w:rsidRPr="0050498C">
        <w:rPr>
          <w:i/>
        </w:rPr>
        <w:t>dig var ansat i virksomheden</w:t>
      </w:r>
      <w:r w:rsidR="006F2392">
        <w:t>,</w:t>
      </w:r>
      <w:r w:rsidR="0050498C">
        <w:t>”</w:t>
      </w:r>
      <w:r w:rsidR="006F2392">
        <w:t xml:space="preserve"> </w:t>
      </w:r>
      <w:r w:rsidR="0050498C">
        <w:t xml:space="preserve">derfor </w:t>
      </w:r>
      <w:r w:rsidR="006F2392">
        <w:t>skulle genansættes</w:t>
      </w:r>
      <w:r w:rsidR="008E5F10" w:rsidRPr="00070B2F">
        <w:t>.</w:t>
      </w:r>
      <w:r w:rsidR="00070B2F" w:rsidRPr="00070B2F">
        <w:t xml:space="preserve"> </w:t>
      </w:r>
      <w:r w:rsidR="008E5F10" w:rsidRPr="00070B2F">
        <w:t>Når man ser på</w:t>
      </w:r>
      <w:r w:rsidR="0050498C">
        <w:t xml:space="preserve"> de faktiske omstændigheder</w:t>
      </w:r>
      <w:r w:rsidR="008E5F10" w:rsidRPr="00070B2F">
        <w:t xml:space="preserve"> i dommen, er det dog værd at bemærke, at</w:t>
      </w:r>
      <w:r w:rsidR="0050498C">
        <w:t xml:space="preserve"> selve dommen ikke handler om hvilken retsvirkning</w:t>
      </w:r>
      <w:r w:rsidR="003877D7">
        <w:t xml:space="preserve"> en afskedig</w:t>
      </w:r>
      <w:r w:rsidR="0050498C">
        <w:t>else i strid med art. 4, stk. 1 skulle være.</w:t>
      </w:r>
      <w:r w:rsidR="006F2392">
        <w:t xml:space="preserve"> I hovedsagen er der</w:t>
      </w:r>
      <w:r>
        <w:t xml:space="preserve"> ikke fra de sag</w:t>
      </w:r>
      <w:r w:rsidR="0050498C">
        <w:t>søgende lønmodtageres side</w:t>
      </w:r>
      <w:r w:rsidR="006F2392">
        <w:t xml:space="preserve"> </w:t>
      </w:r>
      <w:r>
        <w:t>gjort gældende, at de foretagne afskedigelser</w:t>
      </w:r>
      <w:r w:rsidR="006F2392">
        <w:t xml:space="preserve"> var usaglige</w:t>
      </w:r>
      <w:r>
        <w:t>.</w:t>
      </w:r>
      <w:r w:rsidR="003877D7">
        <w:t xml:space="preserve"> Dommen handler alene om fortolkningen af direktivets anv</w:t>
      </w:r>
      <w:r w:rsidR="006F2392">
        <w:t>endelsesområde (art. 1, stk. 1)</w:t>
      </w:r>
      <w:r w:rsidR="003877D7">
        <w:t>. Der bliver</w:t>
      </w:r>
      <w:r w:rsidR="0050498C">
        <w:t xml:space="preserve"> derfor ikke på noget tidspunkt</w:t>
      </w:r>
      <w:r w:rsidR="003877D7">
        <w:t xml:space="preserve"> bedt om en fortolkning af art. 4, stk. 1. </w:t>
      </w:r>
      <w:r w:rsidR="006F2392">
        <w:t>Ud fra fakta i dommen</w:t>
      </w:r>
      <w:r w:rsidR="008E3373">
        <w:t xml:space="preserve"> er der tale om en situation, hv</w:t>
      </w:r>
      <w:r w:rsidR="006F2392">
        <w:t>or godt halvdelen af personalet</w:t>
      </w:r>
      <w:r w:rsidR="008E3373">
        <w:t xml:space="preserve"> allerede er blevet genansat af erhververen af virksomheden, og hvor tvisten i dommen</w:t>
      </w:r>
      <w:r w:rsidR="0050498C">
        <w:t xml:space="preserve"> derfor går på</w:t>
      </w:r>
      <w:r w:rsidR="008E3373">
        <w:t xml:space="preserve"> hvem</w:t>
      </w:r>
      <w:r w:rsidR="0050498C">
        <w:t>,</w:t>
      </w:r>
      <w:r w:rsidR="008E3373">
        <w:t xml:space="preserve"> af overdrageren og erhververen, der skal betale for løntilgodehavender og feriegodtgørelser. </w:t>
      </w:r>
      <w:r w:rsidR="00AA07B8">
        <w:t>Der er</w:t>
      </w:r>
      <w:r w:rsidR="00AF1793">
        <w:t xml:space="preserve"> dermed ikke tale om en situation, hvor</w:t>
      </w:r>
      <w:r w:rsidR="00AA07B8">
        <w:t xml:space="preserve"> en lønmodtager er blevet afskediget </w:t>
      </w:r>
      <w:r w:rsidR="002509F9">
        <w:t>kort tid før</w:t>
      </w:r>
      <w:r w:rsidR="00AA07B8">
        <w:t xml:space="preserve"> en virksomhedsoverdragelse</w:t>
      </w:r>
      <w:r w:rsidR="002509F9">
        <w:t>, og som ikke er blevet genansat af erhververen, og som derfor, overfor erhververen af virksomheden, påberåber sig, at der er tale om en afskedigelse i</w:t>
      </w:r>
      <w:r w:rsidR="00AF1793">
        <w:t xml:space="preserve"> strid med direktivet, og at retsvirkningen derfor skulle være en</w:t>
      </w:r>
      <w:r w:rsidR="002509F9">
        <w:t xml:space="preserve"> genansættels</w:t>
      </w:r>
      <w:r w:rsidR="006F2392">
        <w:t>e.</w:t>
      </w:r>
      <w:r w:rsidR="00EB6CB1">
        <w:rPr>
          <w:rFonts w:cs="Times"/>
        </w:rPr>
        <w:t xml:space="preserve"> </w:t>
      </w:r>
      <w:r w:rsidR="00AF1793">
        <w:rPr>
          <w:rFonts w:cs="Times"/>
        </w:rPr>
        <w:t>Når man derfor sammenholder de faktiske omstændigheder i sagen med EU-Domstolens udtalelser</w:t>
      </w:r>
      <w:r w:rsidR="00EB6CB1">
        <w:rPr>
          <w:rFonts w:cs="Times"/>
        </w:rPr>
        <w:t>, kunne disse</w:t>
      </w:r>
      <w:r w:rsidR="00AF1793">
        <w:rPr>
          <w:rFonts w:cs="Times"/>
        </w:rPr>
        <w:t xml:space="preserve"> </w:t>
      </w:r>
      <w:r w:rsidR="00AF70F6">
        <w:t>fortolkes</w:t>
      </w:r>
      <w:r w:rsidR="00C47091">
        <w:t xml:space="preserve"> således, at de alene fortolker art. 4,</w:t>
      </w:r>
      <w:r w:rsidR="00610304">
        <w:t xml:space="preserve"> stk. 1, med</w:t>
      </w:r>
      <w:r w:rsidR="00DD11A6">
        <w:t xml:space="preserve"> henblik på at sige, at netop fordi direktivet og virksomhedsoverdragelsesloven finder anvendelse</w:t>
      </w:r>
      <w:r w:rsidR="00AF70F6">
        <w:t>,</w:t>
      </w:r>
      <w:r w:rsidR="00D17983">
        <w:t xml:space="preserve"> er</w:t>
      </w:r>
      <w:r w:rsidR="00DD11A6">
        <w:t xml:space="preserve"> </w:t>
      </w:r>
      <w:r w:rsidR="00724A8F">
        <w:t>lønmodta</w:t>
      </w:r>
      <w:r w:rsidR="00D17983">
        <w:t>gerene blevet usagligt afskediget. Derfor</w:t>
      </w:r>
      <w:r w:rsidR="00724A8F">
        <w:t xml:space="preserve"> må</w:t>
      </w:r>
      <w:r w:rsidR="00D17983">
        <w:t xml:space="preserve"> formuleringen</w:t>
      </w:r>
      <w:r w:rsidR="00EB6CB1">
        <w:t>:</w:t>
      </w:r>
      <w:r w:rsidR="00724A8F">
        <w:t xml:space="preserve"> ”</w:t>
      </w:r>
      <w:r w:rsidR="00724A8F" w:rsidRPr="00EB6CB1">
        <w:rPr>
          <w:i/>
        </w:rPr>
        <w:t>betragtes som om</w:t>
      </w:r>
      <w:r w:rsidR="00D17983" w:rsidRPr="00EB6CB1">
        <w:rPr>
          <w:i/>
        </w:rPr>
        <w:t xml:space="preserve"> de stadig var ansat</w:t>
      </w:r>
      <w:r w:rsidR="00EB6CB1">
        <w:rPr>
          <w:i/>
        </w:rPr>
        <w:t>,</w:t>
      </w:r>
      <w:r w:rsidR="00EB6CB1">
        <w:t>” alene fortolkes således, at</w:t>
      </w:r>
      <w:r w:rsidR="00724A8F">
        <w:t xml:space="preserve"> lønmodtage</w:t>
      </w:r>
      <w:r w:rsidR="00EB6CB1">
        <w:t>rne ikke kan blive frataget den</w:t>
      </w:r>
      <w:r w:rsidR="00724A8F">
        <w:t xml:space="preserve"> anciennitet, som de har opnået fra deres arbejde hos P. Bork International, og indtil deres genansættelse hos Junckers Industrier</w:t>
      </w:r>
      <w:r w:rsidR="00EB6CB1">
        <w:t>. Der</w:t>
      </w:r>
      <w:r w:rsidR="00724A8F">
        <w:t xml:space="preserve"> kan der</w:t>
      </w:r>
      <w:r w:rsidR="00EB6CB1">
        <w:t>for også</w:t>
      </w:r>
      <w:r w:rsidR="00724A8F">
        <w:t xml:space="preserve"> argumenteres for,</w:t>
      </w:r>
      <w:r w:rsidR="0095309A">
        <w:t xml:space="preserve"> at når der i dommens præmis nr. 12 står, at: ”</w:t>
      </w:r>
      <w:r w:rsidR="0095309A" w:rsidRPr="00A51727">
        <w:rPr>
          <w:i/>
        </w:rPr>
        <w:t xml:space="preserve">de arbejdstagere, som er blevet afskediget i strid med </w:t>
      </w:r>
      <w:r w:rsidR="00A51727" w:rsidRPr="00A51727">
        <w:rPr>
          <w:i/>
        </w:rPr>
        <w:t>denne bestemmelse, må betragtes, som om de stadig var ansat i virksomheden</w:t>
      </w:r>
      <w:r w:rsidR="00A51727">
        <w:t>” og i præmis 18, at: ”</w:t>
      </w:r>
      <w:r w:rsidR="00A51727" w:rsidRPr="00A51727">
        <w:rPr>
          <w:i/>
        </w:rPr>
        <w:t>arbejdstagere, hvis arbejdskontakt eller arbejdsforhold i strid med direktivets art. 4, stk. 1, er blevet bragt til ophør på et tidligere tidspunkt end overførselstidspunktet, betragtes, som om de stadig var ansat i virksomheden på overførselstidspunktet</w:t>
      </w:r>
      <w:r w:rsidR="00A51727">
        <w:t>,” i den konkrete sag,</w:t>
      </w:r>
      <w:r w:rsidR="009E4099" w:rsidRPr="009E4099">
        <w:t xml:space="preserve"> </w:t>
      </w:r>
      <w:r w:rsidR="009E4099">
        <w:t>fra tidspunktet fra deres afskedigelse af P. Bork International, indtil tidspunktet hvor de blev genansat af Junckers Industrier, alene</w:t>
      </w:r>
      <w:r w:rsidR="0065774D">
        <w:t xml:space="preserve"> skal ”betragtes som om de stadig var ansat i virksomheden på overførselstidspunktet”</w:t>
      </w:r>
      <w:r w:rsidR="009E4099">
        <w:t xml:space="preserve"> i forhold til deres løntilgodehavender og feriegodtgørelse samt anciennitet.</w:t>
      </w:r>
      <w:r w:rsidR="00C50DF4">
        <w:t xml:space="preserve"> Ordene ”</w:t>
      </w:r>
      <w:r w:rsidR="00C50DF4" w:rsidRPr="00C50DF4">
        <w:rPr>
          <w:i/>
        </w:rPr>
        <w:t>betragtes</w:t>
      </w:r>
      <w:r w:rsidR="00C50DF4">
        <w:t>” og ”</w:t>
      </w:r>
      <w:r w:rsidR="00C50DF4" w:rsidRPr="00C50DF4">
        <w:rPr>
          <w:i/>
        </w:rPr>
        <w:t>som om</w:t>
      </w:r>
      <w:r w:rsidR="00C50DF4">
        <w:t xml:space="preserve">” tyder også på, at man kunne fortolke en afskedigelse </w:t>
      </w:r>
      <w:r w:rsidR="00AF70F6">
        <w:t>”</w:t>
      </w:r>
      <w:r w:rsidR="00C50DF4">
        <w:t>som om</w:t>
      </w:r>
      <w:r w:rsidR="00AF70F6">
        <w:t>”</w:t>
      </w:r>
      <w:r w:rsidR="00C50DF4">
        <w:t xml:space="preserve"> denne egentlig står ved magt, og at det dermed kun er i forhold til hæftelsen for lønmodtagernes krav</w:t>
      </w:r>
      <w:r w:rsidR="00E72CD6">
        <w:t xml:space="preserve"> og anciennitet</w:t>
      </w:r>
      <w:r w:rsidR="00C50DF4">
        <w:t>, at man ”betragter” ansættelsesforholdet som stadig bestående.</w:t>
      </w:r>
      <w:r w:rsidR="00E72CD6">
        <w:t xml:space="preserve"> Desuden kunne ordlyden af dommens præmisser ”</w:t>
      </w:r>
      <w:r w:rsidR="00E72CD6" w:rsidRPr="00E72CD6">
        <w:rPr>
          <w:i/>
        </w:rPr>
        <w:t>betragtes som om de stadig var ansat i virksomheden på overførselstidspunktet</w:t>
      </w:r>
      <w:r w:rsidR="00E72CD6">
        <w:t xml:space="preserve">” også helt generelt forstås sådan, at man alene ud fra et økonomisk perspektiv, skal </w:t>
      </w:r>
      <w:r w:rsidR="00E72CD6" w:rsidRPr="00C50DF4">
        <w:rPr>
          <w:i/>
        </w:rPr>
        <w:t>betragtes som om</w:t>
      </w:r>
      <w:r w:rsidR="00E72CD6">
        <w:t xml:space="preserve"> man stadig var ansat i virksomheden på overførselstidspunktet – og dermed en ”godtgørelsestankegang.” </w:t>
      </w:r>
      <w:r w:rsidR="00E55351">
        <w:t>Dette ville også stemme bedst overens med de nedlagte påsta</w:t>
      </w:r>
      <w:r w:rsidR="00C50DF4">
        <w:t>nde i dommen, der alene går på</w:t>
      </w:r>
      <w:r w:rsidR="00E55351">
        <w:t>, hvem der skal betale lønmodtagerne deres løntilgodehavender og feriegodtgørelse.</w:t>
      </w:r>
      <w:r w:rsidR="00C13A17">
        <w:t xml:space="preserve"> </w:t>
      </w:r>
    </w:p>
    <w:p w14:paraId="06FA0002" w14:textId="77777777" w:rsidR="00A02B5F" w:rsidRDefault="0065774D" w:rsidP="00B27FC2">
      <w:pPr>
        <w:spacing w:line="360" w:lineRule="auto"/>
      </w:pPr>
      <w:r>
        <w:t xml:space="preserve">I modsætning hertil </w:t>
      </w:r>
      <w:r w:rsidR="000F77F1">
        <w:t>er</w:t>
      </w:r>
      <w:r>
        <w:t xml:space="preserve"> det</w:t>
      </w:r>
      <w:r w:rsidR="000F77F1">
        <w:t xml:space="preserve"> af advokat Per Walsøe, i artiklen U.1991B.17, der i øvrigt i de</w:t>
      </w:r>
      <w:r w:rsidR="00E72CD6">
        <w:t>n danske Højesteretsdom i sagen</w:t>
      </w:r>
      <w:r w:rsidR="000F77F1">
        <w:t xml:space="preserve"> repræsenterede Foreningen af Arbejdsledere i Danm</w:t>
      </w:r>
      <w:r w:rsidR="00AA07B8">
        <w:t xml:space="preserve">ark, på baggrund af dommen, blevet fremført, at art. 4, stk. 1: ”… </w:t>
      </w:r>
      <w:r w:rsidR="00AA07B8" w:rsidRPr="00AA07B8">
        <w:rPr>
          <w:i/>
        </w:rPr>
        <w:t>Er altså efter EF-Domstolens opfattelse en præceptiv regel, som indebærer, at hvis arbejdsforholdet i forbindelse med en virksomhedsoverdragelse er bragt til ophør, uden at det sky</w:t>
      </w:r>
      <w:r w:rsidR="00C50DF4">
        <w:rPr>
          <w:i/>
        </w:rPr>
        <w:t xml:space="preserve">ldes økonomiske, tekniske eller </w:t>
      </w:r>
      <w:r w:rsidR="00AA07B8" w:rsidRPr="00AA07B8">
        <w:rPr>
          <w:i/>
        </w:rPr>
        <w:t>organisatoriske årsager, så skal ansættelsesforholdet – desuagtet – betragtes, som om det ikke var bragt til ophør</w:t>
      </w:r>
      <w:r w:rsidR="00AA07B8">
        <w:t>.” Dermed skulle de ansatte: ”</w:t>
      </w:r>
      <w:r w:rsidR="00AA07B8" w:rsidRPr="00AA07B8">
        <w:rPr>
          <w:i/>
        </w:rPr>
        <w:t>betragtes som om de stadig var ansat i virksomheden, en naturalopfyldelsestankegang</w:t>
      </w:r>
      <w:r w:rsidR="00AA07B8">
        <w:t>.”</w:t>
      </w:r>
      <w:r w:rsidR="00E55351">
        <w:t xml:space="preserve"> Per Walsøe tager dermed fortolkningen af domme</w:t>
      </w:r>
      <w:r w:rsidR="00AF70F6">
        <w:t>n</w:t>
      </w:r>
      <w:r w:rsidR="00E55351">
        <w:t xml:space="preserve"> et stykke videre,</w:t>
      </w:r>
      <w:r w:rsidR="0044655B">
        <w:t xml:space="preserve"> således at dommen skal forstås</w:t>
      </w:r>
      <w:r w:rsidR="00E55351">
        <w:t xml:space="preserve"> som om</w:t>
      </w:r>
      <w:r w:rsidR="00E72CD6">
        <w:t xml:space="preserve"> at</w:t>
      </w:r>
      <w:r w:rsidR="00E55351">
        <w:t xml:space="preserve"> art. 4, stk. 1</w:t>
      </w:r>
      <w:r w:rsidR="00081669">
        <w:t xml:space="preserve"> generelt</w:t>
      </w:r>
      <w:r w:rsidR="00E55351">
        <w:t xml:space="preserve"> </w:t>
      </w:r>
      <w:r w:rsidR="00081669">
        <w:t xml:space="preserve">skal opfattes som en præceptiv regel, der indebærer, at retsvirkningen af afskedigelser, i forbindelse </w:t>
      </w:r>
      <w:r w:rsidR="0044655B">
        <w:t>med en virksomhedsoverdragelse,</w:t>
      </w:r>
      <w:r w:rsidR="00081669">
        <w:t xml:space="preserve"> er en genans</w:t>
      </w:r>
      <w:r w:rsidR="00C13A17">
        <w:t>ættelse. I artiklen fremgår</w:t>
      </w:r>
      <w:r w:rsidR="00081669">
        <w:t xml:space="preserve"> at sagens problem bl.a. var, om retsvirkningen af en afskedigelse, i strid med direktivet, skulle være</w:t>
      </w:r>
      <w:r w:rsidR="00AF70F6">
        <w:t>,</w:t>
      </w:r>
      <w:r w:rsidR="00081669">
        <w:t xml:space="preserve"> at afskedigelsen ansås for ikke sket, og at ansættelsesforholdet derfor blev opretholdt, eller om retsvirkningen af en opsigelse i strid med direktivet, var muligheden for en godtgørelse af den type, som kendes fra FUL § 2 b og Hovedaftalens </w:t>
      </w:r>
      <w:r w:rsidR="00C13A17">
        <w:t xml:space="preserve">§ 4, stk. 3. </w:t>
      </w:r>
      <w:r w:rsidR="0044655B">
        <w:t>I EU</w:t>
      </w:r>
      <w:r w:rsidR="00C13A17">
        <w:t>-</w:t>
      </w:r>
      <w:r w:rsidR="00D62B62">
        <w:t>D</w:t>
      </w:r>
      <w:r w:rsidR="00C13A17">
        <w:t>omstolens svar på Højesterets spø</w:t>
      </w:r>
      <w:r w:rsidR="00D62B62">
        <w:t>rgsmål, mener Per Walsøe derfor</w:t>
      </w:r>
      <w:r w:rsidR="00C13A17">
        <w:t xml:space="preserve">, at </w:t>
      </w:r>
      <w:r w:rsidR="00D62B62">
        <w:t>EU-D</w:t>
      </w:r>
      <w:r w:rsidR="00C13A17">
        <w:t xml:space="preserve">omstolen imidlertid også kom til at beskæftige sig med problemstillinger, der ikke direkte var </w:t>
      </w:r>
      <w:r w:rsidR="0044655B">
        <w:t>blevet spurgt til af Højestere</w:t>
      </w:r>
      <w:r w:rsidR="00D62B62">
        <w:t>t, og at EU-D</w:t>
      </w:r>
      <w:r w:rsidR="00C13A17">
        <w:t>omstolens opfattelse af retsvirkningen af en afskedigelse i strid m</w:t>
      </w:r>
      <w:r w:rsidR="00D62B62">
        <w:t>ed art. 4, stk. 1, dermed kom</w:t>
      </w:r>
      <w:r w:rsidR="00C13A17">
        <w:t xml:space="preserve"> frem i forbindelse med sagen. </w:t>
      </w:r>
      <w:r w:rsidR="00DC09BC">
        <w:t>Såfremt</w:t>
      </w:r>
      <w:r w:rsidR="0044655B">
        <w:t xml:space="preserve"> dette er tilfældet, skulle EU-d</w:t>
      </w:r>
      <w:r w:rsidR="00DC09BC">
        <w:t xml:space="preserve">omstolen således i dommen have slået fast, at retsvirkningen af en afskedigelse, i strid med direktivet eller virksomhedsoverdragelsesloven, er en genansættelse. </w:t>
      </w:r>
      <w:r w:rsidR="00C50DF4">
        <w:t>Dette forekommer dog mærkeligt, idet l</w:t>
      </w:r>
      <w:r w:rsidR="00521D45">
        <w:t>ønmodtagerne i sagen allerede var</w:t>
      </w:r>
      <w:r w:rsidR="00C50DF4">
        <w:t xml:space="preserve"> blevet genansat, og i denne forbindelse alene vil</w:t>
      </w:r>
      <w:r w:rsidR="00521D45">
        <w:t>le</w:t>
      </w:r>
      <w:r w:rsidR="00C50DF4">
        <w:t xml:space="preserve"> have afklaret, hvem af overdrageren og erhververen</w:t>
      </w:r>
      <w:r w:rsidR="00D62B62">
        <w:t xml:space="preserve"> som</w:t>
      </w:r>
      <w:r w:rsidR="00521D45">
        <w:t xml:space="preserve"> de skulle</w:t>
      </w:r>
      <w:r w:rsidR="00C50DF4">
        <w:t xml:space="preserve"> rette deres tilgodehavender </w:t>
      </w:r>
      <w:r w:rsidR="00D67726">
        <w:t>mod, som</w:t>
      </w:r>
      <w:r w:rsidR="00521D45">
        <w:t xml:space="preserve"> var opstået forud for virksomhedsoverdragelsen. Det ville derfor være mærkeligt, </w:t>
      </w:r>
      <w:r w:rsidR="00D62B62">
        <w:t>såfremt EU-D</w:t>
      </w:r>
      <w:r w:rsidR="00D67726">
        <w:t>omstolen</w:t>
      </w:r>
      <w:r w:rsidR="00521D45">
        <w:t xml:space="preserve"> skulle have taget stilling til, om retsvirkningen af en afskedigelse</w:t>
      </w:r>
      <w:r w:rsidR="00D67726">
        <w:t>,</w:t>
      </w:r>
      <w:r w:rsidR="00521D45">
        <w:t xml:space="preserve"> i strid med art. 4, skulle være en genansættelse, idet disse lønmodtage</w:t>
      </w:r>
      <w:r w:rsidR="00D67726">
        <w:t>re allerede var blevet genansat. Dette skal samtidig ses</w:t>
      </w:r>
      <w:r w:rsidR="00521D45">
        <w:t xml:space="preserve"> i lyset af,</w:t>
      </w:r>
      <w:r w:rsidR="00D67726">
        <w:t xml:space="preserve"> at </w:t>
      </w:r>
      <w:r w:rsidR="0044655B">
        <w:t>EU-domstolens udtalelser,</w:t>
      </w:r>
      <w:r w:rsidR="00D62B62">
        <w:t xml:space="preserve"> ud fra de nedlagte påstande,</w:t>
      </w:r>
      <w:r w:rsidR="00521D45">
        <w:t xml:space="preserve"> alene er sket i en</w:t>
      </w:r>
      <w:r w:rsidR="0044655B">
        <w:t xml:space="preserve"> ren hæftelsesmæssig sammenhæng, o</w:t>
      </w:r>
      <w:r w:rsidR="00C626BE">
        <w:t>g</w:t>
      </w:r>
      <w:r w:rsidR="00D62B62">
        <w:t xml:space="preserve"> som</w:t>
      </w:r>
      <w:r w:rsidR="00C626BE">
        <w:t xml:space="preserve"> også rent ordlydsmæssigt kan fortolkes </w:t>
      </w:r>
      <w:r w:rsidR="00B27FC2">
        <w:t>ud fra et økonomisk perspektiv</w:t>
      </w:r>
      <w:r w:rsidR="00D62B62">
        <w:t xml:space="preserve"> i sig selv</w:t>
      </w:r>
      <w:r w:rsidR="00B27FC2">
        <w:t>.</w:t>
      </w:r>
      <w:r w:rsidR="00D62B62">
        <w:t xml:space="preserve"> </w:t>
      </w:r>
    </w:p>
    <w:p w14:paraId="10E38F40" w14:textId="773082AA" w:rsidR="00A02B5F" w:rsidRDefault="00A02B5F" w:rsidP="00B27FC2">
      <w:pPr>
        <w:spacing w:line="360" w:lineRule="auto"/>
      </w:pPr>
      <w:r>
        <w:t xml:space="preserve">Det er som nævnt ovenfor i afsnit 4.1.1 også værd at bemærke, at en indførsel af en generel underkendelsesadgang ved afskedigelser i strid med art. 4, ville være en meget stor indgriben i medlemsstaternes ansættelsesretlige principper og lovgivning, at en fortolkning af denne sag i en sådan retning, derfor må kræve nogle klare og utvetydige udtalelser fra EU-Domstolen.   </w:t>
      </w:r>
    </w:p>
    <w:p w14:paraId="569B1CEE" w14:textId="1F9ECE5F" w:rsidR="00E23747" w:rsidRDefault="00B27FC2" w:rsidP="0087670D">
      <w:pPr>
        <w:spacing w:line="360" w:lineRule="auto"/>
      </w:pPr>
      <w:r>
        <w:t xml:space="preserve"> Ud fra de</w:t>
      </w:r>
      <w:r w:rsidR="009A2F72">
        <w:t>t anførte ovenfor</w:t>
      </w:r>
      <w:r w:rsidR="00A02B5F">
        <w:t xml:space="preserve"> er det derfor</w:t>
      </w:r>
      <w:r>
        <w:t xml:space="preserve"> min påstand, at</w:t>
      </w:r>
      <w:r w:rsidR="009A2F72">
        <w:t xml:space="preserve"> en analyse</w:t>
      </w:r>
      <w:r>
        <w:t xml:space="preserve"> af Bork-sagen ik</w:t>
      </w:r>
      <w:r w:rsidR="009A2F72">
        <w:t>ke kan fortolkes som om, at EU-D</w:t>
      </w:r>
      <w:r>
        <w:t xml:space="preserve">omstolen skulle have haft til hensigt at slå fast, at retsvirkningen af en afskedigelse, i strid med art. 4, skulle være en genansættelse. Det er således samtidig min påstand, at Domstolens udtalelser som fx: ”… </w:t>
      </w:r>
      <w:r w:rsidRPr="00070B2F">
        <w:rPr>
          <w:i/>
        </w:rPr>
        <w:t>at de arbejdstagere, som er blevet afskediget i strid med denne bestemmelse, må betragtes, som om de stadig er ansat i virksomheden</w:t>
      </w:r>
      <w:r>
        <w:rPr>
          <w:i/>
        </w:rPr>
        <w:t xml:space="preserve">…,” </w:t>
      </w:r>
      <w:r>
        <w:t>alene skal forstås i en hæftelsesmæssig sammenhæng. Dermed skal de pågældende lønmodtagere, alene betragtes som om de stadig var ansat i virksomheden på overførselstidspunktet og indtil tidspunktet for genansættelsen, i forhold til deres anciennitet, løntilgodehavender og feriegodtgørelser. Dermed bliver retsvirkningen af en afskedigelse i strid med art. 4, i den konkrete sag, at man i forhold til anciennitet, løn og feriegodtgørelse, skal stilles som om afskedigelsen ikke havde fundet sted, i tidsrummet fra deres afskedigelse og indtil deres genansættelse.</w:t>
      </w:r>
      <w:r w:rsidR="009A2F72">
        <w:t xml:space="preserve"> </w:t>
      </w:r>
      <w:r>
        <w:t xml:space="preserve"> </w:t>
      </w:r>
      <w:r w:rsidR="00521D45">
        <w:t xml:space="preserve"> </w:t>
      </w:r>
    </w:p>
    <w:p w14:paraId="19BC2981" w14:textId="77777777" w:rsidR="00E23747" w:rsidRDefault="00E23747" w:rsidP="00BF23B6">
      <w:pPr>
        <w:pStyle w:val="Overskrift3"/>
      </w:pPr>
      <w:bookmarkStart w:id="43" w:name="_Toc292966602"/>
      <w:r>
        <w:t>Sammenfatning</w:t>
      </w:r>
      <w:bookmarkEnd w:id="43"/>
    </w:p>
    <w:p w14:paraId="1609FD22" w14:textId="77777777" w:rsidR="009A2F72" w:rsidRPr="009A2F72" w:rsidRDefault="009A2F72" w:rsidP="009A2F72"/>
    <w:p w14:paraId="34A8519B" w14:textId="6E92EFE4" w:rsidR="00B27FC2" w:rsidRPr="00B27FC2" w:rsidRDefault="00B27FC2" w:rsidP="00BE297C">
      <w:pPr>
        <w:spacing w:line="360" w:lineRule="auto"/>
      </w:pPr>
      <w:r>
        <w:t>Sammenfattende kan det konkluderes, at det er min påstand, at Bork-sagen ikke skal fortolkes sådan som det bl.a. har været fremført af Per Walsøe,</w:t>
      </w:r>
      <w:r w:rsidR="009A2F72">
        <w:t xml:space="preserve"> og at det dermed har været EU-D</w:t>
      </w:r>
      <w:r>
        <w:t>omstolens hensigt at slå fast, at retsvirkningen af en afskedigelse i strid med direktivet, skulle være en underkendelse og dermed en genansættelse</w:t>
      </w:r>
      <w:r w:rsidR="009A2F72">
        <w:t>. Min påstand er dermed, at EU-D</w:t>
      </w:r>
      <w:r>
        <w:t>omstolens udtalelser i Bork-sagen alene skal forstås i en ren hæftelsesmæssig sammenhæng. Bork-sagen kan derfor ikke tages som udtryk for, at</w:t>
      </w:r>
      <w:r w:rsidR="00BE297C">
        <w:t xml:space="preserve"> retsvirkningen af</w:t>
      </w:r>
      <w:r>
        <w:t xml:space="preserve"> en afskedigelse i strid med direktivet</w:t>
      </w:r>
      <w:r w:rsidR="00BE297C">
        <w:t xml:space="preserve">, skulle være en underkendelse. </w:t>
      </w:r>
      <w:r>
        <w:t xml:space="preserve">  </w:t>
      </w:r>
    </w:p>
    <w:p w14:paraId="69677B36" w14:textId="52E0EFF8" w:rsidR="000165BE" w:rsidRDefault="000165BE" w:rsidP="00D67726"/>
    <w:p w14:paraId="72DC244F" w14:textId="1F2FD32E" w:rsidR="00E23747" w:rsidRDefault="00E23747" w:rsidP="00184189">
      <w:pPr>
        <w:pStyle w:val="Overskrift2"/>
      </w:pPr>
      <w:bookmarkStart w:id="44" w:name="_Toc292966603"/>
      <w:r>
        <w:t>C</w:t>
      </w:r>
      <w:r w:rsidR="00D24E28">
        <w:t>-</w:t>
      </w:r>
      <w:r>
        <w:t>319/94 Dethier Equipement</w:t>
      </w:r>
      <w:bookmarkEnd w:id="44"/>
      <w:r>
        <w:t xml:space="preserve"> </w:t>
      </w:r>
    </w:p>
    <w:p w14:paraId="1840CC35" w14:textId="77777777" w:rsidR="009A2F72" w:rsidRPr="009A2F72" w:rsidRDefault="009A2F72" w:rsidP="009A2F72"/>
    <w:p w14:paraId="1358A708" w14:textId="6E6FB6E6" w:rsidR="00E23747" w:rsidRDefault="00E23747" w:rsidP="00A94D57">
      <w:pPr>
        <w:spacing w:line="360" w:lineRule="auto"/>
      </w:pPr>
      <w:r>
        <w:t xml:space="preserve">I denne dom af 12. Marts 1998, tog </w:t>
      </w:r>
      <w:r w:rsidR="009A2F72">
        <w:t>EU-D</w:t>
      </w:r>
      <w:r>
        <w:t>omstolen for anden gang stilling til fortolkningen af</w:t>
      </w:r>
      <w:r w:rsidR="009A2F72">
        <w:t xml:space="preserve"> direktivets</w:t>
      </w:r>
      <w:r>
        <w:t xml:space="preserve"> art. 4, stk. 1.</w:t>
      </w:r>
      <w:r w:rsidR="009A2F72">
        <w:t xml:space="preserve"> </w:t>
      </w:r>
      <w:r>
        <w:t xml:space="preserve"> </w:t>
      </w:r>
    </w:p>
    <w:p w14:paraId="665BC5BD" w14:textId="6FE7D6AB" w:rsidR="00E23747" w:rsidRDefault="00E23747" w:rsidP="00A94D57">
      <w:pPr>
        <w:spacing w:line="360" w:lineRule="auto"/>
      </w:pPr>
      <w:r>
        <w:t>Sagen omhandler en anmodning fra Cour du travail de Liège i Belgien, om en præjudiciel afgørelse vedrørende fortolkningen af Rådets dir</w:t>
      </w:r>
      <w:r w:rsidR="00A94D57">
        <w:t>ektiv 77/187/EØF. Spørgsmålet blev</w:t>
      </w:r>
      <w:r>
        <w:t xml:space="preserve"> rejst under en sag mellem Jules Dethier Équipement SA (i det følgende kaldt ”Dethier”)</w:t>
      </w:r>
      <w:r w:rsidR="00A94D57">
        <w:t>,</w:t>
      </w:r>
      <w:r>
        <w:t xml:space="preserve"> og henholdsvis Jules Dassy og Svoam SPRL (i det følgende kaldt ”Svoam”), vedrørende udbetaling af en fratrædelsesgodtgørelse samt visse andre godtgørelser. </w:t>
      </w:r>
    </w:p>
    <w:p w14:paraId="672A2F28" w14:textId="53ABD053" w:rsidR="00384155" w:rsidRDefault="00E23747" w:rsidP="00A94D57">
      <w:pPr>
        <w:spacing w:line="360" w:lineRule="auto"/>
      </w:pPr>
      <w:r>
        <w:t>Jules Dassy havde siden 1974 været ansat i Sovam. Den 15. maj 1991 blev der truffet</w:t>
      </w:r>
      <w:r w:rsidR="0097052B">
        <w:t xml:space="preserve"> en</w:t>
      </w:r>
      <w:r>
        <w:t xml:space="preserve"> afgørelse om en retslig likvidation</w:t>
      </w:r>
      <w:r w:rsidR="0097052B">
        <w:t xml:space="preserve"> af S</w:t>
      </w:r>
      <w:r w:rsidR="00A94D57">
        <w:t>ovam, hvorefter Jules Dassy,</w:t>
      </w:r>
      <w:r w:rsidR="0097052B">
        <w:t xml:space="preserve"> den 5. juni 1991, blev afskediget af denne</w:t>
      </w:r>
      <w:r w:rsidR="00C7007F">
        <w:t>s likvidator. Den 27. juni 1991</w:t>
      </w:r>
      <w:r w:rsidR="0097052B">
        <w:t xml:space="preserve"> ov</w:t>
      </w:r>
      <w:r w:rsidR="00FE0679">
        <w:t>erdrog likvidator</w:t>
      </w:r>
      <w:r w:rsidR="0097052B">
        <w:t xml:space="preserve"> Sovams aktiver til Dethier. Den 22. maj 1992 anlagde Jules Dassy sag mod</w:t>
      </w:r>
      <w:r w:rsidR="005A2326">
        <w:t xml:space="preserve"> både</w:t>
      </w:r>
      <w:r w:rsidR="00C7007F">
        <w:t xml:space="preserve"> Sovam og Dethier</w:t>
      </w:r>
      <w:r w:rsidR="0097052B">
        <w:t xml:space="preserve"> med påstand om, at disse var solidarisk ansvarlige for betalingen af hans tilgodehavender i form af fratrædelsesgodtgørelse, feriegodtgørelse og nytårsgratiale.</w:t>
      </w:r>
      <w:r w:rsidR="00EC6D30">
        <w:t xml:space="preserve"> Ved en afgørelse af 17. december 1993, </w:t>
      </w:r>
      <w:r w:rsidR="005A2326">
        <w:t>pålagde den nationale ret i Bel</w:t>
      </w:r>
      <w:r w:rsidR="00EC6D30">
        <w:t>g</w:t>
      </w:r>
      <w:r w:rsidR="005A2326">
        <w:t>i</w:t>
      </w:r>
      <w:r w:rsidR="00EC6D30">
        <w:t xml:space="preserve">en, både Sovam og Dethier et solidarisk ansvar for betalingen. Retten fandt bl.a., at der forelå solidarisk hæftelse, selv om ansættelseskontrakten var blevet opsagt inden overførslen, idet </w:t>
      </w:r>
      <w:r w:rsidR="00C7007F">
        <w:t>EU-</w:t>
      </w:r>
      <w:r w:rsidR="00EC6D30">
        <w:t>Do</w:t>
      </w:r>
      <w:r w:rsidR="00CA4F22">
        <w:t>mstolen i C-101/87 (Bork-sagen)</w:t>
      </w:r>
      <w:r w:rsidR="00EC6D30">
        <w:t xml:space="preserve"> hav</w:t>
      </w:r>
      <w:r w:rsidR="00384155">
        <w:t>de fastslået, at ansatte</w:t>
      </w:r>
      <w:r w:rsidR="00C7007F">
        <w:t xml:space="preserve"> som er</w:t>
      </w:r>
      <w:r w:rsidR="00EC6D30">
        <w:t xml:space="preserve"> blevet uberettiget afskediget in</w:t>
      </w:r>
      <w:r w:rsidR="00CA4F22">
        <w:t>den overførslen, skal betragtes</w:t>
      </w:r>
      <w:r w:rsidR="00EC6D30">
        <w:t xml:space="preserve"> som om de stadig var ansat i virksomheden på tidspunktet for overførslen. </w:t>
      </w:r>
      <w:r w:rsidR="00825489">
        <w:t>Dethier ankede denne afgørelse, og gjord</w:t>
      </w:r>
      <w:r w:rsidR="00CA4F22">
        <w:t>e bl.a. gældende, at en</w:t>
      </w:r>
      <w:r w:rsidR="00825489">
        <w:t xml:space="preserve"> solidarisk hæftelse for</w:t>
      </w:r>
      <w:r w:rsidR="00CA4F22">
        <w:t xml:space="preserve"> overdrageren og</w:t>
      </w:r>
      <w:r w:rsidR="00825489">
        <w:t xml:space="preserve"> erhververen, ale</w:t>
      </w:r>
      <w:r w:rsidR="00CA4F22">
        <w:t>ne kunne gælde i forhold til</w:t>
      </w:r>
      <w:r w:rsidR="00FE0679">
        <w:t xml:space="preserve"> lønmodtagere</w:t>
      </w:r>
      <w:r w:rsidR="00825489">
        <w:t>, der var</w:t>
      </w:r>
      <w:r w:rsidR="00CA4F22">
        <w:t xml:space="preserve"> blevet</w:t>
      </w:r>
      <w:r w:rsidR="00825489">
        <w:t xml:space="preserve"> overtaget af erhververen, og dermed ikke for lønmodtagere, som var</w:t>
      </w:r>
      <w:r w:rsidR="00CA4F22">
        <w:t xml:space="preserve"> blevet</w:t>
      </w:r>
      <w:r w:rsidR="00825489">
        <w:t xml:space="preserve"> af</w:t>
      </w:r>
      <w:r w:rsidR="00CA4F22">
        <w:t xml:space="preserve">skediget inden overførslen og ikke genansat af erhververen.  </w:t>
      </w:r>
      <w:r w:rsidR="00825489">
        <w:t xml:space="preserve"> </w:t>
      </w:r>
    </w:p>
    <w:p w14:paraId="1B8C40CA" w14:textId="0163D400" w:rsidR="008D58F2" w:rsidRDefault="00825489" w:rsidP="00A94D57">
      <w:pPr>
        <w:spacing w:line="360" w:lineRule="auto"/>
      </w:pPr>
      <w:r>
        <w:t xml:space="preserve">På denne baggrund blesuttede Cour du travail de </w:t>
      </w:r>
      <w:r w:rsidR="00FE0679">
        <w:t>Liège</w:t>
      </w:r>
      <w:r w:rsidR="008D58F2">
        <w:t xml:space="preserve"> at udsætte sagen</w:t>
      </w:r>
      <w:r w:rsidR="00FE0679">
        <w:t>,</w:t>
      </w:r>
      <w:r w:rsidR="008D58F2">
        <w:t xml:space="preserve"> og forelægge </w:t>
      </w:r>
      <w:r w:rsidR="00CA4F22">
        <w:t>EU-</w:t>
      </w:r>
      <w:r w:rsidR="008D58F2">
        <w:t>Domstolen to spørgsmål. Det første spørgsmål vedrører alene direktivets anvendelsesområde</w:t>
      </w:r>
      <w:r w:rsidR="005A2326">
        <w:t>,</w:t>
      </w:r>
      <w:r w:rsidR="00384155">
        <w:t xml:space="preserve"> </w:t>
      </w:r>
      <w:r w:rsidR="008D58F2">
        <w:t xml:space="preserve">og vil derfor ikke blive beskrevet i det følgende. Det andet spørgsmål er </w:t>
      </w:r>
      <w:r w:rsidR="00384155">
        <w:t>dog interessant</w:t>
      </w:r>
      <w:r w:rsidR="008D58F2">
        <w:t xml:space="preserve"> for analysen af EU-Domstolens praksis, i forhold til afskedigelser i strid med direktivets art. 4. Andet spørgsmål lød således:</w:t>
      </w:r>
    </w:p>
    <w:p w14:paraId="3E23754E" w14:textId="77777777" w:rsidR="008D58F2" w:rsidRDefault="008D58F2" w:rsidP="00A94D57">
      <w:pPr>
        <w:spacing w:line="360" w:lineRule="auto"/>
      </w:pPr>
    </w:p>
    <w:p w14:paraId="283D73E5" w14:textId="51B060AC" w:rsidR="008D58F2" w:rsidRPr="008D58F2" w:rsidRDefault="005A2326" w:rsidP="00A94D57">
      <w:pPr>
        <w:widowControl w:val="0"/>
        <w:autoSpaceDE w:val="0"/>
        <w:autoSpaceDN w:val="0"/>
        <w:adjustRightInd w:val="0"/>
        <w:spacing w:after="240" w:line="360" w:lineRule="auto"/>
        <w:rPr>
          <w:rFonts w:cs="Times"/>
          <w:i/>
        </w:rPr>
      </w:pPr>
      <w:r>
        <w:rPr>
          <w:rFonts w:cs="Times"/>
          <w:i/>
        </w:rPr>
        <w:t xml:space="preserve">1. del: </w:t>
      </w:r>
      <w:r w:rsidR="008D58F2">
        <w:rPr>
          <w:rFonts w:cs="Times"/>
          <w:i/>
        </w:rPr>
        <w:t>”</w:t>
      </w:r>
      <w:r w:rsidR="008D58F2" w:rsidRPr="008D58F2">
        <w:rPr>
          <w:rFonts w:cs="Times"/>
          <w:i/>
        </w:rPr>
        <w:t>Når arbejdskontrakterne med alle ansatte er blevet opsagt af likvidator, og kun enkelte ansatte er blevet genansat for at kunne gennemføre likvidationen, kan afskedigelsen af de ikke senere af erhververen genansatte ansatte da betragtes som sket af økonomiske, tekniske eller organisatoriske årsager, jf. direktivets artikel 4, stk. 1, eller er det kun erhververen, der kan foretage afskedigelse af de nævnte årsager?</w:t>
      </w:r>
    </w:p>
    <w:p w14:paraId="5893EE22" w14:textId="2ABBE414" w:rsidR="008D58F2" w:rsidRDefault="005A2326" w:rsidP="00A94D57">
      <w:pPr>
        <w:widowControl w:val="0"/>
        <w:autoSpaceDE w:val="0"/>
        <w:autoSpaceDN w:val="0"/>
        <w:adjustRightInd w:val="0"/>
        <w:spacing w:after="240" w:line="360" w:lineRule="auto"/>
        <w:rPr>
          <w:rFonts w:cs="Times"/>
          <w:i/>
        </w:rPr>
      </w:pPr>
      <w:r>
        <w:rPr>
          <w:rFonts w:cs="Times"/>
          <w:i/>
        </w:rPr>
        <w:t>2. del: ”</w:t>
      </w:r>
      <w:r w:rsidR="008D58F2" w:rsidRPr="008D58F2">
        <w:rPr>
          <w:rFonts w:cs="Times"/>
          <w:i/>
        </w:rPr>
        <w:t>Kan de af erhververen ikke genansatte ansatte, blot fordi der foreligger en overførsel af en økonomisk enhed kort tid eft</w:t>
      </w:r>
      <w:r w:rsidR="003531C2">
        <w:rPr>
          <w:rFonts w:cs="Times"/>
          <w:i/>
        </w:rPr>
        <w:t>er deres afskedigelse af økono</w:t>
      </w:r>
      <w:r w:rsidR="008D58F2" w:rsidRPr="008D58F2">
        <w:rPr>
          <w:rFonts w:cs="Times"/>
          <w:i/>
        </w:rPr>
        <w:t>miske, tekniske eller organisatoriske årsager,</w:t>
      </w:r>
      <w:r w:rsidR="003531C2">
        <w:rPr>
          <w:rFonts w:cs="Times"/>
          <w:i/>
        </w:rPr>
        <w:t xml:space="preserve"> over for erhververen gøre gæl</w:t>
      </w:r>
      <w:r w:rsidR="008D58F2" w:rsidRPr="008D58F2">
        <w:rPr>
          <w:rFonts w:cs="Times"/>
          <w:i/>
        </w:rPr>
        <w:t>dende, at overdragerens fremgangsmåde i forhold til dem er retsstridig, hvis de i henhold til aftalen om overførslen ikke skal genansættes?</w:t>
      </w:r>
      <w:r w:rsidR="008D58F2">
        <w:rPr>
          <w:rFonts w:cs="Times"/>
          <w:i/>
        </w:rPr>
        <w:t>”</w:t>
      </w:r>
      <w:r w:rsidR="003531C2">
        <w:rPr>
          <w:rFonts w:cs="Times"/>
          <w:i/>
        </w:rPr>
        <w:t xml:space="preserve"> </w:t>
      </w:r>
    </w:p>
    <w:p w14:paraId="0529AC82" w14:textId="0F0ECED0" w:rsidR="005A2326" w:rsidRDefault="003531C2" w:rsidP="00A94D57">
      <w:pPr>
        <w:widowControl w:val="0"/>
        <w:autoSpaceDE w:val="0"/>
        <w:autoSpaceDN w:val="0"/>
        <w:adjustRightInd w:val="0"/>
        <w:spacing w:after="240" w:line="360" w:lineRule="auto"/>
        <w:rPr>
          <w:rFonts w:cs="Times"/>
        </w:rPr>
      </w:pPr>
      <w:r>
        <w:rPr>
          <w:rFonts w:cs="Times"/>
        </w:rPr>
        <w:t>Det er således anden del af spørgsmålet, der i denne analyse er særlig interessant. Med dette spørgsmål ønskede den natio</w:t>
      </w:r>
      <w:r w:rsidR="00C749AB">
        <w:rPr>
          <w:rFonts w:cs="Times"/>
        </w:rPr>
        <w:t>nale ret nærmere bestemt oplyst</w:t>
      </w:r>
      <w:r>
        <w:rPr>
          <w:rFonts w:cs="Times"/>
        </w:rPr>
        <w:t xml:space="preserve"> om lønmodtagere, som retsstridigt er blevet afskediget af overdrageren kort tid før overførslen af virksomheden, og som ikke overtages af erhververen, over for erhververen kan påberåbe sig, at afskedigelsen er retsstridig, jf. præmis 38. </w:t>
      </w:r>
      <w:r w:rsidR="002E2E15" w:rsidRPr="00567898">
        <w:rPr>
          <w:rFonts w:cs="Times"/>
        </w:rPr>
        <w:t>Herefter fremgår det af præmis 39, at det</w:t>
      </w:r>
      <w:r w:rsidR="00C749AB">
        <w:rPr>
          <w:rFonts w:cs="Times"/>
        </w:rPr>
        <w:t xml:space="preserve"> for det første følger af</w:t>
      </w:r>
      <w:r w:rsidR="002E2E15" w:rsidRPr="00567898">
        <w:rPr>
          <w:rFonts w:cs="Times"/>
        </w:rPr>
        <w:t xml:space="preserve"> Bork-sagen, at lønmodtagere, som i strid med direktivets art. 4, stk. 1, er blevet afskediget på et tidligere tidspunkt end overførselstidspunktet, skal betragtes, som om de stadig var ansat i virksomheden på overførselstidspunktet. Som følge </w:t>
      </w:r>
      <w:r w:rsidR="00384155">
        <w:rPr>
          <w:rFonts w:cs="Times"/>
        </w:rPr>
        <w:t>heraf</w:t>
      </w:r>
      <w:r w:rsidR="002E2E15" w:rsidRPr="00567898">
        <w:rPr>
          <w:rFonts w:cs="Times"/>
        </w:rPr>
        <w:t xml:space="preserve"> skulle arbejdskontrakten, i</w:t>
      </w:r>
      <w:r w:rsidR="00C749AB">
        <w:rPr>
          <w:rFonts w:cs="Times"/>
        </w:rPr>
        <w:t xml:space="preserve"> det tilfælde</w:t>
      </w:r>
      <w:r w:rsidR="002E2E15" w:rsidRPr="00567898">
        <w:rPr>
          <w:rFonts w:cs="Times"/>
        </w:rPr>
        <w:t xml:space="preserve"> en lønmodtager retsstridigt er blevet afskediget kort tid før overførslen, i forhold til erhververen, betragtes som om denne stadi</w:t>
      </w:r>
      <w:r w:rsidR="00C749AB">
        <w:rPr>
          <w:rFonts w:cs="Times"/>
        </w:rPr>
        <w:t>g bestod, selv om lønmodtageren</w:t>
      </w:r>
      <w:r w:rsidR="002E2E15" w:rsidRPr="00567898">
        <w:rPr>
          <w:rFonts w:cs="Times"/>
        </w:rPr>
        <w:t xml:space="preserve"> ikke er blevet overtaget af erhververen efter virksomhedens overførsel, jf. præmis 41. A</w:t>
      </w:r>
      <w:r w:rsidR="00C749AB">
        <w:rPr>
          <w:rFonts w:cs="Times"/>
        </w:rPr>
        <w:t>nden del af det præjudicielle spørgsmål skulle</w:t>
      </w:r>
      <w:r w:rsidR="002E2E15" w:rsidRPr="00567898">
        <w:rPr>
          <w:rFonts w:cs="Times"/>
        </w:rPr>
        <w:t xml:space="preserve"> derfor besvares med, at lønmodtagere, som retsstridigt er blevet afskediget af overdrageren kort tid før overførslen af virksomheden, og som ikke overtages af erhververen, </w:t>
      </w:r>
      <w:r w:rsidR="00FE0679">
        <w:rPr>
          <w:rFonts w:cs="Times"/>
        </w:rPr>
        <w:t xml:space="preserve">også </w:t>
      </w:r>
      <w:r w:rsidR="002E2E15" w:rsidRPr="00567898">
        <w:rPr>
          <w:rFonts w:cs="Times"/>
        </w:rPr>
        <w:t>over for erhververen kan påberåbe sig, a</w:t>
      </w:r>
      <w:r w:rsidR="00FE741B" w:rsidRPr="00567898">
        <w:rPr>
          <w:rFonts w:cs="Times"/>
        </w:rPr>
        <w:t>t afskedigelsen er retsstridig, jf. præmis 42.</w:t>
      </w:r>
      <w:r w:rsidR="00FE741B">
        <w:rPr>
          <w:rFonts w:cs="Times"/>
        </w:rPr>
        <w:t xml:space="preserve"> </w:t>
      </w:r>
    </w:p>
    <w:p w14:paraId="67EF3D29" w14:textId="52D7AEE0" w:rsidR="00FE0679" w:rsidRDefault="005A2326" w:rsidP="00080D1E">
      <w:pPr>
        <w:widowControl w:val="0"/>
        <w:autoSpaceDE w:val="0"/>
        <w:autoSpaceDN w:val="0"/>
        <w:adjustRightInd w:val="0"/>
        <w:spacing w:after="240" w:line="360" w:lineRule="auto"/>
        <w:rPr>
          <w:rFonts w:cs="Times"/>
        </w:rPr>
      </w:pPr>
      <w:r>
        <w:rPr>
          <w:rFonts w:cs="Times"/>
        </w:rPr>
        <w:t>Som det også var tilfældet i Bo</w:t>
      </w:r>
      <w:r w:rsidR="00384155">
        <w:rPr>
          <w:rFonts w:cs="Times"/>
        </w:rPr>
        <w:t>rk-sagen, blev der ikke i sagen</w:t>
      </w:r>
      <w:r w:rsidR="00FE0679">
        <w:rPr>
          <w:rFonts w:cs="Times"/>
        </w:rPr>
        <w:t xml:space="preserve"> </w:t>
      </w:r>
      <w:r>
        <w:rPr>
          <w:rFonts w:cs="Times"/>
        </w:rPr>
        <w:t>taget</w:t>
      </w:r>
      <w:r w:rsidR="00FE0679">
        <w:rPr>
          <w:rFonts w:cs="Times"/>
        </w:rPr>
        <w:t xml:space="preserve"> konkret</w:t>
      </w:r>
      <w:r>
        <w:rPr>
          <w:rFonts w:cs="Times"/>
        </w:rPr>
        <w:t xml:space="preserve"> sti</w:t>
      </w:r>
      <w:r w:rsidR="00FE0679">
        <w:rPr>
          <w:rFonts w:cs="Times"/>
        </w:rPr>
        <w:t>lling til, hvilken retsvirkning</w:t>
      </w:r>
      <w:r>
        <w:rPr>
          <w:rFonts w:cs="Times"/>
        </w:rPr>
        <w:t xml:space="preserve"> en afskedigelse</w:t>
      </w:r>
      <w:r w:rsidR="00FE0679">
        <w:rPr>
          <w:rFonts w:cs="Times"/>
        </w:rPr>
        <w:t>,</w:t>
      </w:r>
      <w:r>
        <w:rPr>
          <w:rFonts w:cs="Times"/>
        </w:rPr>
        <w:t xml:space="preserve"> i strid</w:t>
      </w:r>
      <w:r w:rsidR="00C749AB">
        <w:rPr>
          <w:rFonts w:cs="Times"/>
        </w:rPr>
        <w:t xml:space="preserve"> med art. 4, stk. 1, skulle have</w:t>
      </w:r>
      <w:r>
        <w:rPr>
          <w:rFonts w:cs="Times"/>
        </w:rPr>
        <w:t xml:space="preserve">. </w:t>
      </w:r>
      <w:r w:rsidR="00B34B26">
        <w:rPr>
          <w:rFonts w:cs="Times"/>
        </w:rPr>
        <w:t>Spørgsm</w:t>
      </w:r>
      <w:r w:rsidR="00FE0679">
        <w:rPr>
          <w:rFonts w:cs="Times"/>
        </w:rPr>
        <w:t>ålet var alene</w:t>
      </w:r>
      <w:r w:rsidR="00B34B26">
        <w:rPr>
          <w:rFonts w:cs="Times"/>
        </w:rPr>
        <w:t xml:space="preserve"> om lønmodtagere, som retsstridigt var blevet afsk</w:t>
      </w:r>
      <w:r w:rsidR="00C749AB">
        <w:rPr>
          <w:rFonts w:cs="Times"/>
        </w:rPr>
        <w:t>ediget af overdrageren</w:t>
      </w:r>
      <w:r w:rsidR="00B34B26">
        <w:rPr>
          <w:rFonts w:cs="Times"/>
        </w:rPr>
        <w:t>, og som ikke overtages af erhververen, overfor erhververen kan påberåbe sig, at afskedigelsen er retsstridig. Der bliver således ikke spurgt om, hvilken retsvirkning denne eventuelle retss</w:t>
      </w:r>
      <w:r w:rsidR="00C749AB">
        <w:rPr>
          <w:rFonts w:cs="Times"/>
        </w:rPr>
        <w:t>tridige afskedigelse skulle have</w:t>
      </w:r>
      <w:r w:rsidR="00B34B26">
        <w:rPr>
          <w:rFonts w:cs="Times"/>
        </w:rPr>
        <w:t>.</w:t>
      </w:r>
      <w:r w:rsidR="00C749AB">
        <w:rPr>
          <w:rFonts w:cs="Times"/>
        </w:rPr>
        <w:t xml:space="preserve"> </w:t>
      </w:r>
      <w:r w:rsidR="00FE0679">
        <w:rPr>
          <w:rFonts w:cs="Times"/>
        </w:rPr>
        <w:t xml:space="preserve"> </w:t>
      </w:r>
      <w:r w:rsidR="00B34B26">
        <w:rPr>
          <w:rFonts w:cs="Times"/>
        </w:rPr>
        <w:t xml:space="preserve"> </w:t>
      </w:r>
    </w:p>
    <w:p w14:paraId="7B2DE712" w14:textId="23A8A655" w:rsidR="002663A8" w:rsidRPr="00FE0679" w:rsidRDefault="00565D82" w:rsidP="00080D1E">
      <w:pPr>
        <w:widowControl w:val="0"/>
        <w:autoSpaceDE w:val="0"/>
        <w:autoSpaceDN w:val="0"/>
        <w:adjustRightInd w:val="0"/>
        <w:spacing w:after="240" w:line="360" w:lineRule="auto"/>
        <w:rPr>
          <w:rFonts w:cs="Times"/>
        </w:rPr>
      </w:pPr>
      <w:r>
        <w:rPr>
          <w:rFonts w:cs="Times"/>
        </w:rPr>
        <w:t xml:space="preserve">Som nævnt i afsnit </w:t>
      </w:r>
      <w:r>
        <w:rPr>
          <w:rFonts w:cs="Times"/>
        </w:rPr>
        <w:fldChar w:fldCharType="begin"/>
      </w:r>
      <w:r>
        <w:rPr>
          <w:rFonts w:cs="Times"/>
        </w:rPr>
        <w:instrText xml:space="preserve"> REF _Ref292650426 \r \h </w:instrText>
      </w:r>
      <w:r>
        <w:rPr>
          <w:rFonts w:cs="Times"/>
        </w:rPr>
      </w:r>
      <w:r>
        <w:rPr>
          <w:rFonts w:cs="Times"/>
        </w:rPr>
        <w:fldChar w:fldCharType="separate"/>
      </w:r>
      <w:r>
        <w:rPr>
          <w:rFonts w:cs="Times"/>
        </w:rPr>
        <w:t>1.4.3</w:t>
      </w:r>
      <w:r>
        <w:rPr>
          <w:rFonts w:cs="Times"/>
        </w:rPr>
        <w:fldChar w:fldCharType="end"/>
      </w:r>
      <w:r w:rsidR="00E96E4C">
        <w:rPr>
          <w:rFonts w:cs="Times"/>
        </w:rPr>
        <w:t xml:space="preserve"> henviser</w:t>
      </w:r>
      <w:r w:rsidR="00C749AB">
        <w:rPr>
          <w:rFonts w:cs="Times"/>
        </w:rPr>
        <w:t xml:space="preserve"> EU-D</w:t>
      </w:r>
      <w:r>
        <w:rPr>
          <w:rFonts w:cs="Times"/>
        </w:rPr>
        <w:t>omstolen ofte</w:t>
      </w:r>
      <w:r w:rsidR="00E96E4C">
        <w:rPr>
          <w:rFonts w:cs="Times"/>
        </w:rPr>
        <w:t xml:space="preserve"> til tidligere</w:t>
      </w:r>
      <w:r>
        <w:rPr>
          <w:rFonts w:cs="Times"/>
        </w:rPr>
        <w:t xml:space="preserve"> afsagte</w:t>
      </w:r>
      <w:r w:rsidR="00E96E4C">
        <w:rPr>
          <w:rFonts w:cs="Times"/>
        </w:rPr>
        <w:t xml:space="preserve"> domme, som en del af grundl</w:t>
      </w:r>
      <w:r w:rsidR="00C749AB">
        <w:rPr>
          <w:rFonts w:cs="Times"/>
        </w:rPr>
        <w:t>aget for en ny dom, der derfor</w:t>
      </w:r>
      <w:r w:rsidR="00E96E4C">
        <w:rPr>
          <w:rFonts w:cs="Times"/>
        </w:rPr>
        <w:t xml:space="preserve"> giver </w:t>
      </w:r>
      <w:r w:rsidR="00C749AB">
        <w:rPr>
          <w:rFonts w:cs="Times"/>
        </w:rPr>
        <w:t>EU-D</w:t>
      </w:r>
      <w:r>
        <w:rPr>
          <w:rFonts w:cs="Times"/>
        </w:rPr>
        <w:t>omstolens praksis</w:t>
      </w:r>
      <w:r w:rsidR="00E96E4C">
        <w:rPr>
          <w:rFonts w:cs="Times"/>
        </w:rPr>
        <w:t xml:space="preserve"> en væsentlig præjudikatsværdi. Dette gør sig også gældende i denne sag, der, uanset at de faktiske omstændigheder i de pågældende sager er forskellige, alligevel bruger Bork-sagens præmisser, som grundlag for denne afgørelse.</w:t>
      </w:r>
      <w:r w:rsidR="00DD38B6">
        <w:rPr>
          <w:rFonts w:cs="Times"/>
        </w:rPr>
        <w:t xml:space="preserve"> Det fremgår således af præmis 39, at det for det første følge</w:t>
      </w:r>
      <w:r w:rsidR="00991089">
        <w:rPr>
          <w:rFonts w:cs="Times"/>
        </w:rPr>
        <w:t>r af</w:t>
      </w:r>
      <w:r w:rsidR="00C749AB">
        <w:rPr>
          <w:rFonts w:cs="Times"/>
        </w:rPr>
        <w:t xml:space="preserve"> </w:t>
      </w:r>
      <w:r w:rsidR="00DD38B6" w:rsidRPr="00D01219">
        <w:rPr>
          <w:rFonts w:cs="Times"/>
        </w:rPr>
        <w:t>Bork-sagen</w:t>
      </w:r>
      <w:r w:rsidR="00D01219">
        <w:rPr>
          <w:rFonts w:cs="Times"/>
        </w:rPr>
        <w:t>, at lønmodtagere</w:t>
      </w:r>
      <w:r w:rsidR="00DD38B6">
        <w:rPr>
          <w:rFonts w:cs="Times"/>
        </w:rPr>
        <w:t xml:space="preserve"> som i strid med direktivets art. 4, stk. 1, er blevet afskediget på et tidligere tidspunkt end overfør</w:t>
      </w:r>
      <w:r w:rsidR="00D01219">
        <w:rPr>
          <w:rFonts w:cs="Times"/>
        </w:rPr>
        <w:t>selstidspunktet, skal betragtes</w:t>
      </w:r>
      <w:r w:rsidR="00DD38B6">
        <w:rPr>
          <w:rFonts w:cs="Times"/>
        </w:rPr>
        <w:t xml:space="preserve"> som om de stadig var ansat i virksomheden på overførselstidspunktet. Forskellen på denne sag og Bork-sagen er</w:t>
      </w:r>
      <w:r w:rsidR="00D01219">
        <w:rPr>
          <w:rFonts w:cs="Times"/>
        </w:rPr>
        <w:t xml:space="preserve"> dog</w:t>
      </w:r>
      <w:r w:rsidR="00DD38B6">
        <w:rPr>
          <w:rFonts w:cs="Times"/>
        </w:rPr>
        <w:t>, at der i</w:t>
      </w:r>
      <w:r w:rsidR="00E96E4C">
        <w:rPr>
          <w:rFonts w:cs="Times"/>
        </w:rPr>
        <w:t xml:space="preserve"> Bor</w:t>
      </w:r>
      <w:r w:rsidR="00DD38B6">
        <w:rPr>
          <w:rFonts w:cs="Times"/>
        </w:rPr>
        <w:t>k-sagen var tale om</w:t>
      </w:r>
      <w:r w:rsidR="00DD38B6">
        <w:t xml:space="preserve"> en situation, hv</w:t>
      </w:r>
      <w:r w:rsidR="00D01219">
        <w:t>or godt halvdelen af personalet</w:t>
      </w:r>
      <w:r w:rsidR="00DD38B6">
        <w:t xml:space="preserve"> allerede var blevet genansa</w:t>
      </w:r>
      <w:r w:rsidR="00D01219">
        <w:t>t af erhververen</w:t>
      </w:r>
      <w:r w:rsidR="00DD38B6">
        <w:t>, og hvor tvisten i dommen gik på, hvem af overdrageren og erhververen, der</w:t>
      </w:r>
      <w:r w:rsidR="00991089">
        <w:t xml:space="preserve"> derfor</w:t>
      </w:r>
      <w:r w:rsidR="00D01219">
        <w:t xml:space="preserve"> skulle</w:t>
      </w:r>
      <w:r w:rsidR="00DD38B6">
        <w:t xml:space="preserve"> be</w:t>
      </w:r>
      <w:r w:rsidR="00991089">
        <w:t>tale for</w:t>
      </w:r>
      <w:r w:rsidR="00DD38B6">
        <w:t xml:space="preserve"> løntilgodehavender og feriegodtgørelser. Som det er blevet argumenteret for i analysen af Bork-sagen</w:t>
      </w:r>
      <w:r w:rsidR="006845D3">
        <w:t>, kan formuleringen: ”</w:t>
      </w:r>
      <w:r w:rsidR="006845D3" w:rsidRPr="006845D3">
        <w:rPr>
          <w:i/>
        </w:rPr>
        <w:t>betragtes som om de stadig var ansat”,</w:t>
      </w:r>
      <w:r w:rsidR="006845D3">
        <w:t xml:space="preserve"> </w:t>
      </w:r>
      <w:r w:rsidR="00713E56">
        <w:t xml:space="preserve">alene </w:t>
      </w:r>
      <w:r w:rsidR="006845D3">
        <w:t>være et udtryk for, at sådanne lønmodtagere</w:t>
      </w:r>
      <w:r w:rsidR="00713E56">
        <w:t>,</w:t>
      </w:r>
      <w:r w:rsidR="006845D3">
        <w:t xml:space="preserve"> i den konkrete situation, ik</w:t>
      </w:r>
      <w:r w:rsidR="00D01219">
        <w:t>ke kan blive frataget deres</w:t>
      </w:r>
      <w:r w:rsidR="006845D3">
        <w:t xml:space="preserve"> anciennitet</w:t>
      </w:r>
      <w:r w:rsidR="00D01219">
        <w:t xml:space="preserve">, </w:t>
      </w:r>
      <w:r w:rsidR="006845D3">
        <w:t>og dermed også deres løntilgodehavender og feriegodtgøre</w:t>
      </w:r>
      <w:r w:rsidR="00991089">
        <w:t>lser. Fælles for begge domme er,</w:t>
      </w:r>
      <w:r w:rsidR="006845D3">
        <w:t xml:space="preserve"> at der </w:t>
      </w:r>
      <w:r w:rsidR="00BC3E95">
        <w:t>fore</w:t>
      </w:r>
      <w:r w:rsidR="006845D3">
        <w:t>ligger en tvist om, hvem af overdrageren</w:t>
      </w:r>
      <w:r w:rsidR="00991089">
        <w:t xml:space="preserve"> og erhververen</w:t>
      </w:r>
      <w:r w:rsidR="006845D3">
        <w:t>, der skal betale for nogle tilgodehavender</w:t>
      </w:r>
      <w:r w:rsidR="00BC3E95">
        <w:t>. I Bork-sagen var der tale om</w:t>
      </w:r>
      <w:r w:rsidR="006845D3">
        <w:t xml:space="preserve"> løntilgodehavender og feriegodt</w:t>
      </w:r>
      <w:r w:rsidR="00BC3E95">
        <w:t>gørelse, og i denne sag er der tale om fratrædelsesgodtgørelse</w:t>
      </w:r>
      <w:r w:rsidR="00CD4B2D">
        <w:t xml:space="preserve"> og ”visse andre godtgørelser.” </w:t>
      </w:r>
      <w:r w:rsidR="006845D3">
        <w:t>Den væsentlige forsk</w:t>
      </w:r>
      <w:r w:rsidR="00BC3E95">
        <w:t>el mellem de to domme er dog</w:t>
      </w:r>
      <w:r w:rsidR="006845D3">
        <w:t xml:space="preserve">, at der i Bork-sagen er tale </w:t>
      </w:r>
      <w:r w:rsidR="00D01219">
        <w:t xml:space="preserve">om lønmodtagere, der allerede var blevet genansat af erhververen. I modsætning hertil er der i denne sag </w:t>
      </w:r>
      <w:r w:rsidR="006845D3">
        <w:t>tale om et tilfælde, hvor de pågældende lønmodtagere ikke er blevet genansat</w:t>
      </w:r>
      <w:r w:rsidR="00BC3E95">
        <w:t>. I forhold til at analysere, om retsvirkningen af en afskedigelse i strid med art. 4, stk. 1, evt. er en genansættelse, er der</w:t>
      </w:r>
      <w:r w:rsidR="002652C5">
        <w:t xml:space="preserve"> derfor</w:t>
      </w:r>
      <w:r w:rsidR="00BC3E95">
        <w:t xml:space="preserve"> en væsentlig forskel i</w:t>
      </w:r>
      <w:r w:rsidR="002064B5">
        <w:t xml:space="preserve"> de</w:t>
      </w:r>
      <w:r w:rsidR="00BC3E95">
        <w:t xml:space="preserve"> faktiske omstændigheder i disse domme, som gør det betænkeligt at bruge den samme præmis’ formulering ”</w:t>
      </w:r>
      <w:r w:rsidR="00713E56" w:rsidRPr="00713E56">
        <w:rPr>
          <w:i/>
        </w:rPr>
        <w:t>betragtes som om de stadig var ansat</w:t>
      </w:r>
      <w:r w:rsidR="00713E56">
        <w:t>.”</w:t>
      </w:r>
      <w:r w:rsidR="00ED056A">
        <w:t xml:space="preserve"> En ren ordlydsfortolkning af præmis nr. 41, hvorefter arbejdskontrakten, so</w:t>
      </w:r>
      <w:r w:rsidR="00A313EE">
        <w:t>m følge af Bork-sagen, skulle:</w:t>
      </w:r>
      <w:r w:rsidR="00ED056A" w:rsidRPr="00ED056A">
        <w:rPr>
          <w:rFonts w:cs="Times"/>
          <w:i/>
        </w:rPr>
        <w:t xml:space="preserve"> </w:t>
      </w:r>
      <w:r w:rsidR="00A313EE">
        <w:rPr>
          <w:rFonts w:cs="Times"/>
          <w:i/>
        </w:rPr>
        <w:t xml:space="preserve">”… </w:t>
      </w:r>
      <w:r w:rsidR="00ED056A" w:rsidRPr="00ED056A">
        <w:rPr>
          <w:rFonts w:cs="Times"/>
          <w:i/>
        </w:rPr>
        <w:t>i tilfælde hvor en lønmodtager retsstridigt er blevet afskediget kort tid før overførslen, i forhold til erhververen, betragtes som om denne stadig bestod, selv om arbejdstageren ikke er blevet overtaget af erhververen efter virksomhedens overførsel</w:t>
      </w:r>
      <w:r w:rsidR="00ED056A">
        <w:rPr>
          <w:rFonts w:cs="Times"/>
          <w:b/>
        </w:rPr>
        <w:t>,”</w:t>
      </w:r>
      <w:r w:rsidR="00D01219">
        <w:t xml:space="preserve"> kunne godt fortolkes</w:t>
      </w:r>
      <w:r w:rsidR="00ED056A">
        <w:t xml:space="preserve"> som om, at </w:t>
      </w:r>
      <w:r w:rsidR="00991089">
        <w:t>EU-</w:t>
      </w:r>
      <w:r w:rsidR="00ED056A">
        <w:t>Domstolen har haft til hensigt at slå fast, at retsvirkningen af en afskedigelse i strid med art. 4, skulle være en genansættelse.</w:t>
      </w:r>
      <w:r w:rsidR="002652C5">
        <w:t xml:space="preserve"> Som det</w:t>
      </w:r>
      <w:r w:rsidR="00ED056A">
        <w:t xml:space="preserve"> dog</w:t>
      </w:r>
      <w:r w:rsidR="002652C5">
        <w:t xml:space="preserve"> er blevet konkluderet ovenfor, er det</w:t>
      </w:r>
      <w:r w:rsidR="00AF5C4D">
        <w:t xml:space="preserve"> efter en analyse af Bork-sagen</w:t>
      </w:r>
      <w:r w:rsidR="002652C5">
        <w:t xml:space="preserve"> min påstand, at formuleringen ”</w:t>
      </w:r>
      <w:r w:rsidR="002652C5" w:rsidRPr="00AF5C4D">
        <w:rPr>
          <w:i/>
        </w:rPr>
        <w:t>betragtes som om de stadig var ansat</w:t>
      </w:r>
      <w:r w:rsidR="002652C5">
        <w:t>,</w:t>
      </w:r>
      <w:r w:rsidR="00AF5C4D">
        <w:t>”</w:t>
      </w:r>
      <w:r w:rsidR="002652C5">
        <w:t xml:space="preserve"> alene skal ses i forhold til lønmodtagernes anciennitet, løntilgodehavender og feriegodtgørelser, Når dette lægges til grund, er det således væsentligt at bemærke, at der i denne sag ikke er tale om lønmodtagere, som er blevet genansat.</w:t>
      </w:r>
      <w:r w:rsidR="00CF2FB7">
        <w:t xml:space="preserve"> Derfor må dommens præmisser i</w:t>
      </w:r>
      <w:r w:rsidR="00AF5C4D">
        <w:t xml:space="preserve"> nr. 41 og 42 skulle fortolkes</w:t>
      </w:r>
      <w:r w:rsidR="00CF2FB7">
        <w:t xml:space="preserve"> således, at de pågældende lønmodtagere kan påberåbe sig, at afskedigelsen af dem er retsstridig efter art. 4, og at de derfor kan rette deres krav om fratrædelsesgodtgørelser mod erhververen. </w:t>
      </w:r>
      <w:r w:rsidR="0064112C">
        <w:t>Dermed bliver retsvirkningen af en afskedigelse</w:t>
      </w:r>
      <w:r w:rsidR="002663A8">
        <w:t>,</w:t>
      </w:r>
      <w:r w:rsidR="0064112C">
        <w:t xml:space="preserve"> i strid med art</w:t>
      </w:r>
      <w:r w:rsidR="00AF5C4D">
        <w:t>. 4, i den konkrete sag, at</w:t>
      </w:r>
      <w:r w:rsidR="0064112C">
        <w:t xml:space="preserve"> fordi der </w:t>
      </w:r>
      <w:r w:rsidR="0064112C" w:rsidRPr="002663A8">
        <w:t>er</w:t>
      </w:r>
      <w:r w:rsidR="0064112C">
        <w:t xml:space="preserve"> tale om en virksomhedsoverdragelse, som gør at afsk</w:t>
      </w:r>
      <w:r w:rsidR="002663A8">
        <w:t>edigelserne var retsstridige, kan</w:t>
      </w:r>
      <w:r w:rsidR="0064112C">
        <w:t xml:space="preserve"> de pågældende lønmodtagere</w:t>
      </w:r>
      <w:r w:rsidR="007378E4">
        <w:t xml:space="preserve"> derfor</w:t>
      </w:r>
      <w:r w:rsidR="0064112C">
        <w:t xml:space="preserve"> rette deres krav om fratrædelsesgodtgørelse, og visse andre godtgørelser, mod erhververen af virksomheden.</w:t>
      </w:r>
      <w:r w:rsidR="002663A8">
        <w:t xml:space="preserve"> </w:t>
      </w:r>
      <w:r w:rsidR="00AF5C4D">
        <w:rPr>
          <w:rFonts w:cs="Times"/>
        </w:rPr>
        <w:t xml:space="preserve">Det er derfor min påstand, at retsvirkningen af en afskedigelse i strid med art. 4, i den konkrete sag er, </w:t>
      </w:r>
      <w:r w:rsidR="00AF5C4D">
        <w:t xml:space="preserve">at fordi der </w:t>
      </w:r>
      <w:r w:rsidR="00AF5C4D" w:rsidRPr="002663A8">
        <w:t>er</w:t>
      </w:r>
      <w:r w:rsidR="00AF5C4D">
        <w:t xml:space="preserve"> tale om retsstridige afskedigelser, kan de pågældende lønmodtagere derfor rent hæfte</w:t>
      </w:r>
      <w:r w:rsidR="00B25295">
        <w:t xml:space="preserve">lsesmæssigt rette deres </w:t>
      </w:r>
      <w:r w:rsidR="00AF5C4D">
        <w:t xml:space="preserve">krav om </w:t>
      </w:r>
      <w:r w:rsidR="00B25295">
        <w:t>fratrædelsesgodtgørelse mod</w:t>
      </w:r>
      <w:r w:rsidR="00AF5C4D">
        <w:t xml:space="preserve"> erhververen</w:t>
      </w:r>
      <w:r w:rsidR="00B25295">
        <w:t>.</w:t>
      </w:r>
      <w:r w:rsidR="00AF5C4D">
        <w:t xml:space="preserve"> </w:t>
      </w:r>
      <w:r w:rsidR="00B25295">
        <w:t xml:space="preserve">Dette </w:t>
      </w:r>
      <w:r w:rsidR="00AF5C4D">
        <w:t>skal ses i sammenhæng med, at der igen i den pågældende sag</w:t>
      </w:r>
      <w:r w:rsidR="00B25295">
        <w:t>, ikke var nedlagt påstand om, at der var tale om en usaglig afskedigelse.</w:t>
      </w:r>
      <w:r w:rsidR="00AF5C4D">
        <w:t xml:space="preserve"> </w:t>
      </w:r>
      <w:r w:rsidR="00B25295">
        <w:t>EU-</w:t>
      </w:r>
      <w:r w:rsidR="00AF5C4D">
        <w:t>Domstolens udtalelser</w:t>
      </w:r>
      <w:r w:rsidR="00B25295">
        <w:t xml:space="preserve"> er derfor igen fremkommet i en ren</w:t>
      </w:r>
      <w:r w:rsidR="00AF5C4D">
        <w:t xml:space="preserve"> hæftelsesmæssig sammenhæng.</w:t>
      </w:r>
      <w:r w:rsidR="00B25295">
        <w:t xml:space="preserve"> </w:t>
      </w:r>
    </w:p>
    <w:p w14:paraId="359F6DA3" w14:textId="77777777" w:rsidR="002663A8" w:rsidRDefault="002663A8" w:rsidP="00BF23B6">
      <w:pPr>
        <w:pStyle w:val="Overskrift3"/>
      </w:pPr>
      <w:bookmarkStart w:id="45" w:name="_Toc292966604"/>
      <w:r>
        <w:t>Sammenfatning</w:t>
      </w:r>
      <w:bookmarkEnd w:id="45"/>
      <w:r>
        <w:t xml:space="preserve"> </w:t>
      </w:r>
    </w:p>
    <w:p w14:paraId="5C8D88BE" w14:textId="77777777" w:rsidR="00AF5C4D" w:rsidRPr="00AF5C4D" w:rsidRDefault="00AF5C4D" w:rsidP="00AF5C4D"/>
    <w:p w14:paraId="76F63306" w14:textId="393123B4" w:rsidR="00567898" w:rsidRDefault="002663A8" w:rsidP="00C679FD">
      <w:pPr>
        <w:spacing w:line="360" w:lineRule="auto"/>
      </w:pPr>
      <w:r>
        <w:t>Ud fra det anførte ovenfor, og ud fra den forudsætning, a</w:t>
      </w:r>
      <w:r w:rsidR="00AF5C4D">
        <w:t>t analysen</w:t>
      </w:r>
      <w:r>
        <w:t xml:space="preserve"> af Bork-sagen</w:t>
      </w:r>
      <w:r w:rsidR="00AF5C4D">
        <w:t xml:space="preserve"> kan</w:t>
      </w:r>
      <w:r>
        <w:t xml:space="preserve"> lægges til grund, er der således heller ikke efter en analyse af Dethier-sagen, grundlag for at konkludere, at </w:t>
      </w:r>
      <w:r w:rsidR="00AF5C4D">
        <w:t>EU-</w:t>
      </w:r>
      <w:r>
        <w:t>Domstolen igen skulle</w:t>
      </w:r>
      <w:r w:rsidR="00AF5C4D">
        <w:t xml:space="preserve"> have</w:t>
      </w:r>
      <w:r>
        <w:t xml:space="preserve"> slå</w:t>
      </w:r>
      <w:r w:rsidR="00AF5C4D">
        <w:t>et</w:t>
      </w:r>
      <w:r>
        <w:t xml:space="preserve"> fast, at retsvirkningen af en afskedigelse i strid med art. 4, skulle være en genansættelse.</w:t>
      </w:r>
      <w:r w:rsidR="00A313EE">
        <w:t xml:space="preserve"> </w:t>
      </w:r>
    </w:p>
    <w:p w14:paraId="3333691C" w14:textId="77777777" w:rsidR="00567898" w:rsidRDefault="00567898" w:rsidP="00C679FD">
      <w:pPr>
        <w:spacing w:line="360" w:lineRule="auto"/>
      </w:pPr>
    </w:p>
    <w:p w14:paraId="0A7F3453" w14:textId="13AE13C0" w:rsidR="00EA6A17" w:rsidRDefault="00567898" w:rsidP="00184189">
      <w:pPr>
        <w:pStyle w:val="Overskrift2"/>
      </w:pPr>
      <w:bookmarkStart w:id="46" w:name="_Toc292966605"/>
      <w:r>
        <w:t>C-51/00 Temco Service Industries SA</w:t>
      </w:r>
      <w:bookmarkEnd w:id="46"/>
      <w:r>
        <w:t xml:space="preserve"> </w:t>
      </w:r>
    </w:p>
    <w:p w14:paraId="2D338429" w14:textId="77777777" w:rsidR="00B25295" w:rsidRPr="00B25295" w:rsidRDefault="00B25295" w:rsidP="00B25295"/>
    <w:p w14:paraId="1FC440FB" w14:textId="16551635" w:rsidR="00567898" w:rsidRDefault="00567898" w:rsidP="00FF036E">
      <w:pPr>
        <w:spacing w:line="360" w:lineRule="auto"/>
      </w:pPr>
      <w:r>
        <w:t xml:space="preserve">I denne dom af 24. januar 2002, blev formuleringerne i Bork-sagen igen gentaget af </w:t>
      </w:r>
      <w:r w:rsidR="00B25295">
        <w:t>EU-D</w:t>
      </w:r>
      <w:r>
        <w:t xml:space="preserve">omstolen. </w:t>
      </w:r>
    </w:p>
    <w:p w14:paraId="027D96A9" w14:textId="48CBCB41" w:rsidR="007009E5" w:rsidRDefault="00567898" w:rsidP="00FF036E">
      <w:pPr>
        <w:spacing w:line="360" w:lineRule="auto"/>
      </w:pPr>
      <w:r>
        <w:t xml:space="preserve">I dommen er det igen Cour du travail i Belgien, der bad </w:t>
      </w:r>
      <w:r w:rsidR="00B25295">
        <w:t>EU-D</w:t>
      </w:r>
      <w:r>
        <w:t>omstolen om en præju</w:t>
      </w:r>
      <w:r w:rsidR="00406EEA">
        <w:t>diciel afgørelse vedrørende fortolkningen af art. 1, stk. 1 og art. 3, stk. 1 i Rådets direktiv 77/187/EØF. Spørgsmålene blev rejst under en sag mellem på den ene side rengøringsselskabet Temco Service Industries SA (i det følgende kaldt Temco), som havde en kontrakt om rengøring af industrianlæg tilhørende Volksw</w:t>
      </w:r>
      <w:r w:rsidR="00085DAF">
        <w:t>agen, og på den anden side fire</w:t>
      </w:r>
      <w:r w:rsidR="00406EEA">
        <w:t xml:space="preserve"> ansatte i virksomheden General Maintenance. General Main</w:t>
      </w:r>
      <w:r w:rsidR="004B419B">
        <w:t>tenance havde forinden</w:t>
      </w:r>
      <w:r w:rsidR="002A462C">
        <w:t>,</w:t>
      </w:r>
      <w:r w:rsidR="004B419B">
        <w:t xml:space="preserve"> som underentreprenør for Buyle-Medros-Vaes Associates, udført de samme ydelser</w:t>
      </w:r>
      <w:r w:rsidR="002A462C">
        <w:t>, som Temco efterfølgende overtog, om rengøring af Volkswagens indust</w:t>
      </w:r>
      <w:r w:rsidR="00344198">
        <w:t xml:space="preserve">rianlæg, </w:t>
      </w:r>
      <w:r w:rsidR="004B419B">
        <w:t>der blev opsagt.</w:t>
      </w:r>
      <w:r w:rsidR="002A462C">
        <w:t xml:space="preserve"> I den forbindelse</w:t>
      </w:r>
      <w:r w:rsidR="00FF036E">
        <w:t>, hvor Temco overtog arbejdet,</w:t>
      </w:r>
      <w:r w:rsidR="002A462C">
        <w:t xml:space="preserve"> har Temco</w:t>
      </w:r>
      <w:r w:rsidR="004B419B">
        <w:t xml:space="preserve"> </w:t>
      </w:r>
      <w:r w:rsidR="00FF036E">
        <w:t>bestridt, at de ansatte i General Maintenances</w:t>
      </w:r>
      <w:r w:rsidR="004B419B">
        <w:t xml:space="preserve"> arbejdskontrakter</w:t>
      </w:r>
      <w:r w:rsidR="00FF036E">
        <w:t>,</w:t>
      </w:r>
      <w:r w:rsidR="00344198">
        <w:t xml:space="preserve"> automatisk var </w:t>
      </w:r>
      <w:r w:rsidR="004B419B">
        <w:t>blevet overført til Temco i medfør af direktivet.</w:t>
      </w:r>
      <w:r w:rsidR="002A462C">
        <w:t xml:space="preserve"> Den nationale ret ønskede derfor oplyst, om direktivets art. 1, stk. 1, fandt anvendelse </w:t>
      </w:r>
      <w:r w:rsidR="00344198">
        <w:t xml:space="preserve">på den pågældende situation. </w:t>
      </w:r>
    </w:p>
    <w:p w14:paraId="5D42D4F6" w14:textId="072915BD" w:rsidR="00FD4C7C" w:rsidRDefault="00CC6EA0" w:rsidP="00FF036E">
      <w:pPr>
        <w:spacing w:line="360" w:lineRule="auto"/>
      </w:pPr>
      <w:r>
        <w:t xml:space="preserve">Der var således igen tale om en sag, der hovedsageligt omhandlede direktivets anvendelsesområde, og ikke retsvirkningen af en afskedigelse i strid med direktivet. I den forbindelse udtalte </w:t>
      </w:r>
      <w:r w:rsidR="00344198">
        <w:t>EU-</w:t>
      </w:r>
      <w:r>
        <w:t>Domstolen i præmis nr. 28, med henvisning til Bork-sagen, at: ”… ”</w:t>
      </w:r>
      <w:r w:rsidRPr="00CC6EA0">
        <w:rPr>
          <w:i/>
        </w:rPr>
        <w:t>den omstændighed, at overdragerens personale først blev opsagt nogle dage inden, personalet blev overtaget af erhververen, hvilket viser, at grunden til opsigelsen var overførslen af opgaven, ikke medføre</w:t>
      </w:r>
      <w:r w:rsidR="00344198">
        <w:rPr>
          <w:i/>
        </w:rPr>
        <w:t>r</w:t>
      </w:r>
      <w:r w:rsidRPr="00CC6EA0">
        <w:rPr>
          <w:i/>
        </w:rPr>
        <w:t>, at arbejdstagerne mister deres ret til fortsættelse af deres arbejdskontrakt hos erhververen. Under disse omstændigheder må dette personale anses for stadig at være ansat på tidspunktet for overførslen</w:t>
      </w:r>
      <w:r>
        <w:t xml:space="preserve">,” jf. Bork-sagens præmis nr. 18. </w:t>
      </w:r>
      <w:r w:rsidR="00AF6551">
        <w:t xml:space="preserve">I både </w:t>
      </w:r>
      <w:r w:rsidR="00344198">
        <w:t>Bork-sagen og Dethier-sagen, er</w:t>
      </w:r>
      <w:r w:rsidR="00AF6551">
        <w:t xml:space="preserve"> grundsætningen i Bork-sagen</w:t>
      </w:r>
      <w:r w:rsidR="00344198">
        <w:t>,</w:t>
      </w:r>
      <w:r w:rsidR="00AF6551">
        <w:t xml:space="preserve"> angående ansættelsesfo</w:t>
      </w:r>
      <w:r w:rsidR="00344198">
        <w:t>rholdet, og dermed formuleringerne</w:t>
      </w:r>
      <w:r w:rsidR="00AF6551">
        <w:t>: ”</w:t>
      </w:r>
      <w:r w:rsidR="00AF6551" w:rsidRPr="00AF6551">
        <w:rPr>
          <w:i/>
        </w:rPr>
        <w:t>betragtes som om denne stadig bestod</w:t>
      </w:r>
      <w:r w:rsidR="00AF6551">
        <w:t>”, og ”</w:t>
      </w:r>
      <w:r w:rsidR="00AF6551" w:rsidRPr="00AF6551">
        <w:rPr>
          <w:i/>
        </w:rPr>
        <w:t>betragtes som om de stadig var ansat,</w:t>
      </w:r>
      <w:r w:rsidR="00344198">
        <w:t>” blevet brugt i begge domme</w:t>
      </w:r>
      <w:r w:rsidR="00AF6551">
        <w:t>. I denne sag er der dog i den danske udgave brugt formuleringen: ”</w:t>
      </w:r>
      <w:r w:rsidR="00AF6551" w:rsidRPr="005B5A3E">
        <w:rPr>
          <w:i/>
        </w:rPr>
        <w:t>må anses for stadig at være ansat på tidspunktet for overførslen.</w:t>
      </w:r>
      <w:r w:rsidR="00AF6551">
        <w:t xml:space="preserve">” </w:t>
      </w:r>
      <w:r w:rsidR="005B5A3E">
        <w:t xml:space="preserve">Ud fra en ren ordlydsfortolkning af den danske udgaves præmis 28, er denne sag derfor den, der kommer tættes på, at kunne fortolkes som om, at </w:t>
      </w:r>
      <w:r w:rsidR="00344198">
        <w:t>EU-Domstolen skulle have</w:t>
      </w:r>
      <w:r w:rsidR="005B5A3E">
        <w:t xml:space="preserve"> haft til hensigt at fastslå, at retsvirkningen af en afskedigelse i strid med direktivet, skulle v</w:t>
      </w:r>
      <w:r w:rsidR="00344198">
        <w:t xml:space="preserve">ære en genansættelse. </w:t>
      </w:r>
      <w:r w:rsidR="005B5A3E">
        <w:t>Dette modsvares dog af, at der i både den franske, engelske og tyske udgave af dommen, er anvendt de helt samme formuleringer, som blev anvendt</w:t>
      </w:r>
      <w:r w:rsidR="002F3B59">
        <w:t xml:space="preserve"> første gang</w:t>
      </w:r>
      <w:r w:rsidR="005B5A3E">
        <w:t xml:space="preserve"> i Bork-sagen. </w:t>
      </w:r>
    </w:p>
    <w:p w14:paraId="208E5846" w14:textId="33BC1681" w:rsidR="00AF6551" w:rsidRDefault="00FD4C7C" w:rsidP="00FF036E">
      <w:pPr>
        <w:spacing w:line="360" w:lineRule="auto"/>
      </w:pPr>
      <w:r>
        <w:t xml:space="preserve">Desuden er denne dom, i forhold til Bork-sagen og Dethier-sagen, den dom, der i forhold dommens præmisser, beskæftiger sig mindst med fortolkningen af art. 4, stk. 1. Art 4 bliver således ikke nærmere omtalt i sagen, og det er således kun henvisningen til Bork-sagen i præmis nr. 28, der gør dommen relevant for denne analyse. </w:t>
      </w:r>
      <w:r w:rsidR="00AF6551">
        <w:t xml:space="preserve">  </w:t>
      </w:r>
    </w:p>
    <w:p w14:paraId="5E51AB86" w14:textId="77777777" w:rsidR="002F3B59" w:rsidRDefault="00974623" w:rsidP="00FF036E">
      <w:pPr>
        <w:spacing w:line="360" w:lineRule="auto"/>
      </w:pPr>
      <w:r>
        <w:t>Retsvirkningen af afskedigelserne, i forhold til retsforholdet til overdrageren og erhververen, bliver</w:t>
      </w:r>
      <w:r w:rsidR="005B5A3E">
        <w:t xml:space="preserve"> desuden</w:t>
      </w:r>
      <w:r>
        <w:t xml:space="preserve"> ikke nærmere belyst i dommen.</w:t>
      </w:r>
      <w:r w:rsidR="005B5A3E">
        <w:t xml:space="preserve"> </w:t>
      </w:r>
    </w:p>
    <w:p w14:paraId="6A69F3F3" w14:textId="7E8B6471" w:rsidR="00974623" w:rsidRDefault="002F3B59" w:rsidP="00FF036E">
      <w:pPr>
        <w:spacing w:line="360" w:lineRule="auto"/>
      </w:pPr>
      <w:r>
        <w:t>Da det tidligere er blevet konkluderet, at EU-Domstolens udtalelser i Bork-sagen, alene skal fortolkes i en hæftelsesmæssig sammenhæng, kan udtalelserne derfor heller ikke i denne sag betyde, at EU-Domstolen, ved at henvise til udtalelserne i Bork-sagen, skulle have gentaget, at der er tale om en underkendelsesadgang ved afskedigelser i strid med art. 4.</w:t>
      </w:r>
      <w:r w:rsidR="00974623">
        <w:t xml:space="preserve"> </w:t>
      </w:r>
    </w:p>
    <w:p w14:paraId="63DB9390" w14:textId="77777777" w:rsidR="00974623" w:rsidRDefault="00974623" w:rsidP="00BF23B6">
      <w:pPr>
        <w:pStyle w:val="Overskrift3"/>
      </w:pPr>
      <w:bookmarkStart w:id="47" w:name="_Toc292966606"/>
      <w:r>
        <w:t>Sammenfatning</w:t>
      </w:r>
      <w:bookmarkEnd w:id="47"/>
      <w:r>
        <w:t xml:space="preserve"> </w:t>
      </w:r>
    </w:p>
    <w:p w14:paraId="3164F85A" w14:textId="77777777" w:rsidR="002F3B59" w:rsidRDefault="002F3B59" w:rsidP="002F3B59"/>
    <w:p w14:paraId="0206AC7E" w14:textId="390E761D" w:rsidR="002A462C" w:rsidRDefault="009006E5" w:rsidP="00FD4C7C">
      <w:pPr>
        <w:spacing w:line="360" w:lineRule="auto"/>
      </w:pPr>
      <w:r>
        <w:t>Ud fr</w:t>
      </w:r>
      <w:r w:rsidR="00BE297C">
        <w:t>a det anførte ovenfor,</w:t>
      </w:r>
      <w:r w:rsidR="00283163">
        <w:t xml:space="preserve"> og ud fra den omstændighed, at retsvirkningen af afskedigelserne i dommen ikke bliver nærmere belyst, kan en henvisning til Bork-sagen derfor heller ikke i denne sag fortolkes som om, at EU-Domstolen skulle have gentaget, at retsvirkningen af en afskedigelse i strid med art. 4, skulle være en genansættelse.</w:t>
      </w:r>
      <w:r w:rsidR="00BE297C">
        <w:t xml:space="preserve"> </w:t>
      </w:r>
    </w:p>
    <w:p w14:paraId="373DD739" w14:textId="77777777" w:rsidR="0072274E" w:rsidRDefault="0072274E" w:rsidP="00FD4C7C">
      <w:pPr>
        <w:spacing w:line="360" w:lineRule="auto"/>
      </w:pPr>
    </w:p>
    <w:p w14:paraId="026425C5" w14:textId="23DFC9DE" w:rsidR="0072274E" w:rsidRDefault="00D24E28" w:rsidP="00184189">
      <w:pPr>
        <w:pStyle w:val="Overskrift2"/>
      </w:pPr>
      <w:bookmarkStart w:id="48" w:name="_Toc292966607"/>
      <w:r>
        <w:t>C-</w:t>
      </w:r>
      <w:r w:rsidR="0072274E">
        <w:t>14/83 Von Colson</w:t>
      </w:r>
      <w:bookmarkEnd w:id="48"/>
    </w:p>
    <w:p w14:paraId="7AD61205" w14:textId="77777777" w:rsidR="00283163" w:rsidRPr="00283163" w:rsidRDefault="00283163" w:rsidP="00283163"/>
    <w:p w14:paraId="7881F09C" w14:textId="77777777" w:rsidR="00283163" w:rsidRDefault="00283163" w:rsidP="002C3D97">
      <w:pPr>
        <w:spacing w:line="360" w:lineRule="auto"/>
      </w:pPr>
      <w:r>
        <w:t>I denne dom af 10. april 1984</w:t>
      </w:r>
      <w:r w:rsidR="0072274E">
        <w:t xml:space="preserve"> blev </w:t>
      </w:r>
      <w:r>
        <w:t>EU-</w:t>
      </w:r>
      <w:r w:rsidR="0072274E">
        <w:t>Domstolen bedt om en præjudiciel afgørelse</w:t>
      </w:r>
      <w:r w:rsidR="00B5593A">
        <w:t>,</w:t>
      </w:r>
      <w:r w:rsidR="0072274E">
        <w:t xml:space="preserve"> vedrørende fortolkningen af Rådets direktiv 76/207 af 9. februar 1976, om gennemførelse af princippet om ligebehandling af mænd og kvinder</w:t>
      </w:r>
      <w:r w:rsidR="009513DA">
        <w:t>,</w:t>
      </w:r>
      <w:r w:rsidR="0072274E">
        <w:t xml:space="preserve"> for så vidt angår adgang til beskæftigelse, erhvervsuddannelse, forfremmelse samt arbejdsvilkår. </w:t>
      </w:r>
    </w:p>
    <w:p w14:paraId="1E675C80" w14:textId="2619ED26" w:rsidR="00D876B3" w:rsidRDefault="00283163" w:rsidP="002C3D97">
      <w:pPr>
        <w:spacing w:line="360" w:lineRule="auto"/>
      </w:pPr>
      <w:r>
        <w:t>Der er</w:t>
      </w:r>
      <w:r w:rsidR="0072274E">
        <w:t xml:space="preserve"> ikke tale om en sag, der vedrører fortolkningen af direktiv 2001/23/EF, eller som gentager grundsætningen i Bork-sagen, som</w:t>
      </w:r>
      <w:r w:rsidR="009513DA">
        <w:t xml:space="preserve"> det</w:t>
      </w:r>
      <w:r>
        <w:t xml:space="preserve"> har været tilfældet i de tidligere</w:t>
      </w:r>
      <w:r w:rsidR="0072274E">
        <w:t xml:space="preserve"> domme. Grunden til at dommen alligevel er interessant er, at den vedrører et andet arbejdsretligt direktiv, der beskæfti</w:t>
      </w:r>
      <w:r w:rsidR="009513DA">
        <w:t>ger sig med</w:t>
      </w:r>
      <w:r>
        <w:t xml:space="preserve"> hvilken sanktion,</w:t>
      </w:r>
      <w:r w:rsidR="0072274E">
        <w:t xml:space="preserve"> en over</w:t>
      </w:r>
      <w:r w:rsidR="000E5EC3">
        <w:t>trædelse af direktivet skal være</w:t>
      </w:r>
      <w:r w:rsidR="0072274E">
        <w:t>, idet dette ikke fremgår</w:t>
      </w:r>
      <w:r w:rsidR="00D876B3">
        <w:t xml:space="preserve"> direkte</w:t>
      </w:r>
      <w:r w:rsidR="0072274E">
        <w:t xml:space="preserve"> af direktivet.</w:t>
      </w:r>
      <w:r w:rsidR="000E5EC3">
        <w:t xml:space="preserve"> </w:t>
      </w:r>
      <w:r w:rsidR="00D876B3">
        <w:t xml:space="preserve"> </w:t>
      </w:r>
    </w:p>
    <w:p w14:paraId="5A767102" w14:textId="2E95F9B5" w:rsidR="0072274E" w:rsidRDefault="00D876B3" w:rsidP="002C3D97">
      <w:pPr>
        <w:spacing w:line="360" w:lineRule="auto"/>
      </w:pPr>
      <w:r>
        <w:t>I dommen er der tale om et tilfælde, hvor to stillinger som socialrådgivere skulle be</w:t>
      </w:r>
      <w:r w:rsidR="000E5EC3">
        <w:t>sættes. De to sagsøgere i sagen</w:t>
      </w:r>
      <w:r>
        <w:t xml:space="preserve"> ansøgte om disse stillinger, men resultatet blev, at to andre ansøgere, der begge var mænd, blev ansat. Den nationale tyske ret fandt, at der forelå forskelsbehan</w:t>
      </w:r>
      <w:r w:rsidR="00463841">
        <w:t>dling. I den forbindelse mente R</w:t>
      </w:r>
      <w:r>
        <w:t xml:space="preserve">etten, at den eneste sanktion over for forskelsbehandling, ifølge </w:t>
      </w:r>
      <w:r w:rsidR="00B5593A">
        <w:t>tysk ret, bestod i erstatning af</w:t>
      </w:r>
      <w:r>
        <w:t xml:space="preserve"> den negative kontraktsinteresse. </w:t>
      </w:r>
      <w:r w:rsidR="00463841">
        <w:t>Den nationale ret var derfor af den opfattelse, at der i medfør af tysk ret</w:t>
      </w:r>
      <w:r w:rsidR="00B5593A">
        <w:t>,</w:t>
      </w:r>
      <w:r w:rsidR="00463841">
        <w:t xml:space="preserve"> alene kunne tilkendes sagsøgeren de befordringsudgifter, der var afholdt af hende</w:t>
      </w:r>
      <w:r w:rsidR="00753A90">
        <w:t>,</w:t>
      </w:r>
      <w:r w:rsidR="00463841">
        <w:t xml:space="preserve"> i anledning af hendes stillingsansøgning. For at kunne fastslå, hvilke retsregler</w:t>
      </w:r>
      <w:r w:rsidR="00753A90">
        <w:t>,</w:t>
      </w:r>
      <w:r w:rsidR="00463841">
        <w:t xml:space="preserve"> der ifølge EU-retten</w:t>
      </w:r>
      <w:r w:rsidR="00753A90">
        <w:t>,</w:t>
      </w:r>
      <w:r w:rsidR="00463841">
        <w:t xml:space="preserve"> var gældende om</w:t>
      </w:r>
      <w:r w:rsidR="000E5EC3">
        <w:t xml:space="preserve"> sanktion af</w:t>
      </w:r>
      <w:r w:rsidR="00463841">
        <w:t xml:space="preserve"> forskelsbehandlingen, forelagde den nationale ret</w:t>
      </w:r>
      <w:r w:rsidR="00F52960">
        <w:t xml:space="preserve"> bl.a.</w:t>
      </w:r>
      <w:r w:rsidR="00463841">
        <w:t xml:space="preserve"> </w:t>
      </w:r>
      <w:r w:rsidR="000E5EC3">
        <w:t>EU-</w:t>
      </w:r>
      <w:r w:rsidR="00463841">
        <w:t xml:space="preserve">Domstolen følgende spørgsmål: </w:t>
      </w:r>
    </w:p>
    <w:p w14:paraId="7FD15E4C" w14:textId="77777777" w:rsidR="00F52960" w:rsidRDefault="00F52960" w:rsidP="002C3D97">
      <w:pPr>
        <w:spacing w:line="360" w:lineRule="auto"/>
      </w:pPr>
    </w:p>
    <w:p w14:paraId="51EF500C" w14:textId="256A20D5" w:rsidR="00463841" w:rsidRDefault="00463841" w:rsidP="002C3D97">
      <w:pPr>
        <w:spacing w:line="360" w:lineRule="auto"/>
        <w:rPr>
          <w:i/>
        </w:rPr>
      </w:pPr>
      <w:r w:rsidRPr="00F52960">
        <w:rPr>
          <w:i/>
        </w:rPr>
        <w:t>”Følger det af bestemmelserne i Rådets direktiv af 9. februar 1976 om gennemførelse af princippet om ligebehandling af mænd og kvinder for så vidt angår adgang til beskæftigelse, erhvervsuddannelse, forfremmelse samt arbejdsvilkår (76/207/EØF), at en forskelsbehandling på grundlag af køn i forbindelse med adgang til beskæftigelse (afslag på at indgå en arbejdsaftale på grund af ansøgerens køn/fortrinsstilling for en anden ansøger på grund af dennes køn) skal sanktioneres således, at den arbejdsgiver, der gør sig skyldig i forskelsbehandling, pålægges en forpligtelse til at indgå en arbejdsaftale med den ansøger, der er blevet udsat for forskelsbehandling?</w:t>
      </w:r>
      <w:r w:rsidR="00F52960" w:rsidRPr="00F52960">
        <w:rPr>
          <w:i/>
        </w:rPr>
        <w:t xml:space="preserve">” </w:t>
      </w:r>
      <w:r w:rsidRPr="00F52960">
        <w:rPr>
          <w:i/>
        </w:rPr>
        <w:t xml:space="preserve"> </w:t>
      </w:r>
    </w:p>
    <w:p w14:paraId="737A5A80" w14:textId="77777777" w:rsidR="00F52960" w:rsidRDefault="00F52960" w:rsidP="002C3D97">
      <w:pPr>
        <w:spacing w:line="360" w:lineRule="auto"/>
        <w:rPr>
          <w:i/>
        </w:rPr>
      </w:pPr>
    </w:p>
    <w:p w14:paraId="37EED983" w14:textId="163DD7CF" w:rsidR="00F52960" w:rsidRDefault="00F52960" w:rsidP="002C3D97">
      <w:pPr>
        <w:spacing w:line="360" w:lineRule="auto"/>
      </w:pPr>
      <w:r>
        <w:t>Med spørgsmålet skulle det således afgøres, om direktiv 76/207 pålægger medlemsstaterne en forpligtelse til at fastsætte bestemte retsvirkninger eller sanktioner</w:t>
      </w:r>
      <w:r w:rsidR="000E5EC3">
        <w:t>,</w:t>
      </w:r>
      <w:r>
        <w:t xml:space="preserve"> i tilfælde af forskelsbehandling ved adgang til beskæftigelse. Den nationale ret </w:t>
      </w:r>
      <w:r w:rsidR="000E5EC3">
        <w:t>søgte dermed</w:t>
      </w:r>
      <w:r>
        <w:t xml:space="preserve"> klarlagt, om direktivet indebærer, at forskelsbehandling på grundlag af k</w:t>
      </w:r>
      <w:r w:rsidR="002074B5">
        <w:t>øn, ved adgang til beskæftigelse, skal s</w:t>
      </w:r>
      <w:r w:rsidR="000E5EC3">
        <w:t>anktioneres med</w:t>
      </w:r>
      <w:r w:rsidR="002074B5">
        <w:t>, at den arbejdsgiver, der har gjort sig skyldig i forskelsbehandlingen, pålægges</w:t>
      </w:r>
      <w:r w:rsidR="000E5EC3">
        <w:t xml:space="preserve"> en</w:t>
      </w:r>
      <w:r w:rsidR="002074B5">
        <w:t xml:space="preserve"> pligt til at indgå en arbejdsaftale med den krænkede ansøger. </w:t>
      </w:r>
    </w:p>
    <w:p w14:paraId="2725799A" w14:textId="575458F1" w:rsidR="00712326" w:rsidRDefault="00712326" w:rsidP="002C3D97">
      <w:pPr>
        <w:spacing w:line="360" w:lineRule="auto"/>
      </w:pPr>
      <w:r>
        <w:t>Ifølge den nationale ret fremgår det af betr</w:t>
      </w:r>
      <w:r w:rsidR="000E5EC3">
        <w:t>agtningerne til direktivet, og af</w:t>
      </w:r>
      <w:r>
        <w:t xml:space="preserve"> dettes ordlyd, at direktivet stiller krav om, at der ved implementeringen af direktivet, skal ske indførelse af lovbe</w:t>
      </w:r>
      <w:r w:rsidR="000E5EC3">
        <w:t>stemmelser, der kan sanktionere direktivet</w:t>
      </w:r>
      <w:r>
        <w:t xml:space="preserve"> effektivt. Det var efter Rettens opfattelse alene</w:t>
      </w:r>
      <w:r w:rsidR="00F70C94">
        <w:t xml:space="preserve"> naturalopfyldelse, og dermed</w:t>
      </w:r>
      <w:r>
        <w:t xml:space="preserve"> ansættelse af de personer, der har været udsat for forskelsbehandling, der ville være en effektiv sanktion, jf. præmis 9. </w:t>
      </w:r>
    </w:p>
    <w:p w14:paraId="1BE2AA73" w14:textId="48F65016" w:rsidR="00371A88" w:rsidRDefault="00712326" w:rsidP="002C3D97">
      <w:pPr>
        <w:spacing w:line="360" w:lineRule="auto"/>
      </w:pPr>
      <w:r>
        <w:t>Forbundsrepublikken Tysklands regering anerkendte nødvendigheden af, at direktivet skull</w:t>
      </w:r>
      <w:r w:rsidR="005C24AA">
        <w:t>e gennemføres effektivt, men</w:t>
      </w:r>
      <w:r>
        <w:t xml:space="preserve"> lagde vægt på</w:t>
      </w:r>
      <w:r w:rsidR="00371A88">
        <w:t>, at den enkelte medlemsstat, jf. traktatens art. 189, stk. 3, råder over et skøn med hensyn til de retsvirkninger, der skal knyttes til en overtrædelse af princippet om ligebehandling, jf. præmis 11.</w:t>
      </w:r>
    </w:p>
    <w:p w14:paraId="6E13C32C" w14:textId="6A922D93" w:rsidR="00A3076C" w:rsidRDefault="00371A88" w:rsidP="002C3D97">
      <w:pPr>
        <w:spacing w:line="360" w:lineRule="auto"/>
      </w:pPr>
      <w:r>
        <w:t>I dommen kom den danske regerings opfattelse af sagen også til udtryk. Det</w:t>
      </w:r>
      <w:r w:rsidR="005C24AA">
        <w:t xml:space="preserve"> var</w:t>
      </w:r>
      <w:r>
        <w:t xml:space="preserve"> således dennes opfattelse, at direktivet udtrykkeligt har overladt det til medlemsstaterne selv, at udforme sanktionerne i harmoni med deres nationale forhold og retsorden. Medlemsstaterne skulle derfor sanktionere overtrædelser af ligebehandlingsprincippet på samme måde, som de sanktionerer tilsvarende overtrædelser af nationale regler på beslægtede områder, der ikk</w:t>
      </w:r>
      <w:r w:rsidR="00EE1124">
        <w:t xml:space="preserve">e er reguleret af fællesskabsretten, jf. præmis 12. </w:t>
      </w:r>
      <w:r w:rsidR="00A3076C">
        <w:t>Det var ligeledes</w:t>
      </w:r>
      <w:r w:rsidR="00F70C94">
        <w:t xml:space="preserve"> den danske regerings</w:t>
      </w:r>
      <w:r w:rsidR="00A3076C">
        <w:t xml:space="preserve"> opfattelse, at det tilkommer medlemsstaterne at vælge de f</w:t>
      </w:r>
      <w:r w:rsidR="005C24AA">
        <w:t xml:space="preserve">oranstaltninger, som de finder </w:t>
      </w:r>
      <w:r w:rsidR="00A3076C">
        <w:t>egnede til at sikre, at de forpligtelser, der påhviler dem i medfør af direktivet, opfyldes, og at direktivet ikke in</w:t>
      </w:r>
      <w:r w:rsidR="005C24AA">
        <w:t>d</w:t>
      </w:r>
      <w:r w:rsidR="00A3076C">
        <w:t>eholder nogen vejledning om, hvilke foranstaltninger medlemsstaterne skal træffe, jf. præmis 13</w:t>
      </w:r>
    </w:p>
    <w:p w14:paraId="662B246E" w14:textId="3F985C8B" w:rsidR="00A27556" w:rsidRDefault="00A3076C" w:rsidP="002C3D97">
      <w:pPr>
        <w:spacing w:line="360" w:lineRule="auto"/>
      </w:pPr>
      <w:r>
        <w:t xml:space="preserve">Kommissionen for De europæiske Fællesskaber anførte, at selv </w:t>
      </w:r>
      <w:r w:rsidR="00A27556">
        <w:t>om direktivet overlader valget og fastsættelsen af sanktionerne til medlemsstater</w:t>
      </w:r>
      <w:r w:rsidR="00F70C94">
        <w:t>ne, skal gennemførelsen af disse</w:t>
      </w:r>
      <w:r w:rsidR="00A27556">
        <w:t xml:space="preserve"> ikke desto mindre være faktisk effektiv i resultatet. Princippet om den effektive gennemførelse af direktivet,</w:t>
      </w:r>
      <w:r w:rsidR="00F70C94">
        <w:t xml:space="preserve"> skulle derfor indebære</w:t>
      </w:r>
      <w:r w:rsidR="00A27556">
        <w:t xml:space="preserve"> et krav om, at sanktionerne udformes således, at de for den krænkede ansøger udgør en passende erstatning</w:t>
      </w:r>
      <w:r w:rsidR="00F70C94">
        <w:t>,</w:t>
      </w:r>
      <w:r w:rsidR="00A27556">
        <w:t xml:space="preserve"> og mod arbejdsgiveren en pression, som han må tage alvorligt, og som tilskynder til, at princippet om ligebehandling overholdes, jf. præmis 14. </w:t>
      </w:r>
    </w:p>
    <w:p w14:paraId="501DE5C8" w14:textId="3F281C6F" w:rsidR="008D4644" w:rsidRDefault="00A27556" w:rsidP="002C3D97">
      <w:pPr>
        <w:spacing w:line="360" w:lineRule="auto"/>
      </w:pPr>
      <w:r>
        <w:t>Det er art. 6 i direktivet, der pålægger medlemsstaterne en pligt til at gennemføre de nødvendige nationale bestemmelser for, at enhver person, der mener sig krænket ved en forskelsbehandling</w:t>
      </w:r>
      <w:r w:rsidR="008D4644">
        <w:t>, kan gøre sine rettigheder gældende for retlige instanser. Det følger således af denne artikel, at medlemsstaterne er forpligtede til at gennemføre foranstaltninger, der er tilstrækkeligt effektive til at opfylde direktivets formål</w:t>
      </w:r>
      <w:r w:rsidR="00F70C94">
        <w:t>,</w:t>
      </w:r>
      <w:r w:rsidR="008D4644">
        <w:t xml:space="preserve"> og drage omsorg for, at de pågældende rent faktisk kan påberåbe sig disse foranstaltninger for de nationale domstole. Sådanne foranstaltninger kan fx være bestemmelser, der pålægger arbejdsgiveren at ansætte den krænkede ansøger, eller</w:t>
      </w:r>
      <w:r w:rsidR="00F70C94">
        <w:t xml:space="preserve"> bestemmelser,</w:t>
      </w:r>
      <w:r w:rsidR="008D4644">
        <w:t xml:space="preserve"> som sikre en passende økonomisk godtgørelse, der efter omstændighederne kan forstærkes gennem en bødeord</w:t>
      </w:r>
      <w:r w:rsidR="005C24AA">
        <w:t xml:space="preserve">ning. På baggrund af dette fastslår </w:t>
      </w:r>
      <w:r w:rsidR="00F70C94">
        <w:t>EU-</w:t>
      </w:r>
      <w:r w:rsidR="005C24AA">
        <w:t>Domstolen</w:t>
      </w:r>
      <w:r w:rsidR="008D4644">
        <w:t xml:space="preserve">, at direktivet </w:t>
      </w:r>
      <w:r w:rsidR="008D4644" w:rsidRPr="00A6047A">
        <w:rPr>
          <w:i/>
        </w:rPr>
        <w:t>ikke</w:t>
      </w:r>
      <w:r w:rsidR="008D4644">
        <w:t xml:space="preserve"> pålægger indførelsen af en bestemt sanktion, men overlader det til medlemsstaterne frit at træffe deres valg blandt de forskellige løsninger, der kan virkeliggøre direktivets formål, jf. præmis 18. </w:t>
      </w:r>
    </w:p>
    <w:p w14:paraId="4E17B3C1" w14:textId="382A1CBC" w:rsidR="00712326" w:rsidRDefault="008D4644" w:rsidP="002C3D97">
      <w:pPr>
        <w:spacing w:line="360" w:lineRule="auto"/>
      </w:pPr>
      <w:r>
        <w:t>Det præjudicielle spørgsmål</w:t>
      </w:r>
      <w:r w:rsidR="00F70C94">
        <w:t>,</w:t>
      </w:r>
      <w:r>
        <w:t xml:space="preserve"> der blev forelagt </w:t>
      </w:r>
      <w:r w:rsidR="00F70C94">
        <w:t>EU-</w:t>
      </w:r>
      <w:r>
        <w:t>Domstolen, skulle derfor besvares med, at direktiv 76/207 ikke kræver, at en forskelsbehandling på grundlag af køn</w:t>
      </w:r>
      <w:r w:rsidR="00F70C94">
        <w:t>,</w:t>
      </w:r>
      <w:r>
        <w:t xml:space="preserve"> ved adgang til beskæftigelse</w:t>
      </w:r>
      <w:r w:rsidR="00F70C94">
        <w:t>,</w:t>
      </w:r>
      <w:r>
        <w:t xml:space="preserve"> belægges med den sanktion, at vedkommende arbejdsgiver, der gør sig skyldig </w:t>
      </w:r>
      <w:r w:rsidR="002C3D97">
        <w:t xml:space="preserve">i forskelsbehandling, har pligt til at indgå en arbejdsaftale med den ansøger, der er blevet udsat for forskelsbehandling, jf. præmis 19. </w:t>
      </w:r>
      <w:r>
        <w:t xml:space="preserve"> </w:t>
      </w:r>
      <w:r w:rsidR="00712326">
        <w:t xml:space="preserve">  </w:t>
      </w:r>
    </w:p>
    <w:p w14:paraId="403FA9E9" w14:textId="41F82121" w:rsidR="005C24AA" w:rsidRDefault="002C3D97" w:rsidP="002C3D97">
      <w:pPr>
        <w:spacing w:line="360" w:lineRule="auto"/>
      </w:pPr>
      <w:r>
        <w:t>Der er således tal</w:t>
      </w:r>
      <w:r w:rsidR="00BC7C17">
        <w:t>e om et arbejdsretligt direktiv, der</w:t>
      </w:r>
      <w:r w:rsidR="00CA4E9E">
        <w:t xml:space="preserve"> tidsmæssigt</w:t>
      </w:r>
      <w:r w:rsidR="00BC7C17">
        <w:t xml:space="preserve"> blev udstedt</w:t>
      </w:r>
      <w:r w:rsidR="00CA4E9E">
        <w:t xml:space="preserve"> i sammenhæng med</w:t>
      </w:r>
      <w:r w:rsidR="00BC7C17">
        <w:t xml:space="preserve"> direktiv 77/187/EØF, og som har til hensigt at beskytte lønmodtagere</w:t>
      </w:r>
      <w:r w:rsidR="00CA4E9E">
        <w:t>,</w:t>
      </w:r>
      <w:r w:rsidR="00BC7C17">
        <w:t xml:space="preserve"> i forhold til at sikre disse beskæftigelse. </w:t>
      </w:r>
      <w:r w:rsidR="00CA4E9E">
        <w:t xml:space="preserve">Ud fra det præjudicielle spørgsmål, der i sagen er blevet forelagt </w:t>
      </w:r>
      <w:r w:rsidR="009C2293">
        <w:t>EU-</w:t>
      </w:r>
      <w:r w:rsidR="00CA4E9E">
        <w:t>Domstolen, minder sagen meget om den problemstilling, der er genstand for denne analyse. Der er således tal</w:t>
      </w:r>
      <w:r w:rsidR="009513DA">
        <w:t xml:space="preserve">e om en sag, hvor </w:t>
      </w:r>
      <w:r w:rsidR="009C2293">
        <w:t>EU-</w:t>
      </w:r>
      <w:r w:rsidR="009513DA">
        <w:t>Domstolen skulle</w:t>
      </w:r>
      <w:r w:rsidR="00CA4E9E">
        <w:t xml:space="preserve"> tage stilling til, om retsvirkningen af en krænkelse af forskelsbehandling </w:t>
      </w:r>
      <w:r w:rsidR="009C2293">
        <w:t>i strid med direktivet, skulle</w:t>
      </w:r>
      <w:r w:rsidR="00FB44AF">
        <w:t xml:space="preserve"> sanktioneres med, at vedkommende arbejdsgiver har</w:t>
      </w:r>
      <w:r w:rsidR="009C2293">
        <w:t xml:space="preserve"> en</w:t>
      </w:r>
      <w:r w:rsidR="00FB44AF">
        <w:t xml:space="preserve"> pligt til at ansætte den ansøger, der er blev</w:t>
      </w:r>
      <w:r w:rsidR="005C24AA">
        <w:t>et udsat for forskelsbehandling, og dermed en naturalopfyldelsestankegang.</w:t>
      </w:r>
      <w:r w:rsidR="00FB44AF">
        <w:t xml:space="preserve"> Dermed vedrører dommen, hvordan et arbejdsretligt direktiv, der ikke direkte i direkt</w:t>
      </w:r>
      <w:r w:rsidR="009C2293">
        <w:t>ivet tager stilling til,</w:t>
      </w:r>
      <w:r w:rsidR="00FB44AF">
        <w:t xml:space="preserve"> retsvirkning</w:t>
      </w:r>
      <w:r w:rsidR="009C2293">
        <w:t>en</w:t>
      </w:r>
      <w:r w:rsidR="00FB44AF">
        <w:t>/sanktion</w:t>
      </w:r>
      <w:r w:rsidR="009C2293">
        <w:t>en af</w:t>
      </w:r>
      <w:r w:rsidR="00FB44AF">
        <w:t xml:space="preserve"> en krænkelse af direkt</w:t>
      </w:r>
      <w:r w:rsidR="009513DA">
        <w:t>ive</w:t>
      </w:r>
      <w:r w:rsidR="009C2293">
        <w:t>t, og hvem der derfor</w:t>
      </w:r>
      <w:r w:rsidR="009513DA">
        <w:t xml:space="preserve"> har kompetencen til at fastsætte retsvirkningen/sanktionen. </w:t>
      </w:r>
    </w:p>
    <w:p w14:paraId="4FB14F95" w14:textId="77777777" w:rsidR="009C2293" w:rsidRDefault="005C24AA" w:rsidP="002C3D97">
      <w:pPr>
        <w:spacing w:line="360" w:lineRule="auto"/>
      </w:pPr>
      <w:r>
        <w:t xml:space="preserve">I dommen kommer </w:t>
      </w:r>
      <w:r w:rsidR="009C2293">
        <w:t>EU-D</w:t>
      </w:r>
      <w:r>
        <w:t>omstolen</w:t>
      </w:r>
      <w:r w:rsidR="00F824C9">
        <w:t xml:space="preserve"> som nævnt</w:t>
      </w:r>
      <w:r>
        <w:t xml:space="preserve"> frem til,</w:t>
      </w:r>
      <w:r w:rsidR="00F824C9">
        <w:t xml:space="preserve"> at direktivet ikke pålægger indførelsen af en bestemt sanktion, men derimod overlader det til medlemsstaterne selv, frit at træffe deres valg af retsvirkning/sanktion, blandt de forskellige løsninger, der kan virkeliggøre direktivets formål. </w:t>
      </w:r>
    </w:p>
    <w:p w14:paraId="3F86AC82" w14:textId="00297D93" w:rsidR="001C4A87" w:rsidRDefault="00F824C9" w:rsidP="002C3D97">
      <w:pPr>
        <w:spacing w:line="360" w:lineRule="auto"/>
      </w:pPr>
      <w:r>
        <w:t>I forhold til analysen af, om retsvirkningen af en afskedigelse</w:t>
      </w:r>
      <w:r w:rsidR="00753A90">
        <w:t>,</w:t>
      </w:r>
      <w:r>
        <w:t xml:space="preserve"> i strid med direktiv 2001/23/EF  art. 4, stk. 1, er </w:t>
      </w:r>
      <w:r w:rsidR="000F4103">
        <w:t>en genansættelse,</w:t>
      </w:r>
      <w:r>
        <w:t xml:space="preserve"> </w:t>
      </w:r>
      <w:r w:rsidR="00D7082D">
        <w:t>kan præmisserne i</w:t>
      </w:r>
      <w:r>
        <w:t xml:space="preserve"> C-14/83</w:t>
      </w:r>
      <w:r w:rsidR="00D7082D">
        <w:t xml:space="preserve"> bruge</w:t>
      </w:r>
      <w:r w:rsidR="000F4103">
        <w:t>s</w:t>
      </w:r>
      <w:r w:rsidR="00D7082D">
        <w:t xml:space="preserve"> som argumenter for, hvorfor der heller ikke</w:t>
      </w:r>
      <w:r w:rsidR="00753A90">
        <w:t>,</w:t>
      </w:r>
      <w:r w:rsidR="00D7082D">
        <w:t xml:space="preserve"> i h</w:t>
      </w:r>
      <w:r w:rsidR="000F4103">
        <w:t>enhol</w:t>
      </w:r>
      <w:r w:rsidR="001C4A87">
        <w:t xml:space="preserve">d til direktiv 2001/23/EF, </w:t>
      </w:r>
      <w:r w:rsidR="000F4103">
        <w:t>kan være</w:t>
      </w:r>
      <w:r w:rsidR="00753A90">
        <w:t xml:space="preserve"> tale om</w:t>
      </w:r>
      <w:r w:rsidR="000F4103">
        <w:t xml:space="preserve"> en bestemt</w:t>
      </w:r>
      <w:r w:rsidR="00D7082D">
        <w:t xml:space="preserve"> retsvirkning</w:t>
      </w:r>
      <w:r w:rsidR="000F4103">
        <w:t>, som efter en fo</w:t>
      </w:r>
      <w:r w:rsidR="009C2293">
        <w:t>rtolkning af Bork-sagen, skulle</w:t>
      </w:r>
      <w:r w:rsidR="000F4103">
        <w:t xml:space="preserve"> være en</w:t>
      </w:r>
      <w:r w:rsidR="00D7082D">
        <w:t xml:space="preserve"> genansættelse.</w:t>
      </w:r>
    </w:p>
    <w:p w14:paraId="1418527F" w14:textId="7D11A64D" w:rsidR="00507446" w:rsidRDefault="00507446" w:rsidP="00507446">
      <w:pPr>
        <w:spacing w:line="360" w:lineRule="auto"/>
      </w:pPr>
      <w:r>
        <w:t>Et</w:t>
      </w:r>
      <w:r w:rsidR="001C4A87">
        <w:t xml:space="preserve"> af de argum</w:t>
      </w:r>
      <w:r>
        <w:t>enter for, at retsvirkningen af en afskedigelse i strid med</w:t>
      </w:r>
      <w:r w:rsidR="001C4A87">
        <w:t xml:space="preserve"> </w:t>
      </w:r>
      <w:r>
        <w:t>direktiv 2001/23/EF art. 4, således ikke er en genansættelse, er bl.a. den tyske regerings argument i præmis 11, hvorefter den enkelte medlemsstat, jf. traktatens art. 189, stk. 3, råder over et skøn, med hensyn til de retsvirkninger, der skal knyttes til en overtrædelse af princip</w:t>
      </w:r>
      <w:r w:rsidR="009C2293">
        <w:t>pet om ligebehandling, og derfor også</w:t>
      </w:r>
      <w:r>
        <w:t xml:space="preserve"> generelt råder over et skøn, med hensyn t</w:t>
      </w:r>
      <w:r w:rsidR="00753A90">
        <w:t xml:space="preserve">il retsvirkninger af direktiver, såfremt disse ikke fremgår direkte af direktivet. </w:t>
      </w:r>
      <w:r>
        <w:t xml:space="preserve"> </w:t>
      </w:r>
    </w:p>
    <w:p w14:paraId="39D93EBB" w14:textId="29127878" w:rsidR="00507446" w:rsidRDefault="00507446" w:rsidP="002C3D97">
      <w:pPr>
        <w:spacing w:line="360" w:lineRule="auto"/>
      </w:pPr>
      <w:r>
        <w:t>Et andet argument er den danske regerings opfattelse, hvorefter direktivet udtrykkeligt har overladt det til medlemsstaterne selv, at udforme sanktionerne</w:t>
      </w:r>
      <w:r w:rsidR="00753A90">
        <w:t>,</w:t>
      </w:r>
      <w:r>
        <w:t xml:space="preserve"> i harmoni med deres nationale forhold og retsorden. Medlemsstaterne skulle derfor sanktionere overtrædelser af ligebehandlingsprincippet på samme måde, som de sanktionerer tilsvarende overtrædelser af nationale regler på beslægtede områder, der ikke er reguleret af fællesskabsretten, jf. præmis 12. I </w:t>
      </w:r>
      <w:r w:rsidR="00D813C2">
        <w:t>forhol</w:t>
      </w:r>
      <w:r w:rsidR="00763DE7">
        <w:t>d til direktiv 2001/23/EF, kan</w:t>
      </w:r>
      <w:r w:rsidR="00D813C2">
        <w:t xml:space="preserve"> der således argumenteres for, at fordi direktivet ikke tager stilling til retsvirkningen/sanktionen, skal dette tages som udtryk for, at direktivet </w:t>
      </w:r>
      <w:r w:rsidR="00763DE7">
        <w:t>udtr</w:t>
      </w:r>
      <w:r w:rsidR="00D813C2">
        <w:t>ykkeligt har overladt det til medlemsstaterne selv, at udforme sanktionerne i harmoni med deres nationale forh</w:t>
      </w:r>
      <w:r w:rsidR="00761088">
        <w:t>old og retsorden, jf.</w:t>
      </w:r>
      <w:r w:rsidR="00252867">
        <w:t xml:space="preserve"> også</w:t>
      </w:r>
      <w:r w:rsidR="00761088">
        <w:t xml:space="preserve"> afsnit </w:t>
      </w:r>
      <w:r w:rsidR="00761088">
        <w:fldChar w:fldCharType="begin"/>
      </w:r>
      <w:r w:rsidR="00761088">
        <w:instrText xml:space="preserve"> REF _Ref292650698 \r \h </w:instrText>
      </w:r>
      <w:r w:rsidR="00761088">
        <w:fldChar w:fldCharType="separate"/>
      </w:r>
      <w:r w:rsidR="00761088">
        <w:t>2.4</w:t>
      </w:r>
      <w:r w:rsidR="00761088">
        <w:fldChar w:fldCharType="end"/>
      </w:r>
      <w:r w:rsidR="00D813C2">
        <w:t>. Samtidig kan der argumenteres for,</w:t>
      </w:r>
      <w:r w:rsidR="00763DE7">
        <w:t xml:space="preserve"> at fordi medlemsstaterne </w:t>
      </w:r>
      <w:r w:rsidR="00D813C2">
        <w:t xml:space="preserve">skulle sanktionere overtrædelser af ligebehandlingsprincippet på samme måde, som de sanktionerer tilsvarende overtrædelser af nationale regler på </w:t>
      </w:r>
      <w:r w:rsidR="00252867">
        <w:t>beslægtede områder, betyder dette</w:t>
      </w:r>
      <w:r w:rsidR="00D813C2">
        <w:t>, at Danmark</w:t>
      </w:r>
      <w:r w:rsidR="00753A90">
        <w:t>,</w:t>
      </w:r>
      <w:r w:rsidR="00D813C2" w:rsidRPr="00D813C2">
        <w:t xml:space="preserve"> </w:t>
      </w:r>
      <w:r w:rsidR="00D813C2">
        <w:t>i forhold til direktiv 2001/23/EF,</w:t>
      </w:r>
      <w:r w:rsidR="00753A90">
        <w:t xml:space="preserve"> også</w:t>
      </w:r>
      <w:r w:rsidR="00D813C2">
        <w:t xml:space="preserve"> skal sanktionere overtræd</w:t>
      </w:r>
      <w:r w:rsidR="00252867">
        <w:t>elser af afskedigelsesforbuddet på samme måde, som Danmark</w:t>
      </w:r>
      <w:r w:rsidR="00763DE7">
        <w:t xml:space="preserve"> sanktionerer tilsvarende overtrædelser af nationale regler på beslægtede områder. I forhold til dansk lovgivning, vil en overtrædelse af nationale regler på beslægtede områder, være overtrædelser af bestemmelser om usaglig afskedigelser, jf. FUL § 2 b eller hovedaftalens § 4, stk. 3. </w:t>
      </w:r>
      <w:r w:rsidR="00D813C2">
        <w:t xml:space="preserve">   </w:t>
      </w:r>
    </w:p>
    <w:p w14:paraId="10CC3D91" w14:textId="107CD4BA" w:rsidR="002C3D97" w:rsidRDefault="00507446" w:rsidP="002C3D97">
      <w:pPr>
        <w:spacing w:line="360" w:lineRule="auto"/>
      </w:pPr>
      <w:r>
        <w:t>Det var ligeledes regeringens opfattelse, at det tilkommer medlemsstaterne at vælge de foranstaltninger, som de finder egnede til at sikre, at de forpligtelser, der påhviler dem i medfør af direktivet, opfyldes, og at direktivet ikke indeholder nogen vejledning om, hvilke foranstaltninger medlemsstaterne skal træffe, jf. præmis 13</w:t>
      </w:r>
      <w:r w:rsidR="0015081E">
        <w:t>. Ud fra dette argument</w:t>
      </w:r>
      <w:r w:rsidR="00DA7608">
        <w:t xml:space="preserve"> vil det således, i forhold til direktiv 2001/23/EF, betyde, at de danske forarbejder til virksomhedsoverdragelsesloven, hvori der i bemærkningerne til lovforslagets § 3 fremgår, at bestemmelsen tager sigte på områder, hvor der</w:t>
      </w:r>
      <w:r w:rsidR="00785F82">
        <w:t>,</w:t>
      </w:r>
      <w:r w:rsidR="00DA7608">
        <w:t xml:space="preserve"> i henhold til lovgivning eller kollektiv overenskomst</w:t>
      </w:r>
      <w:r w:rsidR="00785F82">
        <w:t>,</w:t>
      </w:r>
      <w:r w:rsidR="00DA7608">
        <w:t xml:space="preserve"> findes regler, der hjemler </w:t>
      </w:r>
      <w:r w:rsidR="00DA7608" w:rsidRPr="008863C4">
        <w:rPr>
          <w:i/>
        </w:rPr>
        <w:t>godtgørelse</w:t>
      </w:r>
      <w:r w:rsidR="0015081E">
        <w:t xml:space="preserve"> for</w:t>
      </w:r>
      <w:r w:rsidR="00DA7608">
        <w:t xml:space="preserve"> usaglige afskedigelser,</w:t>
      </w:r>
      <w:r w:rsidR="00A62865">
        <w:rPr>
          <w:rStyle w:val="Fodnotehenvisning"/>
        </w:rPr>
        <w:footnoteReference w:id="83"/>
      </w:r>
      <w:r w:rsidR="00DA7608">
        <w:t xml:space="preserve"> er i</w:t>
      </w:r>
      <w:r w:rsidR="00785F82">
        <w:t xml:space="preserve"> overensstemmelse med EU-retten. Dette skyldes, at</w:t>
      </w:r>
      <w:r w:rsidR="00DA7608">
        <w:t xml:space="preserve"> man </w:t>
      </w:r>
      <w:r w:rsidR="00785F82">
        <w:t>fra dansk lovgivnings side, dermed</w:t>
      </w:r>
      <w:r w:rsidR="00DA7608">
        <w:t xml:space="preserve"> har valgt de foranstaltninger, som man fandt egnede til at sikre de f</w:t>
      </w:r>
      <w:r w:rsidR="00785F82">
        <w:t>orpligtelser, der påhvilede dem</w:t>
      </w:r>
      <w:r w:rsidR="00DA7608">
        <w:t xml:space="preserve"> i medfør af direktivet.</w:t>
      </w:r>
    </w:p>
    <w:p w14:paraId="631D893A" w14:textId="1B8C4A06" w:rsidR="00337118" w:rsidRDefault="00337118" w:rsidP="002C3D97">
      <w:pPr>
        <w:spacing w:line="360" w:lineRule="auto"/>
      </w:pPr>
      <w:r>
        <w:t>Kommissionen for De europæiske Fællesskaber var desuden enige i, at direktivet overlader valget og fastsættelsen af sanktionerne</w:t>
      </w:r>
      <w:r w:rsidR="00785F82">
        <w:t xml:space="preserve"> til medlemsstaterne. Dette</w:t>
      </w:r>
      <w:r>
        <w:t xml:space="preserve"> kunne tyde på, at den omstæn</w:t>
      </w:r>
      <w:r w:rsidR="00785F82">
        <w:t>dighed, at der heller ikke i direktiv 2001/23/EF</w:t>
      </w:r>
      <w:r>
        <w:t xml:space="preserve"> er taget stilling til retsvirkningen/sanktionen</w:t>
      </w:r>
      <w:r w:rsidR="00A62865">
        <w:t>,</w:t>
      </w:r>
      <w:r>
        <w:t xml:space="preserve"> betyder, at man</w:t>
      </w:r>
      <w:r w:rsidR="00785F82">
        <w:t xml:space="preserve"> bevidst har valgt</w:t>
      </w:r>
      <w:r>
        <w:t xml:space="preserve"> at overlade dette til medlemsstaterne selv. </w:t>
      </w:r>
    </w:p>
    <w:p w14:paraId="7F4407BD" w14:textId="2A5FDBDE" w:rsidR="00337118" w:rsidRDefault="0002142F" w:rsidP="002C3D97">
      <w:pPr>
        <w:spacing w:line="360" w:lineRule="auto"/>
      </w:pPr>
      <w:r>
        <w:t xml:space="preserve">Ud fra det anførte ovenfor, er der således tale om en dom, hvor retsvirkningen/sanktionen af et arbejdsretligt direktiv, er genstand for et præjudicielt spørgsmål, der er forelagt </w:t>
      </w:r>
      <w:r w:rsidR="00785F82">
        <w:t>EU-</w:t>
      </w:r>
      <w:r>
        <w:t xml:space="preserve">Domstolen. En sammenligning af problemstillingen i denne analyse og det præjudicielle spørgsmål, er </w:t>
      </w:r>
      <w:r w:rsidR="00785F82">
        <w:t>dermed</w:t>
      </w:r>
      <w:r>
        <w:t xml:space="preserve"> udtryk for den samme problemstilling, der dog gør sig gældende i to forskellige arbejdsretlige direktiver. Selv om der er tale om to forskellige direktiver, er det</w:t>
      </w:r>
      <w:r w:rsidR="00396000">
        <w:t xml:space="preserve"> alligevel</w:t>
      </w:r>
      <w:r>
        <w:t xml:space="preserve"> min påstand, at man kan lave en sammenligning mellem problemstillingen i denne analy</w:t>
      </w:r>
      <w:r w:rsidR="00785F82">
        <w:t>se, og p</w:t>
      </w:r>
      <w:r>
        <w:t>ræmisser</w:t>
      </w:r>
      <w:r w:rsidR="00785F82">
        <w:t>ne i denne dom</w:t>
      </w:r>
      <w:r>
        <w:t>, for at finde frem til retsvirkningen af en afskedigelse i strid med direktiv 2001/23/EF art. 4, stk. 1.</w:t>
      </w:r>
      <w:r w:rsidR="00396000">
        <w:t xml:space="preserve"> Når EU-Domstolen derfor kommer frem til, at direktivet ikke pålægger indførelsen af en bestemt sanktion, men derimod overlader det til medlemsstaterne selv, må dette betyde, at der i forhold til direktiv 2001/23/EF, som heller ikke i direktivet pålægger indførelsen af en bestemt sanktion, at retsvirkningen/sanktionen af en afskedigelse i strid med art. 4, stk. 1, er op til medlemsstaternes egen lovgivning. </w:t>
      </w:r>
      <w:r>
        <w:t xml:space="preserve"> </w:t>
      </w:r>
    </w:p>
    <w:p w14:paraId="2548FABC" w14:textId="77777777" w:rsidR="00753A90" w:rsidRDefault="00337118" w:rsidP="00BF23B6">
      <w:pPr>
        <w:pStyle w:val="Overskrift3"/>
      </w:pPr>
      <w:bookmarkStart w:id="49" w:name="_Toc292966608"/>
      <w:r>
        <w:t>Sammenfatning</w:t>
      </w:r>
      <w:bookmarkEnd w:id="49"/>
    </w:p>
    <w:p w14:paraId="455FFB0E" w14:textId="77777777" w:rsidR="002F15EE" w:rsidRPr="002F15EE" w:rsidRDefault="002F15EE" w:rsidP="002F15EE"/>
    <w:p w14:paraId="661B8963" w14:textId="3CCB1A67" w:rsidR="0002142F" w:rsidRPr="0002142F" w:rsidRDefault="00783CE2" w:rsidP="00783CE2">
      <w:pPr>
        <w:spacing w:line="360" w:lineRule="auto"/>
      </w:pPr>
      <w:r>
        <w:t xml:space="preserve">Ud fra det anførte ovenfor, er </w:t>
      </w:r>
      <w:r w:rsidR="00C25F9E">
        <w:t>der</w:t>
      </w:r>
      <w:r>
        <w:t xml:space="preserve"> i dommen</w:t>
      </w:r>
      <w:r w:rsidR="00C25F9E">
        <w:t xml:space="preserve"> er tale om</w:t>
      </w:r>
      <w:r>
        <w:t xml:space="preserve"> en fortolkning, af</w:t>
      </w:r>
      <w:r w:rsidR="00C25F9E">
        <w:t xml:space="preserve"> et arbejdsretligt direktiv</w:t>
      </w:r>
      <w:r w:rsidR="002F15EE">
        <w:t>, hvor</w:t>
      </w:r>
      <w:r>
        <w:t xml:space="preserve"> </w:t>
      </w:r>
      <w:r w:rsidR="00C25F9E">
        <w:t>det præjudicielle spørgsmå</w:t>
      </w:r>
      <w:r>
        <w:t xml:space="preserve">l, der er forelagt </w:t>
      </w:r>
      <w:r w:rsidR="00396000">
        <w:t>EU-</w:t>
      </w:r>
      <w:r>
        <w:t>Domstolen,</w:t>
      </w:r>
      <w:r w:rsidR="002F15EE">
        <w:t xml:space="preserve"> er</w:t>
      </w:r>
      <w:r w:rsidR="00C25F9E">
        <w:t xml:space="preserve"> den samme problemstilling, som er genstand for denne analyse</w:t>
      </w:r>
      <w:r>
        <w:t>. D</w:t>
      </w:r>
      <w:r w:rsidR="0002142F">
        <w:t>et</w:t>
      </w:r>
      <w:r>
        <w:t xml:space="preserve"> er derfor</w:t>
      </w:r>
      <w:r w:rsidR="0002142F">
        <w:t xml:space="preserve"> min påstand, at </w:t>
      </w:r>
      <w:r w:rsidR="00C25F9E">
        <w:t>man kan lave en sammenligning af</w:t>
      </w:r>
      <w:r w:rsidR="002F15EE">
        <w:t xml:space="preserve"> de to problemstillinger i de to direktiver, og derfor kan</w:t>
      </w:r>
      <w:r w:rsidR="00C25F9E">
        <w:t xml:space="preserve"> </w:t>
      </w:r>
      <w:r w:rsidR="002F15EE">
        <w:t>anvende</w:t>
      </w:r>
      <w:r w:rsidR="00C25F9E">
        <w:t xml:space="preserve"> dommens præmisser, i et forsøg på at finde frem til</w:t>
      </w:r>
      <w:r w:rsidR="002F15EE">
        <w:t>, hvad der fra EU’s side har været meningen i forhold til</w:t>
      </w:r>
      <w:r w:rsidR="00C25F9E">
        <w:t xml:space="preserve"> re</w:t>
      </w:r>
      <w:r w:rsidR="002F15EE">
        <w:t>tsvirkningen af en afskedigelse</w:t>
      </w:r>
      <w:r w:rsidR="00C25F9E">
        <w:t xml:space="preserve"> i strid med direktiv 2001/23/EF art. 4, stk. 1</w:t>
      </w:r>
      <w:r>
        <w:t xml:space="preserve">. </w:t>
      </w:r>
      <w:r w:rsidR="00C25F9E">
        <w:t xml:space="preserve"> </w:t>
      </w:r>
    </w:p>
    <w:p w14:paraId="36641980" w14:textId="3BBFBA6F" w:rsidR="002F15EE" w:rsidRDefault="00783CE2" w:rsidP="002F15EE">
      <w:pPr>
        <w:spacing w:line="360" w:lineRule="auto"/>
      </w:pPr>
      <w:r>
        <w:t>Det er derfor også min påstand, dommens argumenter for, hvorfor det forelagte spørgsmål skal besvares benægtende, kan anvendes som argument for, hvorfor</w:t>
      </w:r>
      <w:r w:rsidR="002F15EE">
        <w:t xml:space="preserve"> der heller ikke i forhold til direktiv 2001/23/EF kan være tale om en bestemt retsvirkningen/sanktion, som der i retslitteraturen har været argumenteret for, skulle være en underkendelse. </w:t>
      </w:r>
      <w:r>
        <w:t xml:space="preserve"> </w:t>
      </w:r>
    </w:p>
    <w:p w14:paraId="7A49B525" w14:textId="77777777" w:rsidR="002F15EE" w:rsidRDefault="002F15EE" w:rsidP="002F15EE">
      <w:pPr>
        <w:spacing w:line="360" w:lineRule="auto"/>
      </w:pPr>
    </w:p>
    <w:p w14:paraId="328F3D63" w14:textId="3933261B" w:rsidR="00A64F28" w:rsidRDefault="005345B2" w:rsidP="00B8197C">
      <w:pPr>
        <w:pStyle w:val="Overskrift2"/>
      </w:pPr>
      <w:bookmarkStart w:id="50" w:name="_Toc292966609"/>
      <w:r>
        <w:t>F</w:t>
      </w:r>
      <w:r w:rsidR="00951E9D">
        <w:t>ortolkning af VOL § 3</w:t>
      </w:r>
      <w:r>
        <w:t xml:space="preserve"> i dansk retspraksis</w:t>
      </w:r>
      <w:r w:rsidR="00A64F28">
        <w:t xml:space="preserve"> – U.2009.307V</w:t>
      </w:r>
      <w:bookmarkEnd w:id="50"/>
    </w:p>
    <w:p w14:paraId="4E5F44BF" w14:textId="77777777" w:rsidR="00B8197C" w:rsidRPr="00B8197C" w:rsidRDefault="00B8197C" w:rsidP="00B8197C"/>
    <w:p w14:paraId="73CB81F3" w14:textId="77777777" w:rsidR="00B8197C" w:rsidRDefault="00D42C1D" w:rsidP="00FE76BB">
      <w:pPr>
        <w:spacing w:line="360" w:lineRule="auto"/>
      </w:pPr>
      <w:r>
        <w:t>I</w:t>
      </w:r>
      <w:r w:rsidR="00A425FB">
        <w:t xml:space="preserve"> denne</w:t>
      </w:r>
      <w:r w:rsidR="000D5358">
        <w:t xml:space="preserve"> danske</w:t>
      </w:r>
      <w:r w:rsidR="00A425FB">
        <w:t xml:space="preserve"> dom af 21. oktober 2008, </w:t>
      </w:r>
      <w:r w:rsidR="000D5358">
        <w:t xml:space="preserve">blev der for første gang taget direkte stilling til denne analyses problemstilling, og dermed fortolkningen af VOL § 3, samt den bagvedliggende direktivbestemmelses art. 4. </w:t>
      </w:r>
    </w:p>
    <w:p w14:paraId="5A2ECEF4" w14:textId="61454F7F" w:rsidR="000D5358" w:rsidRDefault="000D5358" w:rsidP="00FE76BB">
      <w:pPr>
        <w:spacing w:line="360" w:lineRule="auto"/>
      </w:pPr>
      <w:r>
        <w:t>I</w:t>
      </w:r>
      <w:r w:rsidR="00B8197C">
        <w:t xml:space="preserve"> dommen kommer Vestre Landsret</w:t>
      </w:r>
      <w:r>
        <w:t xml:space="preserve"> frem til, at en kommune dømmes til at betale en godtgørelse til en afskediget skolevejleder, da virksomhedsoverdragelsesloven ikke var overholdt. Der var dermed ikke krav på en genansættelse, som der ellers fra sagsøgerens side, var nedlagt påstand om.   </w:t>
      </w:r>
    </w:p>
    <w:p w14:paraId="6C24B54D" w14:textId="6B115A21" w:rsidR="00D10B41" w:rsidRDefault="00D42C1D" w:rsidP="00FE76BB">
      <w:pPr>
        <w:spacing w:line="360" w:lineRule="auto"/>
      </w:pPr>
      <w:r>
        <w:t>I forbindelse med at Vejen Kommune skulle etablere et kommunalt samarbejde om driften af en skolevejledningsordning, opsagde kommunen en skolekonsulent, med henvisning til at hans stilling ville blive nedlagt.</w:t>
      </w:r>
      <w:r w:rsidR="00C54BFE">
        <w:t xml:space="preserve"> UU Sydvestjylland overtog således de vejledningsopgaver, som skolekonsulenten varetog, men der var ik</w:t>
      </w:r>
      <w:r w:rsidR="000D5358">
        <w:t>ke givet nogen forklaring på, hvorfor</w:t>
      </w:r>
      <w:r w:rsidR="00C54BFE">
        <w:t xml:space="preserve"> skolekonsulenten, som den eneste af 14 fuldtidsansatte skolekonsulenter, blev </w:t>
      </w:r>
      <w:r w:rsidR="00AC288D">
        <w:t>afskediget</w:t>
      </w:r>
      <w:r w:rsidR="00C54BFE">
        <w:t xml:space="preserve">. </w:t>
      </w:r>
      <w:r>
        <w:t>Skolekonsulenten mente, at afskedigelsen var i st</w:t>
      </w:r>
      <w:r w:rsidR="001B0D7B">
        <w:t>rid med virksomhedsoverdragelsesloven. S</w:t>
      </w:r>
      <w:r w:rsidR="00072E38">
        <w:t>kolekonsulenten nedlagde derfor</w:t>
      </w:r>
      <w:r w:rsidR="001B0D7B">
        <w:t xml:space="preserve"> påstand om, at Vejen Kommune</w:t>
      </w:r>
      <w:r w:rsidR="000D5358">
        <w:t>, som overdrager,</w:t>
      </w:r>
      <w:r w:rsidR="00AC288D">
        <w:t xml:space="preserve"> skulle anerkende, at afskedigelsen</w:t>
      </w:r>
      <w:r w:rsidR="001B0D7B">
        <w:t xml:space="preserve"> af ham var ugyldig. Samtidig blev der nedlagt påstand om, at UU Sydvestjylland</w:t>
      </w:r>
      <w:r w:rsidR="000D5358">
        <w:t>, som erhverver,</w:t>
      </w:r>
      <w:r w:rsidR="001B0D7B">
        <w:t xml:space="preserve"> skulle anerkende, at hans ansættelsesfo</w:t>
      </w:r>
      <w:r w:rsidR="000D5358">
        <w:t xml:space="preserve">rhold var overgået </w:t>
      </w:r>
      <w:r w:rsidR="001B0D7B">
        <w:t xml:space="preserve">til den nye institution, og at der dermed ved sagens anlæg, var et bestående ansættelsesforhold. </w:t>
      </w:r>
      <w:r w:rsidR="008942BD">
        <w:t xml:space="preserve">Vejen </w:t>
      </w:r>
      <w:r w:rsidR="00072E38">
        <w:t>kommune og UU Sydvestjylland nedlagde</w:t>
      </w:r>
      <w:r w:rsidR="008942BD">
        <w:t xml:space="preserve"> overfor s</w:t>
      </w:r>
      <w:r w:rsidR="00072E38">
        <w:t>kolekonsulentens påstand,</w:t>
      </w:r>
      <w:r w:rsidR="008942BD">
        <w:t xml:space="preserve"> påstand om frifindelse. </w:t>
      </w:r>
    </w:p>
    <w:p w14:paraId="2C100557" w14:textId="1FF3D136" w:rsidR="00BE15DE" w:rsidRDefault="00072E38" w:rsidP="00FE76BB">
      <w:pPr>
        <w:spacing w:line="360" w:lineRule="auto"/>
      </w:pPr>
      <w:r>
        <w:t>Retsvirkningen</w:t>
      </w:r>
      <w:r w:rsidR="003936D7">
        <w:t xml:space="preserve"> af, at afskedigelsen var ugyldig, herunder at den var</w:t>
      </w:r>
      <w:r w:rsidR="005A1F5F">
        <w:t xml:space="preserve"> i strid med </w:t>
      </w:r>
      <w:r w:rsidR="003936D7">
        <w:t>virksomhedsoverdragelsesloven</w:t>
      </w:r>
      <w:r w:rsidR="005A1F5F">
        <w:t>,</w:t>
      </w:r>
      <w:r w:rsidR="003936D7">
        <w:t xml:space="preserve"> var efter sagsøgerens påstand,</w:t>
      </w:r>
      <w:r>
        <w:t xml:space="preserve"> at afskedigelsen skulle underkendes</w:t>
      </w:r>
      <w:r w:rsidR="005A1F5F">
        <w:t xml:space="preserve">, </w:t>
      </w:r>
      <w:r>
        <w:t xml:space="preserve">og at ansættelsesforholdet dermed blev </w:t>
      </w:r>
      <w:r w:rsidR="005A1F5F">
        <w:t>overført til UU Sydvestjylland. I Skolekonsulentens procedure blev der sål</w:t>
      </w:r>
      <w:r>
        <w:t>edes henvist til, at EU-D</w:t>
      </w:r>
      <w:r w:rsidR="005A1F5F">
        <w:t>omstolen, i sagen P. Bork International A/S, har udtalt, at konsekvensen af, at en afskedigelse er sket i strid med vir</w:t>
      </w:r>
      <w:r>
        <w:t>ksomhedsoverdragelsesdirektivet</w:t>
      </w:r>
      <w:r w:rsidR="005A1F5F">
        <w:t xml:space="preserve"> er, at lønmodtageren forsat skal betragtes som om</w:t>
      </w:r>
      <w:r>
        <w:t>, at</w:t>
      </w:r>
      <w:r w:rsidR="005A1F5F">
        <w:t xml:space="preserve"> </w:t>
      </w:r>
      <w:r w:rsidR="001B0D7B">
        <w:t xml:space="preserve"> </w:t>
      </w:r>
      <w:r w:rsidR="005A1F5F">
        <w:t>denne stadig er ansat i virksomheden. En effektiv gennemførelse af virksomhedsoverdr</w:t>
      </w:r>
      <w:r>
        <w:t>agelsesdirektivet kræver derfor</w:t>
      </w:r>
      <w:r w:rsidR="005A1F5F">
        <w:t>, at man anser ansættelsesforholdet for forsat at bestå, og</w:t>
      </w:r>
      <w:r w:rsidR="003936D7">
        <w:t xml:space="preserve"> at direktivet </w:t>
      </w:r>
      <w:r w:rsidR="005A1F5F">
        <w:t>desuden</w:t>
      </w:r>
      <w:r w:rsidR="003936D7">
        <w:t xml:space="preserve"> er</w:t>
      </w:r>
      <w:r w:rsidR="005A1F5F">
        <w:t xml:space="preserve"> umiddelbart anvendeligt over for en offentlig arbejdsgiver. </w:t>
      </w:r>
      <w:r w:rsidR="009030E3">
        <w:t>Konsekvensen af, at skolekonsulenten må anses for</w:t>
      </w:r>
      <w:r>
        <w:t xml:space="preserve"> ansat hos UU Sydvestjylland skulle desuden være,</w:t>
      </w:r>
      <w:r w:rsidR="009030E3">
        <w:t xml:space="preserve"> at han har krav på løn for den tid der er gået, siden han fratrådte. </w:t>
      </w:r>
    </w:p>
    <w:p w14:paraId="65426CB7" w14:textId="36DE9663" w:rsidR="00D55411" w:rsidRDefault="00964054" w:rsidP="00FE76BB">
      <w:pPr>
        <w:spacing w:line="360" w:lineRule="auto"/>
      </w:pPr>
      <w:r w:rsidRPr="003936D7">
        <w:t>UU Sydvestjylland</w:t>
      </w:r>
      <w:r>
        <w:rPr>
          <w:b/>
        </w:rPr>
        <w:t xml:space="preserve"> </w:t>
      </w:r>
      <w:r>
        <w:t xml:space="preserve">har til støtte for sin frifindelsespåstand anført, at den omstændighed, at overdragelsen af vejledningsopgaven er omfattet af virksomhedsoverdragelsesloven, ikke er ensbetydende med, at afskedigelse ikke kan finde sted. Det blev således anført, at betingelserne for at foretage en saglig afskedigelse, i forbindelse med en virksomhedsoverdragelse, jf. § 3, var opfyldt. </w:t>
      </w:r>
      <w:r w:rsidR="00D55411">
        <w:t>Såfremt det blev lagt til grund, at det ikke var muligt at afskedige skolekonsulenten efter virksomhedsoverdragelsesloven, kunne der alene rejses krav om en økonomisk komp</w:t>
      </w:r>
      <w:r w:rsidR="00AC1005">
        <w:t>ensation, og ikke en underkendelse</w:t>
      </w:r>
      <w:r w:rsidR="00D55411">
        <w:t xml:space="preserve"> af afskedigelsen</w:t>
      </w:r>
      <w:r w:rsidR="00AC288D">
        <w:t>,</w:t>
      </w:r>
      <w:r w:rsidR="00D55411">
        <w:t xml:space="preserve"> med den konsekvens, at skolekonsulenten skulle anses for ansat i UU</w:t>
      </w:r>
      <w:r w:rsidR="00AC1005">
        <w:t xml:space="preserve"> Sydvestjylland. Dette blev begrundet</w:t>
      </w:r>
      <w:r w:rsidR="00D55411">
        <w:t xml:space="preserve"> med, at der hverken efter dansk retspra</w:t>
      </w:r>
      <w:r w:rsidR="00AC1005">
        <w:t>ksis, eller efter praksis fra EU-D</w:t>
      </w:r>
      <w:r w:rsidR="00D55411">
        <w:t>omstolen,</w:t>
      </w:r>
      <w:r w:rsidR="003936D7">
        <w:t xml:space="preserve"> er</w:t>
      </w:r>
      <w:r w:rsidR="00D55411">
        <w:t xml:space="preserve"> grundlag f</w:t>
      </w:r>
      <w:r w:rsidR="00AC1005">
        <w:t>or at stille krav om underkendelse</w:t>
      </w:r>
      <w:r w:rsidR="00D55411">
        <w:t>. Det blev således anført, at afgørelsen i Bork-sagen</w:t>
      </w:r>
      <w:r w:rsidR="00AC1005">
        <w:t xml:space="preserve"> ikke kunne fortolkes sådan, som det var blevet</w:t>
      </w:r>
      <w:r w:rsidR="003936D7">
        <w:t xml:space="preserve"> anført af sagsøgeren</w:t>
      </w:r>
      <w:r w:rsidR="00AC1005">
        <w:t>, idet Bork-sagen</w:t>
      </w:r>
      <w:r w:rsidR="00D55411">
        <w:t xml:space="preserve"> alene drejede sig om en økonomisk kompensation til tidligere ansatte, og ikke en genansættelse af disse.</w:t>
      </w:r>
    </w:p>
    <w:p w14:paraId="01867A23" w14:textId="77777777" w:rsidR="000878C1" w:rsidRDefault="000878C1" w:rsidP="00FE76BB">
      <w:pPr>
        <w:spacing w:line="360" w:lineRule="auto"/>
      </w:pPr>
    </w:p>
    <w:p w14:paraId="5872BE8C" w14:textId="699F8C63" w:rsidR="00470D0F" w:rsidRDefault="00142769" w:rsidP="00FE76BB">
      <w:pPr>
        <w:spacing w:line="360" w:lineRule="auto"/>
      </w:pPr>
      <w:r>
        <w:t>Som det er anført i afsnit</w:t>
      </w:r>
      <w:r w:rsidR="00761088">
        <w:t xml:space="preserve"> </w:t>
      </w:r>
      <w:r w:rsidR="00761088">
        <w:fldChar w:fldCharType="begin"/>
      </w:r>
      <w:r w:rsidR="00761088">
        <w:instrText xml:space="preserve"> REF _Ref292650744 \r \h </w:instrText>
      </w:r>
      <w:r w:rsidR="00761088">
        <w:fldChar w:fldCharType="separate"/>
      </w:r>
      <w:r w:rsidR="00761088">
        <w:t>2.3</w:t>
      </w:r>
      <w:r w:rsidR="00761088">
        <w:fldChar w:fldCharType="end"/>
      </w:r>
      <w:r w:rsidR="00450E0A">
        <w:t xml:space="preserve">, har </w:t>
      </w:r>
      <w:r w:rsidR="00AC1005">
        <w:t>EU-</w:t>
      </w:r>
      <w:r w:rsidR="00450E0A">
        <w:t>Domstolen fastslåe</w:t>
      </w:r>
      <w:r w:rsidR="00AC1005">
        <w:t>t, at medlemsstaterne har en</w:t>
      </w:r>
      <w:r w:rsidR="00450E0A">
        <w:t xml:space="preserve"> pligt til at fortolke national ret, i overensstemmelse med </w:t>
      </w:r>
      <w:r w:rsidR="00AC1005">
        <w:t>de EU-retlige regler, og dermed til at</w:t>
      </w:r>
      <w:r w:rsidR="00450E0A">
        <w:t xml:space="preserve"> fortolke national ret direktivkonformt. </w:t>
      </w:r>
      <w:r w:rsidR="00AC1005">
        <w:t xml:space="preserve">Dette betyder, </w:t>
      </w:r>
      <w:r w:rsidR="00450E0A">
        <w:t>at</w:t>
      </w:r>
      <w:r w:rsidR="00AC1005">
        <w:t xml:space="preserve"> en dansk domstol har pligt til</w:t>
      </w:r>
      <w:r w:rsidR="00450E0A">
        <w:t xml:space="preserve"> at fortolke national ret</w:t>
      </w:r>
      <w:r w:rsidR="000878C1">
        <w:t>,</w:t>
      </w:r>
      <w:r w:rsidR="00450E0A">
        <w:t xml:space="preserve"> i overensstemmelse med</w:t>
      </w:r>
      <w:r w:rsidR="000878C1">
        <w:t xml:space="preserve"> de præjudicielle</w:t>
      </w:r>
      <w:r w:rsidR="00450E0A">
        <w:t xml:space="preserve"> afgørelser</w:t>
      </w:r>
      <w:r w:rsidR="000878C1">
        <w:t>, der er afsagt af</w:t>
      </w:r>
      <w:r w:rsidR="00450E0A">
        <w:t xml:space="preserve"> </w:t>
      </w:r>
      <w:r w:rsidR="00AC1005">
        <w:t>EU-</w:t>
      </w:r>
      <w:r w:rsidR="00450E0A">
        <w:t>Domstolen.</w:t>
      </w:r>
      <w:r w:rsidR="000878C1">
        <w:t xml:space="preserve"> En sådan forpligtelse vil dermed betyde, at Vestre Landsret vil</w:t>
      </w:r>
      <w:r w:rsidR="00470D0F">
        <w:t>le</w:t>
      </w:r>
      <w:r w:rsidR="000878C1">
        <w:t xml:space="preserve"> være forpligtet t</w:t>
      </w:r>
      <w:r w:rsidR="00AC1005">
        <w:t xml:space="preserve">il at </w:t>
      </w:r>
      <w:r w:rsidR="000878C1">
        <w:t xml:space="preserve">fortolke VOL § 3, i overensstemmelse med </w:t>
      </w:r>
      <w:r w:rsidR="00AC1005">
        <w:t>EU-</w:t>
      </w:r>
      <w:r w:rsidR="000878C1">
        <w:t>Domstolens afgørelser af direktiv 2001/23/EF art. 4, og dermed i</w:t>
      </w:r>
      <w:r w:rsidR="00AC1005">
        <w:t xml:space="preserve"> lyset af C-101/87 (Bork-sagen).</w:t>
      </w:r>
    </w:p>
    <w:p w14:paraId="28D99D6A" w14:textId="77777777" w:rsidR="00AC1005" w:rsidRPr="00AC1005" w:rsidRDefault="00AC1005" w:rsidP="00AC1005"/>
    <w:p w14:paraId="17773BBB" w14:textId="624E9BBE" w:rsidR="00D42C1D" w:rsidRDefault="001658A7" w:rsidP="00FE76BB">
      <w:pPr>
        <w:spacing w:line="360" w:lineRule="auto"/>
      </w:pPr>
      <w:r>
        <w:t>Landsretten fandt det ikke godtgjort, at de organisatoriske ændringer gjorde det nødvendigt at afskedige skolekonsulenten. Afskedigelsen var derfor ikke sagligt begrundet</w:t>
      </w:r>
      <w:r w:rsidR="0078142F">
        <w:t xml:space="preserve"> i</w:t>
      </w:r>
      <w:r>
        <w:t xml:space="preserve"> virksomhedens forh</w:t>
      </w:r>
      <w:r w:rsidR="0078142F">
        <w:t>old, jf. VOL § 3, stk. 1. Der var</w:t>
      </w:r>
      <w:r>
        <w:t xml:space="preserve"> dog ikke efter virksomhedsoverdragelsesloven og det bagvedliggende direktiv grundlag for at antage, at virkningen af en usaglig afskedigelse, i forbindelse med en virksomhedsoverdragelse, er, at afskedigelse</w:t>
      </w:r>
      <w:r w:rsidR="0078142F">
        <w:t>n af skolekonsulenten underkendes</w:t>
      </w:r>
      <w:r>
        <w:t xml:space="preserve"> med den konsekvens, at han forsat må anses for ansat. </w:t>
      </w:r>
      <w:r w:rsidR="00EE513F">
        <w:t>Det anføres i dommens resultat, at: ”</w:t>
      </w:r>
      <w:r w:rsidR="00EE513F" w:rsidRPr="00B13FDD">
        <w:rPr>
          <w:i/>
        </w:rPr>
        <w:t>Det bemærkes særligt vedrørende direktivet om virksomhedsoverdragelse, at dette ikke angiver, hvilken retsvirkning en afskedigelse i strid med direktivet har, og at EF-domstolens udtalelser i sagerne C-101/87 og C-319/94, der begge vedrører spørgsmålet om hæftelse over for ansatte for økonomiske krav, ikke kan tages som udtryk for, at konsekvensen af en afskedigelse i strid med direktivet er en annullering af afskedigelsen. Da der ikke i øvrigt er oplysninger, der peger på, at et sådant krav har støtte i den EU-retlige regulering, finder Landsretten ikke grundlag for præjudicielt at forelægge et spørgsmål herom for EF-domstolen.</w:t>
      </w:r>
      <w:r w:rsidR="00EE513F">
        <w:t>”</w:t>
      </w:r>
      <w:r>
        <w:t xml:space="preserve"> </w:t>
      </w:r>
      <w:r w:rsidR="00B13FDD">
        <w:t>Da afskedigelsen af sk</w:t>
      </w:r>
      <w:r w:rsidR="0078142F">
        <w:t>olekonsulenten ikke var sagligt</w:t>
      </w:r>
      <w:r w:rsidR="00B13FDD">
        <w:t xml:space="preserve"> begrundet i han</w:t>
      </w:r>
      <w:r w:rsidR="0078142F">
        <w:t>s eller i kommunens forhold, havde</w:t>
      </w:r>
      <w:r w:rsidR="00B13FDD">
        <w:t xml:space="preserve"> skolekonsulenten således alene krav på en godtgørelse, efter overenskomsten for lærer m.fl. i folkeskolen. </w:t>
      </w:r>
      <w:r w:rsidR="009030E3">
        <w:t xml:space="preserve"> </w:t>
      </w:r>
      <w:r w:rsidR="001B0D7B">
        <w:t xml:space="preserve"> </w:t>
      </w:r>
    </w:p>
    <w:p w14:paraId="6A59835E" w14:textId="3ADC0C73" w:rsidR="00AC18E0" w:rsidRDefault="00AC18E0" w:rsidP="00FE76BB">
      <w:pPr>
        <w:spacing w:line="360" w:lineRule="auto"/>
      </w:pPr>
      <w:r>
        <w:t>Det fremgår således af dommen, at Vestre Landsret ikke mener, at grundsætningen: ”</w:t>
      </w:r>
      <w:r w:rsidRPr="00AC18E0">
        <w:rPr>
          <w:i/>
        </w:rPr>
        <w:t>Skal betragtes som om de stadig var ansat</w:t>
      </w:r>
      <w:r>
        <w:t>…,” der første gang blev nævnt i Bork-sagen,</w:t>
      </w:r>
      <w:r w:rsidRPr="00AC18E0">
        <w:t xml:space="preserve"> kan tages</w:t>
      </w:r>
      <w:r w:rsidR="0078142F">
        <w:t xml:space="preserve"> som udtryk for, at retsvirkningen</w:t>
      </w:r>
      <w:r w:rsidRPr="00AC18E0">
        <w:t xml:space="preserve"> af en afskedigelse</w:t>
      </w:r>
      <w:r>
        <w:t>,</w:t>
      </w:r>
      <w:r w:rsidRPr="00AC18E0">
        <w:t xml:space="preserve"> i strid med direktivet</w:t>
      </w:r>
      <w:r w:rsidR="0078142F">
        <w:t>s art. 4</w:t>
      </w:r>
      <w:r>
        <w:t>,</w:t>
      </w:r>
      <w:r w:rsidR="0078142F">
        <w:t xml:space="preserve"> er en underkendelse</w:t>
      </w:r>
      <w:r w:rsidRPr="00AC18E0">
        <w:t xml:space="preserve"> af afskedigelsen</w:t>
      </w:r>
      <w:r>
        <w:t xml:space="preserve">. </w:t>
      </w:r>
      <w:r w:rsidR="00510482">
        <w:t>Vestre Landsret mener heller ikke, at der er andre omstændigheder, der peg</w:t>
      </w:r>
      <w:r w:rsidR="0078142F">
        <w:t>er i retning af, at retsvirkningen</w:t>
      </w:r>
      <w:r w:rsidR="00510482">
        <w:t xml:space="preserve"> skulle være en genansættelse, og valgte derfor ikke at forelægge spørgsmålet for </w:t>
      </w:r>
      <w:r w:rsidR="0078142F">
        <w:t>EU-</w:t>
      </w:r>
      <w:r w:rsidR="00510482">
        <w:t xml:space="preserve">Domstolen. Spørgsmålet er ikke blevet afgjort af Højesteret. </w:t>
      </w:r>
    </w:p>
    <w:p w14:paraId="45DE9B49" w14:textId="77777777" w:rsidR="002D7CA4" w:rsidRDefault="002D7CA4" w:rsidP="00FE76BB">
      <w:pPr>
        <w:spacing w:line="360" w:lineRule="auto"/>
      </w:pPr>
    </w:p>
    <w:p w14:paraId="3ED68D17" w14:textId="43E733BB" w:rsidR="00F1289D" w:rsidRDefault="002F15EE" w:rsidP="00184189">
      <w:pPr>
        <w:pStyle w:val="Overskrift2"/>
      </w:pPr>
      <w:bookmarkStart w:id="51" w:name="_Toc292966610"/>
      <w:r>
        <w:t>Sammenligning</w:t>
      </w:r>
      <w:r w:rsidR="00D24E28">
        <w:t xml:space="preserve"> af </w:t>
      </w:r>
      <w:r w:rsidR="00F1289D">
        <w:t>retspraksis i forhold til afskedigelser i strid med direktiv 2001/23/EF art. 4, stk. 1 og VOL § 3, stk. 1</w:t>
      </w:r>
      <w:bookmarkEnd w:id="51"/>
    </w:p>
    <w:p w14:paraId="26D674D7" w14:textId="77777777" w:rsidR="0078142F" w:rsidRPr="0078142F" w:rsidRDefault="0078142F" w:rsidP="0078142F"/>
    <w:p w14:paraId="04240D54" w14:textId="7F8DCDE0" w:rsidR="00F0796E" w:rsidRDefault="00F0796E" w:rsidP="00F0796E">
      <w:pPr>
        <w:spacing w:line="360" w:lineRule="auto"/>
      </w:pPr>
      <w:r>
        <w:t>Efter en analyse af Bork-sa</w:t>
      </w:r>
      <w:r w:rsidR="0078142F">
        <w:t>gen, er det min påstand, at EU-D</w:t>
      </w:r>
      <w:r>
        <w:t>omstolens udtalelser i Bork-sagen, ik</w:t>
      </w:r>
      <w:r w:rsidR="0078142F">
        <w:t>ke kan fortolkes som om, at EU-D</w:t>
      </w:r>
      <w:r>
        <w:t>omstolen har haft til hensigt at slå fast, at retsvirkningen af en afskedigelse, i strid med art. 4, s</w:t>
      </w:r>
      <w:r w:rsidR="0078142F">
        <w:t>kulle være en genansættelse. Det</w:t>
      </w:r>
      <w:r>
        <w:t xml:space="preserve"> er dermed også min påstand, EU-Domstolens udtalelser i Bork-sagen, alene skal forstås i en hæftelsesmæssig sammenhæng, i forhold til anciennitet, løntilgodehavender og feriegodtgørelse. </w:t>
      </w:r>
      <w:r w:rsidR="0078142F">
        <w:t xml:space="preserve">Ud fra den forudsætning, at analysen af </w:t>
      </w:r>
      <w:r w:rsidR="004E447E">
        <w:t xml:space="preserve">Bork-sagen kan lægges til grund, </w:t>
      </w:r>
      <w:r>
        <w:t>er derfor heller ikke på baggrund af Dethier-sagen,</w:t>
      </w:r>
      <w:r w:rsidR="004E447E">
        <w:t xml:space="preserve"> der henviser til EU-Domstolens udtalelser i Bork-sagen,</w:t>
      </w:r>
      <w:r>
        <w:t xml:space="preserve"> gru</w:t>
      </w:r>
      <w:r w:rsidR="004E447E">
        <w:t>ndlag for at konkludere, at EU-D</w:t>
      </w:r>
      <w:r>
        <w:t xml:space="preserve">omstolen igen skulle have slået fast, at retsvirkningen af en afskedigelse, i strid med art. 4, skulle være </w:t>
      </w:r>
      <w:r w:rsidR="004E447E">
        <w:t>en genansættelse. Der må</w:t>
      </w:r>
      <w:r>
        <w:t xml:space="preserve"> derimod igen</w:t>
      </w:r>
      <w:r w:rsidR="004E447E">
        <w:t xml:space="preserve"> være</w:t>
      </w:r>
      <w:r>
        <w:t xml:space="preserve"> tale om et tilfælde, hvor man i en</w:t>
      </w:r>
      <w:r w:rsidRPr="00BF1261">
        <w:t xml:space="preserve"> </w:t>
      </w:r>
      <w:r>
        <w:t xml:space="preserve">ren hæftelsesmæssig sammenhæng, i forhold til krav om fratrædelsesgodtgørelse, kan påberåbe sig, at afskedigelsen var retsstridig. </w:t>
      </w:r>
    </w:p>
    <w:p w14:paraId="3FC773EF" w14:textId="5C4C77FE" w:rsidR="00760E2E" w:rsidRDefault="00F0796E" w:rsidP="00F0796E">
      <w:pPr>
        <w:spacing w:line="360" w:lineRule="auto"/>
      </w:pPr>
      <w:r>
        <w:t xml:space="preserve">Når der i Temco-sagen igen henvises til Bork-sagen, men på en måde, der i forhold til de to tidligere domme, rent ordlydsmæssigt tyder mest på en genansættelse, modsvares dette dog </w:t>
      </w:r>
      <w:r w:rsidR="006D4FBF">
        <w:t>igen af, at de andre</w:t>
      </w:r>
      <w:r>
        <w:t xml:space="preserve"> sproglige formuleringer, alene gentager Bork-sagens oprindeligt sproglig</w:t>
      </w:r>
      <w:r w:rsidR="005B631A">
        <w:t>e</w:t>
      </w:r>
      <w:r>
        <w:t xml:space="preserve"> formulering.</w:t>
      </w:r>
      <w:r w:rsidR="005B631A">
        <w:t xml:space="preserve"> </w:t>
      </w:r>
    </w:p>
    <w:p w14:paraId="76200503" w14:textId="247EDF7B" w:rsidR="00F0796E" w:rsidRDefault="00760E2E" w:rsidP="00F0796E">
      <w:pPr>
        <w:spacing w:line="360" w:lineRule="auto"/>
      </w:pPr>
      <w:r>
        <w:t>På baggrund af de</w:t>
      </w:r>
      <w:r w:rsidR="006D4FBF">
        <w:t xml:space="preserve"> særlige</w:t>
      </w:r>
      <w:r>
        <w:t xml:space="preserve"> faktiske omstændigheder i dommene, som </w:t>
      </w:r>
      <w:r w:rsidR="004E447E">
        <w:t>EU-Domstolens</w:t>
      </w:r>
      <w:r>
        <w:t xml:space="preserve"> udtalelser</w:t>
      </w:r>
      <w:r w:rsidR="006D4FBF">
        <w:t xml:space="preserve"> er baseret på, kan EU-Domstolens</w:t>
      </w:r>
      <w:r w:rsidR="004E447E">
        <w:t xml:space="preserve"> fortolknin</w:t>
      </w:r>
      <w:r>
        <w:t xml:space="preserve">g af direktivets art. 4, stk. 1, </w:t>
      </w:r>
      <w:r w:rsidR="006D4FBF">
        <w:t xml:space="preserve">ikke give et tilstrækkeligt </w:t>
      </w:r>
      <w:r>
        <w:t>grundlag for at antage</w:t>
      </w:r>
      <w:r w:rsidR="006D4FBF">
        <w:t>,</w:t>
      </w:r>
      <w:r>
        <w:t xml:space="preserve"> at der er </w:t>
      </w:r>
      <w:r w:rsidR="006D4FBF">
        <w:t xml:space="preserve">tale om en underkendelsesadgang, da dette må forudsætte nogle helt klare og utvetydige udtalelser fra EU-Domstolen. Dette stemmer også overens med dansk praksis’ fortolkning af </w:t>
      </w:r>
      <w:r w:rsidR="004903E5">
        <w:t xml:space="preserve">VOL § 3 og den bagvedliggende direktivbestemmelse. </w:t>
      </w:r>
      <w:r w:rsidR="006D4FBF">
        <w:t xml:space="preserve"> </w:t>
      </w:r>
      <w:r>
        <w:t xml:space="preserve"> </w:t>
      </w:r>
    </w:p>
    <w:p w14:paraId="7F6827E3" w14:textId="566E88D6" w:rsidR="00441D9E" w:rsidRDefault="00F0796E" w:rsidP="00F0796E">
      <w:pPr>
        <w:spacing w:line="360" w:lineRule="auto"/>
      </w:pPr>
      <w:r>
        <w:t>Når dette sammenholdes med analysen af Vol Colson-sagen, hvor</w:t>
      </w:r>
      <w:r w:rsidR="005B631A">
        <w:t>efter</w:t>
      </w:r>
      <w:r>
        <w:t xml:space="preserve"> det</w:t>
      </w:r>
      <w:r w:rsidR="005B631A">
        <w:t xml:space="preserve"> præjudicielle spørgsmål, der var</w:t>
      </w:r>
      <w:r w:rsidR="004903E5">
        <w:t xml:space="preserve"> forelagt EU-D</w:t>
      </w:r>
      <w:r>
        <w:t>omstolen, svarer til denne anal</w:t>
      </w:r>
      <w:r w:rsidR="005B631A">
        <w:t>yses problemstilling, er der ikke</w:t>
      </w:r>
      <w:r w:rsidR="004903E5">
        <w:t>,</w:t>
      </w:r>
      <w:r w:rsidR="005B631A">
        <w:t xml:space="preserve"> på baggrund af</w:t>
      </w:r>
      <w:r w:rsidR="004903E5">
        <w:t xml:space="preserve"> EU-Domstolens praksis,</w:t>
      </w:r>
      <w:r>
        <w:t xml:space="preserve"> grundlag for at konkludere, at direkti</w:t>
      </w:r>
      <w:r w:rsidR="004903E5">
        <w:t>v 2001/23/EF art. 4 skal fortolkes</w:t>
      </w:r>
      <w:r>
        <w:t xml:space="preserve"> som et egentlig</w:t>
      </w:r>
      <w:r w:rsidR="005B631A">
        <w:t>t</w:t>
      </w:r>
      <w:r>
        <w:t xml:space="preserve"> afskedigelsesforbud</w:t>
      </w:r>
      <w:r w:rsidR="005B631A">
        <w:t>,</w:t>
      </w:r>
      <w:r>
        <w:t xml:space="preserve"> med den retsvirkning, at en afskedigelse skal underkendes, og den pågældende lønmodtager derfor skal genansættes. </w:t>
      </w:r>
    </w:p>
    <w:p w14:paraId="5A1A1A8B" w14:textId="77777777" w:rsidR="00441D9E" w:rsidRDefault="00441D9E">
      <w:r>
        <w:br w:type="page"/>
      </w:r>
    </w:p>
    <w:p w14:paraId="390F8608" w14:textId="6432BF42" w:rsidR="00510482" w:rsidRDefault="005B631A" w:rsidP="00441D9E">
      <w:r>
        <w:t xml:space="preserve"> </w:t>
      </w:r>
    </w:p>
    <w:p w14:paraId="2395A086" w14:textId="3E3BF053" w:rsidR="00510482" w:rsidRDefault="00510482" w:rsidP="00184189">
      <w:pPr>
        <w:pStyle w:val="Overskrift1"/>
      </w:pPr>
      <w:bookmarkStart w:id="52" w:name="_Toc292966611"/>
      <w:r>
        <w:t>Konklusion</w:t>
      </w:r>
      <w:bookmarkEnd w:id="52"/>
      <w:r>
        <w:t xml:space="preserve"> </w:t>
      </w:r>
    </w:p>
    <w:p w14:paraId="14B98766" w14:textId="77777777" w:rsidR="00245A90" w:rsidRDefault="00245A90" w:rsidP="00604478">
      <w:pPr>
        <w:spacing w:line="360" w:lineRule="auto"/>
      </w:pPr>
      <w:r>
        <w:t xml:space="preserve">På baggrund </w:t>
      </w:r>
      <w:r w:rsidR="00604478">
        <w:t xml:space="preserve">af sammenligningen mellem direktiv 2001/23/EF </w:t>
      </w:r>
      <w:r w:rsidR="00AE311D">
        <w:t>art. 4, stk. 1 og VOL § 3, stk. 1,</w:t>
      </w:r>
      <w:r w:rsidR="00146522">
        <w:t xml:space="preserve"> kan det konkluderes, at</w:t>
      </w:r>
      <w:r w:rsidR="00AE311D">
        <w:t xml:space="preserve"> der ikke påvises nogen uoverensstemmelse me</w:t>
      </w:r>
      <w:r w:rsidR="00981881">
        <w:t>llem direktivets art, 4, stk. 1, og den danske implementering heraf i VOL § 3, stk. 1. Dette skyldes</w:t>
      </w:r>
      <w:r w:rsidR="00F32808">
        <w:t xml:space="preserve"> bl.a.</w:t>
      </w:r>
      <w:r w:rsidR="00146522">
        <w:t>,</w:t>
      </w:r>
      <w:r w:rsidR="00981881">
        <w:t xml:space="preserve"> at</w:t>
      </w:r>
      <w:r w:rsidR="00146522">
        <w:t xml:space="preserve"> både direktivets art. 4, stk. 1 og VOL § 3, stk. 1, efter deres ordlyd, ikke tager stilling til retsvirkningen af en afskedigelse i strid med </w:t>
      </w:r>
      <w:r w:rsidR="00F32808">
        <w:t>direktivet. De tilgængelige forarbejder</w:t>
      </w:r>
      <w:r w:rsidR="00146522">
        <w:t xml:space="preserve"> til direktive</w:t>
      </w:r>
      <w:r w:rsidR="00F32808">
        <w:t xml:space="preserve">t, giver heller ikke et bidrag til fortolkningen af retsvirkningen. </w:t>
      </w:r>
    </w:p>
    <w:p w14:paraId="00E927A9" w14:textId="6B61962C" w:rsidR="002D7CA4" w:rsidRDefault="00245A90" w:rsidP="00604478">
      <w:pPr>
        <w:spacing w:line="360" w:lineRule="auto"/>
      </w:pPr>
      <w:r>
        <w:t>Derimod tager forarbejderne</w:t>
      </w:r>
      <w:r w:rsidR="00F32808">
        <w:t xml:space="preserve"> ti</w:t>
      </w:r>
      <w:r>
        <w:t>l den danske implementeringslov</w:t>
      </w:r>
      <w:r w:rsidR="00F32808">
        <w:t xml:space="preserve"> stilling til retsvirkningen, som herefter er, at retsvirkningen af en afskedigelse</w:t>
      </w:r>
      <w:r w:rsidR="003864DD">
        <w:t>,</w:t>
      </w:r>
      <w:r w:rsidR="00F32808">
        <w:t xml:space="preserve"> i strid med VOL § 3</w:t>
      </w:r>
      <w:r w:rsidR="003864DD">
        <w:t xml:space="preserve">, er en sanktionering efter dansk rets gældende regler om usaglige afskedigelser, og dermed FUL § 2 b og Hovedaftalens § 4, stk. 3. </w:t>
      </w:r>
      <w:r w:rsidR="00D1651E">
        <w:t>Når d</w:t>
      </w:r>
      <w:r w:rsidR="003864DD">
        <w:t>ette sammenholdes med direktivets karakter, hvorefter der</w:t>
      </w:r>
      <w:r w:rsidR="00D1651E">
        <w:t xml:space="preserve"> alene</w:t>
      </w:r>
      <w:r w:rsidR="003864DD">
        <w:t xml:space="preserve"> er tale om et minimumsd</w:t>
      </w:r>
      <w:r w:rsidR="00D1651E">
        <w:t xml:space="preserve">irektiv, samt den omstændighed, </w:t>
      </w:r>
      <w:r w:rsidR="003864DD">
        <w:t xml:space="preserve">at der ifølge </w:t>
      </w:r>
      <w:r w:rsidR="00D1651E">
        <w:t xml:space="preserve">TEUF art. 153 alene kræves minimumsharmonisering, kan der ikke </w:t>
      </w:r>
      <w:r w:rsidR="00D62B5D">
        <w:t xml:space="preserve">påvises nogen uoverensstemmelse mellem direktivets art. 4, stk. 1 og den danske implementering heraf i VOL § 3, stk. 1. </w:t>
      </w:r>
    </w:p>
    <w:p w14:paraId="6993DC90" w14:textId="77777777" w:rsidR="001007D3" w:rsidRDefault="00245A90" w:rsidP="00371AA5">
      <w:pPr>
        <w:spacing w:line="360" w:lineRule="auto"/>
      </w:pPr>
      <w:r>
        <w:t>Dette bekræftes</w:t>
      </w:r>
      <w:r w:rsidR="004903E5">
        <w:t xml:space="preserve"> af EU-D</w:t>
      </w:r>
      <w:r w:rsidR="00D37123">
        <w:t>omstole</w:t>
      </w:r>
      <w:r>
        <w:t xml:space="preserve">ns praksis. Ifølge </w:t>
      </w:r>
      <w:r w:rsidR="004903E5">
        <w:t>EU-D</w:t>
      </w:r>
      <w:r w:rsidR="00D37123">
        <w:t>omstolens udtalelser i Bork-sagen, er der alene tale om udtalelser, der skal forstås i en hæftelsesmæssig sammenhæng, i forhold til anciennitet, løntilgodehavender og</w:t>
      </w:r>
      <w:r w:rsidR="00412CB5">
        <w:t xml:space="preserve"> feriegodtgørelse. Det kan derfor konkluderes, at det</w:t>
      </w:r>
      <w:r w:rsidR="004903E5">
        <w:t>,</w:t>
      </w:r>
      <w:r w:rsidR="00412CB5">
        <w:t xml:space="preserve"> efter en analyse</w:t>
      </w:r>
      <w:r w:rsidR="00D37123">
        <w:t xml:space="preserve"> af Bork-sage</w:t>
      </w:r>
      <w:r w:rsidR="00412CB5">
        <w:t>n</w:t>
      </w:r>
      <w:r w:rsidR="004903E5">
        <w:t>,</w:t>
      </w:r>
      <w:r w:rsidR="00412CB5">
        <w:t xml:space="preserve"> </w:t>
      </w:r>
      <w:r w:rsidR="001007D3">
        <w:t>ikke har været EU-D</w:t>
      </w:r>
      <w:r w:rsidR="00D37123">
        <w:t xml:space="preserve">omstolens hensigt at slå fast, at </w:t>
      </w:r>
      <w:r w:rsidR="00412CB5">
        <w:t>retsvirkningen af en afskedigelse skulle vær</w:t>
      </w:r>
      <w:r>
        <w:t>e en underkendelse.</w:t>
      </w:r>
      <w:r w:rsidR="001007D3">
        <w:t xml:space="preserve"> Dette stemmer desuden også overens med Vestre Landsrets fortolkning af Bork-sagen.</w:t>
      </w:r>
      <w:r>
        <w:t xml:space="preserve"> Tilsvarende</w:t>
      </w:r>
      <w:r w:rsidR="001007D3">
        <w:t xml:space="preserve"> gælder derfor,</w:t>
      </w:r>
      <w:r>
        <w:t xml:space="preserve"> </w:t>
      </w:r>
      <w:r w:rsidR="008747B5">
        <w:t>for så vidt angår</w:t>
      </w:r>
      <w:r w:rsidR="00412CB5">
        <w:t xml:space="preserve"> de efterfølgen</w:t>
      </w:r>
      <w:r w:rsidR="004903E5">
        <w:t>de domme, hvor der henvises EU-D</w:t>
      </w:r>
      <w:r w:rsidR="00412CB5">
        <w:t>omstolens udtalelser i Bork-sagen, og på baggrund af de faktis</w:t>
      </w:r>
      <w:r w:rsidR="008747B5">
        <w:t>ke omstændigheder i disse domme. Her kan det også</w:t>
      </w:r>
      <w:r w:rsidR="00412CB5">
        <w:t xml:space="preserve"> konkluderes, </w:t>
      </w:r>
      <w:r w:rsidR="003428D7">
        <w:t>at retsvirkningen af en afskedigelse, ifølge</w:t>
      </w:r>
      <w:r w:rsidR="004903E5">
        <w:t xml:space="preserve"> EU-D</w:t>
      </w:r>
      <w:r w:rsidR="003428D7">
        <w:t xml:space="preserve">omstolen, </w:t>
      </w:r>
      <w:r w:rsidR="001007D3">
        <w:t xml:space="preserve">derfor </w:t>
      </w:r>
      <w:r w:rsidR="008747B5">
        <w:t xml:space="preserve">ikke </w:t>
      </w:r>
      <w:r w:rsidR="003428D7">
        <w:t>skulle være en underkendelse.</w:t>
      </w:r>
    </w:p>
    <w:p w14:paraId="06F199EA" w14:textId="4601D51D" w:rsidR="006204CE" w:rsidRDefault="00371AA5" w:rsidP="00371AA5">
      <w:pPr>
        <w:spacing w:line="360" w:lineRule="auto"/>
      </w:pPr>
      <w:r>
        <w:t>Når d</w:t>
      </w:r>
      <w:r w:rsidR="003428D7">
        <w:t>isse betragtninger sammenholdes m</w:t>
      </w:r>
      <w:r w:rsidR="00C4569B">
        <w:t>ed sagen C-14/83 Von Colson, der</w:t>
      </w:r>
      <w:r w:rsidR="003428D7">
        <w:t xml:space="preserve"> vedrører den samme problemstilling, som har været ge</w:t>
      </w:r>
      <w:r w:rsidR="00C4569B">
        <w:t>nstand for analysen, og hvor EU-</w:t>
      </w:r>
      <w:r w:rsidR="004903E5">
        <w:t>D</w:t>
      </w:r>
      <w:r>
        <w:t>omstolen kom frem til, at det</w:t>
      </w:r>
      <w:r w:rsidR="00C4569B">
        <w:t xml:space="preserve"> pågældende direk</w:t>
      </w:r>
      <w:r w:rsidR="008747B5">
        <w:t>tiv ikke stiller krav om</w:t>
      </w:r>
      <w:r w:rsidR="00C4569B">
        <w:t xml:space="preserve"> en bestemt sanktion, men derimod overlader dette til medlemsstaterne selv,</w:t>
      </w:r>
      <w:r w:rsidR="004903E5">
        <w:t xml:space="preserve">  må det konkluderes, at EU-D</w:t>
      </w:r>
      <w:r>
        <w:t xml:space="preserve">omstolens praksis ikke kan fortolkes som et afskedigelsesforbud med underkendelsesadgang. </w:t>
      </w:r>
    </w:p>
    <w:p w14:paraId="7F290061" w14:textId="3AFBABDB" w:rsidR="00441D9E" w:rsidRDefault="006204CE" w:rsidP="00604478">
      <w:pPr>
        <w:spacing w:line="360" w:lineRule="auto"/>
        <w:rPr>
          <w:rFonts w:cs="Helvetica"/>
        </w:rPr>
      </w:pPr>
      <w:r>
        <w:t>Da der således</w:t>
      </w:r>
      <w:r w:rsidR="00371AA5">
        <w:t xml:space="preserve"> </w:t>
      </w:r>
      <w:r w:rsidR="001007D3">
        <w:rPr>
          <w:rFonts w:cs="Helvetica"/>
        </w:rPr>
        <w:t>ikke</w:t>
      </w:r>
      <w:r>
        <w:rPr>
          <w:rFonts w:cs="Helvetica"/>
        </w:rPr>
        <w:t xml:space="preserve"> kan</w:t>
      </w:r>
      <w:r w:rsidR="00371AA5">
        <w:rPr>
          <w:rFonts w:cs="Helvetica"/>
        </w:rPr>
        <w:t xml:space="preserve"> påvises nogen uoverensstemmelse mellem</w:t>
      </w:r>
      <w:r>
        <w:rPr>
          <w:rFonts w:cs="Helvetica"/>
        </w:rPr>
        <w:t xml:space="preserve"> direktiv 2001/23/EF</w:t>
      </w:r>
      <w:r w:rsidR="00371AA5">
        <w:rPr>
          <w:rFonts w:cs="Helvetica"/>
        </w:rPr>
        <w:t xml:space="preserve"> art. 4 og</w:t>
      </w:r>
      <w:r>
        <w:rPr>
          <w:rFonts w:cs="Helvetica"/>
        </w:rPr>
        <w:t xml:space="preserve"> VOL</w:t>
      </w:r>
      <w:r w:rsidR="00371AA5">
        <w:rPr>
          <w:rFonts w:cs="Helvetica"/>
        </w:rPr>
        <w:t xml:space="preserve"> § 3, og</w:t>
      </w:r>
      <w:r>
        <w:rPr>
          <w:rFonts w:cs="Helvetica"/>
        </w:rPr>
        <w:t xml:space="preserve"> ef</w:t>
      </w:r>
      <w:r w:rsidR="001007D3">
        <w:rPr>
          <w:rFonts w:cs="Helvetica"/>
        </w:rPr>
        <w:t>tersom EU-D</w:t>
      </w:r>
      <w:r w:rsidR="008747B5">
        <w:rPr>
          <w:rFonts w:cs="Helvetica"/>
        </w:rPr>
        <w:t>omstolens praksis</w:t>
      </w:r>
      <w:r w:rsidR="00371AA5">
        <w:rPr>
          <w:rFonts w:cs="Helvetica"/>
        </w:rPr>
        <w:t xml:space="preserve"> ikke</w:t>
      </w:r>
      <w:r w:rsidR="008747B5">
        <w:rPr>
          <w:rFonts w:cs="Helvetica"/>
        </w:rPr>
        <w:t xml:space="preserve"> fortolker</w:t>
      </w:r>
      <w:r w:rsidR="00371AA5">
        <w:rPr>
          <w:rFonts w:cs="Helvetica"/>
        </w:rPr>
        <w:t xml:space="preserve"> direktivbestemme</w:t>
      </w:r>
      <w:r w:rsidR="001007D3">
        <w:rPr>
          <w:rFonts w:cs="Helvetica"/>
        </w:rPr>
        <w:t>lsen som indeholdende</w:t>
      </w:r>
      <w:r w:rsidR="00371AA5">
        <w:rPr>
          <w:rFonts w:cs="Helvetica"/>
        </w:rPr>
        <w:t xml:space="preserve"> et egentligt afskedigelses</w:t>
      </w:r>
      <w:r>
        <w:rPr>
          <w:rFonts w:cs="Helvetica"/>
        </w:rPr>
        <w:t>forbud med</w:t>
      </w:r>
      <w:r w:rsidR="001007D3">
        <w:rPr>
          <w:rFonts w:cs="Helvetica"/>
        </w:rPr>
        <w:t xml:space="preserve"> en</w:t>
      </w:r>
      <w:r>
        <w:rPr>
          <w:rFonts w:cs="Helvetica"/>
        </w:rPr>
        <w:t xml:space="preserve"> underkendelsesadgang, </w:t>
      </w:r>
      <w:r>
        <w:t>er</w:t>
      </w:r>
      <w:r w:rsidR="00371AA5">
        <w:t xml:space="preserve"> </w:t>
      </w:r>
      <w:r w:rsidR="00535495">
        <w:t>konklusion</w:t>
      </w:r>
      <w:r w:rsidR="00371AA5">
        <w:t>en</w:t>
      </w:r>
      <w:r w:rsidR="00535495">
        <w:t xml:space="preserve"> på problemformuleringen</w:t>
      </w:r>
      <w:r w:rsidR="00371AA5">
        <w:t xml:space="preserve"> derfor, at </w:t>
      </w:r>
      <w:r w:rsidR="00604478" w:rsidRPr="00371AA5">
        <w:rPr>
          <w:rFonts w:cs="Helvetica"/>
        </w:rPr>
        <w:t>Rådets Direktiv 2001/23/EF art. 4</w:t>
      </w:r>
      <w:r>
        <w:rPr>
          <w:rFonts w:cs="Helvetica"/>
        </w:rPr>
        <w:t>,</w:t>
      </w:r>
      <w:r w:rsidR="00604478" w:rsidRPr="00371AA5">
        <w:rPr>
          <w:rFonts w:cs="Helvetica"/>
        </w:rPr>
        <w:t xml:space="preserve"> </w:t>
      </w:r>
      <w:r w:rsidR="00371AA5" w:rsidRPr="00371AA5">
        <w:rPr>
          <w:rFonts w:cs="Helvetica"/>
        </w:rPr>
        <w:t>er</w:t>
      </w:r>
      <w:r w:rsidR="00604478" w:rsidRPr="00371AA5">
        <w:rPr>
          <w:rFonts w:cs="Helvetica"/>
        </w:rPr>
        <w:t xml:space="preserve"> tilstrækkeligt implementeret i dansk ret i virksomhedsoverdragelseslovens</w:t>
      </w:r>
      <w:r w:rsidR="00371AA5" w:rsidRPr="00371AA5">
        <w:rPr>
          <w:rFonts w:cs="Helvetica"/>
        </w:rPr>
        <w:t xml:space="preserve"> § 3.</w:t>
      </w:r>
      <w:r>
        <w:rPr>
          <w:rFonts w:cs="Helvetica"/>
        </w:rPr>
        <w:t xml:space="preserve"> </w:t>
      </w:r>
      <w:r w:rsidR="00371AA5">
        <w:rPr>
          <w:rFonts w:cs="Helvetica"/>
        </w:rPr>
        <w:t xml:space="preserve"> </w:t>
      </w:r>
    </w:p>
    <w:p w14:paraId="0C81EABD" w14:textId="5768DEAC" w:rsidR="00B662A3" w:rsidRPr="00441D9E" w:rsidRDefault="00441D9E" w:rsidP="00441D9E">
      <w:pPr>
        <w:rPr>
          <w:rFonts w:cs="Helvetica"/>
        </w:rPr>
      </w:pPr>
      <w:r>
        <w:rPr>
          <w:rFonts w:cs="Helvetica"/>
        </w:rPr>
        <w:br w:type="page"/>
      </w:r>
    </w:p>
    <w:p w14:paraId="6E1BFE62" w14:textId="07FC9683" w:rsidR="00032A7E" w:rsidRDefault="00032A7E" w:rsidP="00184189">
      <w:pPr>
        <w:pStyle w:val="Overskrift1"/>
      </w:pPr>
      <w:bookmarkStart w:id="53" w:name="_Toc292966612"/>
      <w:r>
        <w:t>Litteraturliste</w:t>
      </w:r>
      <w:bookmarkEnd w:id="53"/>
    </w:p>
    <w:p w14:paraId="2D5098A4" w14:textId="77777777" w:rsidR="00032A7E" w:rsidRDefault="00032A7E" w:rsidP="00FE76BB">
      <w:pPr>
        <w:spacing w:line="360" w:lineRule="auto"/>
      </w:pPr>
    </w:p>
    <w:p w14:paraId="7246EFBC" w14:textId="4B4C3CC0" w:rsidR="001007D3" w:rsidRPr="007B388E" w:rsidRDefault="0087670D" w:rsidP="00FE76BB">
      <w:pPr>
        <w:spacing w:line="360" w:lineRule="auto"/>
        <w:rPr>
          <w:b/>
        </w:rPr>
      </w:pPr>
      <w:bookmarkStart w:id="54" w:name="_GoBack"/>
      <w:bookmarkEnd w:id="54"/>
      <w:r>
        <w:rPr>
          <w:b/>
        </w:rPr>
        <w:t>Litteratur</w:t>
      </w:r>
      <w:r w:rsidR="001007D3" w:rsidRPr="007B388E">
        <w:rPr>
          <w:b/>
        </w:rPr>
        <w:t>:</w:t>
      </w:r>
      <w:r>
        <w:rPr>
          <w:b/>
        </w:rPr>
        <w:t xml:space="preserve"> </w:t>
      </w:r>
    </w:p>
    <w:p w14:paraId="0E70E482" w14:textId="77777777" w:rsidR="007B388E" w:rsidRDefault="007B388E" w:rsidP="007B388E">
      <w:pPr>
        <w:spacing w:line="360" w:lineRule="auto"/>
      </w:pPr>
      <w:r>
        <w:t xml:space="preserve">Andersen, Lars Svenning, Vejby, Bjarke, Jørgensen, Jeppe Høyer: Lov om lønmodtageres retsstilling ved virksomhedsoverdragelse – med kommentarer. Jurist- og Økonomforbundets forlag, 5. Udg. 2009.    </w:t>
      </w:r>
    </w:p>
    <w:p w14:paraId="0744A956" w14:textId="77777777" w:rsidR="007B388E" w:rsidRDefault="007B388E" w:rsidP="007B388E">
      <w:pPr>
        <w:spacing w:line="360" w:lineRule="auto"/>
      </w:pPr>
    </w:p>
    <w:p w14:paraId="7020E9CF" w14:textId="77777777" w:rsidR="007B388E" w:rsidRDefault="007B388E" w:rsidP="007B388E">
      <w:pPr>
        <w:spacing w:line="360" w:lineRule="auto"/>
      </w:pPr>
      <w:r>
        <w:t>Bruun, Jørgen Rønnow: Usaglig afskedigelse – en håndbog. Forlaget Informatics 1. Udg. 1. Oplag 2006.</w:t>
      </w:r>
    </w:p>
    <w:p w14:paraId="2C1C2C8D" w14:textId="77777777" w:rsidR="007B388E" w:rsidRDefault="007B388E" w:rsidP="007B388E">
      <w:pPr>
        <w:spacing w:line="360" w:lineRule="auto"/>
      </w:pPr>
    </w:p>
    <w:p w14:paraId="41A6309E" w14:textId="77777777" w:rsidR="007B388E" w:rsidRDefault="007B388E" w:rsidP="007B388E">
      <w:pPr>
        <w:spacing w:line="360" w:lineRule="auto"/>
      </w:pPr>
      <w:r>
        <w:t xml:space="preserve">Hansen, Lone L.: Medarbejdernes retsstilling ved grænseoverskridende overtagelse og fusion 1. Aalborg Universitet 2010. Ph-d.-afhandling. </w:t>
      </w:r>
    </w:p>
    <w:p w14:paraId="43166DC9" w14:textId="77777777" w:rsidR="007B388E" w:rsidRDefault="007B388E" w:rsidP="007B388E">
      <w:pPr>
        <w:spacing w:line="360" w:lineRule="auto"/>
      </w:pPr>
    </w:p>
    <w:p w14:paraId="4E7E89C4" w14:textId="17291132" w:rsidR="007B388E" w:rsidRDefault="007B388E" w:rsidP="007B388E">
      <w:pPr>
        <w:spacing w:line="360" w:lineRule="auto"/>
      </w:pPr>
      <w:r>
        <w:t>Hasselbalch, Ole: Arbejdsret. Jurist- og Økonomforbundets forlag, 11. Udg. 2013.</w:t>
      </w:r>
    </w:p>
    <w:p w14:paraId="1FFE0B76" w14:textId="77777777" w:rsidR="007B388E" w:rsidRDefault="007B388E" w:rsidP="007B388E">
      <w:pPr>
        <w:spacing w:line="360" w:lineRule="auto"/>
      </w:pPr>
    </w:p>
    <w:p w14:paraId="5AAF6E58" w14:textId="1D855BDF" w:rsidR="007B388E" w:rsidRDefault="007B388E" w:rsidP="007B388E">
      <w:pPr>
        <w:spacing w:line="360" w:lineRule="auto"/>
      </w:pPr>
      <w:r>
        <w:t>Hasselbalch, Ole: Lærebog i ansættelsesret &amp; personalejura. Jurist- og Økonomforbundets forlag, 4. Udg. 1. Oplag 2012.</w:t>
      </w:r>
    </w:p>
    <w:p w14:paraId="5A99A1AF" w14:textId="77777777" w:rsidR="007B388E" w:rsidRDefault="007B388E" w:rsidP="007B388E">
      <w:pPr>
        <w:spacing w:line="360" w:lineRule="auto"/>
      </w:pPr>
    </w:p>
    <w:p w14:paraId="748B6DEF" w14:textId="77777777" w:rsidR="007B388E" w:rsidRDefault="007B388E" w:rsidP="007B388E">
      <w:pPr>
        <w:spacing w:line="360" w:lineRule="auto"/>
      </w:pPr>
      <w:r>
        <w:t>Klingsten, Mette: Ansættelsesretlige aspekter ved virksomhedsoverdragelse. Jurist- og Økonomforbundets forlag, 1. Udg. 2002.</w:t>
      </w:r>
    </w:p>
    <w:p w14:paraId="7BF2C09E" w14:textId="77777777" w:rsidR="007B388E" w:rsidRDefault="007B388E" w:rsidP="007B388E">
      <w:pPr>
        <w:spacing w:line="360" w:lineRule="auto"/>
      </w:pPr>
    </w:p>
    <w:p w14:paraId="32A2DCF0" w14:textId="2D02AD5E" w:rsidR="007B388E" w:rsidRDefault="007B388E" w:rsidP="007B388E">
      <w:pPr>
        <w:spacing w:line="360" w:lineRule="auto"/>
      </w:pPr>
      <w:r>
        <w:t>Kristiansen, Jens: Grundlæggende arbejdsret. Jurist- og Økonomforbundets forlag, 3. Udg., 1. Oplag 2014.</w:t>
      </w:r>
    </w:p>
    <w:p w14:paraId="5645AF38" w14:textId="77777777" w:rsidR="007B388E" w:rsidRDefault="007B388E" w:rsidP="007B388E">
      <w:pPr>
        <w:spacing w:line="360" w:lineRule="auto"/>
      </w:pPr>
    </w:p>
    <w:p w14:paraId="5CAE9E4B" w14:textId="3E32AB0D" w:rsidR="007B388E" w:rsidRDefault="007B388E" w:rsidP="007B388E">
      <w:pPr>
        <w:spacing w:line="360" w:lineRule="auto"/>
      </w:pPr>
      <w:r>
        <w:t>Nielsen, Ruth: Dansk arbejdsret. Jurist- og Økonomforbundets forlag, 2. Udg. 2012.</w:t>
      </w:r>
    </w:p>
    <w:p w14:paraId="175F4DA7" w14:textId="77777777" w:rsidR="007B388E" w:rsidRDefault="007B388E" w:rsidP="007B388E">
      <w:pPr>
        <w:spacing w:line="360" w:lineRule="auto"/>
      </w:pPr>
    </w:p>
    <w:p w14:paraId="75CBD9BB" w14:textId="77777777" w:rsidR="007B388E" w:rsidRDefault="007B388E" w:rsidP="007B388E">
      <w:pPr>
        <w:spacing w:line="360" w:lineRule="auto"/>
      </w:pPr>
      <w:r>
        <w:t>Paulsen, Jens: Afskedigelse (genansættelse, godtgørelse og erstatning). Gadjura, 1. Udg. 1. Oplag 1997.</w:t>
      </w:r>
    </w:p>
    <w:p w14:paraId="7111970D" w14:textId="77777777" w:rsidR="007B388E" w:rsidRDefault="007B388E" w:rsidP="007B388E">
      <w:pPr>
        <w:spacing w:line="360" w:lineRule="auto"/>
      </w:pPr>
    </w:p>
    <w:p w14:paraId="2B4D8850" w14:textId="77777777" w:rsidR="007B388E" w:rsidRDefault="007B388E" w:rsidP="007B388E">
      <w:pPr>
        <w:spacing w:line="360" w:lineRule="auto"/>
      </w:pPr>
      <w:r>
        <w:t xml:space="preserve">Sørensen, Karsten Engsig, Nielsen, Poul Runge og Danielsen, Jens Harting: EU-Retten. Jurist- og økonomforbundets forlag, 6. Udg. 1.oplag 2014. </w:t>
      </w:r>
    </w:p>
    <w:p w14:paraId="4ADCC05D" w14:textId="77777777" w:rsidR="007B388E" w:rsidRDefault="007B388E" w:rsidP="007B388E">
      <w:pPr>
        <w:spacing w:line="360" w:lineRule="auto"/>
      </w:pPr>
    </w:p>
    <w:p w14:paraId="587322E1" w14:textId="51065CE8" w:rsidR="007B388E" w:rsidRDefault="007B388E" w:rsidP="007B388E">
      <w:pPr>
        <w:spacing w:line="360" w:lineRule="auto"/>
        <w:rPr>
          <w:b/>
        </w:rPr>
      </w:pPr>
      <w:r>
        <w:rPr>
          <w:b/>
        </w:rPr>
        <w:t>Artikl</w:t>
      </w:r>
      <w:r w:rsidR="0087670D">
        <w:rPr>
          <w:b/>
        </w:rPr>
        <w:t>er:</w:t>
      </w:r>
    </w:p>
    <w:p w14:paraId="540DE5F5" w14:textId="5A73CF8E" w:rsidR="007B388E" w:rsidRDefault="007B388E" w:rsidP="007B388E">
      <w:pPr>
        <w:spacing w:line="360" w:lineRule="auto"/>
      </w:pPr>
      <w:r>
        <w:t xml:space="preserve">U.2009B.45: Opsigelse ved virksomhedsoverdragelse </w:t>
      </w:r>
      <w:r w:rsidR="00DB63E4">
        <w:t>–</w:t>
      </w:r>
      <w:r>
        <w:t xml:space="preserve"> om</w:t>
      </w:r>
      <w:r w:rsidR="00DB63E4">
        <w:t xml:space="preserve"> konsekvenser af retsstridig opsigelse, af Lone L. Hansen.  </w:t>
      </w:r>
    </w:p>
    <w:p w14:paraId="27EE6BA8" w14:textId="77777777" w:rsidR="00DB63E4" w:rsidRDefault="00DB63E4" w:rsidP="007B388E">
      <w:pPr>
        <w:spacing w:line="360" w:lineRule="auto"/>
      </w:pPr>
    </w:p>
    <w:p w14:paraId="0CC86EB7" w14:textId="7A4C4158" w:rsidR="00DB63E4" w:rsidRDefault="00DB63E4" w:rsidP="007B388E">
      <w:pPr>
        <w:spacing w:line="360" w:lineRule="auto"/>
      </w:pPr>
      <w:r>
        <w:t>U.1991B.164: Om direktivers virkning og forrang, af Erik Werlauff.</w:t>
      </w:r>
    </w:p>
    <w:p w14:paraId="00A4C32F" w14:textId="77777777" w:rsidR="00DB63E4" w:rsidRDefault="00DB63E4" w:rsidP="007B388E">
      <w:pPr>
        <w:spacing w:line="360" w:lineRule="auto"/>
      </w:pPr>
    </w:p>
    <w:p w14:paraId="4BE08990" w14:textId="000A2898" w:rsidR="00DB63E4" w:rsidRDefault="00DB63E4" w:rsidP="007B388E">
      <w:pPr>
        <w:spacing w:line="360" w:lineRule="auto"/>
      </w:pPr>
      <w:r>
        <w:t xml:space="preserve">U.1991B.17: Om EF-direktivers direkte anvendelighed og forrang for dansk lovgivning, af Per Walsøe. </w:t>
      </w:r>
    </w:p>
    <w:p w14:paraId="07EBBCC7" w14:textId="77777777" w:rsidR="001007B1" w:rsidRDefault="001007B1" w:rsidP="007B388E">
      <w:pPr>
        <w:spacing w:line="360" w:lineRule="auto"/>
      </w:pPr>
    </w:p>
    <w:p w14:paraId="79B5E47F" w14:textId="315D25C8" w:rsidR="001007B1" w:rsidRDefault="001007B1" w:rsidP="007B388E">
      <w:pPr>
        <w:spacing w:line="360" w:lineRule="auto"/>
      </w:pPr>
      <w:r>
        <w:t>U.1996B.1 – Implementering af EU-direktiver inden for arbejds- og ansættelsesret</w:t>
      </w:r>
      <w:r w:rsidR="00321C81">
        <w:t xml:space="preserve">, af Steen A. Rasmussen. </w:t>
      </w:r>
    </w:p>
    <w:p w14:paraId="20C3EE8A" w14:textId="77777777" w:rsidR="00DB63E4" w:rsidRDefault="00DB63E4" w:rsidP="007B388E">
      <w:pPr>
        <w:spacing w:line="360" w:lineRule="auto"/>
      </w:pPr>
    </w:p>
    <w:p w14:paraId="17A2FB21" w14:textId="253EDD81" w:rsidR="00DB63E4" w:rsidRDefault="00DB63E4" w:rsidP="007B388E">
      <w:pPr>
        <w:spacing w:line="360" w:lineRule="auto"/>
        <w:rPr>
          <w:b/>
        </w:rPr>
      </w:pPr>
      <w:r>
        <w:rPr>
          <w:b/>
        </w:rPr>
        <w:t>Domme</w:t>
      </w:r>
      <w:r w:rsidR="00260345">
        <w:rPr>
          <w:b/>
        </w:rPr>
        <w:t>:</w:t>
      </w:r>
      <w:r>
        <w:rPr>
          <w:b/>
        </w:rPr>
        <w:t xml:space="preserve"> </w:t>
      </w:r>
    </w:p>
    <w:p w14:paraId="1EC7CDDA" w14:textId="7230F796" w:rsidR="00625BE9" w:rsidRPr="00260345" w:rsidRDefault="00625BE9" w:rsidP="007B388E">
      <w:pPr>
        <w:spacing w:line="360" w:lineRule="auto"/>
        <w:rPr>
          <w:u w:val="single"/>
        </w:rPr>
      </w:pPr>
      <w:r w:rsidRPr="00260345">
        <w:rPr>
          <w:u w:val="single"/>
        </w:rPr>
        <w:t xml:space="preserve">Dansk retspraksis: </w:t>
      </w:r>
    </w:p>
    <w:p w14:paraId="6288DDAE" w14:textId="7095E2DD" w:rsidR="00DB63E4" w:rsidRDefault="00DB63E4" w:rsidP="007B388E">
      <w:pPr>
        <w:spacing w:line="360" w:lineRule="auto"/>
      </w:pPr>
      <w:r>
        <w:t>U.2009.307V</w:t>
      </w:r>
    </w:p>
    <w:p w14:paraId="6CE9FD9F" w14:textId="67B3B146" w:rsidR="00321C81" w:rsidRDefault="00321C81" w:rsidP="007B388E">
      <w:pPr>
        <w:spacing w:line="360" w:lineRule="auto"/>
      </w:pPr>
      <w:r>
        <w:t>U.2005.886H</w:t>
      </w:r>
    </w:p>
    <w:p w14:paraId="2A08D5D5" w14:textId="300024DF" w:rsidR="000D4316" w:rsidRDefault="000D4316" w:rsidP="007B388E">
      <w:pPr>
        <w:spacing w:line="360" w:lineRule="auto"/>
      </w:pPr>
      <w:r>
        <w:t>U.2003.1570</w:t>
      </w:r>
    </w:p>
    <w:p w14:paraId="5B973C10" w14:textId="77777777" w:rsidR="00625BE9" w:rsidRDefault="00625BE9" w:rsidP="007B388E">
      <w:pPr>
        <w:spacing w:line="360" w:lineRule="auto"/>
      </w:pPr>
    </w:p>
    <w:p w14:paraId="53E81458" w14:textId="09614857" w:rsidR="00625BE9" w:rsidRPr="00260345" w:rsidRDefault="00625BE9" w:rsidP="007B388E">
      <w:pPr>
        <w:spacing w:line="360" w:lineRule="auto"/>
        <w:rPr>
          <w:u w:val="single"/>
        </w:rPr>
      </w:pPr>
      <w:r w:rsidRPr="00260345">
        <w:rPr>
          <w:u w:val="single"/>
        </w:rPr>
        <w:t>EU-Domstolen:</w:t>
      </w:r>
    </w:p>
    <w:p w14:paraId="0BBD19DD" w14:textId="7420F94F" w:rsidR="00DB63E4" w:rsidRDefault="00DB63E4" w:rsidP="007B388E">
      <w:pPr>
        <w:spacing w:line="360" w:lineRule="auto"/>
      </w:pPr>
      <w:r>
        <w:t>C-101/87</w:t>
      </w:r>
      <w:r w:rsidR="00625BE9">
        <w:t xml:space="preserve"> Bork </w:t>
      </w:r>
    </w:p>
    <w:p w14:paraId="4D284E9E" w14:textId="6D31C5ED" w:rsidR="00A0604E" w:rsidRDefault="00A0604E" w:rsidP="007B388E">
      <w:pPr>
        <w:spacing w:line="360" w:lineRule="auto"/>
      </w:pPr>
      <w:r>
        <w:t>C-319/94</w:t>
      </w:r>
      <w:r w:rsidR="00625BE9">
        <w:t xml:space="preserve"> </w:t>
      </w:r>
      <w:r w:rsidR="00625BE9">
        <w:rPr>
          <w:noProof/>
        </w:rPr>
        <w:t>Dethier Equipement</w:t>
      </w:r>
    </w:p>
    <w:p w14:paraId="1E5CEEA0" w14:textId="2982F4C8" w:rsidR="00A0604E" w:rsidRDefault="00A0604E" w:rsidP="007B388E">
      <w:pPr>
        <w:spacing w:line="360" w:lineRule="auto"/>
      </w:pPr>
      <w:r>
        <w:t>C-51/00</w:t>
      </w:r>
      <w:r w:rsidR="00625BE9">
        <w:t xml:space="preserve"> Temco </w:t>
      </w:r>
    </w:p>
    <w:p w14:paraId="6D674166" w14:textId="26907AA8" w:rsidR="00A0604E" w:rsidRDefault="00A0604E" w:rsidP="007B388E">
      <w:pPr>
        <w:spacing w:line="360" w:lineRule="auto"/>
      </w:pPr>
      <w:r>
        <w:t>C-14/83</w:t>
      </w:r>
      <w:r w:rsidR="00625BE9">
        <w:t xml:space="preserve"> Von Colson </w:t>
      </w:r>
    </w:p>
    <w:p w14:paraId="470E860D" w14:textId="10A9DF9F" w:rsidR="00A0604E" w:rsidRDefault="00A0604E" w:rsidP="007B388E">
      <w:pPr>
        <w:spacing w:line="360" w:lineRule="auto"/>
      </w:pPr>
      <w:r>
        <w:t>C-283/81</w:t>
      </w:r>
      <w:r w:rsidR="00625BE9">
        <w:t xml:space="preserve"> CILFIT </w:t>
      </w:r>
    </w:p>
    <w:p w14:paraId="1FB81122" w14:textId="1189BB2A" w:rsidR="00A0604E" w:rsidRDefault="00A0604E" w:rsidP="007B388E">
      <w:pPr>
        <w:spacing w:line="360" w:lineRule="auto"/>
      </w:pPr>
      <w:r>
        <w:t>C-371/02</w:t>
      </w:r>
    </w:p>
    <w:p w14:paraId="073C14DA" w14:textId="77777777" w:rsidR="00A35598" w:rsidRDefault="00A35598" w:rsidP="007B388E">
      <w:pPr>
        <w:spacing w:line="360" w:lineRule="auto"/>
      </w:pPr>
    </w:p>
    <w:p w14:paraId="26F8ACDD" w14:textId="77C47408" w:rsidR="00A35598" w:rsidRDefault="00A35598" w:rsidP="007B388E">
      <w:pPr>
        <w:spacing w:line="360" w:lineRule="auto"/>
        <w:rPr>
          <w:b/>
        </w:rPr>
      </w:pPr>
      <w:r>
        <w:rPr>
          <w:b/>
        </w:rPr>
        <w:t>Andet</w:t>
      </w:r>
      <w:r w:rsidR="00260345">
        <w:rPr>
          <w:b/>
        </w:rPr>
        <w:t>:</w:t>
      </w:r>
    </w:p>
    <w:p w14:paraId="70390972" w14:textId="77777777" w:rsidR="007D1FD6" w:rsidRDefault="007D1FD6" w:rsidP="007D1FD6">
      <w:pPr>
        <w:spacing w:line="360" w:lineRule="auto"/>
      </w:pPr>
      <w:r>
        <w:t xml:space="preserve">LKB nr. 441 af 7. juni 2001  </w:t>
      </w:r>
    </w:p>
    <w:p w14:paraId="4EE1830D" w14:textId="5E89C605" w:rsidR="00A35598" w:rsidRDefault="00A35598" w:rsidP="007B388E">
      <w:pPr>
        <w:spacing w:line="360" w:lineRule="auto"/>
      </w:pPr>
      <w:r>
        <w:t xml:space="preserve">LBK nr. 710 af 20. august 2002 </w:t>
      </w:r>
    </w:p>
    <w:p w14:paraId="7E73531B" w14:textId="7C3F6E1D" w:rsidR="007D1FD6" w:rsidRDefault="007D1FD6" w:rsidP="007B388E">
      <w:pPr>
        <w:spacing w:line="360" w:lineRule="auto"/>
      </w:pPr>
      <w:r>
        <w:t xml:space="preserve">Rådets direktiv 77/187/EØF  </w:t>
      </w:r>
    </w:p>
    <w:p w14:paraId="28704DB1" w14:textId="77613C37" w:rsidR="007D1FD6" w:rsidRDefault="007D1FD6" w:rsidP="007B388E">
      <w:pPr>
        <w:spacing w:line="360" w:lineRule="auto"/>
      </w:pPr>
      <w:r>
        <w:t xml:space="preserve">Rådets direktiv 2001/23/EF </w:t>
      </w:r>
    </w:p>
    <w:p w14:paraId="4C3B9772" w14:textId="35E08769" w:rsidR="007D1FD6" w:rsidRDefault="00625BE9" w:rsidP="007B388E">
      <w:pPr>
        <w:spacing w:line="360" w:lineRule="auto"/>
      </w:pPr>
      <w:r>
        <w:t>De Europæiske Fællesskabers T</w:t>
      </w:r>
      <w:r w:rsidR="007D1FD6">
        <w:t xml:space="preserve">idende nr. C 104 af 13.09.74 </w:t>
      </w:r>
    </w:p>
    <w:p w14:paraId="497B7A8E" w14:textId="7C6B57EE" w:rsidR="007D1FD6" w:rsidRDefault="00625BE9" w:rsidP="007B388E">
      <w:pPr>
        <w:spacing w:line="360" w:lineRule="auto"/>
      </w:pPr>
      <w:r>
        <w:t xml:space="preserve">De Europæiske Fællesskabers Tidende </w:t>
      </w:r>
      <w:r w:rsidR="007D1FD6">
        <w:t>nr. C 255 af 7.11.75</w:t>
      </w:r>
    </w:p>
    <w:p w14:paraId="19645487" w14:textId="0EF9C358" w:rsidR="007D1FD6" w:rsidRDefault="00625BE9" w:rsidP="007B388E">
      <w:pPr>
        <w:spacing w:line="360" w:lineRule="auto"/>
      </w:pPr>
      <w:r>
        <w:t xml:space="preserve">De Europæiske Fællesskabers Tidende </w:t>
      </w:r>
      <w:r w:rsidR="007D1FD6">
        <w:t>nr. C 95 af 28.04.75</w:t>
      </w:r>
    </w:p>
    <w:p w14:paraId="08349423" w14:textId="77777777" w:rsidR="00F34727" w:rsidRDefault="00F34727" w:rsidP="00F34727">
      <w:pPr>
        <w:spacing w:line="360" w:lineRule="auto"/>
      </w:pPr>
    </w:p>
    <w:p w14:paraId="1A569F93" w14:textId="77777777" w:rsidR="00F34727" w:rsidRPr="00032A7E" w:rsidRDefault="00F34727" w:rsidP="00F34727">
      <w:pPr>
        <w:spacing w:line="360" w:lineRule="auto"/>
      </w:pPr>
      <w:r>
        <w:t>Rapport fra Udvalget til forberedelse af gennemførelseslovgivning af EF-direktiv om lønmodtagernes retsstilling ved virksomhedsoverdragelse – R 1408b – afgivet maj 1979.</w:t>
      </w:r>
    </w:p>
    <w:p w14:paraId="302BC5F9" w14:textId="77777777" w:rsidR="00F34727" w:rsidRDefault="00F34727" w:rsidP="007B388E">
      <w:pPr>
        <w:spacing w:line="360" w:lineRule="auto"/>
      </w:pPr>
    </w:p>
    <w:p w14:paraId="1E90B2E5" w14:textId="77777777" w:rsidR="00F34727" w:rsidRPr="00A35598" w:rsidRDefault="00F34727" w:rsidP="007B388E">
      <w:pPr>
        <w:spacing w:line="360" w:lineRule="auto"/>
      </w:pPr>
    </w:p>
    <w:p w14:paraId="412D1F3D" w14:textId="77777777" w:rsidR="00DB63E4" w:rsidRPr="00DB63E4" w:rsidRDefault="00DB63E4" w:rsidP="007B388E">
      <w:pPr>
        <w:spacing w:line="360" w:lineRule="auto"/>
      </w:pPr>
    </w:p>
    <w:p w14:paraId="38D8F215" w14:textId="77777777" w:rsidR="007B388E" w:rsidRDefault="007B388E" w:rsidP="007B388E">
      <w:pPr>
        <w:spacing w:line="360" w:lineRule="auto"/>
      </w:pPr>
    </w:p>
    <w:p w14:paraId="4A5FEA5C" w14:textId="77777777" w:rsidR="007B388E" w:rsidRDefault="007B388E" w:rsidP="007B388E">
      <w:pPr>
        <w:spacing w:line="360" w:lineRule="auto"/>
      </w:pPr>
    </w:p>
    <w:p w14:paraId="2AD46E94" w14:textId="77777777" w:rsidR="007B388E" w:rsidRDefault="007B388E" w:rsidP="007B388E">
      <w:pPr>
        <w:spacing w:line="360" w:lineRule="auto"/>
      </w:pPr>
    </w:p>
    <w:p w14:paraId="52DC9D4D" w14:textId="77777777" w:rsidR="007B388E" w:rsidRDefault="007B388E" w:rsidP="007B388E">
      <w:pPr>
        <w:spacing w:line="360" w:lineRule="auto"/>
      </w:pPr>
    </w:p>
    <w:p w14:paraId="700A6AC8" w14:textId="77777777" w:rsidR="007B388E" w:rsidRDefault="007B388E" w:rsidP="007B388E">
      <w:pPr>
        <w:spacing w:line="360" w:lineRule="auto"/>
      </w:pPr>
    </w:p>
    <w:p w14:paraId="4FE5E59A" w14:textId="77777777" w:rsidR="007B388E" w:rsidRDefault="007B388E" w:rsidP="007B388E">
      <w:pPr>
        <w:spacing w:line="360" w:lineRule="auto"/>
      </w:pPr>
    </w:p>
    <w:p w14:paraId="6C4F5082" w14:textId="1BFB003B" w:rsidR="007B388E" w:rsidRDefault="007B388E" w:rsidP="007B388E">
      <w:pPr>
        <w:spacing w:line="360" w:lineRule="auto"/>
      </w:pPr>
      <w:r>
        <w:t xml:space="preserve">  </w:t>
      </w:r>
    </w:p>
    <w:p w14:paraId="68F07898" w14:textId="77777777" w:rsidR="007B388E" w:rsidRDefault="007B388E" w:rsidP="00FE76BB">
      <w:pPr>
        <w:spacing w:line="360" w:lineRule="auto"/>
      </w:pPr>
    </w:p>
    <w:p w14:paraId="10449D21" w14:textId="77777777" w:rsidR="00360FFD" w:rsidRDefault="00360FFD" w:rsidP="00FE76BB">
      <w:pPr>
        <w:spacing w:line="360" w:lineRule="auto"/>
      </w:pPr>
    </w:p>
    <w:p w14:paraId="522155C8" w14:textId="77777777" w:rsidR="00360FFD" w:rsidRDefault="00360FFD" w:rsidP="00FE76BB">
      <w:pPr>
        <w:spacing w:line="360" w:lineRule="auto"/>
      </w:pPr>
    </w:p>
    <w:p w14:paraId="08BBC9ED" w14:textId="77777777" w:rsidR="00360FFD" w:rsidRDefault="00360FFD" w:rsidP="00FE76BB">
      <w:pPr>
        <w:spacing w:line="360" w:lineRule="auto"/>
      </w:pPr>
    </w:p>
    <w:p w14:paraId="57059F8A" w14:textId="77777777" w:rsidR="007A51DE" w:rsidRDefault="007A51DE" w:rsidP="00FE76BB">
      <w:pPr>
        <w:spacing w:line="360" w:lineRule="auto"/>
      </w:pPr>
    </w:p>
    <w:p w14:paraId="21D7AB46" w14:textId="77777777" w:rsidR="007A51DE" w:rsidRDefault="007A51DE" w:rsidP="00FE76BB">
      <w:pPr>
        <w:spacing w:line="360" w:lineRule="auto"/>
      </w:pPr>
    </w:p>
    <w:p w14:paraId="5DF8F140" w14:textId="706A8FAA" w:rsidR="007A51DE" w:rsidRDefault="007A51DE" w:rsidP="00FE76BB">
      <w:pPr>
        <w:spacing w:line="360" w:lineRule="auto"/>
      </w:pPr>
    </w:p>
    <w:p w14:paraId="2A877133" w14:textId="77777777" w:rsidR="007A51DE" w:rsidRDefault="007A51DE" w:rsidP="00FE76BB">
      <w:pPr>
        <w:spacing w:line="360" w:lineRule="auto"/>
      </w:pPr>
    </w:p>
    <w:p w14:paraId="12E45213" w14:textId="77777777" w:rsidR="007A51DE" w:rsidRDefault="007A51DE" w:rsidP="00FE76BB">
      <w:pPr>
        <w:spacing w:line="360" w:lineRule="auto"/>
      </w:pPr>
    </w:p>
    <w:p w14:paraId="043E6AFD" w14:textId="77777777" w:rsidR="007A51DE" w:rsidRDefault="007A51DE" w:rsidP="00FE76BB">
      <w:pPr>
        <w:spacing w:line="360" w:lineRule="auto"/>
      </w:pPr>
    </w:p>
    <w:p w14:paraId="79987E65" w14:textId="77777777" w:rsidR="007A51DE" w:rsidRDefault="007A51DE" w:rsidP="00FE76BB">
      <w:pPr>
        <w:spacing w:line="360" w:lineRule="auto"/>
      </w:pPr>
    </w:p>
    <w:p w14:paraId="0C38AEAA" w14:textId="77777777" w:rsidR="000C34FC" w:rsidRDefault="000C34FC" w:rsidP="00FE76BB">
      <w:pPr>
        <w:spacing w:line="360" w:lineRule="auto"/>
      </w:pPr>
    </w:p>
    <w:p w14:paraId="42FADF2D" w14:textId="77777777" w:rsidR="00032A7E" w:rsidRPr="00F05FFA" w:rsidRDefault="00032A7E" w:rsidP="00424D3A"/>
    <w:sectPr w:rsidR="00032A7E" w:rsidRPr="00F05FFA" w:rsidSect="00A05D34">
      <w:footerReference w:type="even" r:id="rId10"/>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F811F" w14:textId="77777777" w:rsidR="00A05D34" w:rsidRDefault="00A05D34" w:rsidP="00F05FFA">
      <w:r>
        <w:separator/>
      </w:r>
    </w:p>
  </w:endnote>
  <w:endnote w:type="continuationSeparator" w:id="0">
    <w:p w14:paraId="2749A9D8" w14:textId="77777777" w:rsidR="00A05D34" w:rsidRDefault="00A05D34" w:rsidP="00F0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0D8F" w14:textId="77777777" w:rsidR="00A05D34" w:rsidRDefault="00A05D34" w:rsidP="006F0E9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05B36BC" w14:textId="77777777" w:rsidR="00A05D34" w:rsidRDefault="00A05D34" w:rsidP="006F0E92">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FFEA0" w14:textId="77777777" w:rsidR="00A05D34" w:rsidRDefault="00A05D34" w:rsidP="006F0E9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22F86">
      <w:rPr>
        <w:rStyle w:val="Sidetal"/>
        <w:noProof/>
      </w:rPr>
      <w:t>1</w:t>
    </w:r>
    <w:r>
      <w:rPr>
        <w:rStyle w:val="Sidetal"/>
      </w:rPr>
      <w:fldChar w:fldCharType="end"/>
    </w:r>
  </w:p>
  <w:p w14:paraId="53F80B6D" w14:textId="77777777" w:rsidR="00A05D34" w:rsidRDefault="00A05D34" w:rsidP="006F0E92">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02F43" w14:textId="77777777" w:rsidR="00A05D34" w:rsidRDefault="00A05D34" w:rsidP="00F05FFA">
      <w:r>
        <w:separator/>
      </w:r>
    </w:p>
  </w:footnote>
  <w:footnote w:type="continuationSeparator" w:id="0">
    <w:p w14:paraId="30AB7059" w14:textId="77777777" w:rsidR="00A05D34" w:rsidRDefault="00A05D34" w:rsidP="00F05FFA">
      <w:r>
        <w:continuationSeparator/>
      </w:r>
    </w:p>
  </w:footnote>
  <w:footnote w:id="1">
    <w:p w14:paraId="4E4831F0" w14:textId="55FC55A3" w:rsidR="00A05D34" w:rsidRDefault="00A05D34">
      <w:pPr>
        <w:pStyle w:val="Fodnotetekst"/>
      </w:pPr>
      <w:r>
        <w:rPr>
          <w:rStyle w:val="Fodnotehenvisning"/>
        </w:rPr>
        <w:footnoteRef/>
      </w:r>
      <w:r>
        <w:t xml:space="preserve"> Lov nr. 710 af 20. august 2002</w:t>
      </w:r>
    </w:p>
  </w:footnote>
  <w:footnote w:id="2">
    <w:p w14:paraId="50417ADD" w14:textId="455DE284" w:rsidR="00A05D34" w:rsidRDefault="00A05D34">
      <w:pPr>
        <w:pStyle w:val="Fodnotetekst"/>
      </w:pPr>
      <w:r>
        <w:rPr>
          <w:rStyle w:val="Fodnotehenvisning"/>
        </w:rPr>
        <w:footnoteRef/>
      </w:r>
      <w:r>
        <w:t xml:space="preserve"> Medarbejdernes retsstilling ved grænseoverskridende overtagelse og fusion, s. 195</w:t>
      </w:r>
    </w:p>
  </w:footnote>
  <w:footnote w:id="3">
    <w:p w14:paraId="6E427AB9" w14:textId="78781C16" w:rsidR="00A05D34" w:rsidRDefault="00A05D34">
      <w:pPr>
        <w:pStyle w:val="Fodnotetekst"/>
      </w:pPr>
      <w:r>
        <w:rPr>
          <w:rStyle w:val="Fodnotehenvisning"/>
        </w:rPr>
        <w:footnoteRef/>
      </w:r>
      <w:r>
        <w:t xml:space="preserve"> Medarbejdernes retsstilling ved grænseoverskridende overtagelse og fusion, s. 211</w:t>
      </w:r>
    </w:p>
  </w:footnote>
  <w:footnote w:id="4">
    <w:p w14:paraId="173B6F57" w14:textId="77777777" w:rsidR="00A05D34" w:rsidRDefault="00A05D34" w:rsidP="00365888">
      <w:pPr>
        <w:pStyle w:val="Fodnotetekst"/>
      </w:pPr>
      <w:r>
        <w:rPr>
          <w:rStyle w:val="Fodnotehenvisning"/>
        </w:rPr>
        <w:footnoteRef/>
      </w:r>
      <w:r>
        <w:t xml:space="preserve"> Dansk arbejdsret, s. 34</w:t>
      </w:r>
    </w:p>
  </w:footnote>
  <w:footnote w:id="5">
    <w:p w14:paraId="5E2B2AD4" w14:textId="77777777" w:rsidR="00A05D34" w:rsidRDefault="00A05D34" w:rsidP="00365888">
      <w:pPr>
        <w:pStyle w:val="Fodnotetekst"/>
      </w:pPr>
      <w:r>
        <w:rPr>
          <w:rStyle w:val="Fodnotehenvisning"/>
        </w:rPr>
        <w:footnoteRef/>
      </w:r>
      <w:r>
        <w:t xml:space="preserve"> Dansk arbejdsret, s. 35</w:t>
      </w:r>
    </w:p>
  </w:footnote>
  <w:footnote w:id="6">
    <w:p w14:paraId="3916F922" w14:textId="05B55012" w:rsidR="00A05D34" w:rsidRDefault="00A05D34" w:rsidP="00365888">
      <w:pPr>
        <w:pStyle w:val="Fodnotetekst"/>
      </w:pPr>
      <w:r>
        <w:rPr>
          <w:rStyle w:val="Fodnotehenvisning"/>
        </w:rPr>
        <w:footnoteRef/>
      </w:r>
      <w:r>
        <w:t xml:space="preserve"> Lov nr. 710 af 20. august 2002</w:t>
      </w:r>
    </w:p>
  </w:footnote>
  <w:footnote w:id="7">
    <w:p w14:paraId="6C40A939" w14:textId="77777777" w:rsidR="00A05D34" w:rsidRDefault="00A05D34" w:rsidP="00365888">
      <w:pPr>
        <w:pStyle w:val="Fodnotetekst"/>
      </w:pPr>
      <w:r>
        <w:rPr>
          <w:rStyle w:val="Fodnotehenvisning"/>
        </w:rPr>
        <w:footnoteRef/>
      </w:r>
      <w:r>
        <w:t xml:space="preserve"> Dansk arbejdsret, s. 37</w:t>
      </w:r>
    </w:p>
  </w:footnote>
  <w:footnote w:id="8">
    <w:p w14:paraId="40E24702" w14:textId="164FB7FC" w:rsidR="00A05D34" w:rsidRDefault="00A05D34" w:rsidP="009E1BEE">
      <w:pPr>
        <w:pStyle w:val="Fodnotetekst"/>
      </w:pPr>
      <w:r>
        <w:rPr>
          <w:rStyle w:val="Fodnotehenvisning"/>
        </w:rPr>
        <w:footnoteRef/>
      </w:r>
      <w:r>
        <w:t xml:space="preserve"> Lov nr. 710 af 20. august 2002 </w:t>
      </w:r>
    </w:p>
  </w:footnote>
  <w:footnote w:id="9">
    <w:p w14:paraId="75A9DF2B" w14:textId="77777777" w:rsidR="00A05D34" w:rsidRDefault="00A05D34" w:rsidP="00365888">
      <w:pPr>
        <w:pStyle w:val="Fodnotetekst"/>
      </w:pPr>
      <w:r>
        <w:rPr>
          <w:rStyle w:val="Fodnotehenvisning"/>
        </w:rPr>
        <w:footnoteRef/>
      </w:r>
      <w:r>
        <w:t xml:space="preserve"> EU-retten, s. 107</w:t>
      </w:r>
    </w:p>
  </w:footnote>
  <w:footnote w:id="10">
    <w:p w14:paraId="10E35907" w14:textId="77777777" w:rsidR="00A05D34" w:rsidRDefault="00A05D34" w:rsidP="00365888">
      <w:pPr>
        <w:pStyle w:val="Fodnotetekst"/>
      </w:pPr>
      <w:r>
        <w:rPr>
          <w:rStyle w:val="Fodnotehenvisning"/>
        </w:rPr>
        <w:footnoteRef/>
      </w:r>
      <w:r>
        <w:t xml:space="preserve"> EU-retten, s. 107</w:t>
      </w:r>
    </w:p>
  </w:footnote>
  <w:footnote w:id="11">
    <w:p w14:paraId="7CDB244D" w14:textId="77777777" w:rsidR="00A05D34" w:rsidRDefault="00A05D34" w:rsidP="00365888">
      <w:pPr>
        <w:pStyle w:val="Fodnotetekst"/>
      </w:pPr>
      <w:r>
        <w:rPr>
          <w:rStyle w:val="Fodnotehenvisning"/>
        </w:rPr>
        <w:footnoteRef/>
      </w:r>
      <w:r>
        <w:t xml:space="preserve"> EU-retten, s. 109</w:t>
      </w:r>
    </w:p>
  </w:footnote>
  <w:footnote w:id="12">
    <w:p w14:paraId="7E0C981A" w14:textId="77777777" w:rsidR="00A05D34" w:rsidRDefault="00A05D34" w:rsidP="00365888">
      <w:pPr>
        <w:pStyle w:val="Fodnotetekst"/>
      </w:pPr>
      <w:r>
        <w:rPr>
          <w:rStyle w:val="Fodnotehenvisning"/>
        </w:rPr>
        <w:footnoteRef/>
      </w:r>
      <w:r>
        <w:t xml:space="preserve"> EU-retten, s. 110</w:t>
      </w:r>
    </w:p>
  </w:footnote>
  <w:footnote w:id="13">
    <w:p w14:paraId="443420A5" w14:textId="77777777" w:rsidR="00A05D34" w:rsidRDefault="00A05D34" w:rsidP="00365888">
      <w:pPr>
        <w:pStyle w:val="Fodnotetekst"/>
      </w:pPr>
      <w:r>
        <w:rPr>
          <w:rStyle w:val="Fodnotehenvisning"/>
        </w:rPr>
        <w:footnoteRef/>
      </w:r>
      <w:r>
        <w:t xml:space="preserve"> EU-retten, s. 110</w:t>
      </w:r>
    </w:p>
  </w:footnote>
  <w:footnote w:id="14">
    <w:p w14:paraId="1ED535E1" w14:textId="77777777" w:rsidR="00A05D34" w:rsidRDefault="00A05D34" w:rsidP="00365888">
      <w:pPr>
        <w:pStyle w:val="Fodnotetekst"/>
      </w:pPr>
      <w:r>
        <w:rPr>
          <w:rStyle w:val="Fodnotehenvisning"/>
        </w:rPr>
        <w:footnoteRef/>
      </w:r>
      <w:r>
        <w:t xml:space="preserve"> Ansættelsesretlige aspekter ved virksomhedsoverdragelse, s. 12</w:t>
      </w:r>
    </w:p>
  </w:footnote>
  <w:footnote w:id="15">
    <w:p w14:paraId="7480CDB4" w14:textId="77777777" w:rsidR="00A05D34" w:rsidRDefault="00A05D34" w:rsidP="00365888">
      <w:pPr>
        <w:pStyle w:val="Fodnotetekst"/>
      </w:pPr>
      <w:r>
        <w:rPr>
          <w:rStyle w:val="Fodnotehenvisning"/>
        </w:rPr>
        <w:footnoteRef/>
      </w:r>
      <w:r>
        <w:t xml:space="preserve"> Direktiv 2001/23/EF</w:t>
      </w:r>
    </w:p>
  </w:footnote>
  <w:footnote w:id="16">
    <w:p w14:paraId="431DE35D" w14:textId="6CC47264" w:rsidR="00A05D34" w:rsidRDefault="00A05D34" w:rsidP="008A3C4E">
      <w:pPr>
        <w:pStyle w:val="Fodnotetekst"/>
      </w:pPr>
      <w:r>
        <w:rPr>
          <w:rStyle w:val="Fodnotehenvisning"/>
        </w:rPr>
        <w:footnoteRef/>
      </w:r>
      <w:r>
        <w:t xml:space="preserve"> Lov</w:t>
      </w:r>
      <w:r w:rsidRPr="007D1FD6">
        <w:t xml:space="preserve"> </w:t>
      </w:r>
      <w:r>
        <w:t xml:space="preserve">nr. 710 af 20. august 2002  </w:t>
      </w:r>
    </w:p>
  </w:footnote>
  <w:footnote w:id="17">
    <w:p w14:paraId="6CA83648" w14:textId="77777777" w:rsidR="00A05D34" w:rsidRDefault="00A05D34" w:rsidP="008A3C4E">
      <w:pPr>
        <w:pStyle w:val="Fodnotetekst"/>
      </w:pPr>
      <w:r>
        <w:rPr>
          <w:rStyle w:val="Fodnotehenvisning"/>
        </w:rPr>
        <w:footnoteRef/>
      </w:r>
      <w:r>
        <w:t xml:space="preserve"> Ansættelsesretlige aspekter ved virksomhedsoverdragelse, s. 24</w:t>
      </w:r>
    </w:p>
  </w:footnote>
  <w:footnote w:id="18">
    <w:p w14:paraId="0C375DA6" w14:textId="77777777" w:rsidR="00A05D34" w:rsidRDefault="00A05D34" w:rsidP="008A3C4E">
      <w:pPr>
        <w:pStyle w:val="Fodnotetekst"/>
      </w:pPr>
      <w:r>
        <w:rPr>
          <w:rStyle w:val="Fodnotehenvisning"/>
        </w:rPr>
        <w:footnoteRef/>
      </w:r>
      <w:r>
        <w:t xml:space="preserve"> Ansættelsesretlige aspekter ved virksomhedsoverdragelse, s. 137</w:t>
      </w:r>
    </w:p>
  </w:footnote>
  <w:footnote w:id="19">
    <w:p w14:paraId="03371CE3" w14:textId="141BEF32" w:rsidR="00A05D34" w:rsidRDefault="00A05D34">
      <w:pPr>
        <w:pStyle w:val="Fodnotetekst"/>
      </w:pPr>
      <w:r>
        <w:rPr>
          <w:rStyle w:val="Fodnotehenvisning"/>
        </w:rPr>
        <w:footnoteRef/>
      </w:r>
      <w:r>
        <w:t xml:space="preserve"> Lov nr. 710 af 20. august 2002</w:t>
      </w:r>
    </w:p>
  </w:footnote>
  <w:footnote w:id="20">
    <w:p w14:paraId="126F11B3" w14:textId="77777777" w:rsidR="00A05D34" w:rsidRDefault="00A05D34" w:rsidP="003D0F6D">
      <w:pPr>
        <w:pStyle w:val="Fodnotetekst"/>
      </w:pPr>
      <w:r>
        <w:rPr>
          <w:rStyle w:val="Fodnotehenvisning"/>
        </w:rPr>
        <w:footnoteRef/>
      </w:r>
      <w:r>
        <w:t xml:space="preserve"> EFT nr. C 104 af 13.09.1974, s. 1</w:t>
      </w:r>
    </w:p>
  </w:footnote>
  <w:footnote w:id="21">
    <w:p w14:paraId="4A06AC89" w14:textId="77777777" w:rsidR="00A05D34" w:rsidRDefault="00A05D34" w:rsidP="003D0F6D">
      <w:pPr>
        <w:pStyle w:val="Fodnotetekst"/>
      </w:pPr>
      <w:r>
        <w:rPr>
          <w:rStyle w:val="Fodnotehenvisning"/>
        </w:rPr>
        <w:footnoteRef/>
      </w:r>
      <w:r>
        <w:t xml:space="preserve"> Lov om lønmodtageres retsstilling ved virksomhedsoverdragelse, s. 28</w:t>
      </w:r>
    </w:p>
  </w:footnote>
  <w:footnote w:id="22">
    <w:p w14:paraId="7D15D98F" w14:textId="77777777" w:rsidR="00A05D34" w:rsidRDefault="00A05D34" w:rsidP="003D0F6D">
      <w:pPr>
        <w:pStyle w:val="Fodnotetekst"/>
      </w:pPr>
      <w:r>
        <w:rPr>
          <w:rStyle w:val="Fodnotehenvisning"/>
        </w:rPr>
        <w:footnoteRef/>
      </w:r>
      <w:r>
        <w:t xml:space="preserve"> Udvalgets rapport, s. 1</w:t>
      </w:r>
    </w:p>
  </w:footnote>
  <w:footnote w:id="23">
    <w:p w14:paraId="4A484254" w14:textId="77777777" w:rsidR="00A05D34" w:rsidRDefault="00A05D34" w:rsidP="003D0F6D">
      <w:pPr>
        <w:pStyle w:val="Fodnotetekst"/>
      </w:pPr>
      <w:r>
        <w:rPr>
          <w:rStyle w:val="Fodnotehenvisning"/>
        </w:rPr>
        <w:footnoteRef/>
      </w:r>
      <w:r>
        <w:t xml:space="preserve"> Udvalgets rapport, s. 1 </w:t>
      </w:r>
    </w:p>
  </w:footnote>
  <w:footnote w:id="24">
    <w:p w14:paraId="51256243" w14:textId="77777777" w:rsidR="00A05D34" w:rsidRDefault="00A05D34" w:rsidP="003D0F6D">
      <w:pPr>
        <w:pStyle w:val="Fodnotetekst"/>
      </w:pPr>
      <w:r>
        <w:rPr>
          <w:rStyle w:val="Fodnotehenvisning"/>
        </w:rPr>
        <w:footnoteRef/>
      </w:r>
      <w:r>
        <w:t xml:space="preserve"> Lov om lønmodtageres retsstilling ved virksomhedsoverdragelse, s. 25</w:t>
      </w:r>
    </w:p>
  </w:footnote>
  <w:footnote w:id="25">
    <w:p w14:paraId="223784B3" w14:textId="77777777" w:rsidR="00A05D34" w:rsidRDefault="00A05D34" w:rsidP="003D0F6D">
      <w:pPr>
        <w:pStyle w:val="Fodnotetekst"/>
      </w:pPr>
      <w:r>
        <w:rPr>
          <w:rStyle w:val="Fodnotehenvisning"/>
        </w:rPr>
        <w:footnoteRef/>
      </w:r>
      <w:r>
        <w:t xml:space="preserve"> Udvalgets rapport, s. 2</w:t>
      </w:r>
    </w:p>
  </w:footnote>
  <w:footnote w:id="26">
    <w:p w14:paraId="46EA9122" w14:textId="77777777" w:rsidR="00A05D34" w:rsidRDefault="00A05D34" w:rsidP="003D0F6D">
      <w:pPr>
        <w:pStyle w:val="Fodnotetekst"/>
      </w:pPr>
      <w:r>
        <w:rPr>
          <w:rStyle w:val="Fodnotehenvisning"/>
        </w:rPr>
        <w:footnoteRef/>
      </w:r>
      <w:r>
        <w:t xml:space="preserve"> Udvalgets rapport, s. 3 </w:t>
      </w:r>
    </w:p>
  </w:footnote>
  <w:footnote w:id="27">
    <w:p w14:paraId="2FCE917B" w14:textId="77777777" w:rsidR="00A05D34" w:rsidRDefault="00A05D34" w:rsidP="003D0F6D">
      <w:pPr>
        <w:pStyle w:val="Fodnotetekst"/>
      </w:pPr>
      <w:r>
        <w:rPr>
          <w:rStyle w:val="Fodnotehenvisning"/>
        </w:rPr>
        <w:footnoteRef/>
      </w:r>
      <w:r>
        <w:t xml:space="preserve"> Medarbejdernes retsstilling ved grænseoverskridende overtagelse og fusion, s. 208</w:t>
      </w:r>
    </w:p>
  </w:footnote>
  <w:footnote w:id="28">
    <w:p w14:paraId="3BC507BC" w14:textId="77777777" w:rsidR="00A05D34" w:rsidRDefault="00A05D34" w:rsidP="00F44906">
      <w:pPr>
        <w:pStyle w:val="Fodnotetekst"/>
      </w:pPr>
      <w:r>
        <w:rPr>
          <w:rStyle w:val="Fodnotehenvisning"/>
        </w:rPr>
        <w:footnoteRef/>
      </w:r>
      <w:r>
        <w:t xml:space="preserve"> Dansk arbejdsret, s. 82</w:t>
      </w:r>
    </w:p>
  </w:footnote>
  <w:footnote w:id="29">
    <w:p w14:paraId="10C67D6F" w14:textId="77777777" w:rsidR="00A05D34" w:rsidRDefault="00A05D34" w:rsidP="00F44906">
      <w:pPr>
        <w:pStyle w:val="Fodnotetekst"/>
      </w:pPr>
      <w:r>
        <w:rPr>
          <w:rStyle w:val="Fodnotehenvisning"/>
        </w:rPr>
        <w:footnoteRef/>
      </w:r>
      <w:r>
        <w:t xml:space="preserve"> Dansk arbejdsret, s. 82</w:t>
      </w:r>
    </w:p>
  </w:footnote>
  <w:footnote w:id="30">
    <w:p w14:paraId="29C6BF67" w14:textId="77777777" w:rsidR="00A05D34" w:rsidRDefault="00A05D34" w:rsidP="00F44906">
      <w:pPr>
        <w:pStyle w:val="Fodnotetekst"/>
      </w:pPr>
      <w:r>
        <w:rPr>
          <w:rStyle w:val="Fodnotehenvisning"/>
        </w:rPr>
        <w:footnoteRef/>
      </w:r>
      <w:r>
        <w:t xml:space="preserve"> EU-retten, s. 97</w:t>
      </w:r>
    </w:p>
  </w:footnote>
  <w:footnote w:id="31">
    <w:p w14:paraId="48A98F1C" w14:textId="77777777" w:rsidR="00A05D34" w:rsidRDefault="00A05D34" w:rsidP="00F44906">
      <w:pPr>
        <w:pStyle w:val="Fodnotetekst"/>
      </w:pPr>
      <w:r>
        <w:rPr>
          <w:rStyle w:val="Fodnotehenvisning"/>
        </w:rPr>
        <w:footnoteRef/>
      </w:r>
      <w:r>
        <w:t xml:space="preserve"> EU-retten, s. 98</w:t>
      </w:r>
    </w:p>
  </w:footnote>
  <w:footnote w:id="32">
    <w:p w14:paraId="190CB25D" w14:textId="77777777" w:rsidR="00A05D34" w:rsidRDefault="00A05D34" w:rsidP="006B3FA2">
      <w:pPr>
        <w:pStyle w:val="Fodnotetekst"/>
      </w:pPr>
      <w:r>
        <w:rPr>
          <w:rStyle w:val="Fodnotehenvisning"/>
        </w:rPr>
        <w:footnoteRef/>
      </w:r>
      <w:r>
        <w:t xml:space="preserve"> Dansk arbejdsret, s. 83</w:t>
      </w:r>
    </w:p>
  </w:footnote>
  <w:footnote w:id="33">
    <w:p w14:paraId="17234792" w14:textId="77777777" w:rsidR="00A05D34" w:rsidRDefault="00A05D34" w:rsidP="006B3FA2">
      <w:pPr>
        <w:pStyle w:val="Fodnotetekst"/>
      </w:pPr>
      <w:r>
        <w:rPr>
          <w:rStyle w:val="Fodnotehenvisning"/>
        </w:rPr>
        <w:footnoteRef/>
      </w:r>
      <w:r>
        <w:t xml:space="preserve"> EU-retten, s. 151</w:t>
      </w:r>
    </w:p>
  </w:footnote>
  <w:footnote w:id="34">
    <w:p w14:paraId="3F7D5ED7" w14:textId="77777777" w:rsidR="00A05D34" w:rsidRDefault="00A05D34" w:rsidP="006B3FA2">
      <w:pPr>
        <w:pStyle w:val="Fodnotetekst"/>
      </w:pPr>
      <w:r>
        <w:rPr>
          <w:rStyle w:val="Fodnotehenvisning"/>
        </w:rPr>
        <w:footnoteRef/>
      </w:r>
      <w:r>
        <w:t xml:space="preserve"> EU-retten, s.159 </w:t>
      </w:r>
    </w:p>
  </w:footnote>
  <w:footnote w:id="35">
    <w:p w14:paraId="47AC3DCA" w14:textId="77777777" w:rsidR="00A05D34" w:rsidRDefault="00A05D34" w:rsidP="006B3FA2">
      <w:pPr>
        <w:pStyle w:val="Fodnotetekst"/>
      </w:pPr>
      <w:r>
        <w:rPr>
          <w:rStyle w:val="Fodnotehenvisning"/>
        </w:rPr>
        <w:footnoteRef/>
      </w:r>
      <w:r>
        <w:t xml:space="preserve"> EU-retten, s. 160</w:t>
      </w:r>
    </w:p>
  </w:footnote>
  <w:footnote w:id="36">
    <w:p w14:paraId="35CB4680" w14:textId="77777777" w:rsidR="00A05D34" w:rsidRDefault="00A05D34" w:rsidP="006B3FA2">
      <w:pPr>
        <w:pStyle w:val="Fodnotetekst"/>
      </w:pPr>
      <w:r>
        <w:rPr>
          <w:rStyle w:val="Fodnotehenvisning"/>
        </w:rPr>
        <w:footnoteRef/>
      </w:r>
      <w:r>
        <w:t xml:space="preserve"> EU-retten, s. 160</w:t>
      </w:r>
    </w:p>
  </w:footnote>
  <w:footnote w:id="37">
    <w:p w14:paraId="525C675A" w14:textId="77777777" w:rsidR="00A05D34" w:rsidRDefault="00A05D34" w:rsidP="006B3FA2">
      <w:pPr>
        <w:pStyle w:val="Fodnotetekst"/>
      </w:pPr>
      <w:r>
        <w:rPr>
          <w:rStyle w:val="Fodnotehenvisning"/>
        </w:rPr>
        <w:footnoteRef/>
      </w:r>
      <w:r>
        <w:t xml:space="preserve"> EU-retten, s. 160</w:t>
      </w:r>
    </w:p>
  </w:footnote>
  <w:footnote w:id="38">
    <w:p w14:paraId="3DF5D325" w14:textId="77777777" w:rsidR="00A05D34" w:rsidRDefault="00A05D34" w:rsidP="006B3FA2">
      <w:pPr>
        <w:pStyle w:val="Fodnotetekst"/>
      </w:pPr>
      <w:r>
        <w:rPr>
          <w:rStyle w:val="Fodnotehenvisning"/>
        </w:rPr>
        <w:footnoteRef/>
      </w:r>
      <w:r>
        <w:t xml:space="preserve"> EU-retten, s. 165</w:t>
      </w:r>
    </w:p>
  </w:footnote>
  <w:footnote w:id="39">
    <w:p w14:paraId="1AB1F80D" w14:textId="77777777" w:rsidR="00A05D34" w:rsidRDefault="00A05D34" w:rsidP="006B3FA2">
      <w:pPr>
        <w:pStyle w:val="Fodnotetekst"/>
      </w:pPr>
      <w:r>
        <w:rPr>
          <w:rStyle w:val="Fodnotehenvisning"/>
        </w:rPr>
        <w:footnoteRef/>
      </w:r>
      <w:r>
        <w:t xml:space="preserve"> EU-retten, s. 166</w:t>
      </w:r>
    </w:p>
  </w:footnote>
  <w:footnote w:id="40">
    <w:p w14:paraId="3885DABF" w14:textId="77777777" w:rsidR="00A05D34" w:rsidRDefault="00A05D34" w:rsidP="006B3FA2">
      <w:pPr>
        <w:pStyle w:val="Fodnotetekst"/>
      </w:pPr>
      <w:r>
        <w:rPr>
          <w:rStyle w:val="Fodnotehenvisning"/>
        </w:rPr>
        <w:footnoteRef/>
      </w:r>
      <w:r>
        <w:t xml:space="preserve"> EU-retten, s. 165</w:t>
      </w:r>
    </w:p>
  </w:footnote>
  <w:footnote w:id="41">
    <w:p w14:paraId="23882FE4" w14:textId="77777777" w:rsidR="00A05D34" w:rsidRDefault="00A05D34" w:rsidP="00F44906">
      <w:pPr>
        <w:pStyle w:val="Fodnotetekst"/>
      </w:pPr>
      <w:r>
        <w:rPr>
          <w:rStyle w:val="Fodnotehenvisning"/>
        </w:rPr>
        <w:footnoteRef/>
      </w:r>
      <w:r>
        <w:t xml:space="preserve"> EU-retten, s. 170</w:t>
      </w:r>
    </w:p>
  </w:footnote>
  <w:footnote w:id="42">
    <w:p w14:paraId="2C2C5D91" w14:textId="1361792C" w:rsidR="00A05D34" w:rsidRDefault="00A05D34">
      <w:pPr>
        <w:pStyle w:val="Fodnotetekst"/>
      </w:pPr>
      <w:r>
        <w:rPr>
          <w:rStyle w:val="Fodnotehenvisning"/>
        </w:rPr>
        <w:footnoteRef/>
      </w:r>
      <w:r>
        <w:t xml:space="preserve"> EU-retten, s. 172</w:t>
      </w:r>
    </w:p>
  </w:footnote>
  <w:footnote w:id="43">
    <w:p w14:paraId="0B43E9F5" w14:textId="0DFBB696" w:rsidR="00A05D34" w:rsidRDefault="00A05D34">
      <w:pPr>
        <w:pStyle w:val="Fodnotetekst"/>
      </w:pPr>
      <w:r>
        <w:rPr>
          <w:rStyle w:val="Fodnotehenvisning"/>
        </w:rPr>
        <w:footnoteRef/>
      </w:r>
      <w:r>
        <w:t xml:space="preserve"> EU-retten, s. 171</w:t>
      </w:r>
    </w:p>
  </w:footnote>
  <w:footnote w:id="44">
    <w:p w14:paraId="3AA1F161" w14:textId="77777777" w:rsidR="00A05D34" w:rsidRDefault="00A05D34" w:rsidP="00F44906">
      <w:pPr>
        <w:pStyle w:val="Fodnotetekst"/>
      </w:pPr>
      <w:r>
        <w:rPr>
          <w:rStyle w:val="Fodnotehenvisning"/>
        </w:rPr>
        <w:footnoteRef/>
      </w:r>
      <w:r>
        <w:t xml:space="preserve"> EU-retten, s. 171</w:t>
      </w:r>
    </w:p>
  </w:footnote>
  <w:footnote w:id="45">
    <w:p w14:paraId="71B5EEE0" w14:textId="77777777" w:rsidR="00A05D34" w:rsidRDefault="00A05D34" w:rsidP="00F44906">
      <w:pPr>
        <w:pStyle w:val="Fodnotetekst"/>
      </w:pPr>
      <w:r>
        <w:rPr>
          <w:rStyle w:val="Fodnotehenvisning"/>
        </w:rPr>
        <w:footnoteRef/>
      </w:r>
      <w:r>
        <w:t xml:space="preserve"> EU-retten, s. 172</w:t>
      </w:r>
    </w:p>
  </w:footnote>
  <w:footnote w:id="46">
    <w:p w14:paraId="112E6F55" w14:textId="26F3B218" w:rsidR="00A05D34" w:rsidRDefault="00A05D34">
      <w:pPr>
        <w:pStyle w:val="Fodnotetekst"/>
      </w:pPr>
      <w:r>
        <w:rPr>
          <w:rStyle w:val="Fodnotehenvisning"/>
        </w:rPr>
        <w:footnoteRef/>
      </w:r>
      <w:r>
        <w:t xml:space="preserve"> EU-retten, s. 174</w:t>
      </w:r>
    </w:p>
  </w:footnote>
  <w:footnote w:id="47">
    <w:p w14:paraId="489E4B31" w14:textId="77777777" w:rsidR="00A05D34" w:rsidRDefault="00A05D34" w:rsidP="001007B1">
      <w:pPr>
        <w:pStyle w:val="Fodnotetekst"/>
      </w:pPr>
      <w:r>
        <w:rPr>
          <w:rStyle w:val="Fodnotehenvisning"/>
        </w:rPr>
        <w:footnoteRef/>
      </w:r>
      <w:r>
        <w:t xml:space="preserve"> U.1996B.1 – Implementering af EU-direktiver inden for arbejds- og ansættelsesret, s. 1 </w:t>
      </w:r>
    </w:p>
  </w:footnote>
  <w:footnote w:id="48">
    <w:p w14:paraId="087798C7" w14:textId="77777777" w:rsidR="00A05D34" w:rsidRDefault="00A05D34" w:rsidP="00F44906">
      <w:pPr>
        <w:pStyle w:val="Fodnotetekst"/>
      </w:pPr>
      <w:r>
        <w:rPr>
          <w:rStyle w:val="Fodnotehenvisning"/>
        </w:rPr>
        <w:footnoteRef/>
      </w:r>
      <w:r>
        <w:t xml:space="preserve"> U.1996B.1 – Implementering af EU-direktiver inden for arbejds- og ansættelsesret, s. 2</w:t>
      </w:r>
    </w:p>
  </w:footnote>
  <w:footnote w:id="49">
    <w:p w14:paraId="6F2CC350" w14:textId="77777777" w:rsidR="00A05D34" w:rsidRDefault="00A05D34" w:rsidP="00F44906">
      <w:pPr>
        <w:pStyle w:val="Fodnotetekst"/>
      </w:pPr>
      <w:r>
        <w:rPr>
          <w:rStyle w:val="Fodnotehenvisning"/>
        </w:rPr>
        <w:footnoteRef/>
      </w:r>
      <w:r>
        <w:t xml:space="preserve"> U.1996B.1 – Implementering af EU-direktiver inden for arbejds- og ansættelsesret, s. 5</w:t>
      </w:r>
    </w:p>
  </w:footnote>
  <w:footnote w:id="50">
    <w:p w14:paraId="7E6AD982" w14:textId="77777777" w:rsidR="00A05D34" w:rsidRDefault="00A05D34" w:rsidP="00AD4621">
      <w:pPr>
        <w:pStyle w:val="Fodnotetekst"/>
      </w:pPr>
      <w:r>
        <w:rPr>
          <w:rStyle w:val="Fodnotehenvisning"/>
        </w:rPr>
        <w:footnoteRef/>
      </w:r>
      <w:r>
        <w:t xml:space="preserve"> Udvalgets rapport, s. 43</w:t>
      </w:r>
    </w:p>
  </w:footnote>
  <w:footnote w:id="51">
    <w:p w14:paraId="64274291" w14:textId="77777777" w:rsidR="00A05D34" w:rsidRDefault="00A05D34" w:rsidP="00AD4621">
      <w:pPr>
        <w:pStyle w:val="Fodnotetekst"/>
      </w:pPr>
      <w:r>
        <w:rPr>
          <w:rStyle w:val="Fodnotehenvisning"/>
        </w:rPr>
        <w:footnoteRef/>
      </w:r>
      <w:r>
        <w:t xml:space="preserve"> Ansættelsesretlige aspekter ved virksomhedsoverdragelse, s. 259</w:t>
      </w:r>
    </w:p>
  </w:footnote>
  <w:footnote w:id="52">
    <w:p w14:paraId="513195B5" w14:textId="77777777" w:rsidR="00A05D34" w:rsidRDefault="00A05D34" w:rsidP="00AD4621">
      <w:pPr>
        <w:pStyle w:val="Fodnotetekst"/>
      </w:pPr>
      <w:r>
        <w:rPr>
          <w:rStyle w:val="Fodnotehenvisning"/>
        </w:rPr>
        <w:footnoteRef/>
      </w:r>
      <w:r>
        <w:t xml:space="preserve"> Lov om lønmodtageres retsstilling ved virksomhedsoverdragelse, s. 254</w:t>
      </w:r>
    </w:p>
  </w:footnote>
  <w:footnote w:id="53">
    <w:p w14:paraId="76492335" w14:textId="77777777" w:rsidR="00A05D34" w:rsidRDefault="00A05D34" w:rsidP="00AD4621">
      <w:pPr>
        <w:pStyle w:val="Fodnotetekst"/>
      </w:pPr>
      <w:r>
        <w:rPr>
          <w:rStyle w:val="Fodnotehenvisning"/>
        </w:rPr>
        <w:footnoteRef/>
      </w:r>
      <w:r>
        <w:t xml:space="preserve"> Lov om lønmodtageres retsstilling ved virksomhedsoverdragelse, s. 256</w:t>
      </w:r>
    </w:p>
  </w:footnote>
  <w:footnote w:id="54">
    <w:p w14:paraId="153E4DAE" w14:textId="435B35E1" w:rsidR="00A05D34" w:rsidRDefault="00A05D34">
      <w:pPr>
        <w:pStyle w:val="Fodnotetekst"/>
      </w:pPr>
      <w:r>
        <w:rPr>
          <w:rStyle w:val="Fodnotehenvisning"/>
        </w:rPr>
        <w:footnoteRef/>
      </w:r>
      <w:r>
        <w:t xml:space="preserve"> Grundlæggende arbejdsret, s. 20</w:t>
      </w:r>
    </w:p>
  </w:footnote>
  <w:footnote w:id="55">
    <w:p w14:paraId="678EA59F" w14:textId="77777777" w:rsidR="00A05D34" w:rsidRDefault="00A05D34">
      <w:pPr>
        <w:pStyle w:val="Fodnotetekst"/>
      </w:pPr>
      <w:r>
        <w:rPr>
          <w:rStyle w:val="Fodnotehenvisning"/>
        </w:rPr>
        <w:footnoteRef/>
      </w:r>
      <w:r>
        <w:t xml:space="preserve"> Grundlæggende arbejdsret, s. 361.</w:t>
      </w:r>
    </w:p>
  </w:footnote>
  <w:footnote w:id="56">
    <w:p w14:paraId="04A28BB3" w14:textId="42BFD9EF" w:rsidR="00A05D34" w:rsidRDefault="00A05D34">
      <w:pPr>
        <w:pStyle w:val="Fodnotetekst"/>
      </w:pPr>
      <w:r>
        <w:rPr>
          <w:rStyle w:val="Fodnotehenvisning"/>
        </w:rPr>
        <w:footnoteRef/>
      </w:r>
      <w:r>
        <w:t xml:space="preserve"> Arbejdsret, s. 162</w:t>
      </w:r>
    </w:p>
  </w:footnote>
  <w:footnote w:id="57">
    <w:p w14:paraId="6674A69E" w14:textId="77777777" w:rsidR="00A05D34" w:rsidRDefault="00A05D34">
      <w:pPr>
        <w:pStyle w:val="Fodnotetekst"/>
      </w:pPr>
      <w:r>
        <w:rPr>
          <w:rStyle w:val="Fodnotehenvisning"/>
        </w:rPr>
        <w:footnoteRef/>
      </w:r>
      <w:r>
        <w:t xml:space="preserve"> Grundlæggende arbejdsret, s. 370. </w:t>
      </w:r>
    </w:p>
  </w:footnote>
  <w:footnote w:id="58">
    <w:p w14:paraId="2428DDC8" w14:textId="77777777" w:rsidR="00A05D34" w:rsidRDefault="00A05D34">
      <w:pPr>
        <w:pStyle w:val="Fodnotetekst"/>
      </w:pPr>
      <w:r>
        <w:rPr>
          <w:rStyle w:val="Fodnotehenvisning"/>
        </w:rPr>
        <w:footnoteRef/>
      </w:r>
      <w:r>
        <w:t xml:space="preserve"> Grundlæggende arbejdsret, s. 376. </w:t>
      </w:r>
    </w:p>
  </w:footnote>
  <w:footnote w:id="59">
    <w:p w14:paraId="4ED10817" w14:textId="77777777" w:rsidR="00A05D34" w:rsidRDefault="00A05D34">
      <w:pPr>
        <w:pStyle w:val="Fodnotetekst"/>
      </w:pPr>
      <w:r>
        <w:rPr>
          <w:rStyle w:val="Fodnotehenvisning"/>
        </w:rPr>
        <w:footnoteRef/>
      </w:r>
      <w:r>
        <w:t xml:space="preserve"> Usaglig afskedigelse – en håndbog, s. 245</w:t>
      </w:r>
    </w:p>
  </w:footnote>
  <w:footnote w:id="60">
    <w:p w14:paraId="44302A4E" w14:textId="77777777" w:rsidR="00A05D34" w:rsidRDefault="00A05D34">
      <w:pPr>
        <w:pStyle w:val="Fodnotetekst"/>
      </w:pPr>
      <w:r>
        <w:rPr>
          <w:rStyle w:val="Fodnotehenvisning"/>
        </w:rPr>
        <w:footnoteRef/>
      </w:r>
      <w:r>
        <w:t xml:space="preserve"> Usaglig afskedigelse – en håndbog, s. 246</w:t>
      </w:r>
    </w:p>
  </w:footnote>
  <w:footnote w:id="61">
    <w:p w14:paraId="06D3C4E9" w14:textId="77777777" w:rsidR="00A05D34" w:rsidRDefault="00A05D34">
      <w:pPr>
        <w:pStyle w:val="Fodnotetekst"/>
      </w:pPr>
      <w:r>
        <w:rPr>
          <w:rStyle w:val="Fodnotehenvisning"/>
        </w:rPr>
        <w:footnoteRef/>
      </w:r>
      <w:r>
        <w:t xml:space="preserve"> Usaglig afskedigelse – en håndbog, s. 252</w:t>
      </w:r>
    </w:p>
  </w:footnote>
  <w:footnote w:id="62">
    <w:p w14:paraId="0535D891" w14:textId="77777777" w:rsidR="00A05D34" w:rsidRDefault="00A05D34">
      <w:pPr>
        <w:pStyle w:val="Fodnotetekst"/>
      </w:pPr>
      <w:r>
        <w:rPr>
          <w:rStyle w:val="Fodnotehenvisning"/>
        </w:rPr>
        <w:footnoteRef/>
      </w:r>
      <w:r>
        <w:t xml:space="preserve"> Grundlæggende arbejdsret, s. 376</w:t>
      </w:r>
    </w:p>
  </w:footnote>
  <w:footnote w:id="63">
    <w:p w14:paraId="7DC1F5CF" w14:textId="77777777" w:rsidR="00A05D34" w:rsidRDefault="00A05D34">
      <w:pPr>
        <w:pStyle w:val="Fodnotetekst"/>
      </w:pPr>
      <w:r>
        <w:rPr>
          <w:rStyle w:val="Fodnotehenvisning"/>
        </w:rPr>
        <w:footnoteRef/>
      </w:r>
      <w:r>
        <w:t xml:space="preserve"> Grundlæggende arbejdsret, s. 376</w:t>
      </w:r>
    </w:p>
  </w:footnote>
  <w:footnote w:id="64">
    <w:p w14:paraId="14FFFCD0" w14:textId="77777777" w:rsidR="00A05D34" w:rsidRDefault="00A05D34">
      <w:pPr>
        <w:pStyle w:val="Fodnotetekst"/>
      </w:pPr>
      <w:r>
        <w:rPr>
          <w:rStyle w:val="Fodnotehenvisning"/>
        </w:rPr>
        <w:footnoteRef/>
      </w:r>
      <w:r>
        <w:t xml:space="preserve"> Afskedigelse, s. 151</w:t>
      </w:r>
    </w:p>
  </w:footnote>
  <w:footnote w:id="65">
    <w:p w14:paraId="3B927FB8" w14:textId="77777777" w:rsidR="00A05D34" w:rsidRDefault="00A05D34">
      <w:pPr>
        <w:pStyle w:val="Fodnotetekst"/>
      </w:pPr>
      <w:r>
        <w:rPr>
          <w:rStyle w:val="Fodnotehenvisning"/>
        </w:rPr>
        <w:footnoteRef/>
      </w:r>
      <w:r>
        <w:t xml:space="preserve"> Afskedigelse, s. 151</w:t>
      </w:r>
    </w:p>
  </w:footnote>
  <w:footnote w:id="66">
    <w:p w14:paraId="7E3A8C9B" w14:textId="77777777" w:rsidR="00A05D34" w:rsidRDefault="00A05D34">
      <w:pPr>
        <w:pStyle w:val="Fodnotetekst"/>
      </w:pPr>
      <w:r>
        <w:rPr>
          <w:rStyle w:val="Fodnotehenvisning"/>
        </w:rPr>
        <w:footnoteRef/>
      </w:r>
      <w:r>
        <w:t xml:space="preserve"> Usaglig afskedigelse – en håndbog, s.248 </w:t>
      </w:r>
    </w:p>
  </w:footnote>
  <w:footnote w:id="67">
    <w:p w14:paraId="2731238D" w14:textId="77777777" w:rsidR="00A05D34" w:rsidRDefault="00A05D34">
      <w:pPr>
        <w:pStyle w:val="Fodnotetekst"/>
      </w:pPr>
      <w:r>
        <w:rPr>
          <w:rStyle w:val="Fodnotehenvisning"/>
        </w:rPr>
        <w:footnoteRef/>
      </w:r>
      <w:r>
        <w:t xml:space="preserve"> Grundlæggende arbejdsret, s. 377</w:t>
      </w:r>
    </w:p>
  </w:footnote>
  <w:footnote w:id="68">
    <w:p w14:paraId="232D9AD6" w14:textId="77777777" w:rsidR="00A05D34" w:rsidRDefault="00A05D34">
      <w:pPr>
        <w:pStyle w:val="Fodnotetekst"/>
      </w:pPr>
      <w:r>
        <w:rPr>
          <w:rStyle w:val="Fodnotehenvisning"/>
        </w:rPr>
        <w:footnoteRef/>
      </w:r>
      <w:r>
        <w:t xml:space="preserve"> Lærebog i ansættelsesret &amp; personalejura, s. 273 </w:t>
      </w:r>
    </w:p>
  </w:footnote>
  <w:footnote w:id="69">
    <w:p w14:paraId="3EA79492" w14:textId="0705F1E9" w:rsidR="00A05D34" w:rsidRDefault="00A05D34">
      <w:pPr>
        <w:pStyle w:val="Fodnotetekst"/>
      </w:pPr>
      <w:r>
        <w:rPr>
          <w:rStyle w:val="Fodnotehenvisning"/>
        </w:rPr>
        <w:footnoteRef/>
      </w:r>
      <w:r>
        <w:t xml:space="preserve">  Per Walsøe kommer bl.a. frem til i artiklen U.1991B.17 s. 19, at der efter en fortolkning af Bork-sagen, med direktivets art. 4, stk. 1, er tale om en ”</w:t>
      </w:r>
      <w:r w:rsidRPr="00482352">
        <w:rPr>
          <w:i/>
        </w:rPr>
        <w:t>naturalopfyldelsestankegang</w:t>
      </w:r>
      <w:r>
        <w:t>,” som har den retsvirkning, at afskedigelsen anses for ikke sket, og at ansættelsesforholdet således opretholdes. Erik Werlauff anfører også i artiklen U.1995B.272, s. 278, at der i art, 4, stk. 1 er en forskrift, der ”</w:t>
      </w:r>
      <w:r w:rsidRPr="00482352">
        <w:rPr>
          <w:i/>
        </w:rPr>
        <w:t>kun kan opfattes som et egentligt forbud mod afskedigelse</w:t>
      </w:r>
      <w:r>
        <w:t>,” samt i U.1991B.164, s. 164, hvor det anføres, at ”</w:t>
      </w:r>
      <w:r w:rsidRPr="000F596C">
        <w:rPr>
          <w:i/>
        </w:rPr>
        <w:t>virksomhedsoverdragelse ikke kan begrunde afskedigelse; denne må således ikke finde sted</w:t>
      </w:r>
      <w:r>
        <w:rPr>
          <w:i/>
        </w:rPr>
        <w:t>,</w:t>
      </w:r>
      <w:r>
        <w:t>” og at art. 4, stk. 1 er præceptiv. Mette Klingsten anfører også i bogen: Ansættelsesretlige aspekter ved virksomhedsoverdragelse, s. 253, at ”</w:t>
      </w:r>
      <w:r>
        <w:rPr>
          <w:i/>
        </w:rPr>
        <w:t xml:space="preserve">bestemmelsen i EF-Domstolens praksis nærmest er blevet fortolket som indeholdende et absolut forbud mod afskedigelser som følge af en virksomhedsoverførsel…” </w:t>
      </w:r>
      <w:r>
        <w:t>Modsat anfører Lone L. Hansen i artiklen U.2009B.45 side 48, at det ”…</w:t>
      </w:r>
      <w:r w:rsidRPr="00772DD4">
        <w:rPr>
          <w:i/>
        </w:rPr>
        <w:t>må antages, at en retsstridig afskedigelse, der er gennemført forud for overdragelsen, alene får hæftelsesmæssige konsekvenser for erhververen</w:t>
      </w:r>
      <w:r>
        <w:rPr>
          <w:i/>
        </w:rPr>
        <w:t>…”</w:t>
      </w:r>
      <w:r>
        <w:t xml:space="preserve"> og at ”</w:t>
      </w:r>
      <w:r w:rsidRPr="00772DD4">
        <w:rPr>
          <w:i/>
        </w:rPr>
        <w:t>den foretagne opsigelse står ved magt.”</w:t>
      </w:r>
      <w:r>
        <w:rPr>
          <w:i/>
        </w:rPr>
        <w:t xml:space="preserve"> </w:t>
      </w:r>
      <w:r>
        <w:t xml:space="preserve">Ifølge Lone L. Hansen er der således kun tale om en underkendelsesadgang, i det tilfælde national ret hjemler det.        </w:t>
      </w:r>
    </w:p>
  </w:footnote>
  <w:footnote w:id="70">
    <w:p w14:paraId="46120271" w14:textId="700D47FC" w:rsidR="00A05D34" w:rsidRDefault="00A05D34">
      <w:pPr>
        <w:pStyle w:val="Fodnotetekst"/>
      </w:pPr>
      <w:r>
        <w:rPr>
          <w:rStyle w:val="Fodnotehenvisning"/>
        </w:rPr>
        <w:footnoteRef/>
      </w:r>
      <w:r>
        <w:t xml:space="preserve"> U.2009B.45: Opsigelse ved virksomhedsoverdragelse, s. 48</w:t>
      </w:r>
    </w:p>
  </w:footnote>
  <w:footnote w:id="71">
    <w:p w14:paraId="7430CE6B" w14:textId="77777777" w:rsidR="00A05D34" w:rsidRDefault="00A05D34" w:rsidP="008033E5">
      <w:pPr>
        <w:pStyle w:val="Fodnotetekst"/>
      </w:pPr>
      <w:r>
        <w:rPr>
          <w:rStyle w:val="Fodnotehenvisning"/>
        </w:rPr>
        <w:footnoteRef/>
      </w:r>
      <w:r>
        <w:t xml:space="preserve"> EFT nr. C 104 af 13.09.74, s. 1</w:t>
      </w:r>
    </w:p>
  </w:footnote>
  <w:footnote w:id="72">
    <w:p w14:paraId="09153036" w14:textId="7C582758" w:rsidR="00A05D34" w:rsidRDefault="00A05D34">
      <w:pPr>
        <w:pStyle w:val="Fodnotetekst"/>
      </w:pPr>
      <w:r>
        <w:rPr>
          <w:rStyle w:val="Fodnotehenvisning"/>
        </w:rPr>
        <w:footnoteRef/>
      </w:r>
      <w:r>
        <w:t xml:space="preserve"> EFT nr. C 255 af 7.11.75, s. 25</w:t>
      </w:r>
    </w:p>
  </w:footnote>
  <w:footnote w:id="73">
    <w:p w14:paraId="155CDDBE" w14:textId="1D8566BF" w:rsidR="00A05D34" w:rsidRDefault="00A05D34">
      <w:pPr>
        <w:pStyle w:val="Fodnotetekst"/>
      </w:pPr>
      <w:r>
        <w:rPr>
          <w:rStyle w:val="Fodnotehenvisning"/>
        </w:rPr>
        <w:footnoteRef/>
      </w:r>
      <w:r>
        <w:t xml:space="preserve"> EFT nr. C 255 af 7.11.75, s. 28-29</w:t>
      </w:r>
    </w:p>
  </w:footnote>
  <w:footnote w:id="74">
    <w:p w14:paraId="1D835F12" w14:textId="58223500" w:rsidR="00A05D34" w:rsidRDefault="00A05D34">
      <w:pPr>
        <w:pStyle w:val="Fodnotetekst"/>
      </w:pPr>
      <w:r>
        <w:rPr>
          <w:rStyle w:val="Fodnotehenvisning"/>
        </w:rPr>
        <w:footnoteRef/>
      </w:r>
      <w:r>
        <w:t xml:space="preserve"> EFT nr. C 95 af 28.04.75, s. 16</w:t>
      </w:r>
    </w:p>
  </w:footnote>
  <w:footnote w:id="75">
    <w:p w14:paraId="047049F0" w14:textId="2447EFC0" w:rsidR="00A05D34" w:rsidRDefault="00A05D34">
      <w:pPr>
        <w:pStyle w:val="Fodnotetekst"/>
      </w:pPr>
      <w:r>
        <w:rPr>
          <w:rStyle w:val="Fodnotehenvisning"/>
        </w:rPr>
        <w:footnoteRef/>
      </w:r>
      <w:r>
        <w:t xml:space="preserve"> EFT nr. C 95 af 28.04.75, s. 19</w:t>
      </w:r>
    </w:p>
  </w:footnote>
  <w:footnote w:id="76">
    <w:p w14:paraId="47BDA9DC" w14:textId="1E3E5C15" w:rsidR="00A05D34" w:rsidRDefault="00A05D34">
      <w:pPr>
        <w:pStyle w:val="Fodnotetekst"/>
      </w:pPr>
      <w:r>
        <w:rPr>
          <w:rStyle w:val="Fodnotehenvisning"/>
        </w:rPr>
        <w:footnoteRef/>
      </w:r>
      <w:r>
        <w:t xml:space="preserve"> </w:t>
      </w:r>
      <w:r w:rsidRPr="00932E1F">
        <w:t>Udvalgets rapport, s. 35</w:t>
      </w:r>
      <w:r>
        <w:rPr>
          <w:color w:val="FF0000"/>
        </w:rPr>
        <w:t xml:space="preserve"> </w:t>
      </w:r>
    </w:p>
  </w:footnote>
  <w:footnote w:id="77">
    <w:p w14:paraId="3684EC0C" w14:textId="6AB12D18" w:rsidR="00A05D34" w:rsidRPr="00932E1F" w:rsidRDefault="00A05D34">
      <w:pPr>
        <w:pStyle w:val="Fodnotetekst"/>
      </w:pPr>
      <w:r>
        <w:rPr>
          <w:rStyle w:val="Fodnotehenvisning"/>
        </w:rPr>
        <w:footnoteRef/>
      </w:r>
      <w:r>
        <w:t xml:space="preserve">Udvalgets rapport, </w:t>
      </w:r>
      <w:r w:rsidRPr="00932E1F">
        <w:t>s. 36</w:t>
      </w:r>
    </w:p>
  </w:footnote>
  <w:footnote w:id="78">
    <w:p w14:paraId="076A24D2" w14:textId="0A8D59E5" w:rsidR="00A05D34" w:rsidRPr="00932E1F" w:rsidRDefault="00A05D34">
      <w:pPr>
        <w:pStyle w:val="Fodnotetekst"/>
      </w:pPr>
      <w:r w:rsidRPr="00932E1F">
        <w:rPr>
          <w:rStyle w:val="Fodnotehenvisning"/>
        </w:rPr>
        <w:footnoteRef/>
      </w:r>
      <w:r w:rsidRPr="00932E1F">
        <w:t>Udvalgets rapport, s. 44</w:t>
      </w:r>
    </w:p>
  </w:footnote>
  <w:footnote w:id="79">
    <w:p w14:paraId="0B626040" w14:textId="77777777" w:rsidR="00A05D34" w:rsidRDefault="00A05D34" w:rsidP="00D02054">
      <w:pPr>
        <w:pStyle w:val="Fodnotetekst"/>
      </w:pPr>
      <w:r w:rsidRPr="00932E1F">
        <w:rPr>
          <w:rStyle w:val="Fodnotehenvisning"/>
        </w:rPr>
        <w:footnoteRef/>
      </w:r>
      <w:r w:rsidRPr="00932E1F">
        <w:t>Udvalgets rapport, s. 43</w:t>
      </w:r>
    </w:p>
  </w:footnote>
  <w:footnote w:id="80">
    <w:p w14:paraId="49177589" w14:textId="6062F039" w:rsidR="00A05D34" w:rsidRDefault="00A05D34">
      <w:pPr>
        <w:pStyle w:val="Fodnotetekst"/>
      </w:pPr>
      <w:r>
        <w:rPr>
          <w:rStyle w:val="Fodnotehenvisning"/>
        </w:rPr>
        <w:footnoteRef/>
      </w:r>
      <w:r>
        <w:t xml:space="preserve"> Udvalgets rapport, </w:t>
      </w:r>
      <w:r w:rsidRPr="00932E1F">
        <w:t>s. 43</w:t>
      </w:r>
    </w:p>
  </w:footnote>
  <w:footnote w:id="81">
    <w:p w14:paraId="02D2F8DC" w14:textId="407F3C79" w:rsidR="00A05D34" w:rsidRDefault="00A05D34">
      <w:pPr>
        <w:pStyle w:val="Fodnotetekst"/>
      </w:pPr>
      <w:r>
        <w:rPr>
          <w:rStyle w:val="Fodnotehenvisning"/>
        </w:rPr>
        <w:footnoteRef/>
      </w:r>
      <w:r>
        <w:t xml:space="preserve"> Udvalgets rapport, s. 21</w:t>
      </w:r>
    </w:p>
  </w:footnote>
  <w:footnote w:id="82">
    <w:p w14:paraId="519EB0E2" w14:textId="65C11034" w:rsidR="00A05D34" w:rsidRDefault="00A05D34">
      <w:pPr>
        <w:pStyle w:val="Fodnotetekst"/>
      </w:pPr>
      <w:r>
        <w:rPr>
          <w:rStyle w:val="Fodnotehenvisning"/>
        </w:rPr>
        <w:footnoteRef/>
      </w:r>
      <w:r>
        <w:t xml:space="preserve"> Udvalgets rapport, s. 22</w:t>
      </w:r>
    </w:p>
  </w:footnote>
  <w:footnote w:id="83">
    <w:p w14:paraId="47DAFB5D" w14:textId="0E453642" w:rsidR="00A05D34" w:rsidRDefault="00A05D34">
      <w:pPr>
        <w:pStyle w:val="Fodnotetekst"/>
      </w:pPr>
      <w:r>
        <w:rPr>
          <w:rStyle w:val="Fodnotehenvisning"/>
        </w:rPr>
        <w:footnoteRef/>
      </w:r>
      <w:r>
        <w:t xml:space="preserve"> Udvalgets rapport, s. 43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FF"/>
    <w:multiLevelType w:val="hybridMultilevel"/>
    <w:tmpl w:val="EEC0C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56117"/>
    <w:multiLevelType w:val="multilevel"/>
    <w:tmpl w:val="AC0CD8DC"/>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nsid w:val="0D1347DB"/>
    <w:multiLevelType w:val="hybridMultilevel"/>
    <w:tmpl w:val="CB9E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45411"/>
    <w:multiLevelType w:val="hybridMultilevel"/>
    <w:tmpl w:val="AE5A5934"/>
    <w:lvl w:ilvl="0" w:tplc="286075C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1600E"/>
    <w:multiLevelType w:val="hybridMultilevel"/>
    <w:tmpl w:val="907E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A4B96"/>
    <w:multiLevelType w:val="multilevel"/>
    <w:tmpl w:val="11B254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0914A57"/>
    <w:multiLevelType w:val="hybridMultilevel"/>
    <w:tmpl w:val="4126D2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8DE3A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F4B41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F60AE5"/>
    <w:multiLevelType w:val="multilevel"/>
    <w:tmpl w:val="F35A55E6"/>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43666FD"/>
    <w:multiLevelType w:val="hybridMultilevel"/>
    <w:tmpl w:val="B02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14B8D"/>
    <w:multiLevelType w:val="hybridMultilevel"/>
    <w:tmpl w:val="5022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746C7"/>
    <w:multiLevelType w:val="multilevel"/>
    <w:tmpl w:val="460C9530"/>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84B4685"/>
    <w:multiLevelType w:val="multilevel"/>
    <w:tmpl w:val="F01C05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8E31D45"/>
    <w:multiLevelType w:val="hybridMultilevel"/>
    <w:tmpl w:val="A3EA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459AE"/>
    <w:multiLevelType w:val="hybridMultilevel"/>
    <w:tmpl w:val="772C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8B0BD8"/>
    <w:multiLevelType w:val="hybridMultilevel"/>
    <w:tmpl w:val="212E6C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B2765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E7C2560"/>
    <w:multiLevelType w:val="multilevel"/>
    <w:tmpl w:val="B2782B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F2623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17"/>
  </w:num>
  <w:num w:numId="4">
    <w:abstractNumId w:val="8"/>
  </w:num>
  <w:num w:numId="5">
    <w:abstractNumId w:val="16"/>
  </w:num>
  <w:num w:numId="6">
    <w:abstractNumId w:val="0"/>
  </w:num>
  <w:num w:numId="7">
    <w:abstractNumId w:val="6"/>
  </w:num>
  <w:num w:numId="8">
    <w:abstractNumId w:val="3"/>
  </w:num>
  <w:num w:numId="9">
    <w:abstractNumId w:val="14"/>
  </w:num>
  <w:num w:numId="10">
    <w:abstractNumId w:val="4"/>
  </w:num>
  <w:num w:numId="11">
    <w:abstractNumId w:val="11"/>
  </w:num>
  <w:num w:numId="12">
    <w:abstractNumId w:val="15"/>
  </w:num>
  <w:num w:numId="13">
    <w:abstractNumId w:val="18"/>
  </w:num>
  <w:num w:numId="14">
    <w:abstractNumId w:val="13"/>
  </w:num>
  <w:num w:numId="15">
    <w:abstractNumId w:val="9"/>
  </w:num>
  <w:num w:numId="16">
    <w:abstractNumId w:val="12"/>
  </w:num>
  <w:num w:numId="1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3A"/>
    <w:rsid w:val="00000CFA"/>
    <w:rsid w:val="0000710E"/>
    <w:rsid w:val="000075D0"/>
    <w:rsid w:val="00012F3B"/>
    <w:rsid w:val="000165BE"/>
    <w:rsid w:val="0002142F"/>
    <w:rsid w:val="00024D07"/>
    <w:rsid w:val="00024E4F"/>
    <w:rsid w:val="000275BC"/>
    <w:rsid w:val="00032228"/>
    <w:rsid w:val="00032A7E"/>
    <w:rsid w:val="00045641"/>
    <w:rsid w:val="00053626"/>
    <w:rsid w:val="000619EF"/>
    <w:rsid w:val="0006491C"/>
    <w:rsid w:val="00070B2F"/>
    <w:rsid w:val="00072E38"/>
    <w:rsid w:val="000740A5"/>
    <w:rsid w:val="0007446F"/>
    <w:rsid w:val="00077015"/>
    <w:rsid w:val="00080D1E"/>
    <w:rsid w:val="00081669"/>
    <w:rsid w:val="00081CE1"/>
    <w:rsid w:val="00083BC2"/>
    <w:rsid w:val="00085DAF"/>
    <w:rsid w:val="000878C1"/>
    <w:rsid w:val="000908B5"/>
    <w:rsid w:val="00090AC0"/>
    <w:rsid w:val="000B4F91"/>
    <w:rsid w:val="000C34FC"/>
    <w:rsid w:val="000D2D8F"/>
    <w:rsid w:val="000D2E8D"/>
    <w:rsid w:val="000D4316"/>
    <w:rsid w:val="000D5358"/>
    <w:rsid w:val="000E2D8F"/>
    <w:rsid w:val="000E5EC3"/>
    <w:rsid w:val="000E6F91"/>
    <w:rsid w:val="000F294C"/>
    <w:rsid w:val="000F4103"/>
    <w:rsid w:val="000F596C"/>
    <w:rsid w:val="000F77F1"/>
    <w:rsid w:val="001007B1"/>
    <w:rsid w:val="001007D3"/>
    <w:rsid w:val="00103938"/>
    <w:rsid w:val="00103FC1"/>
    <w:rsid w:val="00106DD0"/>
    <w:rsid w:val="00111569"/>
    <w:rsid w:val="00112F6E"/>
    <w:rsid w:val="001148CA"/>
    <w:rsid w:val="00115270"/>
    <w:rsid w:val="00127542"/>
    <w:rsid w:val="00127D7D"/>
    <w:rsid w:val="00131617"/>
    <w:rsid w:val="001322B8"/>
    <w:rsid w:val="001331A2"/>
    <w:rsid w:val="00134E48"/>
    <w:rsid w:val="001367AC"/>
    <w:rsid w:val="00136F1C"/>
    <w:rsid w:val="001371C9"/>
    <w:rsid w:val="00142769"/>
    <w:rsid w:val="00146522"/>
    <w:rsid w:val="0015081E"/>
    <w:rsid w:val="00163DD0"/>
    <w:rsid w:val="001658A7"/>
    <w:rsid w:val="00165FA5"/>
    <w:rsid w:val="00166579"/>
    <w:rsid w:val="00171459"/>
    <w:rsid w:val="0017227C"/>
    <w:rsid w:val="00175493"/>
    <w:rsid w:val="00177349"/>
    <w:rsid w:val="00181737"/>
    <w:rsid w:val="00181A43"/>
    <w:rsid w:val="00184189"/>
    <w:rsid w:val="00190065"/>
    <w:rsid w:val="001945ED"/>
    <w:rsid w:val="00194904"/>
    <w:rsid w:val="001A004C"/>
    <w:rsid w:val="001A3857"/>
    <w:rsid w:val="001A7D08"/>
    <w:rsid w:val="001B0D7B"/>
    <w:rsid w:val="001C1A3C"/>
    <w:rsid w:val="001C4A87"/>
    <w:rsid w:val="001C5CE8"/>
    <w:rsid w:val="001C796B"/>
    <w:rsid w:val="001D0D2A"/>
    <w:rsid w:val="001D2CBF"/>
    <w:rsid w:val="001D393B"/>
    <w:rsid w:val="001E741C"/>
    <w:rsid w:val="001E7BBF"/>
    <w:rsid w:val="001F326C"/>
    <w:rsid w:val="001F3CD4"/>
    <w:rsid w:val="001F530F"/>
    <w:rsid w:val="002018C0"/>
    <w:rsid w:val="00203CCA"/>
    <w:rsid w:val="002064B5"/>
    <w:rsid w:val="002074B5"/>
    <w:rsid w:val="0021547E"/>
    <w:rsid w:val="00215E1E"/>
    <w:rsid w:val="00232EB1"/>
    <w:rsid w:val="0023660B"/>
    <w:rsid w:val="002409A7"/>
    <w:rsid w:val="002436CF"/>
    <w:rsid w:val="0024525F"/>
    <w:rsid w:val="00245A90"/>
    <w:rsid w:val="0025016B"/>
    <w:rsid w:val="002509F9"/>
    <w:rsid w:val="00252867"/>
    <w:rsid w:val="00257A1A"/>
    <w:rsid w:val="00260345"/>
    <w:rsid w:val="00262AE3"/>
    <w:rsid w:val="002652C5"/>
    <w:rsid w:val="002663A8"/>
    <w:rsid w:val="0027202E"/>
    <w:rsid w:val="0027649C"/>
    <w:rsid w:val="00283163"/>
    <w:rsid w:val="00292929"/>
    <w:rsid w:val="002A0E71"/>
    <w:rsid w:val="002A4601"/>
    <w:rsid w:val="002A462C"/>
    <w:rsid w:val="002B7B89"/>
    <w:rsid w:val="002C3203"/>
    <w:rsid w:val="002C32A7"/>
    <w:rsid w:val="002C3B65"/>
    <w:rsid w:val="002C3D97"/>
    <w:rsid w:val="002C4631"/>
    <w:rsid w:val="002D3520"/>
    <w:rsid w:val="002D7CA4"/>
    <w:rsid w:val="002D7D01"/>
    <w:rsid w:val="002E1BBB"/>
    <w:rsid w:val="002E2922"/>
    <w:rsid w:val="002E2E15"/>
    <w:rsid w:val="002E33E9"/>
    <w:rsid w:val="002F15EE"/>
    <w:rsid w:val="002F3B59"/>
    <w:rsid w:val="002F4141"/>
    <w:rsid w:val="002F4785"/>
    <w:rsid w:val="002F5121"/>
    <w:rsid w:val="003027DF"/>
    <w:rsid w:val="00320D74"/>
    <w:rsid w:val="00321C81"/>
    <w:rsid w:val="00336269"/>
    <w:rsid w:val="00337118"/>
    <w:rsid w:val="003428D7"/>
    <w:rsid w:val="0034406D"/>
    <w:rsid w:val="00344198"/>
    <w:rsid w:val="00352EC1"/>
    <w:rsid w:val="003531C2"/>
    <w:rsid w:val="0036000A"/>
    <w:rsid w:val="00360FFD"/>
    <w:rsid w:val="00365888"/>
    <w:rsid w:val="00371A88"/>
    <w:rsid w:val="00371AA5"/>
    <w:rsid w:val="003725B6"/>
    <w:rsid w:val="00375B95"/>
    <w:rsid w:val="00376C6B"/>
    <w:rsid w:val="00376F65"/>
    <w:rsid w:val="00377589"/>
    <w:rsid w:val="00384155"/>
    <w:rsid w:val="00385C8F"/>
    <w:rsid w:val="003864DD"/>
    <w:rsid w:val="003877D7"/>
    <w:rsid w:val="003936D7"/>
    <w:rsid w:val="003941F1"/>
    <w:rsid w:val="00396000"/>
    <w:rsid w:val="003B369C"/>
    <w:rsid w:val="003B5394"/>
    <w:rsid w:val="003D0F6D"/>
    <w:rsid w:val="003D265D"/>
    <w:rsid w:val="003D34C8"/>
    <w:rsid w:val="003D35FB"/>
    <w:rsid w:val="003E1DC3"/>
    <w:rsid w:val="003F2D96"/>
    <w:rsid w:val="003F67D7"/>
    <w:rsid w:val="00406EEA"/>
    <w:rsid w:val="00410C0C"/>
    <w:rsid w:val="00412953"/>
    <w:rsid w:val="00412CB5"/>
    <w:rsid w:val="00417604"/>
    <w:rsid w:val="00420C3C"/>
    <w:rsid w:val="00422352"/>
    <w:rsid w:val="00424D3A"/>
    <w:rsid w:val="00431ADF"/>
    <w:rsid w:val="00435750"/>
    <w:rsid w:val="00437A43"/>
    <w:rsid w:val="00441D9E"/>
    <w:rsid w:val="004457D6"/>
    <w:rsid w:val="0044655B"/>
    <w:rsid w:val="00446795"/>
    <w:rsid w:val="00450E0A"/>
    <w:rsid w:val="0045254A"/>
    <w:rsid w:val="00452FD6"/>
    <w:rsid w:val="00463841"/>
    <w:rsid w:val="00465935"/>
    <w:rsid w:val="0047070E"/>
    <w:rsid w:val="00470D0F"/>
    <w:rsid w:val="00482352"/>
    <w:rsid w:val="004903E5"/>
    <w:rsid w:val="004922DD"/>
    <w:rsid w:val="00493CDE"/>
    <w:rsid w:val="0049484D"/>
    <w:rsid w:val="004A28EA"/>
    <w:rsid w:val="004A2E4A"/>
    <w:rsid w:val="004A3CE2"/>
    <w:rsid w:val="004A4B56"/>
    <w:rsid w:val="004A6543"/>
    <w:rsid w:val="004B024E"/>
    <w:rsid w:val="004B1747"/>
    <w:rsid w:val="004B419B"/>
    <w:rsid w:val="004B6426"/>
    <w:rsid w:val="004B77AF"/>
    <w:rsid w:val="004C0A13"/>
    <w:rsid w:val="004C378A"/>
    <w:rsid w:val="004C765F"/>
    <w:rsid w:val="004D153D"/>
    <w:rsid w:val="004E001E"/>
    <w:rsid w:val="004E3862"/>
    <w:rsid w:val="004E447E"/>
    <w:rsid w:val="004E4DC9"/>
    <w:rsid w:val="004E53D7"/>
    <w:rsid w:val="004E6D79"/>
    <w:rsid w:val="0050388A"/>
    <w:rsid w:val="0050498C"/>
    <w:rsid w:val="00507446"/>
    <w:rsid w:val="00510482"/>
    <w:rsid w:val="00510A7E"/>
    <w:rsid w:val="00514102"/>
    <w:rsid w:val="00516121"/>
    <w:rsid w:val="0051622A"/>
    <w:rsid w:val="005167F0"/>
    <w:rsid w:val="00521D45"/>
    <w:rsid w:val="00533B72"/>
    <w:rsid w:val="00533F96"/>
    <w:rsid w:val="005345B2"/>
    <w:rsid w:val="00535495"/>
    <w:rsid w:val="00547D5C"/>
    <w:rsid w:val="00552A5C"/>
    <w:rsid w:val="00555D4C"/>
    <w:rsid w:val="00565D82"/>
    <w:rsid w:val="00566E5F"/>
    <w:rsid w:val="00567898"/>
    <w:rsid w:val="00573E40"/>
    <w:rsid w:val="00575762"/>
    <w:rsid w:val="00581992"/>
    <w:rsid w:val="0058666D"/>
    <w:rsid w:val="00587D29"/>
    <w:rsid w:val="005A0EDC"/>
    <w:rsid w:val="005A1F5F"/>
    <w:rsid w:val="005A2326"/>
    <w:rsid w:val="005B5A3E"/>
    <w:rsid w:val="005B631A"/>
    <w:rsid w:val="005C0838"/>
    <w:rsid w:val="005C166C"/>
    <w:rsid w:val="005C24AA"/>
    <w:rsid w:val="005C6C97"/>
    <w:rsid w:val="005E387C"/>
    <w:rsid w:val="005F3CA9"/>
    <w:rsid w:val="005F49F5"/>
    <w:rsid w:val="006027D9"/>
    <w:rsid w:val="00604478"/>
    <w:rsid w:val="00610304"/>
    <w:rsid w:val="0061327F"/>
    <w:rsid w:val="00613636"/>
    <w:rsid w:val="00616507"/>
    <w:rsid w:val="006179C2"/>
    <w:rsid w:val="00617A1D"/>
    <w:rsid w:val="00617CE7"/>
    <w:rsid w:val="006204CE"/>
    <w:rsid w:val="006213CB"/>
    <w:rsid w:val="00622F86"/>
    <w:rsid w:val="00625BE9"/>
    <w:rsid w:val="00625CD5"/>
    <w:rsid w:val="006338DE"/>
    <w:rsid w:val="00634166"/>
    <w:rsid w:val="0064112C"/>
    <w:rsid w:val="0064414C"/>
    <w:rsid w:val="00647382"/>
    <w:rsid w:val="0065774D"/>
    <w:rsid w:val="00671004"/>
    <w:rsid w:val="00671C12"/>
    <w:rsid w:val="006777CE"/>
    <w:rsid w:val="00681086"/>
    <w:rsid w:val="006845D3"/>
    <w:rsid w:val="00684CA7"/>
    <w:rsid w:val="00692EC0"/>
    <w:rsid w:val="00695054"/>
    <w:rsid w:val="006A38C0"/>
    <w:rsid w:val="006B3CD3"/>
    <w:rsid w:val="006B3FA2"/>
    <w:rsid w:val="006B74ED"/>
    <w:rsid w:val="006D031D"/>
    <w:rsid w:val="006D4FBF"/>
    <w:rsid w:val="006D6A35"/>
    <w:rsid w:val="006E6D81"/>
    <w:rsid w:val="006F0020"/>
    <w:rsid w:val="006F0E92"/>
    <w:rsid w:val="006F2392"/>
    <w:rsid w:val="006F302F"/>
    <w:rsid w:val="007009E5"/>
    <w:rsid w:val="007026BB"/>
    <w:rsid w:val="00712326"/>
    <w:rsid w:val="00712792"/>
    <w:rsid w:val="00713E56"/>
    <w:rsid w:val="0072274E"/>
    <w:rsid w:val="00724A8F"/>
    <w:rsid w:val="00736DF7"/>
    <w:rsid w:val="007378E4"/>
    <w:rsid w:val="00743D4F"/>
    <w:rsid w:val="007510BF"/>
    <w:rsid w:val="00753A90"/>
    <w:rsid w:val="00760AE1"/>
    <w:rsid w:val="00760E2E"/>
    <w:rsid w:val="00761088"/>
    <w:rsid w:val="00763DE7"/>
    <w:rsid w:val="00764233"/>
    <w:rsid w:val="007650F4"/>
    <w:rsid w:val="00772DD4"/>
    <w:rsid w:val="00774C9B"/>
    <w:rsid w:val="0078142F"/>
    <w:rsid w:val="00783C84"/>
    <w:rsid w:val="00783CE2"/>
    <w:rsid w:val="00785F82"/>
    <w:rsid w:val="00791CDE"/>
    <w:rsid w:val="007938FB"/>
    <w:rsid w:val="007A18BF"/>
    <w:rsid w:val="007A3399"/>
    <w:rsid w:val="007A51DE"/>
    <w:rsid w:val="007B388E"/>
    <w:rsid w:val="007D0746"/>
    <w:rsid w:val="007D0BE7"/>
    <w:rsid w:val="007D18C2"/>
    <w:rsid w:val="007D1DA1"/>
    <w:rsid w:val="007D1FD6"/>
    <w:rsid w:val="007D5BEC"/>
    <w:rsid w:val="007E7FE9"/>
    <w:rsid w:val="007F2C99"/>
    <w:rsid w:val="007F5598"/>
    <w:rsid w:val="008033E5"/>
    <w:rsid w:val="008061DA"/>
    <w:rsid w:val="00825489"/>
    <w:rsid w:val="00827064"/>
    <w:rsid w:val="008344CF"/>
    <w:rsid w:val="0084015D"/>
    <w:rsid w:val="00840C77"/>
    <w:rsid w:val="00843BA3"/>
    <w:rsid w:val="00850119"/>
    <w:rsid w:val="008529FC"/>
    <w:rsid w:val="00852BE5"/>
    <w:rsid w:val="00854C19"/>
    <w:rsid w:val="00860E48"/>
    <w:rsid w:val="008621C7"/>
    <w:rsid w:val="0086270B"/>
    <w:rsid w:val="00870F50"/>
    <w:rsid w:val="00871480"/>
    <w:rsid w:val="0087429F"/>
    <w:rsid w:val="008747B5"/>
    <w:rsid w:val="00875232"/>
    <w:rsid w:val="0087670D"/>
    <w:rsid w:val="00877645"/>
    <w:rsid w:val="00882474"/>
    <w:rsid w:val="008863C4"/>
    <w:rsid w:val="00886E98"/>
    <w:rsid w:val="008937BE"/>
    <w:rsid w:val="008942BD"/>
    <w:rsid w:val="00894983"/>
    <w:rsid w:val="008A3C4E"/>
    <w:rsid w:val="008A4339"/>
    <w:rsid w:val="008A7D83"/>
    <w:rsid w:val="008B44F7"/>
    <w:rsid w:val="008D1A26"/>
    <w:rsid w:val="008D1BDE"/>
    <w:rsid w:val="008D2292"/>
    <w:rsid w:val="008D2F8C"/>
    <w:rsid w:val="008D45DF"/>
    <w:rsid w:val="008D4644"/>
    <w:rsid w:val="008D5898"/>
    <w:rsid w:val="008D58F2"/>
    <w:rsid w:val="008E3373"/>
    <w:rsid w:val="008E5F10"/>
    <w:rsid w:val="008E6C1C"/>
    <w:rsid w:val="008F281E"/>
    <w:rsid w:val="008F57F4"/>
    <w:rsid w:val="008F64D9"/>
    <w:rsid w:val="009006E5"/>
    <w:rsid w:val="009030E3"/>
    <w:rsid w:val="009030FE"/>
    <w:rsid w:val="009105FC"/>
    <w:rsid w:val="00922D88"/>
    <w:rsid w:val="009236BD"/>
    <w:rsid w:val="00924F7E"/>
    <w:rsid w:val="00932E1F"/>
    <w:rsid w:val="00940292"/>
    <w:rsid w:val="009404F4"/>
    <w:rsid w:val="00940B20"/>
    <w:rsid w:val="0094591E"/>
    <w:rsid w:val="009513DA"/>
    <w:rsid w:val="00951E9D"/>
    <w:rsid w:val="00952847"/>
    <w:rsid w:val="0095309A"/>
    <w:rsid w:val="00964054"/>
    <w:rsid w:val="0097052B"/>
    <w:rsid w:val="00974623"/>
    <w:rsid w:val="00974C02"/>
    <w:rsid w:val="00981881"/>
    <w:rsid w:val="00986321"/>
    <w:rsid w:val="00987FB6"/>
    <w:rsid w:val="00991089"/>
    <w:rsid w:val="00994FDB"/>
    <w:rsid w:val="00995669"/>
    <w:rsid w:val="009A2296"/>
    <w:rsid w:val="009A2F72"/>
    <w:rsid w:val="009A3A67"/>
    <w:rsid w:val="009A7172"/>
    <w:rsid w:val="009C2293"/>
    <w:rsid w:val="009C34CC"/>
    <w:rsid w:val="009C4F93"/>
    <w:rsid w:val="009C7246"/>
    <w:rsid w:val="009C793B"/>
    <w:rsid w:val="009C7C69"/>
    <w:rsid w:val="009D4C36"/>
    <w:rsid w:val="009D588E"/>
    <w:rsid w:val="009E1BEE"/>
    <w:rsid w:val="009E4099"/>
    <w:rsid w:val="009F1D02"/>
    <w:rsid w:val="00A01063"/>
    <w:rsid w:val="00A02B5F"/>
    <w:rsid w:val="00A05D34"/>
    <w:rsid w:val="00A0604E"/>
    <w:rsid w:val="00A15D07"/>
    <w:rsid w:val="00A203FE"/>
    <w:rsid w:val="00A20EB0"/>
    <w:rsid w:val="00A27556"/>
    <w:rsid w:val="00A3076C"/>
    <w:rsid w:val="00A3124A"/>
    <w:rsid w:val="00A313EE"/>
    <w:rsid w:val="00A35598"/>
    <w:rsid w:val="00A425FB"/>
    <w:rsid w:val="00A427FB"/>
    <w:rsid w:val="00A51727"/>
    <w:rsid w:val="00A6047A"/>
    <w:rsid w:val="00A62865"/>
    <w:rsid w:val="00A64F28"/>
    <w:rsid w:val="00A65CB9"/>
    <w:rsid w:val="00A65DFC"/>
    <w:rsid w:val="00A704CD"/>
    <w:rsid w:val="00A7119A"/>
    <w:rsid w:val="00A72C0D"/>
    <w:rsid w:val="00A74247"/>
    <w:rsid w:val="00A81596"/>
    <w:rsid w:val="00A86316"/>
    <w:rsid w:val="00A94D57"/>
    <w:rsid w:val="00A97C25"/>
    <w:rsid w:val="00AA07B8"/>
    <w:rsid w:val="00AA254E"/>
    <w:rsid w:val="00AA567A"/>
    <w:rsid w:val="00AA636C"/>
    <w:rsid w:val="00AA765E"/>
    <w:rsid w:val="00AB41C2"/>
    <w:rsid w:val="00AB783C"/>
    <w:rsid w:val="00AC1005"/>
    <w:rsid w:val="00AC18E0"/>
    <w:rsid w:val="00AC288D"/>
    <w:rsid w:val="00AD32A1"/>
    <w:rsid w:val="00AD44E7"/>
    <w:rsid w:val="00AD4621"/>
    <w:rsid w:val="00AE311D"/>
    <w:rsid w:val="00AF1793"/>
    <w:rsid w:val="00AF5C4D"/>
    <w:rsid w:val="00AF6551"/>
    <w:rsid w:val="00AF70F6"/>
    <w:rsid w:val="00AF7F3B"/>
    <w:rsid w:val="00B011F1"/>
    <w:rsid w:val="00B01A53"/>
    <w:rsid w:val="00B06EDE"/>
    <w:rsid w:val="00B07A03"/>
    <w:rsid w:val="00B10A1D"/>
    <w:rsid w:val="00B13FDD"/>
    <w:rsid w:val="00B21CDF"/>
    <w:rsid w:val="00B25295"/>
    <w:rsid w:val="00B27FC2"/>
    <w:rsid w:val="00B32034"/>
    <w:rsid w:val="00B33801"/>
    <w:rsid w:val="00B33845"/>
    <w:rsid w:val="00B33CAB"/>
    <w:rsid w:val="00B34B26"/>
    <w:rsid w:val="00B40E31"/>
    <w:rsid w:val="00B42577"/>
    <w:rsid w:val="00B43BAA"/>
    <w:rsid w:val="00B5593A"/>
    <w:rsid w:val="00B55C12"/>
    <w:rsid w:val="00B65D4C"/>
    <w:rsid w:val="00B662A3"/>
    <w:rsid w:val="00B8197C"/>
    <w:rsid w:val="00B84231"/>
    <w:rsid w:val="00B87CEF"/>
    <w:rsid w:val="00BB1F9F"/>
    <w:rsid w:val="00BB6108"/>
    <w:rsid w:val="00BC3E95"/>
    <w:rsid w:val="00BC52EC"/>
    <w:rsid w:val="00BC6024"/>
    <w:rsid w:val="00BC7C17"/>
    <w:rsid w:val="00BE15DE"/>
    <w:rsid w:val="00BE297C"/>
    <w:rsid w:val="00BF23B6"/>
    <w:rsid w:val="00BF23CC"/>
    <w:rsid w:val="00BF46A5"/>
    <w:rsid w:val="00BF7995"/>
    <w:rsid w:val="00C03195"/>
    <w:rsid w:val="00C1011F"/>
    <w:rsid w:val="00C13A17"/>
    <w:rsid w:val="00C25F9E"/>
    <w:rsid w:val="00C34CD3"/>
    <w:rsid w:val="00C40E26"/>
    <w:rsid w:val="00C41672"/>
    <w:rsid w:val="00C43103"/>
    <w:rsid w:val="00C4569B"/>
    <w:rsid w:val="00C4574D"/>
    <w:rsid w:val="00C47091"/>
    <w:rsid w:val="00C50DF4"/>
    <w:rsid w:val="00C54BFE"/>
    <w:rsid w:val="00C626BE"/>
    <w:rsid w:val="00C64BC2"/>
    <w:rsid w:val="00C656E0"/>
    <w:rsid w:val="00C6743A"/>
    <w:rsid w:val="00C679FD"/>
    <w:rsid w:val="00C7007F"/>
    <w:rsid w:val="00C728C1"/>
    <w:rsid w:val="00C749AB"/>
    <w:rsid w:val="00C81EA3"/>
    <w:rsid w:val="00C82B2A"/>
    <w:rsid w:val="00C919DE"/>
    <w:rsid w:val="00C96A1B"/>
    <w:rsid w:val="00CA4E9E"/>
    <w:rsid w:val="00CA4F22"/>
    <w:rsid w:val="00CC1647"/>
    <w:rsid w:val="00CC6EA0"/>
    <w:rsid w:val="00CD4B2D"/>
    <w:rsid w:val="00CF2FB7"/>
    <w:rsid w:val="00D01219"/>
    <w:rsid w:val="00D02054"/>
    <w:rsid w:val="00D03206"/>
    <w:rsid w:val="00D0426B"/>
    <w:rsid w:val="00D10B41"/>
    <w:rsid w:val="00D14D1A"/>
    <w:rsid w:val="00D1651E"/>
    <w:rsid w:val="00D17983"/>
    <w:rsid w:val="00D24DED"/>
    <w:rsid w:val="00D24E28"/>
    <w:rsid w:val="00D320C8"/>
    <w:rsid w:val="00D325F5"/>
    <w:rsid w:val="00D33E3C"/>
    <w:rsid w:val="00D369D4"/>
    <w:rsid w:val="00D37123"/>
    <w:rsid w:val="00D42C1D"/>
    <w:rsid w:val="00D43690"/>
    <w:rsid w:val="00D465E1"/>
    <w:rsid w:val="00D55411"/>
    <w:rsid w:val="00D55DFA"/>
    <w:rsid w:val="00D61057"/>
    <w:rsid w:val="00D62B5D"/>
    <w:rsid w:val="00D62B62"/>
    <w:rsid w:val="00D653F6"/>
    <w:rsid w:val="00D67726"/>
    <w:rsid w:val="00D7082D"/>
    <w:rsid w:val="00D813C2"/>
    <w:rsid w:val="00D8180E"/>
    <w:rsid w:val="00D871FE"/>
    <w:rsid w:val="00D876B3"/>
    <w:rsid w:val="00DA023C"/>
    <w:rsid w:val="00DA071E"/>
    <w:rsid w:val="00DA7608"/>
    <w:rsid w:val="00DB63E4"/>
    <w:rsid w:val="00DC09BC"/>
    <w:rsid w:val="00DC1C1C"/>
    <w:rsid w:val="00DC62BA"/>
    <w:rsid w:val="00DD11A6"/>
    <w:rsid w:val="00DD38B6"/>
    <w:rsid w:val="00DD62DD"/>
    <w:rsid w:val="00DE2A0A"/>
    <w:rsid w:val="00E06F17"/>
    <w:rsid w:val="00E129D8"/>
    <w:rsid w:val="00E22732"/>
    <w:rsid w:val="00E23747"/>
    <w:rsid w:val="00E36FFE"/>
    <w:rsid w:val="00E40C41"/>
    <w:rsid w:val="00E43404"/>
    <w:rsid w:val="00E52C83"/>
    <w:rsid w:val="00E55351"/>
    <w:rsid w:val="00E55D4D"/>
    <w:rsid w:val="00E6661A"/>
    <w:rsid w:val="00E72CD6"/>
    <w:rsid w:val="00E73946"/>
    <w:rsid w:val="00E74CDB"/>
    <w:rsid w:val="00E74D45"/>
    <w:rsid w:val="00E805E7"/>
    <w:rsid w:val="00E8710E"/>
    <w:rsid w:val="00E92368"/>
    <w:rsid w:val="00E92FA6"/>
    <w:rsid w:val="00E9389D"/>
    <w:rsid w:val="00E96E4C"/>
    <w:rsid w:val="00EA1742"/>
    <w:rsid w:val="00EA440C"/>
    <w:rsid w:val="00EA4410"/>
    <w:rsid w:val="00EA6A17"/>
    <w:rsid w:val="00EA78CE"/>
    <w:rsid w:val="00EB40C9"/>
    <w:rsid w:val="00EB513C"/>
    <w:rsid w:val="00EB6CB1"/>
    <w:rsid w:val="00EC2C89"/>
    <w:rsid w:val="00EC5AB2"/>
    <w:rsid w:val="00EC6D30"/>
    <w:rsid w:val="00ED056A"/>
    <w:rsid w:val="00ED076B"/>
    <w:rsid w:val="00ED0942"/>
    <w:rsid w:val="00ED187A"/>
    <w:rsid w:val="00ED346A"/>
    <w:rsid w:val="00EE1124"/>
    <w:rsid w:val="00EE4AAA"/>
    <w:rsid w:val="00EE513F"/>
    <w:rsid w:val="00EF0FFB"/>
    <w:rsid w:val="00F0563B"/>
    <w:rsid w:val="00F05FFA"/>
    <w:rsid w:val="00F0796E"/>
    <w:rsid w:val="00F079B0"/>
    <w:rsid w:val="00F1289D"/>
    <w:rsid w:val="00F263EE"/>
    <w:rsid w:val="00F3192D"/>
    <w:rsid w:val="00F32808"/>
    <w:rsid w:val="00F34727"/>
    <w:rsid w:val="00F3594A"/>
    <w:rsid w:val="00F3633F"/>
    <w:rsid w:val="00F44906"/>
    <w:rsid w:val="00F4653E"/>
    <w:rsid w:val="00F52960"/>
    <w:rsid w:val="00F55B8F"/>
    <w:rsid w:val="00F62DCB"/>
    <w:rsid w:val="00F66196"/>
    <w:rsid w:val="00F70C94"/>
    <w:rsid w:val="00F770CD"/>
    <w:rsid w:val="00F80767"/>
    <w:rsid w:val="00F80F44"/>
    <w:rsid w:val="00F824C9"/>
    <w:rsid w:val="00F869FC"/>
    <w:rsid w:val="00FA2A9E"/>
    <w:rsid w:val="00FA79EE"/>
    <w:rsid w:val="00FB0959"/>
    <w:rsid w:val="00FB44AF"/>
    <w:rsid w:val="00FB4C0D"/>
    <w:rsid w:val="00FC16E8"/>
    <w:rsid w:val="00FC1E5D"/>
    <w:rsid w:val="00FC5D7C"/>
    <w:rsid w:val="00FD2071"/>
    <w:rsid w:val="00FD4C7C"/>
    <w:rsid w:val="00FE0679"/>
    <w:rsid w:val="00FE3AFA"/>
    <w:rsid w:val="00FE44BA"/>
    <w:rsid w:val="00FE741B"/>
    <w:rsid w:val="00FE76BB"/>
    <w:rsid w:val="00FF036E"/>
    <w:rsid w:val="00FF5963"/>
    <w:rsid w:val="00FF71F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51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184189"/>
    <w:pPr>
      <w:keepNext/>
      <w:keepLines/>
      <w:numPr>
        <w:numId w:val="2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autoRedefine/>
    <w:uiPriority w:val="9"/>
    <w:unhideWhenUsed/>
    <w:qFormat/>
    <w:rsid w:val="00184189"/>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84189"/>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84189"/>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84189"/>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84189"/>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84189"/>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84189"/>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84189"/>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184189"/>
    <w:rPr>
      <w:rFonts w:asciiTheme="majorHAnsi" w:eastAsiaTheme="majorEastAsia" w:hAnsiTheme="majorHAnsi" w:cstheme="majorBidi"/>
      <w:b/>
      <w:bCs/>
      <w:color w:val="345A8A" w:themeColor="accent1" w:themeShade="B5"/>
      <w:sz w:val="32"/>
      <w:szCs w:val="32"/>
    </w:rPr>
  </w:style>
  <w:style w:type="paragraph" w:styleId="Fodnotetekst">
    <w:name w:val="footnote text"/>
    <w:basedOn w:val="Normal"/>
    <w:link w:val="FodnotetekstTegn"/>
    <w:uiPriority w:val="99"/>
    <w:unhideWhenUsed/>
    <w:rsid w:val="00F05FFA"/>
  </w:style>
  <w:style w:type="character" w:customStyle="1" w:styleId="FodnotetekstTegn">
    <w:name w:val="Fodnotetekst Tegn"/>
    <w:basedOn w:val="Standardskrifttypeiafsnit"/>
    <w:link w:val="Fodnotetekst"/>
    <w:uiPriority w:val="99"/>
    <w:rsid w:val="00F05FFA"/>
  </w:style>
  <w:style w:type="character" w:styleId="Fodnotehenvisning">
    <w:name w:val="footnote reference"/>
    <w:basedOn w:val="Standardskrifttypeiafsnit"/>
    <w:uiPriority w:val="99"/>
    <w:unhideWhenUsed/>
    <w:rsid w:val="00F05FFA"/>
    <w:rPr>
      <w:vertAlign w:val="superscript"/>
    </w:rPr>
  </w:style>
  <w:style w:type="paragraph" w:styleId="Listeafsnit">
    <w:name w:val="List Paragraph"/>
    <w:basedOn w:val="Normal"/>
    <w:uiPriority w:val="34"/>
    <w:qFormat/>
    <w:rsid w:val="003D34C8"/>
    <w:pPr>
      <w:ind w:left="720"/>
      <w:contextualSpacing/>
    </w:pPr>
  </w:style>
  <w:style w:type="paragraph" w:styleId="Sidefod">
    <w:name w:val="footer"/>
    <w:basedOn w:val="Normal"/>
    <w:link w:val="SidefodTegn"/>
    <w:uiPriority w:val="99"/>
    <w:unhideWhenUsed/>
    <w:rsid w:val="006F0E92"/>
    <w:pPr>
      <w:tabs>
        <w:tab w:val="center" w:pos="4819"/>
        <w:tab w:val="right" w:pos="9638"/>
      </w:tabs>
    </w:pPr>
  </w:style>
  <w:style w:type="character" w:customStyle="1" w:styleId="SidefodTegn">
    <w:name w:val="Sidefod Tegn"/>
    <w:basedOn w:val="Standardskrifttypeiafsnit"/>
    <w:link w:val="Sidefod"/>
    <w:uiPriority w:val="99"/>
    <w:rsid w:val="006F0E92"/>
  </w:style>
  <w:style w:type="character" w:styleId="Sidetal">
    <w:name w:val="page number"/>
    <w:basedOn w:val="Standardskrifttypeiafsnit"/>
    <w:uiPriority w:val="99"/>
    <w:semiHidden/>
    <w:unhideWhenUsed/>
    <w:rsid w:val="006F0E92"/>
  </w:style>
  <w:style w:type="character" w:customStyle="1" w:styleId="Overskrift2Tegn">
    <w:name w:val="Overskrift 2 Tegn"/>
    <w:basedOn w:val="Standardskrifttypeiafsnit"/>
    <w:link w:val="Overskrift2"/>
    <w:uiPriority w:val="9"/>
    <w:rsid w:val="00184189"/>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unhideWhenUsed/>
    <w:qFormat/>
    <w:rsid w:val="00692EC0"/>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A05D34"/>
    <w:pPr>
      <w:tabs>
        <w:tab w:val="left" w:pos="421"/>
        <w:tab w:val="right" w:leader="dot" w:pos="9622"/>
      </w:tabs>
      <w:spacing w:before="120"/>
    </w:pPr>
    <w:rPr>
      <w:b/>
      <w:caps/>
      <w:sz w:val="22"/>
      <w:szCs w:val="22"/>
    </w:rPr>
  </w:style>
  <w:style w:type="paragraph" w:styleId="Indholdsfortegnelse2">
    <w:name w:val="toc 2"/>
    <w:basedOn w:val="Normal"/>
    <w:next w:val="Normal"/>
    <w:autoRedefine/>
    <w:uiPriority w:val="39"/>
    <w:unhideWhenUsed/>
    <w:rsid w:val="00692EC0"/>
    <w:pPr>
      <w:ind w:left="240"/>
    </w:pPr>
    <w:rPr>
      <w:smallCaps/>
      <w:sz w:val="22"/>
      <w:szCs w:val="22"/>
    </w:rPr>
  </w:style>
  <w:style w:type="paragraph" w:styleId="Markeringsbobletekst">
    <w:name w:val="Balloon Text"/>
    <w:basedOn w:val="Normal"/>
    <w:link w:val="MarkeringsbobletekstTegn"/>
    <w:uiPriority w:val="99"/>
    <w:semiHidden/>
    <w:unhideWhenUsed/>
    <w:rsid w:val="00692EC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92EC0"/>
    <w:rPr>
      <w:rFonts w:ascii="Lucida Grande" w:hAnsi="Lucida Grande" w:cs="Lucida Grande"/>
      <w:sz w:val="18"/>
      <w:szCs w:val="18"/>
    </w:rPr>
  </w:style>
  <w:style w:type="paragraph" w:styleId="Indholdsfortegnelse3">
    <w:name w:val="toc 3"/>
    <w:basedOn w:val="Normal"/>
    <w:next w:val="Normal"/>
    <w:autoRedefine/>
    <w:uiPriority w:val="39"/>
    <w:unhideWhenUsed/>
    <w:rsid w:val="00692EC0"/>
    <w:pPr>
      <w:ind w:left="480"/>
    </w:pPr>
    <w:rPr>
      <w:i/>
      <w:sz w:val="22"/>
      <w:szCs w:val="22"/>
    </w:rPr>
  </w:style>
  <w:style w:type="paragraph" w:styleId="Indholdsfortegnelse4">
    <w:name w:val="toc 4"/>
    <w:basedOn w:val="Normal"/>
    <w:next w:val="Normal"/>
    <w:autoRedefine/>
    <w:uiPriority w:val="39"/>
    <w:semiHidden/>
    <w:unhideWhenUsed/>
    <w:rsid w:val="00692EC0"/>
    <w:pPr>
      <w:ind w:left="720"/>
    </w:pPr>
    <w:rPr>
      <w:sz w:val="18"/>
      <w:szCs w:val="18"/>
    </w:rPr>
  </w:style>
  <w:style w:type="paragraph" w:styleId="Indholdsfortegnelse5">
    <w:name w:val="toc 5"/>
    <w:basedOn w:val="Normal"/>
    <w:next w:val="Normal"/>
    <w:autoRedefine/>
    <w:uiPriority w:val="39"/>
    <w:semiHidden/>
    <w:unhideWhenUsed/>
    <w:rsid w:val="00692EC0"/>
    <w:pPr>
      <w:ind w:left="960"/>
    </w:pPr>
    <w:rPr>
      <w:sz w:val="18"/>
      <w:szCs w:val="18"/>
    </w:rPr>
  </w:style>
  <w:style w:type="paragraph" w:styleId="Indholdsfortegnelse6">
    <w:name w:val="toc 6"/>
    <w:basedOn w:val="Normal"/>
    <w:next w:val="Normal"/>
    <w:autoRedefine/>
    <w:uiPriority w:val="39"/>
    <w:semiHidden/>
    <w:unhideWhenUsed/>
    <w:rsid w:val="00692EC0"/>
    <w:pPr>
      <w:ind w:left="1200"/>
    </w:pPr>
    <w:rPr>
      <w:sz w:val="18"/>
      <w:szCs w:val="18"/>
    </w:rPr>
  </w:style>
  <w:style w:type="paragraph" w:styleId="Indholdsfortegnelse7">
    <w:name w:val="toc 7"/>
    <w:basedOn w:val="Normal"/>
    <w:next w:val="Normal"/>
    <w:autoRedefine/>
    <w:uiPriority w:val="39"/>
    <w:semiHidden/>
    <w:unhideWhenUsed/>
    <w:rsid w:val="00692EC0"/>
    <w:pPr>
      <w:ind w:left="1440"/>
    </w:pPr>
    <w:rPr>
      <w:sz w:val="18"/>
      <w:szCs w:val="18"/>
    </w:rPr>
  </w:style>
  <w:style w:type="paragraph" w:styleId="Indholdsfortegnelse8">
    <w:name w:val="toc 8"/>
    <w:basedOn w:val="Normal"/>
    <w:next w:val="Normal"/>
    <w:autoRedefine/>
    <w:uiPriority w:val="39"/>
    <w:semiHidden/>
    <w:unhideWhenUsed/>
    <w:rsid w:val="00692EC0"/>
    <w:pPr>
      <w:ind w:left="1680"/>
    </w:pPr>
    <w:rPr>
      <w:sz w:val="18"/>
      <w:szCs w:val="18"/>
    </w:rPr>
  </w:style>
  <w:style w:type="paragraph" w:styleId="Indholdsfortegnelse9">
    <w:name w:val="toc 9"/>
    <w:basedOn w:val="Normal"/>
    <w:next w:val="Normal"/>
    <w:autoRedefine/>
    <w:uiPriority w:val="39"/>
    <w:semiHidden/>
    <w:unhideWhenUsed/>
    <w:rsid w:val="00692EC0"/>
    <w:pPr>
      <w:ind w:left="1920"/>
    </w:pPr>
    <w:rPr>
      <w:sz w:val="18"/>
      <w:szCs w:val="18"/>
    </w:rPr>
  </w:style>
  <w:style w:type="paragraph" w:styleId="Undertitel">
    <w:name w:val="Subtitle"/>
    <w:basedOn w:val="Normal"/>
    <w:next w:val="Normal"/>
    <w:link w:val="UndertitelTegn"/>
    <w:uiPriority w:val="11"/>
    <w:qFormat/>
    <w:rsid w:val="00D67726"/>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D67726"/>
    <w:rPr>
      <w:rFonts w:asciiTheme="majorHAnsi" w:eastAsiaTheme="majorEastAsia" w:hAnsiTheme="majorHAnsi" w:cstheme="majorBidi"/>
      <w:i/>
      <w:iCs/>
      <w:color w:val="4F81BD" w:themeColor="accent1"/>
      <w:spacing w:val="15"/>
    </w:rPr>
  </w:style>
  <w:style w:type="character" w:customStyle="1" w:styleId="Overskrift3Tegn">
    <w:name w:val="Overskrift 3 Tegn"/>
    <w:basedOn w:val="Standardskrifttypeiafsnit"/>
    <w:link w:val="Overskrift3"/>
    <w:uiPriority w:val="9"/>
    <w:rsid w:val="00184189"/>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184189"/>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84189"/>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84189"/>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8418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8418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8418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184189"/>
    <w:pPr>
      <w:keepNext/>
      <w:keepLines/>
      <w:numPr>
        <w:numId w:val="2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autoRedefine/>
    <w:uiPriority w:val="9"/>
    <w:unhideWhenUsed/>
    <w:qFormat/>
    <w:rsid w:val="00184189"/>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84189"/>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84189"/>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84189"/>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84189"/>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84189"/>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84189"/>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84189"/>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184189"/>
    <w:rPr>
      <w:rFonts w:asciiTheme="majorHAnsi" w:eastAsiaTheme="majorEastAsia" w:hAnsiTheme="majorHAnsi" w:cstheme="majorBidi"/>
      <w:b/>
      <w:bCs/>
      <w:color w:val="345A8A" w:themeColor="accent1" w:themeShade="B5"/>
      <w:sz w:val="32"/>
      <w:szCs w:val="32"/>
    </w:rPr>
  </w:style>
  <w:style w:type="paragraph" w:styleId="Fodnotetekst">
    <w:name w:val="footnote text"/>
    <w:basedOn w:val="Normal"/>
    <w:link w:val="FodnotetekstTegn"/>
    <w:uiPriority w:val="99"/>
    <w:unhideWhenUsed/>
    <w:rsid w:val="00F05FFA"/>
  </w:style>
  <w:style w:type="character" w:customStyle="1" w:styleId="FodnotetekstTegn">
    <w:name w:val="Fodnotetekst Tegn"/>
    <w:basedOn w:val="Standardskrifttypeiafsnit"/>
    <w:link w:val="Fodnotetekst"/>
    <w:uiPriority w:val="99"/>
    <w:rsid w:val="00F05FFA"/>
  </w:style>
  <w:style w:type="character" w:styleId="Fodnotehenvisning">
    <w:name w:val="footnote reference"/>
    <w:basedOn w:val="Standardskrifttypeiafsnit"/>
    <w:uiPriority w:val="99"/>
    <w:unhideWhenUsed/>
    <w:rsid w:val="00F05FFA"/>
    <w:rPr>
      <w:vertAlign w:val="superscript"/>
    </w:rPr>
  </w:style>
  <w:style w:type="paragraph" w:styleId="Listeafsnit">
    <w:name w:val="List Paragraph"/>
    <w:basedOn w:val="Normal"/>
    <w:uiPriority w:val="34"/>
    <w:qFormat/>
    <w:rsid w:val="003D34C8"/>
    <w:pPr>
      <w:ind w:left="720"/>
      <w:contextualSpacing/>
    </w:pPr>
  </w:style>
  <w:style w:type="paragraph" w:styleId="Sidefod">
    <w:name w:val="footer"/>
    <w:basedOn w:val="Normal"/>
    <w:link w:val="SidefodTegn"/>
    <w:uiPriority w:val="99"/>
    <w:unhideWhenUsed/>
    <w:rsid w:val="006F0E92"/>
    <w:pPr>
      <w:tabs>
        <w:tab w:val="center" w:pos="4819"/>
        <w:tab w:val="right" w:pos="9638"/>
      </w:tabs>
    </w:pPr>
  </w:style>
  <w:style w:type="character" w:customStyle="1" w:styleId="SidefodTegn">
    <w:name w:val="Sidefod Tegn"/>
    <w:basedOn w:val="Standardskrifttypeiafsnit"/>
    <w:link w:val="Sidefod"/>
    <w:uiPriority w:val="99"/>
    <w:rsid w:val="006F0E92"/>
  </w:style>
  <w:style w:type="character" w:styleId="Sidetal">
    <w:name w:val="page number"/>
    <w:basedOn w:val="Standardskrifttypeiafsnit"/>
    <w:uiPriority w:val="99"/>
    <w:semiHidden/>
    <w:unhideWhenUsed/>
    <w:rsid w:val="006F0E92"/>
  </w:style>
  <w:style w:type="character" w:customStyle="1" w:styleId="Overskrift2Tegn">
    <w:name w:val="Overskrift 2 Tegn"/>
    <w:basedOn w:val="Standardskrifttypeiafsnit"/>
    <w:link w:val="Overskrift2"/>
    <w:uiPriority w:val="9"/>
    <w:rsid w:val="00184189"/>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unhideWhenUsed/>
    <w:qFormat/>
    <w:rsid w:val="00692EC0"/>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A05D34"/>
    <w:pPr>
      <w:tabs>
        <w:tab w:val="left" w:pos="421"/>
        <w:tab w:val="right" w:leader="dot" w:pos="9622"/>
      </w:tabs>
      <w:spacing w:before="120"/>
    </w:pPr>
    <w:rPr>
      <w:b/>
      <w:caps/>
      <w:sz w:val="22"/>
      <w:szCs w:val="22"/>
    </w:rPr>
  </w:style>
  <w:style w:type="paragraph" w:styleId="Indholdsfortegnelse2">
    <w:name w:val="toc 2"/>
    <w:basedOn w:val="Normal"/>
    <w:next w:val="Normal"/>
    <w:autoRedefine/>
    <w:uiPriority w:val="39"/>
    <w:unhideWhenUsed/>
    <w:rsid w:val="00692EC0"/>
    <w:pPr>
      <w:ind w:left="240"/>
    </w:pPr>
    <w:rPr>
      <w:smallCaps/>
      <w:sz w:val="22"/>
      <w:szCs w:val="22"/>
    </w:rPr>
  </w:style>
  <w:style w:type="paragraph" w:styleId="Markeringsbobletekst">
    <w:name w:val="Balloon Text"/>
    <w:basedOn w:val="Normal"/>
    <w:link w:val="MarkeringsbobletekstTegn"/>
    <w:uiPriority w:val="99"/>
    <w:semiHidden/>
    <w:unhideWhenUsed/>
    <w:rsid w:val="00692EC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92EC0"/>
    <w:rPr>
      <w:rFonts w:ascii="Lucida Grande" w:hAnsi="Lucida Grande" w:cs="Lucida Grande"/>
      <w:sz w:val="18"/>
      <w:szCs w:val="18"/>
    </w:rPr>
  </w:style>
  <w:style w:type="paragraph" w:styleId="Indholdsfortegnelse3">
    <w:name w:val="toc 3"/>
    <w:basedOn w:val="Normal"/>
    <w:next w:val="Normal"/>
    <w:autoRedefine/>
    <w:uiPriority w:val="39"/>
    <w:unhideWhenUsed/>
    <w:rsid w:val="00692EC0"/>
    <w:pPr>
      <w:ind w:left="480"/>
    </w:pPr>
    <w:rPr>
      <w:i/>
      <w:sz w:val="22"/>
      <w:szCs w:val="22"/>
    </w:rPr>
  </w:style>
  <w:style w:type="paragraph" w:styleId="Indholdsfortegnelse4">
    <w:name w:val="toc 4"/>
    <w:basedOn w:val="Normal"/>
    <w:next w:val="Normal"/>
    <w:autoRedefine/>
    <w:uiPriority w:val="39"/>
    <w:semiHidden/>
    <w:unhideWhenUsed/>
    <w:rsid w:val="00692EC0"/>
    <w:pPr>
      <w:ind w:left="720"/>
    </w:pPr>
    <w:rPr>
      <w:sz w:val="18"/>
      <w:szCs w:val="18"/>
    </w:rPr>
  </w:style>
  <w:style w:type="paragraph" w:styleId="Indholdsfortegnelse5">
    <w:name w:val="toc 5"/>
    <w:basedOn w:val="Normal"/>
    <w:next w:val="Normal"/>
    <w:autoRedefine/>
    <w:uiPriority w:val="39"/>
    <w:semiHidden/>
    <w:unhideWhenUsed/>
    <w:rsid w:val="00692EC0"/>
    <w:pPr>
      <w:ind w:left="960"/>
    </w:pPr>
    <w:rPr>
      <w:sz w:val="18"/>
      <w:szCs w:val="18"/>
    </w:rPr>
  </w:style>
  <w:style w:type="paragraph" w:styleId="Indholdsfortegnelse6">
    <w:name w:val="toc 6"/>
    <w:basedOn w:val="Normal"/>
    <w:next w:val="Normal"/>
    <w:autoRedefine/>
    <w:uiPriority w:val="39"/>
    <w:semiHidden/>
    <w:unhideWhenUsed/>
    <w:rsid w:val="00692EC0"/>
    <w:pPr>
      <w:ind w:left="1200"/>
    </w:pPr>
    <w:rPr>
      <w:sz w:val="18"/>
      <w:szCs w:val="18"/>
    </w:rPr>
  </w:style>
  <w:style w:type="paragraph" w:styleId="Indholdsfortegnelse7">
    <w:name w:val="toc 7"/>
    <w:basedOn w:val="Normal"/>
    <w:next w:val="Normal"/>
    <w:autoRedefine/>
    <w:uiPriority w:val="39"/>
    <w:semiHidden/>
    <w:unhideWhenUsed/>
    <w:rsid w:val="00692EC0"/>
    <w:pPr>
      <w:ind w:left="1440"/>
    </w:pPr>
    <w:rPr>
      <w:sz w:val="18"/>
      <w:szCs w:val="18"/>
    </w:rPr>
  </w:style>
  <w:style w:type="paragraph" w:styleId="Indholdsfortegnelse8">
    <w:name w:val="toc 8"/>
    <w:basedOn w:val="Normal"/>
    <w:next w:val="Normal"/>
    <w:autoRedefine/>
    <w:uiPriority w:val="39"/>
    <w:semiHidden/>
    <w:unhideWhenUsed/>
    <w:rsid w:val="00692EC0"/>
    <w:pPr>
      <w:ind w:left="1680"/>
    </w:pPr>
    <w:rPr>
      <w:sz w:val="18"/>
      <w:szCs w:val="18"/>
    </w:rPr>
  </w:style>
  <w:style w:type="paragraph" w:styleId="Indholdsfortegnelse9">
    <w:name w:val="toc 9"/>
    <w:basedOn w:val="Normal"/>
    <w:next w:val="Normal"/>
    <w:autoRedefine/>
    <w:uiPriority w:val="39"/>
    <w:semiHidden/>
    <w:unhideWhenUsed/>
    <w:rsid w:val="00692EC0"/>
    <w:pPr>
      <w:ind w:left="1920"/>
    </w:pPr>
    <w:rPr>
      <w:sz w:val="18"/>
      <w:szCs w:val="18"/>
    </w:rPr>
  </w:style>
  <w:style w:type="paragraph" w:styleId="Undertitel">
    <w:name w:val="Subtitle"/>
    <w:basedOn w:val="Normal"/>
    <w:next w:val="Normal"/>
    <w:link w:val="UndertitelTegn"/>
    <w:uiPriority w:val="11"/>
    <w:qFormat/>
    <w:rsid w:val="00D67726"/>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D67726"/>
    <w:rPr>
      <w:rFonts w:asciiTheme="majorHAnsi" w:eastAsiaTheme="majorEastAsia" w:hAnsiTheme="majorHAnsi" w:cstheme="majorBidi"/>
      <w:i/>
      <w:iCs/>
      <w:color w:val="4F81BD" w:themeColor="accent1"/>
      <w:spacing w:val="15"/>
    </w:rPr>
  </w:style>
  <w:style w:type="character" w:customStyle="1" w:styleId="Overskrift3Tegn">
    <w:name w:val="Overskrift 3 Tegn"/>
    <w:basedOn w:val="Standardskrifttypeiafsnit"/>
    <w:link w:val="Overskrift3"/>
    <w:uiPriority w:val="9"/>
    <w:rsid w:val="00184189"/>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184189"/>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84189"/>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84189"/>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8418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8418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8418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5D"/>
    <w:rsid w:val="00C10C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FB4FCDE73AE7648A2B7BA472D2DA697">
    <w:name w:val="FFB4FCDE73AE7648A2B7BA472D2DA697"/>
    <w:rsid w:val="00C10C5D"/>
  </w:style>
  <w:style w:type="paragraph" w:customStyle="1" w:styleId="8CDFB4972799A8468426BB815C75EB53">
    <w:name w:val="8CDFB4972799A8468426BB815C75EB53"/>
    <w:rsid w:val="00C10C5D"/>
  </w:style>
  <w:style w:type="paragraph" w:customStyle="1" w:styleId="36E4CE9A3451404DB61DE15D583DBE69">
    <w:name w:val="36E4CE9A3451404DB61DE15D583DBE69"/>
    <w:rsid w:val="00C10C5D"/>
  </w:style>
  <w:style w:type="paragraph" w:customStyle="1" w:styleId="3BDB19A858B70C439360593B38817403">
    <w:name w:val="3BDB19A858B70C439360593B38817403"/>
    <w:rsid w:val="00C10C5D"/>
  </w:style>
  <w:style w:type="paragraph" w:customStyle="1" w:styleId="981BB4FDEA703E4AB2D4FAA60CB2DBA8">
    <w:name w:val="981BB4FDEA703E4AB2D4FAA60CB2DBA8"/>
    <w:rsid w:val="00C10C5D"/>
  </w:style>
  <w:style w:type="paragraph" w:customStyle="1" w:styleId="074551BF7FD69347B916082A77455EC3">
    <w:name w:val="074551BF7FD69347B916082A77455EC3"/>
    <w:rsid w:val="00C10C5D"/>
  </w:style>
  <w:style w:type="paragraph" w:customStyle="1" w:styleId="EF83C516AB10BB449BC0F443BBD38705">
    <w:name w:val="EF83C516AB10BB449BC0F443BBD38705"/>
    <w:rsid w:val="00C10C5D"/>
  </w:style>
  <w:style w:type="paragraph" w:customStyle="1" w:styleId="54550C07EA42E641979FFCA6F7653DAB">
    <w:name w:val="54550C07EA42E641979FFCA6F7653DAB"/>
    <w:rsid w:val="00C10C5D"/>
  </w:style>
  <w:style w:type="paragraph" w:customStyle="1" w:styleId="345C474B981D8B42AF7B8C0D31D46582">
    <w:name w:val="345C474B981D8B42AF7B8C0D31D46582"/>
    <w:rsid w:val="00C10C5D"/>
  </w:style>
  <w:style w:type="paragraph" w:customStyle="1" w:styleId="FC7EA4437CF7DF468812C5CE3505BC45">
    <w:name w:val="FC7EA4437CF7DF468812C5CE3505BC45"/>
    <w:rsid w:val="00C10C5D"/>
  </w:style>
  <w:style w:type="paragraph" w:customStyle="1" w:styleId="C2CF634A469DE54584A0935E7C9DB584">
    <w:name w:val="C2CF634A469DE54584A0935E7C9DB584"/>
    <w:rsid w:val="00C10C5D"/>
  </w:style>
  <w:style w:type="paragraph" w:customStyle="1" w:styleId="D5461A4FC908674DB48DCB57AE8A37EA">
    <w:name w:val="D5461A4FC908674DB48DCB57AE8A37EA"/>
    <w:rsid w:val="00C10C5D"/>
  </w:style>
  <w:style w:type="paragraph" w:customStyle="1" w:styleId="436806BFB0F5384584CC1B72A741339A">
    <w:name w:val="436806BFB0F5384584CC1B72A741339A"/>
    <w:rsid w:val="00C10C5D"/>
  </w:style>
  <w:style w:type="paragraph" w:customStyle="1" w:styleId="BBADAA243F274A4691E0C40DC5378D1D">
    <w:name w:val="BBADAA243F274A4691E0C40DC5378D1D"/>
    <w:rsid w:val="00C10C5D"/>
  </w:style>
  <w:style w:type="paragraph" w:customStyle="1" w:styleId="242EEE8C1B878242885DCB677440CA5B">
    <w:name w:val="242EEE8C1B878242885DCB677440CA5B"/>
    <w:rsid w:val="00C10C5D"/>
  </w:style>
  <w:style w:type="paragraph" w:customStyle="1" w:styleId="8EF8E0C3E8DD9E40A53B4187F5758515">
    <w:name w:val="8EF8E0C3E8DD9E40A53B4187F5758515"/>
    <w:rsid w:val="00C10C5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FB4FCDE73AE7648A2B7BA472D2DA697">
    <w:name w:val="FFB4FCDE73AE7648A2B7BA472D2DA697"/>
    <w:rsid w:val="00C10C5D"/>
  </w:style>
  <w:style w:type="paragraph" w:customStyle="1" w:styleId="8CDFB4972799A8468426BB815C75EB53">
    <w:name w:val="8CDFB4972799A8468426BB815C75EB53"/>
    <w:rsid w:val="00C10C5D"/>
  </w:style>
  <w:style w:type="paragraph" w:customStyle="1" w:styleId="36E4CE9A3451404DB61DE15D583DBE69">
    <w:name w:val="36E4CE9A3451404DB61DE15D583DBE69"/>
    <w:rsid w:val="00C10C5D"/>
  </w:style>
  <w:style w:type="paragraph" w:customStyle="1" w:styleId="3BDB19A858B70C439360593B38817403">
    <w:name w:val="3BDB19A858B70C439360593B38817403"/>
    <w:rsid w:val="00C10C5D"/>
  </w:style>
  <w:style w:type="paragraph" w:customStyle="1" w:styleId="981BB4FDEA703E4AB2D4FAA60CB2DBA8">
    <w:name w:val="981BB4FDEA703E4AB2D4FAA60CB2DBA8"/>
    <w:rsid w:val="00C10C5D"/>
  </w:style>
  <w:style w:type="paragraph" w:customStyle="1" w:styleId="074551BF7FD69347B916082A77455EC3">
    <w:name w:val="074551BF7FD69347B916082A77455EC3"/>
    <w:rsid w:val="00C10C5D"/>
  </w:style>
  <w:style w:type="paragraph" w:customStyle="1" w:styleId="EF83C516AB10BB449BC0F443BBD38705">
    <w:name w:val="EF83C516AB10BB449BC0F443BBD38705"/>
    <w:rsid w:val="00C10C5D"/>
  </w:style>
  <w:style w:type="paragraph" w:customStyle="1" w:styleId="54550C07EA42E641979FFCA6F7653DAB">
    <w:name w:val="54550C07EA42E641979FFCA6F7653DAB"/>
    <w:rsid w:val="00C10C5D"/>
  </w:style>
  <w:style w:type="paragraph" w:customStyle="1" w:styleId="345C474B981D8B42AF7B8C0D31D46582">
    <w:name w:val="345C474B981D8B42AF7B8C0D31D46582"/>
    <w:rsid w:val="00C10C5D"/>
  </w:style>
  <w:style w:type="paragraph" w:customStyle="1" w:styleId="FC7EA4437CF7DF468812C5CE3505BC45">
    <w:name w:val="FC7EA4437CF7DF468812C5CE3505BC45"/>
    <w:rsid w:val="00C10C5D"/>
  </w:style>
  <w:style w:type="paragraph" w:customStyle="1" w:styleId="C2CF634A469DE54584A0935E7C9DB584">
    <w:name w:val="C2CF634A469DE54584A0935E7C9DB584"/>
    <w:rsid w:val="00C10C5D"/>
  </w:style>
  <w:style w:type="paragraph" w:customStyle="1" w:styleId="D5461A4FC908674DB48DCB57AE8A37EA">
    <w:name w:val="D5461A4FC908674DB48DCB57AE8A37EA"/>
    <w:rsid w:val="00C10C5D"/>
  </w:style>
  <w:style w:type="paragraph" w:customStyle="1" w:styleId="436806BFB0F5384584CC1B72A741339A">
    <w:name w:val="436806BFB0F5384584CC1B72A741339A"/>
    <w:rsid w:val="00C10C5D"/>
  </w:style>
  <w:style w:type="paragraph" w:customStyle="1" w:styleId="BBADAA243F274A4691E0C40DC5378D1D">
    <w:name w:val="BBADAA243F274A4691E0C40DC5378D1D"/>
    <w:rsid w:val="00C10C5D"/>
  </w:style>
  <w:style w:type="paragraph" w:customStyle="1" w:styleId="242EEE8C1B878242885DCB677440CA5B">
    <w:name w:val="242EEE8C1B878242885DCB677440CA5B"/>
    <w:rsid w:val="00C10C5D"/>
  </w:style>
  <w:style w:type="paragraph" w:customStyle="1" w:styleId="8EF8E0C3E8DD9E40A53B4187F5758515">
    <w:name w:val="8EF8E0C3E8DD9E40A53B4187F5758515"/>
    <w:rsid w:val="00C10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Aalborg Universitet 2015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B0000A-3D13-8648-9F86-98F397DC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5884</TotalTime>
  <Pages>60</Pages>
  <Words>18209</Words>
  <Characters>108345</Characters>
  <Application>Microsoft Macintosh Word</Application>
  <DocSecurity>0</DocSecurity>
  <Lines>1747</Lines>
  <Paragraphs>388</Paragraphs>
  <ScaleCrop>false</ScaleCrop>
  <Company/>
  <LinksUpToDate>false</LinksUpToDate>
  <CharactersWithSpaces>126166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Tilstrækkelig implementering af direktiv 2001/23/EF i dansk ret, i forhold til retsvirkningen af en afskedigelse i forbindelse med en virksomhedsoverdragelse </dc:title>
  <dc:subject/>
  <dc:creator>Forfatter: Karina Korsbæk Jensen                                      Vejleder: Charlotte Sørensen </dc:creator>
  <cp:keywords/>
  <dc:description/>
  <cp:lastModifiedBy>Karina Korsbæk</cp:lastModifiedBy>
  <cp:revision>60</cp:revision>
  <cp:lastPrinted>2015-03-13T17:23:00Z</cp:lastPrinted>
  <dcterms:created xsi:type="dcterms:W3CDTF">2015-02-19T09:56:00Z</dcterms:created>
  <dcterms:modified xsi:type="dcterms:W3CDTF">2015-05-11T10:51:00Z</dcterms:modified>
</cp:coreProperties>
</file>