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DB50B" w14:textId="61AA211D" w:rsidR="00651C95" w:rsidRPr="005D43BB" w:rsidRDefault="00651C95" w:rsidP="00DF7557">
      <w:pPr>
        <w:pStyle w:val="Heading1"/>
        <w:spacing w:line="360" w:lineRule="auto"/>
        <w:jc w:val="both"/>
        <w:rPr>
          <w:rFonts w:ascii="Times New Roman" w:hAnsi="Times New Roman" w:cs="Times New Roman"/>
          <w:lang w:val="en-GB"/>
        </w:rPr>
      </w:pPr>
      <w:bookmarkStart w:id="0" w:name="_Toc289250833"/>
      <w:r w:rsidRPr="005D43BB">
        <w:rPr>
          <w:rFonts w:ascii="Times New Roman" w:hAnsi="Times New Roman" w:cs="Times New Roman"/>
          <w:lang w:val="en-GB"/>
        </w:rPr>
        <w:t>Abstract</w:t>
      </w:r>
      <w:bookmarkEnd w:id="0"/>
    </w:p>
    <w:p w14:paraId="6B375A8C" w14:textId="51C502A9" w:rsidR="00651C95" w:rsidRDefault="00255FCB" w:rsidP="00DF7557">
      <w:pPr>
        <w:spacing w:line="360" w:lineRule="auto"/>
        <w:jc w:val="both"/>
        <w:rPr>
          <w:rFonts w:ascii="Times New Roman" w:hAnsi="Times New Roman" w:cs="Times New Roman"/>
          <w:lang w:val="en-GB"/>
        </w:rPr>
      </w:pPr>
      <w:r>
        <w:rPr>
          <w:rFonts w:ascii="Times New Roman" w:hAnsi="Times New Roman" w:cs="Times New Roman"/>
          <w:lang w:val="en-GB"/>
        </w:rPr>
        <w:t>This project is combining a theoretical frame with empirical data, collected thro</w:t>
      </w:r>
      <w:r w:rsidR="003E1F32">
        <w:rPr>
          <w:rFonts w:ascii="Times New Roman" w:hAnsi="Times New Roman" w:cs="Times New Roman"/>
          <w:lang w:val="en-GB"/>
        </w:rPr>
        <w:t>ugh interviews, with the aim to unravel</w:t>
      </w:r>
      <w:r>
        <w:rPr>
          <w:rFonts w:ascii="Times New Roman" w:hAnsi="Times New Roman" w:cs="Times New Roman"/>
          <w:lang w:val="en-GB"/>
        </w:rPr>
        <w:t xml:space="preserve"> Danish local governments possibilities to take influence on European Union legislation, in the special case of the last revision of the European Public Procurement Directive. </w:t>
      </w:r>
    </w:p>
    <w:p w14:paraId="13DDD8E3" w14:textId="6793E54E" w:rsidR="00255FCB" w:rsidRDefault="000A4554" w:rsidP="00DF7557">
      <w:pPr>
        <w:spacing w:line="360" w:lineRule="auto"/>
        <w:jc w:val="both"/>
        <w:rPr>
          <w:rFonts w:ascii="Times New Roman" w:hAnsi="Times New Roman" w:cs="Times New Roman"/>
          <w:lang w:val="en-GB"/>
        </w:rPr>
      </w:pPr>
      <w:r>
        <w:rPr>
          <w:rFonts w:ascii="Times New Roman" w:hAnsi="Times New Roman" w:cs="Times New Roman"/>
          <w:lang w:val="en-GB"/>
        </w:rPr>
        <w:t>In the first section the theory of multi-level governance, the policy cycle and lobbyism is introduced. They explain how a complex decentralized political system, like the European Union</w:t>
      </w:r>
      <w:r w:rsidR="00DF7557">
        <w:rPr>
          <w:rFonts w:ascii="Times New Roman" w:hAnsi="Times New Roman" w:cs="Times New Roman"/>
          <w:lang w:val="en-GB"/>
        </w:rPr>
        <w:t>,</w:t>
      </w:r>
      <w:r>
        <w:rPr>
          <w:rFonts w:ascii="Times New Roman" w:hAnsi="Times New Roman" w:cs="Times New Roman"/>
          <w:lang w:val="en-GB"/>
        </w:rPr>
        <w:t xml:space="preserve"> works, how legislation is adapted and through which means actors from outside this system are able to take influence and take part in shaping certain legislations. Since this depicts a very general view on </w:t>
      </w:r>
      <w:r w:rsidR="00DF7557">
        <w:rPr>
          <w:rFonts w:ascii="Times New Roman" w:hAnsi="Times New Roman" w:cs="Times New Roman"/>
          <w:lang w:val="en-GB"/>
        </w:rPr>
        <w:t xml:space="preserve">how a certain political system is going work, this theoretical approach is embedded in reality in the next section of this project. </w:t>
      </w:r>
    </w:p>
    <w:p w14:paraId="3565483C" w14:textId="77448C86" w:rsidR="00DF7557" w:rsidRDefault="00DF7557" w:rsidP="00DF7557">
      <w:pPr>
        <w:spacing w:line="360" w:lineRule="auto"/>
        <w:jc w:val="both"/>
        <w:rPr>
          <w:rFonts w:ascii="Times New Roman" w:hAnsi="Times New Roman" w:cs="Times New Roman"/>
          <w:lang w:val="en-GB"/>
        </w:rPr>
      </w:pPr>
      <w:r>
        <w:rPr>
          <w:rFonts w:ascii="Times New Roman" w:hAnsi="Times New Roman" w:cs="Times New Roman"/>
          <w:lang w:val="en-GB"/>
        </w:rPr>
        <w:t>The European institutions are merged with the previous theoretical frame and draw a picture of how the EU legislation process should work ideally according to the theory and the EU’s own ambitions on subsidiarity and proportionality.</w:t>
      </w:r>
    </w:p>
    <w:p w14:paraId="2B030463" w14:textId="37EBCC42" w:rsidR="00456D8E" w:rsidRDefault="00CF1133" w:rsidP="00DF7557">
      <w:pPr>
        <w:spacing w:line="360" w:lineRule="auto"/>
        <w:jc w:val="both"/>
        <w:rPr>
          <w:rFonts w:ascii="Times New Roman" w:hAnsi="Times New Roman" w:cs="Times New Roman"/>
          <w:lang w:val="en-GB"/>
        </w:rPr>
      </w:pPr>
      <w:r>
        <w:rPr>
          <w:rFonts w:ascii="Times New Roman" w:hAnsi="Times New Roman" w:cs="Times New Roman"/>
          <w:lang w:val="en-GB"/>
        </w:rPr>
        <w:t>After a presentation of the interviews, conducted with representatives of Kommunernes Landsforenings and Danske Regioners of</w:t>
      </w:r>
      <w:r w:rsidR="003E1F32">
        <w:rPr>
          <w:rFonts w:ascii="Times New Roman" w:hAnsi="Times New Roman" w:cs="Times New Roman"/>
          <w:lang w:val="en-GB"/>
        </w:rPr>
        <w:t xml:space="preserve">fices in Brussels, the analysis forms </w:t>
      </w:r>
      <w:r w:rsidR="00456D8E">
        <w:rPr>
          <w:rFonts w:ascii="Times New Roman" w:hAnsi="Times New Roman" w:cs="Times New Roman"/>
          <w:lang w:val="en-GB"/>
        </w:rPr>
        <w:t>the last main section of this project.</w:t>
      </w:r>
    </w:p>
    <w:p w14:paraId="0D048735" w14:textId="6BFC809F" w:rsidR="00CF1133" w:rsidRDefault="00456D8E" w:rsidP="00DF7557">
      <w:pPr>
        <w:spacing w:line="360" w:lineRule="auto"/>
        <w:jc w:val="both"/>
        <w:rPr>
          <w:rFonts w:ascii="Times New Roman" w:hAnsi="Times New Roman" w:cs="Times New Roman"/>
          <w:lang w:val="en-GB"/>
        </w:rPr>
      </w:pPr>
      <w:r>
        <w:rPr>
          <w:rFonts w:ascii="Times New Roman" w:hAnsi="Times New Roman" w:cs="Times New Roman"/>
          <w:lang w:val="en-GB"/>
        </w:rPr>
        <w:t xml:space="preserve">In the analysis the theoretical ideal picture drawn of the EU legislation process is discussed opposite the actual process of the </w:t>
      </w:r>
      <w:r w:rsidR="007F657D">
        <w:rPr>
          <w:rFonts w:ascii="Times New Roman" w:hAnsi="Times New Roman" w:cs="Times New Roman"/>
          <w:lang w:val="en-GB"/>
        </w:rPr>
        <w:t xml:space="preserve">procurement </w:t>
      </w:r>
      <w:proofErr w:type="gramStart"/>
      <w:r w:rsidR="007F657D">
        <w:rPr>
          <w:rFonts w:ascii="Times New Roman" w:hAnsi="Times New Roman" w:cs="Times New Roman"/>
          <w:lang w:val="en-GB"/>
        </w:rPr>
        <w:t>directive</w:t>
      </w:r>
      <w:proofErr w:type="gramEnd"/>
      <w:r w:rsidR="007F657D">
        <w:rPr>
          <w:rFonts w:ascii="Times New Roman" w:hAnsi="Times New Roman" w:cs="Times New Roman"/>
          <w:lang w:val="en-GB"/>
        </w:rPr>
        <w:t xml:space="preserve"> as it was perceived</w:t>
      </w:r>
      <w:r>
        <w:rPr>
          <w:rFonts w:ascii="Times New Roman" w:hAnsi="Times New Roman" w:cs="Times New Roman"/>
          <w:lang w:val="en-GB"/>
        </w:rPr>
        <w:t xml:space="preserve"> by the Danish local government representations in Brussels. </w:t>
      </w:r>
    </w:p>
    <w:p w14:paraId="599ABD75" w14:textId="10BCD41C" w:rsidR="00456D8E" w:rsidRDefault="00456D8E" w:rsidP="00DF7557">
      <w:pPr>
        <w:spacing w:line="360" w:lineRule="auto"/>
        <w:jc w:val="both"/>
        <w:rPr>
          <w:rFonts w:ascii="Times New Roman" w:hAnsi="Times New Roman" w:cs="Times New Roman"/>
          <w:lang w:val="en-GB"/>
        </w:rPr>
      </w:pPr>
      <w:r>
        <w:rPr>
          <w:rFonts w:ascii="Times New Roman" w:hAnsi="Times New Roman" w:cs="Times New Roman"/>
          <w:lang w:val="en-GB"/>
        </w:rPr>
        <w:t xml:space="preserve">It showed that local </w:t>
      </w:r>
      <w:r w:rsidR="007F657D">
        <w:rPr>
          <w:rFonts w:ascii="Times New Roman" w:hAnsi="Times New Roman" w:cs="Times New Roman"/>
          <w:lang w:val="en-GB"/>
        </w:rPr>
        <w:t xml:space="preserve">Danish </w:t>
      </w:r>
      <w:r>
        <w:rPr>
          <w:rFonts w:ascii="Times New Roman" w:hAnsi="Times New Roman" w:cs="Times New Roman"/>
          <w:lang w:val="en-GB"/>
        </w:rPr>
        <w:t xml:space="preserve">governments in many </w:t>
      </w:r>
      <w:r w:rsidR="007F657D">
        <w:rPr>
          <w:rFonts w:ascii="Times New Roman" w:hAnsi="Times New Roman" w:cs="Times New Roman"/>
          <w:lang w:val="en-GB"/>
        </w:rPr>
        <w:t>ways have good general conditions to get in contact with officials of the European Parliament and the European Commission</w:t>
      </w:r>
      <w:r w:rsidR="008F3D04">
        <w:rPr>
          <w:rFonts w:ascii="Times New Roman" w:hAnsi="Times New Roman" w:cs="Times New Roman"/>
          <w:lang w:val="en-GB"/>
        </w:rPr>
        <w:t>, especially since the treaty of Lisbon</w:t>
      </w:r>
      <w:r w:rsidR="007F657D">
        <w:rPr>
          <w:rFonts w:ascii="Times New Roman" w:hAnsi="Times New Roman" w:cs="Times New Roman"/>
          <w:lang w:val="en-GB"/>
        </w:rPr>
        <w:t xml:space="preserve">, but that a strong network is needed to really </w:t>
      </w:r>
      <w:r w:rsidR="009C6165">
        <w:rPr>
          <w:rFonts w:ascii="Times New Roman" w:hAnsi="Times New Roman" w:cs="Times New Roman"/>
          <w:lang w:val="en-GB"/>
        </w:rPr>
        <w:t xml:space="preserve">get heard and be able to make a difference. </w:t>
      </w:r>
    </w:p>
    <w:p w14:paraId="018E7D75" w14:textId="78636F35" w:rsidR="007E7A5D" w:rsidRDefault="008F3D04" w:rsidP="00BF1A52">
      <w:pPr>
        <w:keepNext/>
        <w:spacing w:line="360" w:lineRule="auto"/>
        <w:jc w:val="both"/>
        <w:rPr>
          <w:rFonts w:ascii="Times New Roman" w:hAnsi="Times New Roman" w:cs="Times New Roman"/>
          <w:lang w:val="en-GB"/>
        </w:rPr>
      </w:pPr>
      <w:r>
        <w:rPr>
          <w:rFonts w:ascii="Times New Roman" w:hAnsi="Times New Roman" w:cs="Times New Roman"/>
          <w:lang w:val="en-GB"/>
        </w:rPr>
        <w:t>While the general conditions for local governmen</w:t>
      </w:r>
      <w:r w:rsidR="00DA24CE">
        <w:rPr>
          <w:rFonts w:ascii="Times New Roman" w:hAnsi="Times New Roman" w:cs="Times New Roman"/>
          <w:lang w:val="en-GB"/>
        </w:rPr>
        <w:t>ts seem to be good, the specific case of lobbying the pr</w:t>
      </w:r>
      <w:r w:rsidR="00021A1A">
        <w:rPr>
          <w:rFonts w:ascii="Times New Roman" w:hAnsi="Times New Roman" w:cs="Times New Roman"/>
          <w:lang w:val="en-GB"/>
        </w:rPr>
        <w:t xml:space="preserve">ocurement directive also appeared to have a </w:t>
      </w:r>
      <w:r w:rsidR="00DA24CE">
        <w:rPr>
          <w:rFonts w:ascii="Times New Roman" w:hAnsi="Times New Roman" w:cs="Times New Roman"/>
          <w:lang w:val="en-GB"/>
        </w:rPr>
        <w:t>promising</w:t>
      </w:r>
      <w:r w:rsidR="00021A1A">
        <w:rPr>
          <w:rFonts w:ascii="Times New Roman" w:hAnsi="Times New Roman" w:cs="Times New Roman"/>
          <w:lang w:val="en-GB"/>
        </w:rPr>
        <w:t xml:space="preserve"> outlook</w:t>
      </w:r>
      <w:r w:rsidR="00DA24CE">
        <w:rPr>
          <w:rFonts w:ascii="Times New Roman" w:hAnsi="Times New Roman" w:cs="Times New Roman"/>
          <w:lang w:val="en-GB"/>
        </w:rPr>
        <w:t xml:space="preserve">. In the end though, factors out of Danish local governments influence </w:t>
      </w:r>
      <w:r w:rsidR="00021A1A">
        <w:rPr>
          <w:rFonts w:ascii="Times New Roman" w:hAnsi="Times New Roman" w:cs="Times New Roman"/>
          <w:lang w:val="en-GB"/>
        </w:rPr>
        <w:t xml:space="preserve">prevented a success for Kommunernes Landsforning and Danske Regioner and they didn’t get their core demand through. It seems </w:t>
      </w:r>
      <w:r w:rsidR="001C35DA">
        <w:rPr>
          <w:rFonts w:ascii="Times New Roman" w:hAnsi="Times New Roman" w:cs="Times New Roman"/>
          <w:lang w:val="en-GB"/>
        </w:rPr>
        <w:t>though;</w:t>
      </w:r>
      <w:r w:rsidR="00021A1A">
        <w:rPr>
          <w:rFonts w:ascii="Times New Roman" w:hAnsi="Times New Roman" w:cs="Times New Roman"/>
          <w:lang w:val="en-GB"/>
        </w:rPr>
        <w:t xml:space="preserve"> they were able to lay a good foundation for lobbying in the next round</w:t>
      </w:r>
      <w:r w:rsidR="007E7A5D">
        <w:rPr>
          <w:rFonts w:ascii="Times New Roman" w:hAnsi="Times New Roman" w:cs="Times New Roman"/>
          <w:lang w:val="en-GB"/>
        </w:rPr>
        <w:t xml:space="preserve"> of revision</w:t>
      </w:r>
      <w:r w:rsidR="00021A1A">
        <w:rPr>
          <w:rFonts w:ascii="Times New Roman" w:hAnsi="Times New Roman" w:cs="Times New Roman"/>
          <w:lang w:val="en-GB"/>
        </w:rPr>
        <w:t>, whic</w:t>
      </w:r>
      <w:r w:rsidR="00BF1A52">
        <w:rPr>
          <w:rFonts w:ascii="Times New Roman" w:hAnsi="Times New Roman" w:cs="Times New Roman"/>
          <w:lang w:val="en-GB"/>
        </w:rPr>
        <w:t xml:space="preserve">h is bound to come eventually. </w:t>
      </w:r>
    </w:p>
    <w:p w14:paraId="526F995D" w14:textId="77777777" w:rsidR="007E7A5D" w:rsidRDefault="007E7A5D" w:rsidP="00DF7557">
      <w:pPr>
        <w:spacing w:line="360" w:lineRule="auto"/>
        <w:jc w:val="both"/>
        <w:rPr>
          <w:rFonts w:ascii="Times New Roman" w:hAnsi="Times New Roman" w:cs="Times New Roman"/>
          <w:lang w:val="en-GB"/>
        </w:rPr>
      </w:pPr>
    </w:p>
    <w:p w14:paraId="1E5B76E8" w14:textId="77777777" w:rsidR="007E7A5D" w:rsidRDefault="007E7A5D" w:rsidP="00DF7557">
      <w:pPr>
        <w:spacing w:line="360" w:lineRule="auto"/>
        <w:jc w:val="both"/>
        <w:rPr>
          <w:rFonts w:ascii="Times New Roman" w:hAnsi="Times New Roman" w:cs="Times New Roman"/>
          <w:lang w:val="en-GB"/>
        </w:rPr>
      </w:pPr>
    </w:p>
    <w:p w14:paraId="35ED535C" w14:textId="77777777" w:rsidR="007E7A5D" w:rsidRDefault="007E7A5D" w:rsidP="00DF7557">
      <w:pPr>
        <w:spacing w:line="360" w:lineRule="auto"/>
        <w:jc w:val="both"/>
        <w:rPr>
          <w:rFonts w:ascii="Times New Roman" w:hAnsi="Times New Roman" w:cs="Times New Roman"/>
          <w:lang w:val="en-GB"/>
        </w:rPr>
      </w:pPr>
    </w:p>
    <w:p w14:paraId="6CA3C949" w14:textId="77777777" w:rsidR="007E7A5D" w:rsidRDefault="007E7A5D" w:rsidP="00DF7557">
      <w:pPr>
        <w:spacing w:line="360" w:lineRule="auto"/>
        <w:jc w:val="both"/>
        <w:rPr>
          <w:rFonts w:ascii="Times New Roman" w:hAnsi="Times New Roman" w:cs="Times New Roman"/>
          <w:lang w:val="en-GB"/>
        </w:rPr>
      </w:pPr>
    </w:p>
    <w:p w14:paraId="626DDFB1" w14:textId="77777777" w:rsidR="007E7A5D" w:rsidRDefault="007E7A5D" w:rsidP="00DF7557">
      <w:pPr>
        <w:spacing w:line="360" w:lineRule="auto"/>
        <w:jc w:val="both"/>
        <w:rPr>
          <w:rFonts w:ascii="Times New Roman" w:hAnsi="Times New Roman" w:cs="Times New Roman"/>
          <w:lang w:val="en-GB"/>
        </w:rPr>
      </w:pPr>
    </w:p>
    <w:p w14:paraId="2C2B71FA" w14:textId="77777777" w:rsidR="007E7A5D" w:rsidRDefault="007E7A5D" w:rsidP="00DF7557">
      <w:pPr>
        <w:spacing w:line="360" w:lineRule="auto"/>
        <w:jc w:val="both"/>
        <w:rPr>
          <w:rFonts w:ascii="Times New Roman" w:hAnsi="Times New Roman" w:cs="Times New Roman"/>
          <w:lang w:val="en-GB"/>
        </w:rPr>
      </w:pPr>
    </w:p>
    <w:p w14:paraId="19C05425" w14:textId="77777777" w:rsidR="007E7A5D" w:rsidRDefault="007E7A5D" w:rsidP="00DF7557">
      <w:pPr>
        <w:spacing w:line="360" w:lineRule="auto"/>
        <w:jc w:val="both"/>
        <w:rPr>
          <w:rFonts w:ascii="Times New Roman" w:hAnsi="Times New Roman" w:cs="Times New Roman"/>
          <w:lang w:val="en-GB"/>
        </w:rPr>
      </w:pPr>
    </w:p>
    <w:p w14:paraId="0268DE7F" w14:textId="77777777" w:rsidR="007E7A5D" w:rsidRDefault="007E7A5D" w:rsidP="00DF7557">
      <w:pPr>
        <w:spacing w:line="360" w:lineRule="auto"/>
        <w:jc w:val="both"/>
        <w:rPr>
          <w:rFonts w:ascii="Times New Roman" w:hAnsi="Times New Roman" w:cs="Times New Roman"/>
          <w:lang w:val="en-GB"/>
        </w:rPr>
      </w:pPr>
    </w:p>
    <w:p w14:paraId="0C2C5374" w14:textId="77777777" w:rsidR="007E7A5D" w:rsidRDefault="007E7A5D" w:rsidP="00DF7557">
      <w:pPr>
        <w:spacing w:line="360" w:lineRule="auto"/>
        <w:jc w:val="both"/>
        <w:rPr>
          <w:rFonts w:ascii="Times New Roman" w:hAnsi="Times New Roman" w:cs="Times New Roman"/>
          <w:lang w:val="en-GB"/>
        </w:rPr>
      </w:pPr>
    </w:p>
    <w:p w14:paraId="1B8A4E28" w14:textId="77777777" w:rsidR="007E7A5D" w:rsidRDefault="007E7A5D" w:rsidP="00DF7557">
      <w:pPr>
        <w:spacing w:line="360" w:lineRule="auto"/>
        <w:jc w:val="both"/>
        <w:rPr>
          <w:rFonts w:ascii="Times New Roman" w:hAnsi="Times New Roman" w:cs="Times New Roman"/>
          <w:lang w:val="en-GB"/>
        </w:rPr>
      </w:pPr>
    </w:p>
    <w:p w14:paraId="23E503CE" w14:textId="77777777" w:rsidR="007E7A5D" w:rsidRDefault="007E7A5D" w:rsidP="00DF7557">
      <w:pPr>
        <w:spacing w:line="360" w:lineRule="auto"/>
        <w:jc w:val="both"/>
        <w:rPr>
          <w:rFonts w:ascii="Times New Roman" w:hAnsi="Times New Roman" w:cs="Times New Roman"/>
          <w:lang w:val="en-GB"/>
        </w:rPr>
      </w:pPr>
    </w:p>
    <w:p w14:paraId="23CFB1AB" w14:textId="77777777" w:rsidR="007E7A5D" w:rsidRDefault="007E7A5D" w:rsidP="00DF7557">
      <w:pPr>
        <w:spacing w:line="360" w:lineRule="auto"/>
        <w:jc w:val="both"/>
        <w:rPr>
          <w:rFonts w:ascii="Times New Roman" w:hAnsi="Times New Roman" w:cs="Times New Roman"/>
          <w:lang w:val="en-GB"/>
        </w:rPr>
      </w:pPr>
    </w:p>
    <w:p w14:paraId="71DFB550" w14:textId="77777777" w:rsidR="007E7A5D" w:rsidRDefault="007E7A5D" w:rsidP="00DF7557">
      <w:pPr>
        <w:spacing w:line="360" w:lineRule="auto"/>
        <w:jc w:val="both"/>
        <w:rPr>
          <w:rFonts w:ascii="Times New Roman" w:hAnsi="Times New Roman" w:cs="Times New Roman"/>
          <w:lang w:val="en-GB"/>
        </w:rPr>
      </w:pPr>
    </w:p>
    <w:p w14:paraId="2E3BAB7F" w14:textId="77777777" w:rsidR="007E7A5D" w:rsidRDefault="007E7A5D" w:rsidP="00DF7557">
      <w:pPr>
        <w:spacing w:line="360" w:lineRule="auto"/>
        <w:jc w:val="both"/>
        <w:rPr>
          <w:rFonts w:ascii="Times New Roman" w:hAnsi="Times New Roman" w:cs="Times New Roman"/>
          <w:lang w:val="en-GB"/>
        </w:rPr>
      </w:pPr>
    </w:p>
    <w:p w14:paraId="422EF8E2" w14:textId="77777777" w:rsidR="007E7A5D" w:rsidRDefault="007E7A5D" w:rsidP="00DF7557">
      <w:pPr>
        <w:spacing w:line="360" w:lineRule="auto"/>
        <w:jc w:val="both"/>
        <w:rPr>
          <w:rFonts w:ascii="Times New Roman" w:hAnsi="Times New Roman" w:cs="Times New Roman"/>
          <w:lang w:val="en-GB"/>
        </w:rPr>
      </w:pPr>
    </w:p>
    <w:p w14:paraId="1F0ED676" w14:textId="77777777" w:rsidR="007E7A5D" w:rsidRDefault="007E7A5D" w:rsidP="00DF7557">
      <w:pPr>
        <w:spacing w:line="360" w:lineRule="auto"/>
        <w:jc w:val="both"/>
        <w:rPr>
          <w:rFonts w:ascii="Times New Roman" w:hAnsi="Times New Roman" w:cs="Times New Roman"/>
          <w:lang w:val="en-GB"/>
        </w:rPr>
      </w:pPr>
    </w:p>
    <w:p w14:paraId="174636F9" w14:textId="77777777" w:rsidR="007E7A5D" w:rsidRDefault="007E7A5D" w:rsidP="00DF7557">
      <w:pPr>
        <w:spacing w:line="360" w:lineRule="auto"/>
        <w:jc w:val="both"/>
        <w:rPr>
          <w:rFonts w:ascii="Times New Roman" w:hAnsi="Times New Roman" w:cs="Times New Roman"/>
          <w:lang w:val="en-GB"/>
        </w:rPr>
      </w:pPr>
    </w:p>
    <w:p w14:paraId="7BB7BA95" w14:textId="77777777" w:rsidR="007E7A5D" w:rsidRDefault="007E7A5D" w:rsidP="00DF7557">
      <w:pPr>
        <w:spacing w:line="360" w:lineRule="auto"/>
        <w:jc w:val="both"/>
        <w:rPr>
          <w:rFonts w:ascii="Times New Roman" w:hAnsi="Times New Roman" w:cs="Times New Roman"/>
          <w:lang w:val="en-GB"/>
        </w:rPr>
      </w:pPr>
    </w:p>
    <w:p w14:paraId="527DD4F2" w14:textId="77777777" w:rsidR="007E7A5D" w:rsidRDefault="007E7A5D" w:rsidP="00DF7557">
      <w:pPr>
        <w:spacing w:line="360" w:lineRule="auto"/>
        <w:jc w:val="both"/>
        <w:rPr>
          <w:rFonts w:ascii="Times New Roman" w:hAnsi="Times New Roman" w:cs="Times New Roman"/>
          <w:lang w:val="en-GB"/>
        </w:rPr>
      </w:pPr>
    </w:p>
    <w:p w14:paraId="405F3AA1" w14:textId="77777777" w:rsidR="007E7A5D" w:rsidRDefault="007E7A5D" w:rsidP="00DF7557">
      <w:pPr>
        <w:spacing w:line="360" w:lineRule="auto"/>
        <w:jc w:val="both"/>
        <w:rPr>
          <w:rFonts w:ascii="Times New Roman" w:hAnsi="Times New Roman" w:cs="Times New Roman"/>
          <w:lang w:val="en-GB"/>
        </w:rPr>
      </w:pPr>
    </w:p>
    <w:p w14:paraId="20590FDA" w14:textId="77777777" w:rsidR="007E7A5D" w:rsidRDefault="007E7A5D" w:rsidP="00DF7557">
      <w:pPr>
        <w:spacing w:line="360" w:lineRule="auto"/>
        <w:jc w:val="both"/>
        <w:rPr>
          <w:rFonts w:ascii="Times New Roman" w:hAnsi="Times New Roman" w:cs="Times New Roman"/>
          <w:lang w:val="en-GB"/>
        </w:rPr>
      </w:pPr>
    </w:p>
    <w:p w14:paraId="13C1DE1D" w14:textId="77777777" w:rsidR="007E7A5D" w:rsidRDefault="007E7A5D" w:rsidP="00DF7557">
      <w:pPr>
        <w:spacing w:line="360" w:lineRule="auto"/>
        <w:jc w:val="both"/>
        <w:rPr>
          <w:rFonts w:ascii="Times New Roman" w:hAnsi="Times New Roman" w:cs="Times New Roman"/>
          <w:lang w:val="en-GB"/>
        </w:rPr>
      </w:pPr>
    </w:p>
    <w:p w14:paraId="0F72AFB1" w14:textId="77777777" w:rsidR="007E7A5D" w:rsidRDefault="007E7A5D" w:rsidP="00DF7557">
      <w:pPr>
        <w:spacing w:line="360" w:lineRule="auto"/>
        <w:jc w:val="both"/>
        <w:rPr>
          <w:rFonts w:ascii="Times New Roman" w:hAnsi="Times New Roman" w:cs="Times New Roman"/>
          <w:lang w:val="en-GB"/>
        </w:rPr>
      </w:pPr>
    </w:p>
    <w:p w14:paraId="3DCAD2C5" w14:textId="77777777" w:rsidR="007E7A5D" w:rsidRDefault="007E7A5D" w:rsidP="00DF7557">
      <w:pPr>
        <w:spacing w:line="360" w:lineRule="auto"/>
        <w:jc w:val="both"/>
        <w:rPr>
          <w:rFonts w:ascii="Times New Roman" w:hAnsi="Times New Roman" w:cs="Times New Roman"/>
          <w:lang w:val="en-GB"/>
        </w:rPr>
      </w:pPr>
    </w:p>
    <w:p w14:paraId="2904B59F" w14:textId="77777777" w:rsidR="007E7A5D" w:rsidRDefault="007E7A5D" w:rsidP="00DF7557">
      <w:pPr>
        <w:spacing w:line="360" w:lineRule="auto"/>
        <w:jc w:val="both"/>
        <w:rPr>
          <w:rFonts w:ascii="Times New Roman" w:hAnsi="Times New Roman" w:cs="Times New Roman"/>
          <w:lang w:val="en-GB"/>
        </w:rPr>
      </w:pPr>
    </w:p>
    <w:p w14:paraId="34B85760" w14:textId="77777777" w:rsidR="007E7A5D" w:rsidRDefault="007E7A5D" w:rsidP="00DF7557">
      <w:pPr>
        <w:spacing w:line="360" w:lineRule="auto"/>
        <w:jc w:val="both"/>
        <w:rPr>
          <w:rFonts w:ascii="Times New Roman" w:hAnsi="Times New Roman" w:cs="Times New Roman"/>
          <w:lang w:val="en-GB"/>
        </w:rPr>
      </w:pPr>
    </w:p>
    <w:p w14:paraId="1EFCC3B6" w14:textId="77777777" w:rsidR="007E7A5D" w:rsidRDefault="007E7A5D" w:rsidP="00DF7557">
      <w:pPr>
        <w:spacing w:line="360" w:lineRule="auto"/>
        <w:jc w:val="both"/>
        <w:rPr>
          <w:rFonts w:ascii="Times New Roman" w:hAnsi="Times New Roman" w:cs="Times New Roman"/>
          <w:lang w:val="en-GB"/>
        </w:rPr>
      </w:pPr>
    </w:p>
    <w:p w14:paraId="61ECDBAE" w14:textId="77777777" w:rsidR="007E7A5D" w:rsidRDefault="007E7A5D" w:rsidP="00DF7557">
      <w:pPr>
        <w:spacing w:line="360" w:lineRule="auto"/>
        <w:jc w:val="both"/>
        <w:rPr>
          <w:rFonts w:ascii="Times New Roman" w:hAnsi="Times New Roman" w:cs="Times New Roman"/>
          <w:lang w:val="en-GB"/>
        </w:rPr>
      </w:pPr>
    </w:p>
    <w:p w14:paraId="56B495C0" w14:textId="77777777" w:rsidR="007E7A5D" w:rsidRDefault="007E7A5D" w:rsidP="00DF7557">
      <w:pPr>
        <w:spacing w:line="360" w:lineRule="auto"/>
        <w:jc w:val="both"/>
        <w:rPr>
          <w:rFonts w:ascii="Times New Roman" w:hAnsi="Times New Roman" w:cs="Times New Roman"/>
          <w:lang w:val="en-GB"/>
        </w:rPr>
      </w:pPr>
    </w:p>
    <w:p w14:paraId="68E1C409" w14:textId="77777777" w:rsidR="007E7A5D" w:rsidRDefault="007E7A5D" w:rsidP="00DF7557">
      <w:pPr>
        <w:spacing w:line="360" w:lineRule="auto"/>
        <w:jc w:val="both"/>
        <w:rPr>
          <w:rFonts w:ascii="Times New Roman" w:hAnsi="Times New Roman" w:cs="Times New Roman"/>
          <w:lang w:val="en-GB"/>
        </w:rPr>
      </w:pPr>
    </w:p>
    <w:p w14:paraId="382A6C94" w14:textId="77777777" w:rsidR="007E7A5D" w:rsidRDefault="007E7A5D" w:rsidP="00DF7557">
      <w:pPr>
        <w:spacing w:line="360" w:lineRule="auto"/>
        <w:jc w:val="both"/>
        <w:rPr>
          <w:rFonts w:ascii="Times New Roman" w:hAnsi="Times New Roman" w:cs="Times New Roman"/>
          <w:lang w:val="en-GB"/>
        </w:rPr>
      </w:pPr>
    </w:p>
    <w:p w14:paraId="4E944567" w14:textId="77777777" w:rsidR="007E7A5D" w:rsidRDefault="007E7A5D" w:rsidP="00DF7557">
      <w:pPr>
        <w:spacing w:line="360" w:lineRule="auto"/>
        <w:jc w:val="both"/>
        <w:rPr>
          <w:rFonts w:ascii="Times New Roman" w:hAnsi="Times New Roman" w:cs="Times New Roman"/>
          <w:lang w:val="en-GB"/>
        </w:rPr>
      </w:pPr>
    </w:p>
    <w:p w14:paraId="266C4E41" w14:textId="77777777" w:rsidR="00DA24CE" w:rsidRDefault="00DA24CE" w:rsidP="00DF7557">
      <w:pPr>
        <w:spacing w:line="360" w:lineRule="auto"/>
        <w:jc w:val="both"/>
        <w:rPr>
          <w:rFonts w:ascii="Times New Roman" w:hAnsi="Times New Roman" w:cs="Times New Roman"/>
          <w:lang w:val="en-GB"/>
        </w:rPr>
      </w:pPr>
    </w:p>
    <w:p w14:paraId="404A68DC"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01A586BC"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462E805C"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00FF2DC2"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588B0C5E"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69666862"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2FA0C7C7" w14:textId="77777777" w:rsidR="00BF1A52" w:rsidRDefault="00BF1A52" w:rsidP="00FE01C5">
      <w:pPr>
        <w:pStyle w:val="TOC1"/>
        <w:tabs>
          <w:tab w:val="left" w:pos="515"/>
          <w:tab w:val="right" w:leader="dot" w:pos="8290"/>
        </w:tabs>
        <w:rPr>
          <w:rFonts w:ascii="Times New Roman" w:hAnsi="Times New Roman" w:cs="Times New Roman"/>
          <w:lang w:val="en-GB"/>
        </w:rPr>
      </w:pPr>
    </w:p>
    <w:p w14:paraId="461CEB12" w14:textId="77777777" w:rsidR="00BF1A52" w:rsidRDefault="00BF1A52" w:rsidP="00021A1A">
      <w:pPr>
        <w:pStyle w:val="TOC1"/>
        <w:tabs>
          <w:tab w:val="left" w:pos="515"/>
          <w:tab w:val="right" w:leader="dot" w:pos="8290"/>
        </w:tabs>
        <w:jc w:val="center"/>
        <w:rPr>
          <w:rFonts w:ascii="Times New Roman" w:hAnsi="Times New Roman" w:cs="Times New Roman"/>
          <w:lang w:val="en-GB"/>
        </w:rPr>
      </w:pPr>
    </w:p>
    <w:p w14:paraId="5E72D9D8" w14:textId="77777777" w:rsidR="00BF1A52" w:rsidRDefault="00BF1A52" w:rsidP="00021A1A">
      <w:pPr>
        <w:pStyle w:val="TOC1"/>
        <w:tabs>
          <w:tab w:val="left" w:pos="515"/>
          <w:tab w:val="right" w:leader="dot" w:pos="8290"/>
        </w:tabs>
        <w:jc w:val="center"/>
        <w:rPr>
          <w:rFonts w:ascii="Times New Roman" w:hAnsi="Times New Roman" w:cs="Times New Roman"/>
          <w:lang w:val="en-GB"/>
        </w:rPr>
      </w:pPr>
    </w:p>
    <w:p w14:paraId="771C182B" w14:textId="77777777" w:rsidR="00BF1A52" w:rsidRDefault="00BF1A52" w:rsidP="00021A1A">
      <w:pPr>
        <w:pStyle w:val="TOC1"/>
        <w:tabs>
          <w:tab w:val="left" w:pos="515"/>
          <w:tab w:val="right" w:leader="dot" w:pos="8290"/>
        </w:tabs>
        <w:jc w:val="center"/>
        <w:rPr>
          <w:rFonts w:ascii="Times New Roman" w:hAnsi="Times New Roman" w:cs="Times New Roman"/>
          <w:lang w:val="en-GB"/>
        </w:rPr>
      </w:pPr>
    </w:p>
    <w:p w14:paraId="18BF7509" w14:textId="6B2DEA61" w:rsidR="00651C95" w:rsidRDefault="00021A1A" w:rsidP="00021A1A">
      <w:pPr>
        <w:pStyle w:val="TOC1"/>
        <w:tabs>
          <w:tab w:val="left" w:pos="515"/>
          <w:tab w:val="right" w:leader="dot" w:pos="8290"/>
        </w:tabs>
        <w:jc w:val="center"/>
        <w:rPr>
          <w:rFonts w:ascii="Times New Roman" w:hAnsi="Times New Roman" w:cs="Times New Roman"/>
          <w:lang w:val="en-GB"/>
        </w:rPr>
      </w:pPr>
      <w:r>
        <w:rPr>
          <w:rFonts w:ascii="Times New Roman" w:hAnsi="Times New Roman" w:cs="Times New Roman"/>
          <w:lang w:val="en-GB"/>
        </w:rPr>
        <w:t>Master thesis – European Studies</w:t>
      </w:r>
    </w:p>
    <w:p w14:paraId="3B8BB67E" w14:textId="7C220443" w:rsidR="00021A1A" w:rsidRPr="00021A1A" w:rsidRDefault="00021A1A" w:rsidP="00021A1A">
      <w:pPr>
        <w:jc w:val="center"/>
      </w:pPr>
      <w:r>
        <w:t>Björn Hess</w:t>
      </w:r>
    </w:p>
    <w:p w14:paraId="34301088" w14:textId="681082DB" w:rsidR="00021A1A" w:rsidRDefault="00021A1A" w:rsidP="00021A1A">
      <w:pPr>
        <w:jc w:val="center"/>
      </w:pPr>
      <w:r>
        <w:t>Spring semester 2015</w:t>
      </w:r>
    </w:p>
    <w:p w14:paraId="58385847" w14:textId="049F824C" w:rsidR="001C35DA" w:rsidRDefault="001C35DA" w:rsidP="00021A1A">
      <w:pPr>
        <w:jc w:val="center"/>
      </w:pPr>
      <w:r>
        <w:t xml:space="preserve">Aalborg </w:t>
      </w:r>
      <w:r w:rsidRPr="003E1F32">
        <w:t>Universitet</w:t>
      </w:r>
    </w:p>
    <w:p w14:paraId="77BB509D" w14:textId="77777777" w:rsidR="00021A1A" w:rsidRDefault="00021A1A" w:rsidP="00021A1A">
      <w:pPr>
        <w:jc w:val="center"/>
      </w:pPr>
    </w:p>
    <w:p w14:paraId="5C78F415" w14:textId="2DEC4798" w:rsidR="00021A1A" w:rsidRPr="003E1F32" w:rsidRDefault="00021A1A" w:rsidP="00021A1A">
      <w:pPr>
        <w:jc w:val="center"/>
        <w:rPr>
          <w:sz w:val="32"/>
          <w:szCs w:val="32"/>
        </w:rPr>
      </w:pPr>
      <w:r w:rsidRPr="003E1F32">
        <w:rPr>
          <w:sz w:val="32"/>
          <w:szCs w:val="32"/>
        </w:rPr>
        <w:t>”Lobbying the EU”</w:t>
      </w:r>
    </w:p>
    <w:p w14:paraId="5C8365A6" w14:textId="77777777" w:rsidR="00021A1A" w:rsidRDefault="00021A1A" w:rsidP="00021A1A">
      <w:pPr>
        <w:jc w:val="center"/>
      </w:pPr>
    </w:p>
    <w:p w14:paraId="37DF882E" w14:textId="5B857EC7" w:rsidR="00021A1A" w:rsidRPr="00021A1A" w:rsidRDefault="00021A1A" w:rsidP="00021A1A">
      <w:pPr>
        <w:jc w:val="center"/>
      </w:pPr>
      <w:r>
        <w:t>Supervisor: Søren Dosenrode</w:t>
      </w:r>
    </w:p>
    <w:p w14:paraId="03F9904C"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182165AA"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5445EB1F"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1959DF3A"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27D57B2E"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43E355A6"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03599527"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1EBBB676"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225396AC"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7BC81B19"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46C48D63"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7D70D9D1" w14:textId="77777777" w:rsidR="00651C95" w:rsidRPr="005D43BB" w:rsidRDefault="00651C95" w:rsidP="005D43BB">
      <w:pPr>
        <w:pStyle w:val="TOC1"/>
        <w:tabs>
          <w:tab w:val="left" w:pos="515"/>
          <w:tab w:val="right" w:leader="dot" w:pos="8290"/>
        </w:tabs>
        <w:jc w:val="both"/>
        <w:rPr>
          <w:rFonts w:ascii="Times New Roman" w:hAnsi="Times New Roman" w:cs="Times New Roman"/>
          <w:lang w:val="en-GB"/>
        </w:rPr>
      </w:pPr>
    </w:p>
    <w:p w14:paraId="6C579DCC" w14:textId="77777777" w:rsidR="00651C95" w:rsidRDefault="00651C95" w:rsidP="005D43BB">
      <w:pPr>
        <w:pStyle w:val="TOC1"/>
        <w:tabs>
          <w:tab w:val="left" w:pos="515"/>
          <w:tab w:val="right" w:leader="dot" w:pos="8290"/>
        </w:tabs>
        <w:jc w:val="both"/>
        <w:rPr>
          <w:rFonts w:ascii="Times New Roman" w:hAnsi="Times New Roman" w:cs="Times New Roman"/>
          <w:lang w:val="en-GB"/>
        </w:rPr>
      </w:pPr>
    </w:p>
    <w:p w14:paraId="0BD82E9F" w14:textId="77777777" w:rsidR="00BF1A52" w:rsidRDefault="00BF1A52" w:rsidP="00BF1A52"/>
    <w:p w14:paraId="7F814D1E" w14:textId="77777777" w:rsidR="00BF1A52" w:rsidRDefault="00BF1A52" w:rsidP="00BF1A52"/>
    <w:p w14:paraId="1E78836B" w14:textId="77777777" w:rsidR="00BF1A52" w:rsidRDefault="00BF1A52" w:rsidP="00BF1A52"/>
    <w:p w14:paraId="10565BBE" w14:textId="77777777" w:rsidR="00BF1A52" w:rsidRDefault="00BF1A52" w:rsidP="00BF1A52"/>
    <w:p w14:paraId="743DD0C0" w14:textId="77777777" w:rsidR="00BF1A52" w:rsidRPr="00BF1A52" w:rsidRDefault="00BF1A52" w:rsidP="00BF1A52"/>
    <w:p w14:paraId="75424C6B" w14:textId="77777777" w:rsidR="00BF1A52" w:rsidRDefault="00BF1A52" w:rsidP="00BF1A52"/>
    <w:p w14:paraId="0B7AA90C" w14:textId="77777777" w:rsidR="00BF1A52" w:rsidRDefault="00BF1A52" w:rsidP="00BF1A52"/>
    <w:p w14:paraId="7BB3F4B7" w14:textId="77777777" w:rsidR="00BF1A52" w:rsidRDefault="00BF1A52" w:rsidP="00BF1A52"/>
    <w:p w14:paraId="41C01BFF" w14:textId="77777777" w:rsidR="00BF1A52" w:rsidRDefault="00BF1A52" w:rsidP="00BF1A52"/>
    <w:p w14:paraId="01FEE7DF" w14:textId="77777777" w:rsidR="00BF1A52" w:rsidRDefault="00BF1A52" w:rsidP="00BF1A52"/>
    <w:p w14:paraId="2B120E82" w14:textId="77777777" w:rsidR="00BF1A52" w:rsidRDefault="00BF1A52" w:rsidP="00BF1A52"/>
    <w:p w14:paraId="6EC3696B" w14:textId="77777777" w:rsidR="00BF1A52" w:rsidRDefault="00BF1A52" w:rsidP="00BF1A52"/>
    <w:p w14:paraId="59B016B2" w14:textId="77777777" w:rsidR="00BF1A52" w:rsidRDefault="00BF1A52" w:rsidP="00BF1A52"/>
    <w:p w14:paraId="536388FF" w14:textId="77777777" w:rsidR="00BF1A52" w:rsidRDefault="00BF1A52" w:rsidP="00BF1A52"/>
    <w:p w14:paraId="2C8B92C7" w14:textId="77777777" w:rsidR="00BF1A52" w:rsidRDefault="00BF1A52" w:rsidP="00BF1A52"/>
    <w:p w14:paraId="018AA49A" w14:textId="77777777" w:rsidR="00BF1A52" w:rsidRDefault="00BF1A52" w:rsidP="00BF1A52"/>
    <w:p w14:paraId="3ED96649" w14:textId="77777777" w:rsidR="00BF1A52" w:rsidRDefault="00BF1A52" w:rsidP="00BF1A52"/>
    <w:p w14:paraId="3535DD28" w14:textId="77777777" w:rsidR="00BF1A52" w:rsidRDefault="00BF1A52" w:rsidP="00BF1A52"/>
    <w:p w14:paraId="6E721647" w14:textId="77777777" w:rsidR="00BF1A52" w:rsidRDefault="00BF1A52" w:rsidP="00BF1A52"/>
    <w:p w14:paraId="29CD9E53" w14:textId="77777777" w:rsidR="00BF1A52" w:rsidRDefault="00BF1A52" w:rsidP="00BF1A52"/>
    <w:p w14:paraId="503FABCB" w14:textId="77777777" w:rsidR="00BF1A52" w:rsidRDefault="00BF1A52" w:rsidP="00BF1A52"/>
    <w:p w14:paraId="35AE7C30" w14:textId="77777777" w:rsidR="00BF1A52" w:rsidRDefault="00BF1A52" w:rsidP="00BF1A52"/>
    <w:p w14:paraId="01DF176E" w14:textId="77777777" w:rsidR="00BF1A52" w:rsidRDefault="00BF1A52" w:rsidP="00BF1A52"/>
    <w:p w14:paraId="66929034" w14:textId="77777777" w:rsidR="00BF1A52" w:rsidRDefault="00BF1A52" w:rsidP="00BF1A52"/>
    <w:p w14:paraId="1FB31268" w14:textId="77777777" w:rsidR="00BF1A52" w:rsidRDefault="00BF1A52" w:rsidP="00BF1A52"/>
    <w:p w14:paraId="33D5DF65" w14:textId="77777777" w:rsidR="00BF1A52" w:rsidRDefault="00BF1A52" w:rsidP="00BF1A52"/>
    <w:p w14:paraId="2EE807B3" w14:textId="77777777" w:rsidR="00BF1A52" w:rsidRDefault="00BF1A52" w:rsidP="00BF1A52"/>
    <w:p w14:paraId="167C27FC" w14:textId="77777777" w:rsidR="00BF1A52" w:rsidRDefault="00BF1A52" w:rsidP="00BF1A52"/>
    <w:p w14:paraId="3416ACBD" w14:textId="77777777" w:rsidR="00BF1A52" w:rsidRDefault="00BF1A52" w:rsidP="00BF1A52"/>
    <w:p w14:paraId="64ED9F5B" w14:textId="77777777" w:rsidR="00BF1A52" w:rsidRDefault="00BF1A52" w:rsidP="00BF1A52"/>
    <w:p w14:paraId="0B0757F4" w14:textId="77777777" w:rsidR="00BF1A52" w:rsidRDefault="00BF1A52" w:rsidP="00BF1A52"/>
    <w:p w14:paraId="33C5E2B7" w14:textId="77777777" w:rsidR="00BF1A52" w:rsidRDefault="00BF1A52" w:rsidP="00BF1A52"/>
    <w:p w14:paraId="49974D5D" w14:textId="77777777" w:rsidR="00BF1A52" w:rsidRDefault="00BF1A52" w:rsidP="00BF1A52"/>
    <w:p w14:paraId="4C7FBC2E" w14:textId="77777777" w:rsidR="00BF1A52" w:rsidRDefault="00BF1A52" w:rsidP="00BF1A52"/>
    <w:p w14:paraId="5B6310EB" w14:textId="77777777" w:rsidR="00BF1A52" w:rsidRDefault="00BF1A52" w:rsidP="00BF1A52"/>
    <w:p w14:paraId="028CE9E8" w14:textId="77777777" w:rsidR="00BF1A52" w:rsidRDefault="00BF1A52" w:rsidP="00BF1A52"/>
    <w:p w14:paraId="72F61749" w14:textId="77777777" w:rsidR="00BF1A52" w:rsidRDefault="00BF1A52" w:rsidP="00BF1A52"/>
    <w:p w14:paraId="65E83997" w14:textId="77777777" w:rsidR="00BF1A52" w:rsidRDefault="00BF1A52" w:rsidP="00BF1A52"/>
    <w:p w14:paraId="18F6402E" w14:textId="77777777" w:rsidR="00BF1A52" w:rsidRDefault="00BF1A52" w:rsidP="00BF1A52"/>
    <w:p w14:paraId="3A08F4E3" w14:textId="77777777" w:rsidR="00BF1A52" w:rsidRDefault="00BF1A52" w:rsidP="00BF1A52"/>
    <w:p w14:paraId="04A76995" w14:textId="77777777" w:rsidR="00BF1A52" w:rsidRDefault="00BF1A52" w:rsidP="00BF1A52"/>
    <w:p w14:paraId="258A26B0" w14:textId="77777777" w:rsidR="00BF1A52" w:rsidRDefault="00BF1A52" w:rsidP="00BF1A52"/>
    <w:p w14:paraId="3FFAF233" w14:textId="77777777" w:rsidR="00BF1A52" w:rsidRDefault="00BF1A52" w:rsidP="00BF1A52"/>
    <w:p w14:paraId="192A5437" w14:textId="77777777" w:rsidR="00BF1A52" w:rsidRDefault="00BF1A52" w:rsidP="00BF1A52"/>
    <w:p w14:paraId="07ED729D" w14:textId="77777777" w:rsidR="00BF1A52" w:rsidRDefault="00BF1A52" w:rsidP="00BF1A52"/>
    <w:p w14:paraId="3B52A017" w14:textId="77777777" w:rsidR="00BF1A52" w:rsidRDefault="00BF1A52" w:rsidP="00BF1A52"/>
    <w:p w14:paraId="6BD46EE4" w14:textId="77777777" w:rsidR="00BF1A52" w:rsidRDefault="00BF1A52" w:rsidP="00BF1A52"/>
    <w:p w14:paraId="4FAF072E" w14:textId="77777777" w:rsidR="00BF1A52" w:rsidRDefault="00BF1A52" w:rsidP="00BF1A52"/>
    <w:p w14:paraId="08B34E59" w14:textId="77777777" w:rsidR="00BF1A52" w:rsidRDefault="00BF1A52" w:rsidP="00BF1A52"/>
    <w:p w14:paraId="39178128" w14:textId="77777777" w:rsidR="00BF1A52" w:rsidRDefault="00BF1A52" w:rsidP="00BF1A52"/>
    <w:p w14:paraId="55C29BD2" w14:textId="77777777" w:rsidR="00BF1A52" w:rsidRDefault="00BF1A52" w:rsidP="00BF1A52"/>
    <w:p w14:paraId="61D16F9E" w14:textId="77777777" w:rsidR="00BF1A52" w:rsidRDefault="00BF1A52" w:rsidP="00BF1A52"/>
    <w:p w14:paraId="3AB3DE95" w14:textId="77777777" w:rsidR="00BF1A52" w:rsidRDefault="00BF1A52" w:rsidP="00BF1A52"/>
    <w:p w14:paraId="34B20AC0" w14:textId="77777777" w:rsidR="00BF1A52" w:rsidRDefault="00BF1A52" w:rsidP="00BF1A52">
      <w:pPr>
        <w:sectPr w:rsidR="00BF1A52" w:rsidSect="00E00EC4">
          <w:headerReference w:type="default" r:id="rId9"/>
          <w:footerReference w:type="even" r:id="rId10"/>
          <w:footerReference w:type="default" r:id="rId11"/>
          <w:pgSz w:w="11900" w:h="16840"/>
          <w:pgMar w:top="1474" w:right="1814" w:bottom="1474" w:left="1814" w:header="709" w:footer="709" w:gutter="0"/>
          <w:pgNumType w:fmt="upperRoman" w:start="1"/>
          <w:cols w:space="708"/>
          <w:docGrid w:linePitch="360"/>
        </w:sectPr>
      </w:pPr>
    </w:p>
    <w:p w14:paraId="216EE055" w14:textId="25E09B49" w:rsidR="00BF1A52" w:rsidRPr="00BF1A52" w:rsidRDefault="00BF1A52" w:rsidP="00BF1A52"/>
    <w:p w14:paraId="0CE68966" w14:textId="77777777" w:rsidR="00E00EC4" w:rsidRDefault="002A1772">
      <w:pPr>
        <w:pStyle w:val="TOC1"/>
        <w:tabs>
          <w:tab w:val="right" w:leader="dot" w:pos="8262"/>
        </w:tabs>
        <w:rPr>
          <w:b w:val="0"/>
          <w:caps w:val="0"/>
          <w:noProof/>
          <w:sz w:val="24"/>
          <w:szCs w:val="24"/>
          <w:lang w:eastAsia="ja-JP"/>
        </w:rPr>
      </w:pPr>
      <w:r w:rsidRPr="005D43BB">
        <w:rPr>
          <w:rFonts w:ascii="Times New Roman" w:hAnsi="Times New Roman" w:cs="Times New Roman"/>
          <w:lang w:val="en-GB"/>
        </w:rPr>
        <w:fldChar w:fldCharType="begin"/>
      </w:r>
      <w:r w:rsidRPr="005D43BB">
        <w:rPr>
          <w:rFonts w:ascii="Times New Roman" w:hAnsi="Times New Roman" w:cs="Times New Roman"/>
          <w:lang w:val="en-GB"/>
        </w:rPr>
        <w:instrText xml:space="preserve"> TOC \o "1-3" </w:instrText>
      </w:r>
      <w:r w:rsidRPr="005D43BB">
        <w:rPr>
          <w:rFonts w:ascii="Times New Roman" w:hAnsi="Times New Roman" w:cs="Times New Roman"/>
          <w:lang w:val="en-GB"/>
        </w:rPr>
        <w:fldChar w:fldCharType="separate"/>
      </w:r>
      <w:r w:rsidR="00E00EC4" w:rsidRPr="0025581C">
        <w:rPr>
          <w:rFonts w:ascii="Times New Roman" w:hAnsi="Times New Roman" w:cs="Times New Roman"/>
          <w:noProof/>
          <w:lang w:val="en-GB"/>
        </w:rPr>
        <w:t>Abstract</w:t>
      </w:r>
      <w:r w:rsidR="00E00EC4">
        <w:rPr>
          <w:noProof/>
        </w:rPr>
        <w:tab/>
      </w:r>
      <w:r w:rsidR="00E00EC4">
        <w:rPr>
          <w:noProof/>
        </w:rPr>
        <w:fldChar w:fldCharType="begin"/>
      </w:r>
      <w:r w:rsidR="00E00EC4">
        <w:rPr>
          <w:noProof/>
        </w:rPr>
        <w:instrText xml:space="preserve"> PAGEREF _Toc289250833 \h </w:instrText>
      </w:r>
      <w:r w:rsidR="00E00EC4">
        <w:rPr>
          <w:noProof/>
        </w:rPr>
      </w:r>
      <w:r w:rsidR="00E00EC4">
        <w:rPr>
          <w:noProof/>
        </w:rPr>
        <w:fldChar w:fldCharType="separate"/>
      </w:r>
      <w:r w:rsidR="000932D8">
        <w:rPr>
          <w:noProof/>
        </w:rPr>
        <w:t>I</w:t>
      </w:r>
      <w:r w:rsidR="00E00EC4">
        <w:rPr>
          <w:noProof/>
        </w:rPr>
        <w:fldChar w:fldCharType="end"/>
      </w:r>
    </w:p>
    <w:p w14:paraId="0331CB93" w14:textId="77777777" w:rsidR="00E00EC4" w:rsidRDefault="00E00EC4">
      <w:pPr>
        <w:pStyle w:val="TOC1"/>
        <w:tabs>
          <w:tab w:val="right" w:leader="dot" w:pos="8262"/>
        </w:tabs>
        <w:rPr>
          <w:b w:val="0"/>
          <w:caps w:val="0"/>
          <w:noProof/>
          <w:sz w:val="24"/>
          <w:szCs w:val="24"/>
          <w:lang w:eastAsia="ja-JP"/>
        </w:rPr>
      </w:pPr>
      <w:r w:rsidRPr="0025581C">
        <w:rPr>
          <w:rFonts w:ascii="Times New Roman" w:hAnsi="Times New Roman" w:cs="Times New Roman"/>
          <w:noProof/>
          <w:lang w:val="en-GB"/>
        </w:rPr>
        <w:t>1.0 Introduction</w:t>
      </w:r>
      <w:r>
        <w:rPr>
          <w:noProof/>
        </w:rPr>
        <w:tab/>
      </w:r>
      <w:r>
        <w:rPr>
          <w:noProof/>
        </w:rPr>
        <w:fldChar w:fldCharType="begin"/>
      </w:r>
      <w:r>
        <w:rPr>
          <w:noProof/>
        </w:rPr>
        <w:instrText xml:space="preserve"> PAGEREF _Toc289250834 \h </w:instrText>
      </w:r>
      <w:r>
        <w:rPr>
          <w:noProof/>
        </w:rPr>
      </w:r>
      <w:r>
        <w:rPr>
          <w:noProof/>
        </w:rPr>
        <w:fldChar w:fldCharType="separate"/>
      </w:r>
      <w:r w:rsidR="000932D8">
        <w:rPr>
          <w:noProof/>
        </w:rPr>
        <w:t>1</w:t>
      </w:r>
      <w:r>
        <w:rPr>
          <w:noProof/>
        </w:rPr>
        <w:fldChar w:fldCharType="end"/>
      </w:r>
    </w:p>
    <w:p w14:paraId="285B7EC0" w14:textId="77777777" w:rsidR="00E00EC4" w:rsidRDefault="00E00EC4">
      <w:pPr>
        <w:pStyle w:val="TOC1"/>
        <w:tabs>
          <w:tab w:val="right" w:leader="dot" w:pos="8262"/>
        </w:tabs>
        <w:rPr>
          <w:b w:val="0"/>
          <w:caps w:val="0"/>
          <w:noProof/>
          <w:sz w:val="24"/>
          <w:szCs w:val="24"/>
          <w:lang w:eastAsia="ja-JP"/>
        </w:rPr>
      </w:pPr>
      <w:r w:rsidRPr="0025581C">
        <w:rPr>
          <w:rFonts w:ascii="Times New Roman" w:hAnsi="Times New Roman" w:cs="Times New Roman"/>
          <w:noProof/>
          <w:lang w:val="en-GB"/>
        </w:rPr>
        <w:t>2.0 Problem formulation</w:t>
      </w:r>
      <w:r>
        <w:rPr>
          <w:noProof/>
        </w:rPr>
        <w:tab/>
      </w:r>
      <w:r>
        <w:rPr>
          <w:noProof/>
        </w:rPr>
        <w:fldChar w:fldCharType="begin"/>
      </w:r>
      <w:r>
        <w:rPr>
          <w:noProof/>
        </w:rPr>
        <w:instrText xml:space="preserve"> PAGEREF _Toc289250835 \h </w:instrText>
      </w:r>
      <w:r>
        <w:rPr>
          <w:noProof/>
        </w:rPr>
      </w:r>
      <w:r>
        <w:rPr>
          <w:noProof/>
        </w:rPr>
        <w:fldChar w:fldCharType="separate"/>
      </w:r>
      <w:r w:rsidR="000932D8">
        <w:rPr>
          <w:noProof/>
        </w:rPr>
        <w:t>2</w:t>
      </w:r>
      <w:r>
        <w:rPr>
          <w:noProof/>
        </w:rPr>
        <w:fldChar w:fldCharType="end"/>
      </w:r>
    </w:p>
    <w:p w14:paraId="591A5601" w14:textId="77777777" w:rsidR="00E00EC4" w:rsidRDefault="00E00EC4">
      <w:pPr>
        <w:pStyle w:val="TOC1"/>
        <w:tabs>
          <w:tab w:val="right" w:leader="dot" w:pos="8262"/>
        </w:tabs>
        <w:rPr>
          <w:b w:val="0"/>
          <w:caps w:val="0"/>
          <w:noProof/>
          <w:sz w:val="24"/>
          <w:szCs w:val="24"/>
          <w:lang w:eastAsia="ja-JP"/>
        </w:rPr>
      </w:pPr>
      <w:r w:rsidRPr="0025581C">
        <w:rPr>
          <w:rFonts w:ascii="Times New Roman" w:hAnsi="Times New Roman" w:cs="Times New Roman"/>
          <w:noProof/>
          <w:lang w:val="en-GB"/>
        </w:rPr>
        <w:t>3.0 Methodology</w:t>
      </w:r>
      <w:r>
        <w:rPr>
          <w:noProof/>
        </w:rPr>
        <w:tab/>
      </w:r>
      <w:r>
        <w:rPr>
          <w:noProof/>
        </w:rPr>
        <w:fldChar w:fldCharType="begin"/>
      </w:r>
      <w:r>
        <w:rPr>
          <w:noProof/>
        </w:rPr>
        <w:instrText xml:space="preserve"> PAGEREF _Toc289250836 \h </w:instrText>
      </w:r>
      <w:r>
        <w:rPr>
          <w:noProof/>
        </w:rPr>
      </w:r>
      <w:r>
        <w:rPr>
          <w:noProof/>
        </w:rPr>
        <w:fldChar w:fldCharType="separate"/>
      </w:r>
      <w:r w:rsidR="000932D8">
        <w:rPr>
          <w:noProof/>
        </w:rPr>
        <w:t>2</w:t>
      </w:r>
      <w:r>
        <w:rPr>
          <w:noProof/>
        </w:rPr>
        <w:fldChar w:fldCharType="end"/>
      </w:r>
    </w:p>
    <w:p w14:paraId="6262556E" w14:textId="77777777" w:rsidR="00E00EC4" w:rsidRDefault="00E00EC4">
      <w:pPr>
        <w:pStyle w:val="TOC2"/>
        <w:tabs>
          <w:tab w:val="right" w:leader="dot" w:pos="8262"/>
        </w:tabs>
        <w:rPr>
          <w:smallCaps w:val="0"/>
          <w:noProof/>
          <w:sz w:val="24"/>
          <w:szCs w:val="24"/>
          <w:lang w:eastAsia="ja-JP"/>
        </w:rPr>
      </w:pPr>
      <w:r w:rsidRPr="0025581C">
        <w:rPr>
          <w:noProof/>
          <w:lang w:val="en-GB"/>
        </w:rPr>
        <w:t>3.1 Layout</w:t>
      </w:r>
      <w:r>
        <w:rPr>
          <w:noProof/>
        </w:rPr>
        <w:tab/>
      </w:r>
      <w:r>
        <w:rPr>
          <w:noProof/>
        </w:rPr>
        <w:fldChar w:fldCharType="begin"/>
      </w:r>
      <w:r>
        <w:rPr>
          <w:noProof/>
        </w:rPr>
        <w:instrText xml:space="preserve"> PAGEREF _Toc289250837 \h </w:instrText>
      </w:r>
      <w:r>
        <w:rPr>
          <w:noProof/>
        </w:rPr>
      </w:r>
      <w:r>
        <w:rPr>
          <w:noProof/>
        </w:rPr>
        <w:fldChar w:fldCharType="separate"/>
      </w:r>
      <w:r w:rsidR="000932D8">
        <w:rPr>
          <w:noProof/>
        </w:rPr>
        <w:t>2</w:t>
      </w:r>
      <w:r>
        <w:rPr>
          <w:noProof/>
        </w:rPr>
        <w:fldChar w:fldCharType="end"/>
      </w:r>
    </w:p>
    <w:p w14:paraId="71743A78" w14:textId="77777777" w:rsidR="00E00EC4" w:rsidRDefault="00E00EC4">
      <w:pPr>
        <w:pStyle w:val="TOC2"/>
        <w:tabs>
          <w:tab w:val="right" w:leader="dot" w:pos="8262"/>
        </w:tabs>
        <w:rPr>
          <w:smallCaps w:val="0"/>
          <w:noProof/>
          <w:sz w:val="24"/>
          <w:szCs w:val="24"/>
          <w:lang w:eastAsia="ja-JP"/>
        </w:rPr>
      </w:pPr>
      <w:r w:rsidRPr="0025581C">
        <w:rPr>
          <w:noProof/>
          <w:lang w:val="en-GB"/>
        </w:rPr>
        <w:t>3.2 Approach</w:t>
      </w:r>
      <w:r>
        <w:rPr>
          <w:noProof/>
        </w:rPr>
        <w:tab/>
      </w:r>
      <w:r>
        <w:rPr>
          <w:noProof/>
        </w:rPr>
        <w:fldChar w:fldCharType="begin"/>
      </w:r>
      <w:r>
        <w:rPr>
          <w:noProof/>
        </w:rPr>
        <w:instrText xml:space="preserve"> PAGEREF _Toc289250838 \h </w:instrText>
      </w:r>
      <w:r>
        <w:rPr>
          <w:noProof/>
        </w:rPr>
      </w:r>
      <w:r>
        <w:rPr>
          <w:noProof/>
        </w:rPr>
        <w:fldChar w:fldCharType="separate"/>
      </w:r>
      <w:r w:rsidR="000932D8">
        <w:rPr>
          <w:noProof/>
        </w:rPr>
        <w:t>3</w:t>
      </w:r>
      <w:r>
        <w:rPr>
          <w:noProof/>
        </w:rPr>
        <w:fldChar w:fldCharType="end"/>
      </w:r>
    </w:p>
    <w:p w14:paraId="12F401D0" w14:textId="77777777" w:rsidR="00E00EC4" w:rsidRDefault="00E00EC4">
      <w:pPr>
        <w:pStyle w:val="TOC2"/>
        <w:tabs>
          <w:tab w:val="right" w:leader="dot" w:pos="8262"/>
        </w:tabs>
        <w:rPr>
          <w:smallCaps w:val="0"/>
          <w:noProof/>
          <w:sz w:val="24"/>
          <w:szCs w:val="24"/>
          <w:lang w:eastAsia="ja-JP"/>
        </w:rPr>
      </w:pPr>
      <w:r w:rsidRPr="0025581C">
        <w:rPr>
          <w:noProof/>
          <w:lang w:val="en-GB"/>
        </w:rPr>
        <w:t>3.3 Interviews</w:t>
      </w:r>
      <w:r>
        <w:rPr>
          <w:noProof/>
        </w:rPr>
        <w:tab/>
      </w:r>
      <w:r>
        <w:rPr>
          <w:noProof/>
        </w:rPr>
        <w:fldChar w:fldCharType="begin"/>
      </w:r>
      <w:r>
        <w:rPr>
          <w:noProof/>
        </w:rPr>
        <w:instrText xml:space="preserve"> PAGEREF _Toc289250839 \h </w:instrText>
      </w:r>
      <w:r>
        <w:rPr>
          <w:noProof/>
        </w:rPr>
      </w:r>
      <w:r>
        <w:rPr>
          <w:noProof/>
        </w:rPr>
        <w:fldChar w:fldCharType="separate"/>
      </w:r>
      <w:r w:rsidR="000932D8">
        <w:rPr>
          <w:noProof/>
        </w:rPr>
        <w:t>4</w:t>
      </w:r>
      <w:r>
        <w:rPr>
          <w:noProof/>
        </w:rPr>
        <w:fldChar w:fldCharType="end"/>
      </w:r>
    </w:p>
    <w:p w14:paraId="35F6318D" w14:textId="77777777" w:rsidR="00E00EC4" w:rsidRDefault="00E00EC4">
      <w:pPr>
        <w:pStyle w:val="TOC2"/>
        <w:tabs>
          <w:tab w:val="right" w:leader="dot" w:pos="8262"/>
        </w:tabs>
        <w:rPr>
          <w:smallCaps w:val="0"/>
          <w:noProof/>
          <w:sz w:val="24"/>
          <w:szCs w:val="24"/>
          <w:lang w:eastAsia="ja-JP"/>
        </w:rPr>
      </w:pPr>
      <w:r w:rsidRPr="0025581C">
        <w:rPr>
          <w:noProof/>
          <w:lang w:val="en-GB"/>
        </w:rPr>
        <w:t>3.4 Case Study</w:t>
      </w:r>
      <w:r>
        <w:rPr>
          <w:noProof/>
        </w:rPr>
        <w:tab/>
      </w:r>
      <w:r>
        <w:rPr>
          <w:noProof/>
        </w:rPr>
        <w:fldChar w:fldCharType="begin"/>
      </w:r>
      <w:r>
        <w:rPr>
          <w:noProof/>
        </w:rPr>
        <w:instrText xml:space="preserve"> PAGEREF _Toc289250840 \h </w:instrText>
      </w:r>
      <w:r>
        <w:rPr>
          <w:noProof/>
        </w:rPr>
      </w:r>
      <w:r>
        <w:rPr>
          <w:noProof/>
        </w:rPr>
        <w:fldChar w:fldCharType="separate"/>
      </w:r>
      <w:r w:rsidR="000932D8">
        <w:rPr>
          <w:noProof/>
        </w:rPr>
        <w:t>5</w:t>
      </w:r>
      <w:r>
        <w:rPr>
          <w:noProof/>
        </w:rPr>
        <w:fldChar w:fldCharType="end"/>
      </w:r>
    </w:p>
    <w:p w14:paraId="40D7AF69" w14:textId="77777777" w:rsidR="00E00EC4" w:rsidRDefault="00E00EC4">
      <w:pPr>
        <w:pStyle w:val="TOC2"/>
        <w:tabs>
          <w:tab w:val="right" w:leader="dot" w:pos="8262"/>
        </w:tabs>
        <w:rPr>
          <w:smallCaps w:val="0"/>
          <w:noProof/>
          <w:sz w:val="24"/>
          <w:szCs w:val="24"/>
          <w:lang w:eastAsia="ja-JP"/>
        </w:rPr>
      </w:pPr>
      <w:r>
        <w:rPr>
          <w:noProof/>
        </w:rPr>
        <w:t>3.5 Limits</w:t>
      </w:r>
      <w:r>
        <w:rPr>
          <w:noProof/>
        </w:rPr>
        <w:tab/>
      </w:r>
      <w:r>
        <w:rPr>
          <w:noProof/>
        </w:rPr>
        <w:fldChar w:fldCharType="begin"/>
      </w:r>
      <w:r>
        <w:rPr>
          <w:noProof/>
        </w:rPr>
        <w:instrText xml:space="preserve"> PAGEREF _Toc289250841 \h </w:instrText>
      </w:r>
      <w:r>
        <w:rPr>
          <w:noProof/>
        </w:rPr>
      </w:r>
      <w:r>
        <w:rPr>
          <w:noProof/>
        </w:rPr>
        <w:fldChar w:fldCharType="separate"/>
      </w:r>
      <w:r w:rsidR="000932D8">
        <w:rPr>
          <w:noProof/>
        </w:rPr>
        <w:t>7</w:t>
      </w:r>
      <w:r>
        <w:rPr>
          <w:noProof/>
        </w:rPr>
        <w:fldChar w:fldCharType="end"/>
      </w:r>
    </w:p>
    <w:p w14:paraId="2D712A09" w14:textId="77777777" w:rsidR="00E00EC4" w:rsidRDefault="00E00EC4">
      <w:pPr>
        <w:pStyle w:val="TOC1"/>
        <w:tabs>
          <w:tab w:val="right" w:leader="dot" w:pos="8262"/>
        </w:tabs>
        <w:rPr>
          <w:b w:val="0"/>
          <w:caps w:val="0"/>
          <w:noProof/>
          <w:sz w:val="24"/>
          <w:szCs w:val="24"/>
          <w:lang w:eastAsia="ja-JP"/>
        </w:rPr>
      </w:pPr>
      <w:r w:rsidRPr="0025581C">
        <w:rPr>
          <w:rFonts w:ascii="Times New Roman" w:hAnsi="Times New Roman" w:cs="Times New Roman"/>
          <w:noProof/>
          <w:lang w:val="en-GB"/>
        </w:rPr>
        <w:t>4.0 Theories</w:t>
      </w:r>
      <w:r>
        <w:rPr>
          <w:noProof/>
        </w:rPr>
        <w:tab/>
      </w:r>
      <w:r>
        <w:rPr>
          <w:noProof/>
        </w:rPr>
        <w:fldChar w:fldCharType="begin"/>
      </w:r>
      <w:r>
        <w:rPr>
          <w:noProof/>
        </w:rPr>
        <w:instrText xml:space="preserve"> PAGEREF _Toc289250842 \h </w:instrText>
      </w:r>
      <w:r>
        <w:rPr>
          <w:noProof/>
        </w:rPr>
      </w:r>
      <w:r>
        <w:rPr>
          <w:noProof/>
        </w:rPr>
        <w:fldChar w:fldCharType="separate"/>
      </w:r>
      <w:r w:rsidR="000932D8">
        <w:rPr>
          <w:noProof/>
        </w:rPr>
        <w:t>7</w:t>
      </w:r>
      <w:r>
        <w:rPr>
          <w:noProof/>
        </w:rPr>
        <w:fldChar w:fldCharType="end"/>
      </w:r>
    </w:p>
    <w:p w14:paraId="69665B68" w14:textId="77777777" w:rsidR="00E00EC4" w:rsidRDefault="00E00EC4">
      <w:pPr>
        <w:pStyle w:val="TOC2"/>
        <w:tabs>
          <w:tab w:val="right" w:leader="dot" w:pos="8262"/>
        </w:tabs>
        <w:rPr>
          <w:smallCaps w:val="0"/>
          <w:noProof/>
          <w:sz w:val="24"/>
          <w:szCs w:val="24"/>
          <w:lang w:eastAsia="ja-JP"/>
        </w:rPr>
      </w:pPr>
      <w:r w:rsidRPr="0025581C">
        <w:rPr>
          <w:rFonts w:ascii="Times New Roman" w:hAnsi="Times New Roman" w:cs="Times New Roman"/>
          <w:noProof/>
          <w:lang w:val="en-GB"/>
        </w:rPr>
        <w:t>4.1 What is policy?</w:t>
      </w:r>
      <w:r>
        <w:rPr>
          <w:noProof/>
        </w:rPr>
        <w:tab/>
      </w:r>
      <w:r>
        <w:rPr>
          <w:noProof/>
        </w:rPr>
        <w:fldChar w:fldCharType="begin"/>
      </w:r>
      <w:r>
        <w:rPr>
          <w:noProof/>
        </w:rPr>
        <w:instrText xml:space="preserve"> PAGEREF _Toc289250843 \h </w:instrText>
      </w:r>
      <w:r>
        <w:rPr>
          <w:noProof/>
        </w:rPr>
      </w:r>
      <w:r>
        <w:rPr>
          <w:noProof/>
        </w:rPr>
        <w:fldChar w:fldCharType="separate"/>
      </w:r>
      <w:r w:rsidR="000932D8">
        <w:rPr>
          <w:noProof/>
        </w:rPr>
        <w:t>8</w:t>
      </w:r>
      <w:r>
        <w:rPr>
          <w:noProof/>
        </w:rPr>
        <w:fldChar w:fldCharType="end"/>
      </w:r>
    </w:p>
    <w:p w14:paraId="16CD9135" w14:textId="77777777" w:rsidR="00E00EC4" w:rsidRDefault="00E00EC4">
      <w:pPr>
        <w:pStyle w:val="TOC2"/>
        <w:tabs>
          <w:tab w:val="right" w:leader="dot" w:pos="8262"/>
        </w:tabs>
        <w:rPr>
          <w:smallCaps w:val="0"/>
          <w:noProof/>
          <w:sz w:val="24"/>
          <w:szCs w:val="24"/>
          <w:lang w:eastAsia="ja-JP"/>
        </w:rPr>
      </w:pPr>
      <w:r w:rsidRPr="0025581C">
        <w:rPr>
          <w:rFonts w:ascii="Times New Roman" w:hAnsi="Times New Roman" w:cs="Times New Roman"/>
          <w:noProof/>
          <w:lang w:val="en-GB"/>
        </w:rPr>
        <w:t>4.2 Policy cycle</w:t>
      </w:r>
      <w:r>
        <w:rPr>
          <w:noProof/>
        </w:rPr>
        <w:tab/>
      </w:r>
      <w:r>
        <w:rPr>
          <w:noProof/>
        </w:rPr>
        <w:fldChar w:fldCharType="begin"/>
      </w:r>
      <w:r>
        <w:rPr>
          <w:noProof/>
        </w:rPr>
        <w:instrText xml:space="preserve"> PAGEREF _Toc289250844 \h </w:instrText>
      </w:r>
      <w:r>
        <w:rPr>
          <w:noProof/>
        </w:rPr>
      </w:r>
      <w:r>
        <w:rPr>
          <w:noProof/>
        </w:rPr>
        <w:fldChar w:fldCharType="separate"/>
      </w:r>
      <w:r w:rsidR="000932D8">
        <w:rPr>
          <w:noProof/>
        </w:rPr>
        <w:t>9</w:t>
      </w:r>
      <w:r>
        <w:rPr>
          <w:noProof/>
        </w:rPr>
        <w:fldChar w:fldCharType="end"/>
      </w:r>
    </w:p>
    <w:p w14:paraId="67484B5C" w14:textId="77777777" w:rsidR="00E00EC4" w:rsidRDefault="00E00EC4">
      <w:pPr>
        <w:pStyle w:val="TOC3"/>
        <w:tabs>
          <w:tab w:val="right" w:leader="dot" w:pos="8262"/>
        </w:tabs>
        <w:rPr>
          <w:i w:val="0"/>
          <w:noProof/>
          <w:sz w:val="24"/>
          <w:szCs w:val="24"/>
          <w:lang w:eastAsia="ja-JP"/>
        </w:rPr>
      </w:pPr>
      <w:r w:rsidRPr="0025581C">
        <w:rPr>
          <w:rFonts w:ascii="Times New Roman" w:hAnsi="Times New Roman" w:cs="Times New Roman"/>
          <w:noProof/>
          <w:lang w:val="en-GB"/>
        </w:rPr>
        <w:t>4.2.1 Problem identification</w:t>
      </w:r>
      <w:r>
        <w:rPr>
          <w:noProof/>
        </w:rPr>
        <w:tab/>
      </w:r>
      <w:r>
        <w:rPr>
          <w:noProof/>
        </w:rPr>
        <w:fldChar w:fldCharType="begin"/>
      </w:r>
      <w:r>
        <w:rPr>
          <w:noProof/>
        </w:rPr>
        <w:instrText xml:space="preserve"> PAGEREF _Toc289250845 \h </w:instrText>
      </w:r>
      <w:r>
        <w:rPr>
          <w:noProof/>
        </w:rPr>
      </w:r>
      <w:r>
        <w:rPr>
          <w:noProof/>
        </w:rPr>
        <w:fldChar w:fldCharType="separate"/>
      </w:r>
      <w:r w:rsidR="000932D8">
        <w:rPr>
          <w:noProof/>
        </w:rPr>
        <w:t>10</w:t>
      </w:r>
      <w:r>
        <w:rPr>
          <w:noProof/>
        </w:rPr>
        <w:fldChar w:fldCharType="end"/>
      </w:r>
    </w:p>
    <w:p w14:paraId="5B7FEF99" w14:textId="77777777" w:rsidR="00E00EC4" w:rsidRDefault="00E00EC4">
      <w:pPr>
        <w:pStyle w:val="TOC3"/>
        <w:tabs>
          <w:tab w:val="right" w:leader="dot" w:pos="8262"/>
        </w:tabs>
        <w:rPr>
          <w:i w:val="0"/>
          <w:noProof/>
          <w:sz w:val="24"/>
          <w:szCs w:val="24"/>
          <w:lang w:eastAsia="ja-JP"/>
        </w:rPr>
      </w:pPr>
      <w:r w:rsidRPr="0025581C">
        <w:rPr>
          <w:rFonts w:ascii="Times New Roman" w:hAnsi="Times New Roman" w:cs="Times New Roman"/>
          <w:noProof/>
          <w:lang w:val="en-GB"/>
        </w:rPr>
        <w:t>4.2.2 Setting of a agenda</w:t>
      </w:r>
      <w:r>
        <w:rPr>
          <w:noProof/>
        </w:rPr>
        <w:tab/>
      </w:r>
      <w:r>
        <w:rPr>
          <w:noProof/>
        </w:rPr>
        <w:fldChar w:fldCharType="begin"/>
      </w:r>
      <w:r>
        <w:rPr>
          <w:noProof/>
        </w:rPr>
        <w:instrText xml:space="preserve"> PAGEREF _Toc289250846 \h </w:instrText>
      </w:r>
      <w:r>
        <w:rPr>
          <w:noProof/>
        </w:rPr>
      </w:r>
      <w:r>
        <w:rPr>
          <w:noProof/>
        </w:rPr>
        <w:fldChar w:fldCharType="separate"/>
      </w:r>
      <w:r w:rsidR="000932D8">
        <w:rPr>
          <w:noProof/>
        </w:rPr>
        <w:t>10</w:t>
      </w:r>
      <w:r>
        <w:rPr>
          <w:noProof/>
        </w:rPr>
        <w:fldChar w:fldCharType="end"/>
      </w:r>
    </w:p>
    <w:p w14:paraId="56179EFE" w14:textId="77777777" w:rsidR="00E00EC4" w:rsidRDefault="00E00EC4">
      <w:pPr>
        <w:pStyle w:val="TOC3"/>
        <w:tabs>
          <w:tab w:val="right" w:leader="dot" w:pos="8262"/>
        </w:tabs>
        <w:rPr>
          <w:i w:val="0"/>
          <w:noProof/>
          <w:sz w:val="24"/>
          <w:szCs w:val="24"/>
          <w:lang w:eastAsia="ja-JP"/>
        </w:rPr>
      </w:pPr>
      <w:r w:rsidRPr="0025581C">
        <w:rPr>
          <w:rFonts w:ascii="Times New Roman" w:hAnsi="Times New Roman" w:cs="Times New Roman"/>
          <w:noProof/>
          <w:lang w:val="en-GB"/>
        </w:rPr>
        <w:t>4.2.3 Formulation of a policy</w:t>
      </w:r>
      <w:r>
        <w:rPr>
          <w:noProof/>
        </w:rPr>
        <w:tab/>
      </w:r>
      <w:r>
        <w:rPr>
          <w:noProof/>
        </w:rPr>
        <w:fldChar w:fldCharType="begin"/>
      </w:r>
      <w:r>
        <w:rPr>
          <w:noProof/>
        </w:rPr>
        <w:instrText xml:space="preserve"> PAGEREF _Toc289250847 \h </w:instrText>
      </w:r>
      <w:r>
        <w:rPr>
          <w:noProof/>
        </w:rPr>
      </w:r>
      <w:r>
        <w:rPr>
          <w:noProof/>
        </w:rPr>
        <w:fldChar w:fldCharType="separate"/>
      </w:r>
      <w:r w:rsidR="000932D8">
        <w:rPr>
          <w:noProof/>
        </w:rPr>
        <w:t>12</w:t>
      </w:r>
      <w:r>
        <w:rPr>
          <w:noProof/>
        </w:rPr>
        <w:fldChar w:fldCharType="end"/>
      </w:r>
    </w:p>
    <w:p w14:paraId="633B4B04" w14:textId="77777777" w:rsidR="00E00EC4" w:rsidRDefault="00E00EC4">
      <w:pPr>
        <w:pStyle w:val="TOC3"/>
        <w:tabs>
          <w:tab w:val="right" w:leader="dot" w:pos="8262"/>
        </w:tabs>
        <w:rPr>
          <w:i w:val="0"/>
          <w:noProof/>
          <w:sz w:val="24"/>
          <w:szCs w:val="24"/>
          <w:lang w:eastAsia="ja-JP"/>
        </w:rPr>
      </w:pPr>
      <w:r w:rsidRPr="0025581C">
        <w:rPr>
          <w:rFonts w:ascii="Times New Roman" w:hAnsi="Times New Roman" w:cs="Times New Roman"/>
          <w:noProof/>
          <w:lang w:val="en-GB"/>
        </w:rPr>
        <w:t>4.2.4 Implementation of a policy</w:t>
      </w:r>
      <w:r>
        <w:rPr>
          <w:noProof/>
        </w:rPr>
        <w:tab/>
      </w:r>
      <w:r>
        <w:rPr>
          <w:noProof/>
        </w:rPr>
        <w:fldChar w:fldCharType="begin"/>
      </w:r>
      <w:r>
        <w:rPr>
          <w:noProof/>
        </w:rPr>
        <w:instrText xml:space="preserve"> PAGEREF _Toc289250848 \h </w:instrText>
      </w:r>
      <w:r>
        <w:rPr>
          <w:noProof/>
        </w:rPr>
      </w:r>
      <w:r>
        <w:rPr>
          <w:noProof/>
        </w:rPr>
        <w:fldChar w:fldCharType="separate"/>
      </w:r>
      <w:r w:rsidR="000932D8">
        <w:rPr>
          <w:noProof/>
        </w:rPr>
        <w:t>14</w:t>
      </w:r>
      <w:r>
        <w:rPr>
          <w:noProof/>
        </w:rPr>
        <w:fldChar w:fldCharType="end"/>
      </w:r>
    </w:p>
    <w:p w14:paraId="74B9C300" w14:textId="77777777" w:rsidR="00E00EC4" w:rsidRDefault="00E00EC4">
      <w:pPr>
        <w:pStyle w:val="TOC3"/>
        <w:tabs>
          <w:tab w:val="right" w:leader="dot" w:pos="8262"/>
        </w:tabs>
        <w:rPr>
          <w:i w:val="0"/>
          <w:noProof/>
          <w:sz w:val="24"/>
          <w:szCs w:val="24"/>
          <w:lang w:eastAsia="ja-JP"/>
        </w:rPr>
      </w:pPr>
      <w:r w:rsidRPr="0025581C">
        <w:rPr>
          <w:rFonts w:ascii="Times New Roman" w:hAnsi="Times New Roman" w:cs="Times New Roman"/>
          <w:noProof/>
          <w:lang w:val="en-GB"/>
        </w:rPr>
        <w:t>4.2.5 Evaluation of a policy</w:t>
      </w:r>
      <w:r>
        <w:rPr>
          <w:noProof/>
        </w:rPr>
        <w:tab/>
      </w:r>
      <w:r>
        <w:rPr>
          <w:noProof/>
        </w:rPr>
        <w:fldChar w:fldCharType="begin"/>
      </w:r>
      <w:r>
        <w:rPr>
          <w:noProof/>
        </w:rPr>
        <w:instrText xml:space="preserve"> PAGEREF _Toc289250849 \h </w:instrText>
      </w:r>
      <w:r>
        <w:rPr>
          <w:noProof/>
        </w:rPr>
      </w:r>
      <w:r>
        <w:rPr>
          <w:noProof/>
        </w:rPr>
        <w:fldChar w:fldCharType="separate"/>
      </w:r>
      <w:r w:rsidR="000932D8">
        <w:rPr>
          <w:noProof/>
        </w:rPr>
        <w:t>15</w:t>
      </w:r>
      <w:r>
        <w:rPr>
          <w:noProof/>
        </w:rPr>
        <w:fldChar w:fldCharType="end"/>
      </w:r>
    </w:p>
    <w:p w14:paraId="157ABC15" w14:textId="77777777" w:rsidR="00E00EC4" w:rsidRDefault="00E00EC4">
      <w:pPr>
        <w:pStyle w:val="TOC2"/>
        <w:tabs>
          <w:tab w:val="right" w:leader="dot" w:pos="8262"/>
        </w:tabs>
        <w:rPr>
          <w:smallCaps w:val="0"/>
          <w:noProof/>
          <w:sz w:val="24"/>
          <w:szCs w:val="24"/>
          <w:lang w:eastAsia="ja-JP"/>
        </w:rPr>
      </w:pPr>
      <w:r w:rsidRPr="0025581C">
        <w:rPr>
          <w:rFonts w:ascii="Times New Roman" w:hAnsi="Times New Roman" w:cs="Times New Roman"/>
          <w:noProof/>
          <w:lang w:val="en-GB"/>
        </w:rPr>
        <w:t>4.3 Multi level Governance</w:t>
      </w:r>
      <w:r>
        <w:rPr>
          <w:noProof/>
        </w:rPr>
        <w:tab/>
      </w:r>
      <w:r>
        <w:rPr>
          <w:noProof/>
        </w:rPr>
        <w:fldChar w:fldCharType="begin"/>
      </w:r>
      <w:r>
        <w:rPr>
          <w:noProof/>
        </w:rPr>
        <w:instrText xml:space="preserve"> PAGEREF _Toc289250850 \h </w:instrText>
      </w:r>
      <w:r>
        <w:rPr>
          <w:noProof/>
        </w:rPr>
      </w:r>
      <w:r>
        <w:rPr>
          <w:noProof/>
        </w:rPr>
        <w:fldChar w:fldCharType="separate"/>
      </w:r>
      <w:r w:rsidR="000932D8">
        <w:rPr>
          <w:noProof/>
        </w:rPr>
        <w:t>15</w:t>
      </w:r>
      <w:r>
        <w:rPr>
          <w:noProof/>
        </w:rPr>
        <w:fldChar w:fldCharType="end"/>
      </w:r>
    </w:p>
    <w:p w14:paraId="208E2675" w14:textId="77777777" w:rsidR="00E00EC4" w:rsidRDefault="00E00EC4">
      <w:pPr>
        <w:pStyle w:val="TOC2"/>
        <w:tabs>
          <w:tab w:val="right" w:leader="dot" w:pos="8262"/>
        </w:tabs>
        <w:rPr>
          <w:smallCaps w:val="0"/>
          <w:noProof/>
          <w:sz w:val="24"/>
          <w:szCs w:val="24"/>
          <w:lang w:eastAsia="ja-JP"/>
        </w:rPr>
      </w:pPr>
      <w:r w:rsidRPr="0025581C">
        <w:rPr>
          <w:noProof/>
          <w:lang w:val="en-GB"/>
        </w:rPr>
        <w:t>4.4 Lobbyism</w:t>
      </w:r>
      <w:r>
        <w:rPr>
          <w:noProof/>
        </w:rPr>
        <w:tab/>
      </w:r>
      <w:r>
        <w:rPr>
          <w:noProof/>
        </w:rPr>
        <w:fldChar w:fldCharType="begin"/>
      </w:r>
      <w:r>
        <w:rPr>
          <w:noProof/>
        </w:rPr>
        <w:instrText xml:space="preserve"> PAGEREF _Toc289250851 \h </w:instrText>
      </w:r>
      <w:r>
        <w:rPr>
          <w:noProof/>
        </w:rPr>
      </w:r>
      <w:r>
        <w:rPr>
          <w:noProof/>
        </w:rPr>
        <w:fldChar w:fldCharType="separate"/>
      </w:r>
      <w:r w:rsidR="000932D8">
        <w:rPr>
          <w:noProof/>
        </w:rPr>
        <w:t>20</w:t>
      </w:r>
      <w:r>
        <w:rPr>
          <w:noProof/>
        </w:rPr>
        <w:fldChar w:fldCharType="end"/>
      </w:r>
    </w:p>
    <w:p w14:paraId="08660C28" w14:textId="77777777" w:rsidR="00E00EC4" w:rsidRDefault="00E00EC4">
      <w:pPr>
        <w:pStyle w:val="TOC2"/>
        <w:tabs>
          <w:tab w:val="right" w:leader="dot" w:pos="8262"/>
        </w:tabs>
        <w:rPr>
          <w:smallCaps w:val="0"/>
          <w:noProof/>
          <w:sz w:val="24"/>
          <w:szCs w:val="24"/>
          <w:lang w:eastAsia="ja-JP"/>
        </w:rPr>
      </w:pPr>
      <w:r w:rsidRPr="0025581C">
        <w:rPr>
          <w:rFonts w:ascii="Times New Roman" w:hAnsi="Times New Roman" w:cs="Times New Roman"/>
          <w:noProof/>
          <w:lang w:val="en-GB"/>
        </w:rPr>
        <w:t>4.5 A possible different theoretical approach</w:t>
      </w:r>
      <w:r>
        <w:rPr>
          <w:noProof/>
        </w:rPr>
        <w:tab/>
      </w:r>
      <w:r>
        <w:rPr>
          <w:noProof/>
        </w:rPr>
        <w:fldChar w:fldCharType="begin"/>
      </w:r>
      <w:r>
        <w:rPr>
          <w:noProof/>
        </w:rPr>
        <w:instrText xml:space="preserve"> PAGEREF _Toc289250852 \h </w:instrText>
      </w:r>
      <w:r>
        <w:rPr>
          <w:noProof/>
        </w:rPr>
      </w:r>
      <w:r>
        <w:rPr>
          <w:noProof/>
        </w:rPr>
        <w:fldChar w:fldCharType="separate"/>
      </w:r>
      <w:r w:rsidR="000932D8">
        <w:rPr>
          <w:noProof/>
        </w:rPr>
        <w:t>23</w:t>
      </w:r>
      <w:r>
        <w:rPr>
          <w:noProof/>
        </w:rPr>
        <w:fldChar w:fldCharType="end"/>
      </w:r>
    </w:p>
    <w:p w14:paraId="4DED101B" w14:textId="77777777" w:rsidR="00E00EC4" w:rsidRDefault="00E00EC4">
      <w:pPr>
        <w:pStyle w:val="TOC1"/>
        <w:tabs>
          <w:tab w:val="right" w:leader="dot" w:pos="8262"/>
        </w:tabs>
        <w:rPr>
          <w:b w:val="0"/>
          <w:caps w:val="0"/>
          <w:noProof/>
          <w:sz w:val="24"/>
          <w:szCs w:val="24"/>
          <w:lang w:eastAsia="ja-JP"/>
        </w:rPr>
      </w:pPr>
      <w:r w:rsidRPr="0025581C">
        <w:rPr>
          <w:rFonts w:ascii="Times New Roman" w:hAnsi="Times New Roman" w:cs="Times New Roman"/>
          <w:noProof/>
          <w:lang w:val="en-GB"/>
        </w:rPr>
        <w:t>5.0 Local authorities and their influence on EU policy</w:t>
      </w:r>
      <w:r>
        <w:rPr>
          <w:noProof/>
        </w:rPr>
        <w:tab/>
      </w:r>
      <w:r>
        <w:rPr>
          <w:noProof/>
        </w:rPr>
        <w:fldChar w:fldCharType="begin"/>
      </w:r>
      <w:r>
        <w:rPr>
          <w:noProof/>
        </w:rPr>
        <w:instrText xml:space="preserve"> PAGEREF _Toc289250853 \h </w:instrText>
      </w:r>
      <w:r>
        <w:rPr>
          <w:noProof/>
        </w:rPr>
      </w:r>
      <w:r>
        <w:rPr>
          <w:noProof/>
        </w:rPr>
        <w:fldChar w:fldCharType="separate"/>
      </w:r>
      <w:r w:rsidR="000932D8">
        <w:rPr>
          <w:noProof/>
        </w:rPr>
        <w:t>24</w:t>
      </w:r>
      <w:r>
        <w:rPr>
          <w:noProof/>
        </w:rPr>
        <w:fldChar w:fldCharType="end"/>
      </w:r>
    </w:p>
    <w:p w14:paraId="1A8FB0C8" w14:textId="77777777" w:rsidR="00E00EC4" w:rsidRDefault="00E00EC4">
      <w:pPr>
        <w:pStyle w:val="TOC2"/>
        <w:tabs>
          <w:tab w:val="right" w:leader="dot" w:pos="8262"/>
        </w:tabs>
        <w:rPr>
          <w:smallCaps w:val="0"/>
          <w:noProof/>
          <w:sz w:val="24"/>
          <w:szCs w:val="24"/>
          <w:lang w:eastAsia="ja-JP"/>
        </w:rPr>
      </w:pPr>
      <w:r w:rsidRPr="0025581C">
        <w:rPr>
          <w:rFonts w:ascii="Times New Roman" w:hAnsi="Times New Roman" w:cs="Times New Roman"/>
          <w:noProof/>
          <w:lang w:val="en-GB"/>
        </w:rPr>
        <w:t>5.1 Kommunernes Landsforening / Danske Regioner</w:t>
      </w:r>
      <w:r>
        <w:rPr>
          <w:noProof/>
        </w:rPr>
        <w:tab/>
      </w:r>
      <w:r>
        <w:rPr>
          <w:noProof/>
        </w:rPr>
        <w:fldChar w:fldCharType="begin"/>
      </w:r>
      <w:r>
        <w:rPr>
          <w:noProof/>
        </w:rPr>
        <w:instrText xml:space="preserve"> PAGEREF _Toc289250854 \h </w:instrText>
      </w:r>
      <w:r>
        <w:rPr>
          <w:noProof/>
        </w:rPr>
      </w:r>
      <w:r>
        <w:rPr>
          <w:noProof/>
        </w:rPr>
        <w:fldChar w:fldCharType="separate"/>
      </w:r>
      <w:r w:rsidR="000932D8">
        <w:rPr>
          <w:noProof/>
        </w:rPr>
        <w:t>24</w:t>
      </w:r>
      <w:r>
        <w:rPr>
          <w:noProof/>
        </w:rPr>
        <w:fldChar w:fldCharType="end"/>
      </w:r>
    </w:p>
    <w:p w14:paraId="157D9B63" w14:textId="77777777" w:rsidR="00E00EC4" w:rsidRDefault="00E00EC4">
      <w:pPr>
        <w:pStyle w:val="TOC2"/>
        <w:tabs>
          <w:tab w:val="right" w:leader="dot" w:pos="8262"/>
        </w:tabs>
        <w:rPr>
          <w:smallCaps w:val="0"/>
          <w:noProof/>
          <w:sz w:val="24"/>
          <w:szCs w:val="24"/>
          <w:lang w:eastAsia="ja-JP"/>
        </w:rPr>
      </w:pPr>
      <w:r w:rsidRPr="0025581C">
        <w:rPr>
          <w:rFonts w:ascii="Times New Roman" w:hAnsi="Times New Roman" w:cs="Times New Roman"/>
          <w:noProof/>
          <w:lang w:val="en-GB"/>
        </w:rPr>
        <w:t>5.2 Committee of the regions</w:t>
      </w:r>
      <w:r>
        <w:rPr>
          <w:noProof/>
        </w:rPr>
        <w:tab/>
      </w:r>
      <w:r>
        <w:rPr>
          <w:noProof/>
        </w:rPr>
        <w:fldChar w:fldCharType="begin"/>
      </w:r>
      <w:r>
        <w:rPr>
          <w:noProof/>
        </w:rPr>
        <w:instrText xml:space="preserve"> PAGEREF _Toc289250855 \h </w:instrText>
      </w:r>
      <w:r>
        <w:rPr>
          <w:noProof/>
        </w:rPr>
      </w:r>
      <w:r>
        <w:rPr>
          <w:noProof/>
        </w:rPr>
        <w:fldChar w:fldCharType="separate"/>
      </w:r>
      <w:r w:rsidR="000932D8">
        <w:rPr>
          <w:noProof/>
        </w:rPr>
        <w:t>25</w:t>
      </w:r>
      <w:r>
        <w:rPr>
          <w:noProof/>
        </w:rPr>
        <w:fldChar w:fldCharType="end"/>
      </w:r>
    </w:p>
    <w:p w14:paraId="0EBED752" w14:textId="77777777" w:rsidR="00E00EC4" w:rsidRDefault="00E00EC4">
      <w:pPr>
        <w:pStyle w:val="TOC2"/>
        <w:tabs>
          <w:tab w:val="right" w:leader="dot" w:pos="8262"/>
        </w:tabs>
        <w:rPr>
          <w:smallCaps w:val="0"/>
          <w:noProof/>
          <w:sz w:val="24"/>
          <w:szCs w:val="24"/>
          <w:lang w:eastAsia="ja-JP"/>
        </w:rPr>
      </w:pPr>
      <w:r w:rsidRPr="0025581C">
        <w:rPr>
          <w:rFonts w:ascii="Times New Roman" w:hAnsi="Times New Roman" w:cs="Times New Roman"/>
          <w:noProof/>
          <w:lang w:val="en-GB"/>
        </w:rPr>
        <w:t>5.3 EU parliamentarians</w:t>
      </w:r>
      <w:r>
        <w:rPr>
          <w:noProof/>
        </w:rPr>
        <w:tab/>
      </w:r>
      <w:r>
        <w:rPr>
          <w:noProof/>
        </w:rPr>
        <w:fldChar w:fldCharType="begin"/>
      </w:r>
      <w:r>
        <w:rPr>
          <w:noProof/>
        </w:rPr>
        <w:instrText xml:space="preserve"> PAGEREF _Toc289250856 \h </w:instrText>
      </w:r>
      <w:r>
        <w:rPr>
          <w:noProof/>
        </w:rPr>
      </w:r>
      <w:r>
        <w:rPr>
          <w:noProof/>
        </w:rPr>
        <w:fldChar w:fldCharType="separate"/>
      </w:r>
      <w:r w:rsidR="000932D8">
        <w:rPr>
          <w:noProof/>
        </w:rPr>
        <w:t>28</w:t>
      </w:r>
      <w:r>
        <w:rPr>
          <w:noProof/>
        </w:rPr>
        <w:fldChar w:fldCharType="end"/>
      </w:r>
    </w:p>
    <w:p w14:paraId="4A571AAA" w14:textId="77777777" w:rsidR="00E00EC4" w:rsidRDefault="00E00EC4">
      <w:pPr>
        <w:pStyle w:val="TOC1"/>
        <w:tabs>
          <w:tab w:val="right" w:leader="dot" w:pos="8262"/>
        </w:tabs>
        <w:rPr>
          <w:b w:val="0"/>
          <w:caps w:val="0"/>
          <w:noProof/>
          <w:sz w:val="24"/>
          <w:szCs w:val="24"/>
          <w:lang w:eastAsia="ja-JP"/>
        </w:rPr>
      </w:pPr>
      <w:r w:rsidRPr="0025581C">
        <w:rPr>
          <w:rFonts w:ascii="Times New Roman" w:hAnsi="Times New Roman" w:cs="Times New Roman"/>
          <w:noProof/>
          <w:lang w:val="en-GB"/>
        </w:rPr>
        <w:t>6.0 EU policymaking</w:t>
      </w:r>
      <w:r>
        <w:rPr>
          <w:noProof/>
        </w:rPr>
        <w:tab/>
      </w:r>
      <w:r>
        <w:rPr>
          <w:noProof/>
        </w:rPr>
        <w:fldChar w:fldCharType="begin"/>
      </w:r>
      <w:r>
        <w:rPr>
          <w:noProof/>
        </w:rPr>
        <w:instrText xml:space="preserve"> PAGEREF _Toc289250857 \h </w:instrText>
      </w:r>
      <w:r>
        <w:rPr>
          <w:noProof/>
        </w:rPr>
      </w:r>
      <w:r>
        <w:rPr>
          <w:noProof/>
        </w:rPr>
        <w:fldChar w:fldCharType="separate"/>
      </w:r>
      <w:r w:rsidR="000932D8">
        <w:rPr>
          <w:noProof/>
        </w:rPr>
        <w:t>29</w:t>
      </w:r>
      <w:r>
        <w:rPr>
          <w:noProof/>
        </w:rPr>
        <w:fldChar w:fldCharType="end"/>
      </w:r>
    </w:p>
    <w:p w14:paraId="0AA6B63D" w14:textId="77777777" w:rsidR="00E00EC4" w:rsidRDefault="00E00EC4">
      <w:pPr>
        <w:pStyle w:val="TOC2"/>
        <w:tabs>
          <w:tab w:val="right" w:leader="dot" w:pos="8262"/>
        </w:tabs>
        <w:rPr>
          <w:smallCaps w:val="0"/>
          <w:noProof/>
          <w:sz w:val="24"/>
          <w:szCs w:val="24"/>
          <w:lang w:eastAsia="ja-JP"/>
        </w:rPr>
      </w:pPr>
      <w:r w:rsidRPr="0025581C">
        <w:rPr>
          <w:rFonts w:ascii="Times New Roman" w:hAnsi="Times New Roman" w:cs="Times New Roman"/>
          <w:noProof/>
          <w:lang w:val="en-GB"/>
        </w:rPr>
        <w:t>6.1 EU Institutions</w:t>
      </w:r>
      <w:r>
        <w:rPr>
          <w:noProof/>
        </w:rPr>
        <w:tab/>
      </w:r>
      <w:r>
        <w:rPr>
          <w:noProof/>
        </w:rPr>
        <w:fldChar w:fldCharType="begin"/>
      </w:r>
      <w:r>
        <w:rPr>
          <w:noProof/>
        </w:rPr>
        <w:instrText xml:space="preserve"> PAGEREF _Toc289250858 \h </w:instrText>
      </w:r>
      <w:r>
        <w:rPr>
          <w:noProof/>
        </w:rPr>
      </w:r>
      <w:r>
        <w:rPr>
          <w:noProof/>
        </w:rPr>
        <w:fldChar w:fldCharType="separate"/>
      </w:r>
      <w:r w:rsidR="000932D8">
        <w:rPr>
          <w:noProof/>
        </w:rPr>
        <w:t>29</w:t>
      </w:r>
      <w:r>
        <w:rPr>
          <w:noProof/>
        </w:rPr>
        <w:fldChar w:fldCharType="end"/>
      </w:r>
    </w:p>
    <w:p w14:paraId="38AA0AC4" w14:textId="77777777" w:rsidR="00E00EC4" w:rsidRDefault="00E00EC4">
      <w:pPr>
        <w:pStyle w:val="TOC3"/>
        <w:tabs>
          <w:tab w:val="right" w:leader="dot" w:pos="8262"/>
        </w:tabs>
        <w:rPr>
          <w:i w:val="0"/>
          <w:noProof/>
          <w:sz w:val="24"/>
          <w:szCs w:val="24"/>
          <w:lang w:eastAsia="ja-JP"/>
        </w:rPr>
      </w:pPr>
      <w:r w:rsidRPr="0025581C">
        <w:rPr>
          <w:rFonts w:ascii="Times New Roman" w:hAnsi="Times New Roman" w:cs="Times New Roman"/>
          <w:noProof/>
          <w:lang w:val="en-GB"/>
        </w:rPr>
        <w:t>6.1.1 The European Commission</w:t>
      </w:r>
      <w:r>
        <w:rPr>
          <w:noProof/>
        </w:rPr>
        <w:tab/>
      </w:r>
      <w:r>
        <w:rPr>
          <w:noProof/>
        </w:rPr>
        <w:fldChar w:fldCharType="begin"/>
      </w:r>
      <w:r>
        <w:rPr>
          <w:noProof/>
        </w:rPr>
        <w:instrText xml:space="preserve"> PAGEREF _Toc289250859 \h </w:instrText>
      </w:r>
      <w:r>
        <w:rPr>
          <w:noProof/>
        </w:rPr>
      </w:r>
      <w:r>
        <w:rPr>
          <w:noProof/>
        </w:rPr>
        <w:fldChar w:fldCharType="separate"/>
      </w:r>
      <w:r w:rsidR="000932D8">
        <w:rPr>
          <w:noProof/>
        </w:rPr>
        <w:t>29</w:t>
      </w:r>
      <w:r>
        <w:rPr>
          <w:noProof/>
        </w:rPr>
        <w:fldChar w:fldCharType="end"/>
      </w:r>
    </w:p>
    <w:p w14:paraId="6E6BDB6A" w14:textId="77777777" w:rsidR="00E00EC4" w:rsidRDefault="00E00EC4">
      <w:pPr>
        <w:pStyle w:val="TOC3"/>
        <w:tabs>
          <w:tab w:val="right" w:leader="dot" w:pos="8262"/>
        </w:tabs>
        <w:rPr>
          <w:i w:val="0"/>
          <w:noProof/>
          <w:sz w:val="24"/>
          <w:szCs w:val="24"/>
          <w:lang w:eastAsia="ja-JP"/>
        </w:rPr>
      </w:pPr>
      <w:r w:rsidRPr="0025581C">
        <w:rPr>
          <w:rFonts w:ascii="Times New Roman" w:hAnsi="Times New Roman" w:cs="Times New Roman"/>
          <w:noProof/>
          <w:lang w:val="en-GB"/>
        </w:rPr>
        <w:t>6.1.2 The Council of Ministers and the European Council</w:t>
      </w:r>
      <w:r>
        <w:rPr>
          <w:noProof/>
        </w:rPr>
        <w:tab/>
      </w:r>
      <w:r>
        <w:rPr>
          <w:noProof/>
        </w:rPr>
        <w:fldChar w:fldCharType="begin"/>
      </w:r>
      <w:r>
        <w:rPr>
          <w:noProof/>
        </w:rPr>
        <w:instrText xml:space="preserve"> PAGEREF _Toc289250860 \h </w:instrText>
      </w:r>
      <w:r>
        <w:rPr>
          <w:noProof/>
        </w:rPr>
      </w:r>
      <w:r>
        <w:rPr>
          <w:noProof/>
        </w:rPr>
        <w:fldChar w:fldCharType="separate"/>
      </w:r>
      <w:r w:rsidR="000932D8">
        <w:rPr>
          <w:noProof/>
        </w:rPr>
        <w:t>30</w:t>
      </w:r>
      <w:r>
        <w:rPr>
          <w:noProof/>
        </w:rPr>
        <w:fldChar w:fldCharType="end"/>
      </w:r>
    </w:p>
    <w:p w14:paraId="3ACD6606" w14:textId="77777777" w:rsidR="00E00EC4" w:rsidRDefault="00E00EC4">
      <w:pPr>
        <w:pStyle w:val="TOC3"/>
        <w:tabs>
          <w:tab w:val="right" w:leader="dot" w:pos="8262"/>
        </w:tabs>
        <w:rPr>
          <w:i w:val="0"/>
          <w:noProof/>
          <w:sz w:val="24"/>
          <w:szCs w:val="24"/>
          <w:lang w:eastAsia="ja-JP"/>
        </w:rPr>
      </w:pPr>
      <w:r w:rsidRPr="0025581C">
        <w:rPr>
          <w:rFonts w:ascii="Times New Roman" w:hAnsi="Times New Roman" w:cs="Times New Roman"/>
          <w:noProof/>
          <w:lang w:val="en-GB"/>
        </w:rPr>
        <w:t>6.1.3 The European Parliament</w:t>
      </w:r>
      <w:r>
        <w:rPr>
          <w:noProof/>
        </w:rPr>
        <w:tab/>
      </w:r>
      <w:r>
        <w:rPr>
          <w:noProof/>
        </w:rPr>
        <w:fldChar w:fldCharType="begin"/>
      </w:r>
      <w:r>
        <w:rPr>
          <w:noProof/>
        </w:rPr>
        <w:instrText xml:space="preserve"> PAGEREF _Toc289250861 \h </w:instrText>
      </w:r>
      <w:r>
        <w:rPr>
          <w:noProof/>
        </w:rPr>
      </w:r>
      <w:r>
        <w:rPr>
          <w:noProof/>
        </w:rPr>
        <w:fldChar w:fldCharType="separate"/>
      </w:r>
      <w:r w:rsidR="000932D8">
        <w:rPr>
          <w:noProof/>
        </w:rPr>
        <w:t>30</w:t>
      </w:r>
      <w:r>
        <w:rPr>
          <w:noProof/>
        </w:rPr>
        <w:fldChar w:fldCharType="end"/>
      </w:r>
    </w:p>
    <w:p w14:paraId="74CFB909" w14:textId="77777777" w:rsidR="00E00EC4" w:rsidRDefault="00E00EC4">
      <w:pPr>
        <w:pStyle w:val="TOC3"/>
        <w:tabs>
          <w:tab w:val="right" w:leader="dot" w:pos="8262"/>
        </w:tabs>
        <w:rPr>
          <w:i w:val="0"/>
          <w:noProof/>
          <w:sz w:val="24"/>
          <w:szCs w:val="24"/>
          <w:lang w:eastAsia="ja-JP"/>
        </w:rPr>
      </w:pPr>
      <w:r w:rsidRPr="0025581C">
        <w:rPr>
          <w:rFonts w:ascii="Times New Roman" w:hAnsi="Times New Roman" w:cs="Times New Roman"/>
          <w:noProof/>
          <w:lang w:val="en-GB"/>
        </w:rPr>
        <w:t>6.1.4 The European Court of Justice</w:t>
      </w:r>
      <w:r>
        <w:rPr>
          <w:noProof/>
        </w:rPr>
        <w:tab/>
      </w:r>
      <w:r>
        <w:rPr>
          <w:noProof/>
        </w:rPr>
        <w:fldChar w:fldCharType="begin"/>
      </w:r>
      <w:r>
        <w:rPr>
          <w:noProof/>
        </w:rPr>
        <w:instrText xml:space="preserve"> PAGEREF _Toc289250862 \h </w:instrText>
      </w:r>
      <w:r>
        <w:rPr>
          <w:noProof/>
        </w:rPr>
      </w:r>
      <w:r>
        <w:rPr>
          <w:noProof/>
        </w:rPr>
        <w:fldChar w:fldCharType="separate"/>
      </w:r>
      <w:r w:rsidR="000932D8">
        <w:rPr>
          <w:noProof/>
        </w:rPr>
        <w:t>31</w:t>
      </w:r>
      <w:r>
        <w:rPr>
          <w:noProof/>
        </w:rPr>
        <w:fldChar w:fldCharType="end"/>
      </w:r>
    </w:p>
    <w:p w14:paraId="5FFA8BB3" w14:textId="77777777" w:rsidR="00E00EC4" w:rsidRDefault="00E00EC4">
      <w:pPr>
        <w:pStyle w:val="TOC2"/>
        <w:tabs>
          <w:tab w:val="right" w:leader="dot" w:pos="8262"/>
        </w:tabs>
        <w:rPr>
          <w:smallCaps w:val="0"/>
          <w:noProof/>
          <w:sz w:val="24"/>
          <w:szCs w:val="24"/>
          <w:lang w:eastAsia="ja-JP"/>
        </w:rPr>
      </w:pPr>
      <w:r w:rsidRPr="0025581C">
        <w:rPr>
          <w:rFonts w:ascii="Times New Roman" w:hAnsi="Times New Roman" w:cs="Times New Roman"/>
          <w:noProof/>
          <w:lang w:val="en-GB"/>
        </w:rPr>
        <w:t>6.2 The policy-cycle within the EU</w:t>
      </w:r>
      <w:r>
        <w:rPr>
          <w:noProof/>
        </w:rPr>
        <w:tab/>
      </w:r>
      <w:r>
        <w:rPr>
          <w:noProof/>
        </w:rPr>
        <w:fldChar w:fldCharType="begin"/>
      </w:r>
      <w:r>
        <w:rPr>
          <w:noProof/>
        </w:rPr>
        <w:instrText xml:space="preserve"> PAGEREF _Toc289250863 \h </w:instrText>
      </w:r>
      <w:r>
        <w:rPr>
          <w:noProof/>
        </w:rPr>
      </w:r>
      <w:r>
        <w:rPr>
          <w:noProof/>
        </w:rPr>
        <w:fldChar w:fldCharType="separate"/>
      </w:r>
      <w:r w:rsidR="000932D8">
        <w:rPr>
          <w:noProof/>
        </w:rPr>
        <w:t>31</w:t>
      </w:r>
      <w:r>
        <w:rPr>
          <w:noProof/>
        </w:rPr>
        <w:fldChar w:fldCharType="end"/>
      </w:r>
    </w:p>
    <w:p w14:paraId="29CE2E91" w14:textId="77777777" w:rsidR="00E00EC4" w:rsidRDefault="00E00EC4">
      <w:pPr>
        <w:pStyle w:val="TOC1"/>
        <w:tabs>
          <w:tab w:val="right" w:leader="dot" w:pos="8262"/>
        </w:tabs>
        <w:rPr>
          <w:b w:val="0"/>
          <w:caps w:val="0"/>
          <w:noProof/>
          <w:sz w:val="24"/>
          <w:szCs w:val="24"/>
          <w:lang w:eastAsia="ja-JP"/>
        </w:rPr>
      </w:pPr>
      <w:r w:rsidRPr="0025581C">
        <w:rPr>
          <w:rFonts w:ascii="Times New Roman" w:hAnsi="Times New Roman" w:cs="Times New Roman"/>
          <w:noProof/>
          <w:lang w:val="en-GB"/>
        </w:rPr>
        <w:t>7.0 Altering the EU procurement directive - a case study</w:t>
      </w:r>
      <w:r>
        <w:rPr>
          <w:noProof/>
        </w:rPr>
        <w:tab/>
      </w:r>
      <w:r>
        <w:rPr>
          <w:noProof/>
        </w:rPr>
        <w:fldChar w:fldCharType="begin"/>
      </w:r>
      <w:r>
        <w:rPr>
          <w:noProof/>
        </w:rPr>
        <w:instrText xml:space="preserve"> PAGEREF _Toc289250864 \h </w:instrText>
      </w:r>
      <w:r>
        <w:rPr>
          <w:noProof/>
        </w:rPr>
      </w:r>
      <w:r>
        <w:rPr>
          <w:noProof/>
        </w:rPr>
        <w:fldChar w:fldCharType="separate"/>
      </w:r>
      <w:r w:rsidR="000932D8">
        <w:rPr>
          <w:noProof/>
        </w:rPr>
        <w:t>36</w:t>
      </w:r>
      <w:r>
        <w:rPr>
          <w:noProof/>
        </w:rPr>
        <w:fldChar w:fldCharType="end"/>
      </w:r>
    </w:p>
    <w:p w14:paraId="65DD30AA" w14:textId="77777777" w:rsidR="00E00EC4" w:rsidRDefault="00E00EC4">
      <w:pPr>
        <w:pStyle w:val="TOC2"/>
        <w:tabs>
          <w:tab w:val="right" w:leader="dot" w:pos="8262"/>
        </w:tabs>
        <w:rPr>
          <w:smallCaps w:val="0"/>
          <w:noProof/>
          <w:sz w:val="24"/>
          <w:szCs w:val="24"/>
          <w:lang w:eastAsia="ja-JP"/>
        </w:rPr>
      </w:pPr>
      <w:r w:rsidRPr="0025581C">
        <w:rPr>
          <w:rFonts w:ascii="Times New Roman" w:hAnsi="Times New Roman" w:cs="Times New Roman"/>
          <w:noProof/>
          <w:lang w:val="en-GB"/>
        </w:rPr>
        <w:t>7.1 EU procurement directive – a timeline</w:t>
      </w:r>
      <w:r>
        <w:rPr>
          <w:noProof/>
        </w:rPr>
        <w:tab/>
      </w:r>
      <w:r>
        <w:rPr>
          <w:noProof/>
        </w:rPr>
        <w:fldChar w:fldCharType="begin"/>
      </w:r>
      <w:r>
        <w:rPr>
          <w:noProof/>
        </w:rPr>
        <w:instrText xml:space="preserve"> PAGEREF _Toc289250865 \h </w:instrText>
      </w:r>
      <w:r>
        <w:rPr>
          <w:noProof/>
        </w:rPr>
      </w:r>
      <w:r>
        <w:rPr>
          <w:noProof/>
        </w:rPr>
        <w:fldChar w:fldCharType="separate"/>
      </w:r>
      <w:r w:rsidR="000932D8">
        <w:rPr>
          <w:noProof/>
        </w:rPr>
        <w:t>36</w:t>
      </w:r>
      <w:r>
        <w:rPr>
          <w:noProof/>
        </w:rPr>
        <w:fldChar w:fldCharType="end"/>
      </w:r>
    </w:p>
    <w:p w14:paraId="71A0C83D" w14:textId="77777777" w:rsidR="00E00EC4" w:rsidRDefault="00E00EC4">
      <w:pPr>
        <w:pStyle w:val="TOC2"/>
        <w:tabs>
          <w:tab w:val="right" w:leader="dot" w:pos="8262"/>
        </w:tabs>
        <w:rPr>
          <w:smallCaps w:val="0"/>
          <w:noProof/>
          <w:sz w:val="24"/>
          <w:szCs w:val="24"/>
          <w:lang w:eastAsia="ja-JP"/>
        </w:rPr>
      </w:pPr>
      <w:r w:rsidRPr="0025581C">
        <w:rPr>
          <w:rFonts w:ascii="Times New Roman" w:hAnsi="Times New Roman" w:cs="Times New Roman"/>
          <w:noProof/>
          <w:lang w:val="en-GB"/>
        </w:rPr>
        <w:t>7.2 Lobbying the European procurement directive</w:t>
      </w:r>
      <w:r>
        <w:rPr>
          <w:noProof/>
        </w:rPr>
        <w:tab/>
      </w:r>
      <w:r>
        <w:rPr>
          <w:noProof/>
        </w:rPr>
        <w:fldChar w:fldCharType="begin"/>
      </w:r>
      <w:r>
        <w:rPr>
          <w:noProof/>
        </w:rPr>
        <w:instrText xml:space="preserve"> PAGEREF _Toc289250866 \h </w:instrText>
      </w:r>
      <w:r>
        <w:rPr>
          <w:noProof/>
        </w:rPr>
      </w:r>
      <w:r>
        <w:rPr>
          <w:noProof/>
        </w:rPr>
        <w:fldChar w:fldCharType="separate"/>
      </w:r>
      <w:r w:rsidR="000932D8">
        <w:rPr>
          <w:noProof/>
        </w:rPr>
        <w:t>38</w:t>
      </w:r>
      <w:r>
        <w:rPr>
          <w:noProof/>
        </w:rPr>
        <w:fldChar w:fldCharType="end"/>
      </w:r>
    </w:p>
    <w:p w14:paraId="402ECE3C" w14:textId="77777777" w:rsidR="00E00EC4" w:rsidRDefault="00E00EC4">
      <w:pPr>
        <w:pStyle w:val="TOC1"/>
        <w:tabs>
          <w:tab w:val="right" w:leader="dot" w:pos="8262"/>
        </w:tabs>
        <w:rPr>
          <w:b w:val="0"/>
          <w:caps w:val="0"/>
          <w:noProof/>
          <w:sz w:val="24"/>
          <w:szCs w:val="24"/>
          <w:lang w:eastAsia="ja-JP"/>
        </w:rPr>
      </w:pPr>
      <w:r w:rsidRPr="0025581C">
        <w:rPr>
          <w:rFonts w:ascii="Times New Roman" w:hAnsi="Times New Roman" w:cs="Times New Roman"/>
          <w:noProof/>
          <w:lang w:val="en-GB"/>
        </w:rPr>
        <w:t>8.0 Analysis</w:t>
      </w:r>
      <w:r>
        <w:rPr>
          <w:noProof/>
        </w:rPr>
        <w:tab/>
      </w:r>
      <w:r>
        <w:rPr>
          <w:noProof/>
        </w:rPr>
        <w:fldChar w:fldCharType="begin"/>
      </w:r>
      <w:r>
        <w:rPr>
          <w:noProof/>
        </w:rPr>
        <w:instrText xml:space="preserve"> PAGEREF _Toc289250867 \h </w:instrText>
      </w:r>
      <w:r>
        <w:rPr>
          <w:noProof/>
        </w:rPr>
      </w:r>
      <w:r>
        <w:rPr>
          <w:noProof/>
        </w:rPr>
        <w:fldChar w:fldCharType="separate"/>
      </w:r>
      <w:r w:rsidR="000932D8">
        <w:rPr>
          <w:noProof/>
        </w:rPr>
        <w:t>43</w:t>
      </w:r>
      <w:r>
        <w:rPr>
          <w:noProof/>
        </w:rPr>
        <w:fldChar w:fldCharType="end"/>
      </w:r>
    </w:p>
    <w:p w14:paraId="5EAABA39" w14:textId="77777777" w:rsidR="00E00EC4" w:rsidRDefault="00E00EC4">
      <w:pPr>
        <w:pStyle w:val="TOC1"/>
        <w:tabs>
          <w:tab w:val="right" w:leader="dot" w:pos="8262"/>
        </w:tabs>
        <w:rPr>
          <w:b w:val="0"/>
          <w:caps w:val="0"/>
          <w:noProof/>
          <w:sz w:val="24"/>
          <w:szCs w:val="24"/>
          <w:lang w:eastAsia="ja-JP"/>
        </w:rPr>
      </w:pPr>
      <w:r w:rsidRPr="0025581C">
        <w:rPr>
          <w:rFonts w:ascii="Times New Roman" w:hAnsi="Times New Roman" w:cs="Times New Roman"/>
          <w:noProof/>
          <w:lang w:val="en-GB"/>
        </w:rPr>
        <w:t>9.0 Conclusion</w:t>
      </w:r>
      <w:r>
        <w:rPr>
          <w:noProof/>
        </w:rPr>
        <w:tab/>
      </w:r>
      <w:r>
        <w:rPr>
          <w:noProof/>
        </w:rPr>
        <w:fldChar w:fldCharType="begin"/>
      </w:r>
      <w:r>
        <w:rPr>
          <w:noProof/>
        </w:rPr>
        <w:instrText xml:space="preserve"> PAGEREF _Toc289250868 \h </w:instrText>
      </w:r>
      <w:r>
        <w:rPr>
          <w:noProof/>
        </w:rPr>
      </w:r>
      <w:r>
        <w:rPr>
          <w:noProof/>
        </w:rPr>
        <w:fldChar w:fldCharType="separate"/>
      </w:r>
      <w:r w:rsidR="000932D8">
        <w:rPr>
          <w:noProof/>
        </w:rPr>
        <w:t>47</w:t>
      </w:r>
      <w:r>
        <w:rPr>
          <w:noProof/>
        </w:rPr>
        <w:fldChar w:fldCharType="end"/>
      </w:r>
    </w:p>
    <w:p w14:paraId="56B70229" w14:textId="77777777" w:rsidR="00E00EC4" w:rsidRDefault="00E00EC4">
      <w:pPr>
        <w:pStyle w:val="TOC1"/>
        <w:tabs>
          <w:tab w:val="right" w:leader="dot" w:pos="8262"/>
        </w:tabs>
        <w:rPr>
          <w:b w:val="0"/>
          <w:caps w:val="0"/>
          <w:noProof/>
          <w:sz w:val="24"/>
          <w:szCs w:val="24"/>
          <w:lang w:eastAsia="ja-JP"/>
        </w:rPr>
      </w:pPr>
      <w:r w:rsidRPr="0025581C">
        <w:rPr>
          <w:rFonts w:ascii="Times New Roman" w:hAnsi="Times New Roman" w:cs="Times New Roman"/>
          <w:noProof/>
          <w:lang w:val="en-GB"/>
        </w:rPr>
        <w:t>10.0 Bibliography</w:t>
      </w:r>
      <w:r>
        <w:rPr>
          <w:noProof/>
        </w:rPr>
        <w:tab/>
      </w:r>
      <w:r>
        <w:rPr>
          <w:noProof/>
        </w:rPr>
        <w:fldChar w:fldCharType="begin"/>
      </w:r>
      <w:r>
        <w:rPr>
          <w:noProof/>
        </w:rPr>
        <w:instrText xml:space="preserve"> PAGEREF _Toc289250869 \h </w:instrText>
      </w:r>
      <w:r>
        <w:rPr>
          <w:noProof/>
        </w:rPr>
      </w:r>
      <w:r>
        <w:rPr>
          <w:noProof/>
        </w:rPr>
        <w:fldChar w:fldCharType="separate"/>
      </w:r>
      <w:r w:rsidR="000932D8">
        <w:rPr>
          <w:noProof/>
        </w:rPr>
        <w:t>48</w:t>
      </w:r>
      <w:r>
        <w:rPr>
          <w:noProof/>
        </w:rPr>
        <w:fldChar w:fldCharType="end"/>
      </w:r>
    </w:p>
    <w:p w14:paraId="466AEA30" w14:textId="77777777" w:rsidR="002A1772" w:rsidRPr="005D43BB" w:rsidRDefault="002A1772" w:rsidP="005D43BB">
      <w:pPr>
        <w:pStyle w:val="Heading1"/>
        <w:spacing w:line="360" w:lineRule="auto"/>
        <w:jc w:val="both"/>
        <w:rPr>
          <w:rFonts w:ascii="Times New Roman" w:hAnsi="Times New Roman" w:cs="Times New Roman"/>
          <w:lang w:val="en-GB"/>
        </w:rPr>
      </w:pPr>
      <w:r w:rsidRPr="005D43BB">
        <w:rPr>
          <w:rFonts w:ascii="Times New Roman" w:hAnsi="Times New Roman" w:cs="Times New Roman"/>
          <w:lang w:val="en-GB"/>
        </w:rPr>
        <w:fldChar w:fldCharType="end"/>
      </w:r>
    </w:p>
    <w:p w14:paraId="0EA712D3" w14:textId="77777777" w:rsidR="009B6932" w:rsidRPr="005D43BB" w:rsidRDefault="009B6932" w:rsidP="005D43BB">
      <w:pPr>
        <w:spacing w:line="360" w:lineRule="auto"/>
        <w:jc w:val="both"/>
        <w:rPr>
          <w:rFonts w:ascii="Times New Roman" w:hAnsi="Times New Roman" w:cs="Times New Roman"/>
          <w:lang w:val="en-GB"/>
        </w:rPr>
      </w:pPr>
    </w:p>
    <w:p w14:paraId="3A89E4E5" w14:textId="77777777" w:rsidR="009B6932" w:rsidRPr="005D43BB" w:rsidRDefault="009B6932" w:rsidP="005D43BB">
      <w:pPr>
        <w:spacing w:line="360" w:lineRule="auto"/>
        <w:jc w:val="both"/>
        <w:rPr>
          <w:rFonts w:ascii="Times New Roman" w:hAnsi="Times New Roman" w:cs="Times New Roman"/>
          <w:lang w:val="en-GB"/>
        </w:rPr>
      </w:pPr>
    </w:p>
    <w:p w14:paraId="2302FFBD" w14:textId="77777777" w:rsidR="00E74FBD" w:rsidRDefault="00E74FBD" w:rsidP="005D43BB">
      <w:pPr>
        <w:spacing w:line="360" w:lineRule="auto"/>
        <w:jc w:val="both"/>
        <w:rPr>
          <w:rFonts w:ascii="Times New Roman" w:hAnsi="Times New Roman" w:cs="Times New Roman"/>
          <w:lang w:val="en-GB"/>
        </w:rPr>
      </w:pPr>
    </w:p>
    <w:p w14:paraId="71B497EE" w14:textId="77777777" w:rsidR="00BF1A52" w:rsidRDefault="00BF1A52" w:rsidP="005D43BB">
      <w:pPr>
        <w:spacing w:line="360" w:lineRule="auto"/>
        <w:jc w:val="both"/>
        <w:rPr>
          <w:rFonts w:ascii="Times New Roman" w:hAnsi="Times New Roman" w:cs="Times New Roman"/>
          <w:lang w:val="en-GB"/>
        </w:rPr>
        <w:sectPr w:rsidR="00BF1A52" w:rsidSect="00E74FBD">
          <w:pgSz w:w="11900" w:h="16840"/>
          <w:pgMar w:top="1474" w:right="1814" w:bottom="1474" w:left="1814" w:header="709" w:footer="709" w:gutter="0"/>
          <w:pgNumType w:start="1" w:chapStyle="1"/>
          <w:cols w:space="708"/>
          <w:titlePg/>
          <w:docGrid w:linePitch="360"/>
        </w:sectPr>
      </w:pPr>
    </w:p>
    <w:p w14:paraId="4519C90E" w14:textId="5563D378" w:rsidR="00E74FBD" w:rsidRDefault="00E74FBD" w:rsidP="005D43BB">
      <w:pPr>
        <w:spacing w:line="360" w:lineRule="auto"/>
        <w:jc w:val="both"/>
        <w:rPr>
          <w:rFonts w:ascii="Times New Roman" w:hAnsi="Times New Roman" w:cs="Times New Roman"/>
          <w:lang w:val="en-GB"/>
        </w:rPr>
      </w:pPr>
    </w:p>
    <w:p w14:paraId="0942FE4C" w14:textId="77777777" w:rsidR="00E74FBD" w:rsidRDefault="00E74FBD" w:rsidP="005D43BB">
      <w:pPr>
        <w:spacing w:line="360" w:lineRule="auto"/>
        <w:jc w:val="both"/>
        <w:rPr>
          <w:rFonts w:ascii="Times New Roman" w:hAnsi="Times New Roman" w:cs="Times New Roman"/>
          <w:lang w:val="en-GB"/>
        </w:rPr>
      </w:pPr>
    </w:p>
    <w:p w14:paraId="6A2265C6" w14:textId="77777777" w:rsidR="00E74FBD" w:rsidRDefault="00E74FBD" w:rsidP="005D43BB">
      <w:pPr>
        <w:spacing w:line="360" w:lineRule="auto"/>
        <w:jc w:val="both"/>
        <w:rPr>
          <w:rFonts w:ascii="Times New Roman" w:hAnsi="Times New Roman" w:cs="Times New Roman"/>
          <w:lang w:val="en-GB"/>
        </w:rPr>
      </w:pPr>
    </w:p>
    <w:p w14:paraId="44A757AA" w14:textId="77777777" w:rsidR="00E74FBD" w:rsidRDefault="00E74FBD" w:rsidP="005D43BB">
      <w:pPr>
        <w:spacing w:line="360" w:lineRule="auto"/>
        <w:jc w:val="both"/>
        <w:rPr>
          <w:rFonts w:ascii="Times New Roman" w:hAnsi="Times New Roman" w:cs="Times New Roman"/>
          <w:lang w:val="en-GB"/>
        </w:rPr>
      </w:pPr>
    </w:p>
    <w:p w14:paraId="62DADC76" w14:textId="77777777" w:rsidR="00E74FBD" w:rsidRDefault="00E74FBD" w:rsidP="005D43BB">
      <w:pPr>
        <w:spacing w:line="360" w:lineRule="auto"/>
        <w:jc w:val="both"/>
        <w:rPr>
          <w:rFonts w:ascii="Times New Roman" w:hAnsi="Times New Roman" w:cs="Times New Roman"/>
          <w:lang w:val="en-GB"/>
        </w:rPr>
      </w:pPr>
    </w:p>
    <w:p w14:paraId="0148948E" w14:textId="77777777" w:rsidR="00E74FBD" w:rsidRDefault="00E74FBD" w:rsidP="005D43BB">
      <w:pPr>
        <w:spacing w:line="360" w:lineRule="auto"/>
        <w:jc w:val="both"/>
        <w:rPr>
          <w:rFonts w:ascii="Times New Roman" w:hAnsi="Times New Roman" w:cs="Times New Roman"/>
          <w:lang w:val="en-GB"/>
        </w:rPr>
      </w:pPr>
    </w:p>
    <w:p w14:paraId="5877BE76" w14:textId="77777777" w:rsidR="00E74FBD" w:rsidRDefault="00E74FBD" w:rsidP="005D43BB">
      <w:pPr>
        <w:spacing w:line="360" w:lineRule="auto"/>
        <w:jc w:val="both"/>
        <w:rPr>
          <w:rFonts w:ascii="Times New Roman" w:hAnsi="Times New Roman" w:cs="Times New Roman"/>
          <w:lang w:val="en-GB"/>
        </w:rPr>
      </w:pPr>
    </w:p>
    <w:p w14:paraId="04D29B86" w14:textId="77777777" w:rsidR="00E74FBD" w:rsidRDefault="00E74FBD" w:rsidP="005D43BB">
      <w:pPr>
        <w:spacing w:line="360" w:lineRule="auto"/>
        <w:jc w:val="both"/>
        <w:rPr>
          <w:rFonts w:ascii="Times New Roman" w:hAnsi="Times New Roman" w:cs="Times New Roman"/>
          <w:lang w:val="en-GB"/>
        </w:rPr>
      </w:pPr>
    </w:p>
    <w:p w14:paraId="1EA51CC7" w14:textId="77777777" w:rsidR="00E74FBD" w:rsidRDefault="00E74FBD" w:rsidP="005D43BB">
      <w:pPr>
        <w:spacing w:line="360" w:lineRule="auto"/>
        <w:jc w:val="both"/>
        <w:rPr>
          <w:rFonts w:ascii="Times New Roman" w:hAnsi="Times New Roman" w:cs="Times New Roman"/>
          <w:lang w:val="en-GB"/>
        </w:rPr>
      </w:pPr>
    </w:p>
    <w:p w14:paraId="3F4DC181" w14:textId="77777777" w:rsidR="00E74FBD" w:rsidRDefault="00E74FBD" w:rsidP="005D43BB">
      <w:pPr>
        <w:spacing w:line="360" w:lineRule="auto"/>
        <w:jc w:val="both"/>
        <w:rPr>
          <w:rFonts w:ascii="Times New Roman" w:hAnsi="Times New Roman" w:cs="Times New Roman"/>
          <w:lang w:val="en-GB"/>
        </w:rPr>
      </w:pPr>
    </w:p>
    <w:p w14:paraId="25054915" w14:textId="77777777" w:rsidR="00E74FBD" w:rsidRDefault="00E74FBD" w:rsidP="005D43BB">
      <w:pPr>
        <w:spacing w:line="360" w:lineRule="auto"/>
        <w:jc w:val="both"/>
        <w:rPr>
          <w:rFonts w:ascii="Times New Roman" w:hAnsi="Times New Roman" w:cs="Times New Roman"/>
          <w:lang w:val="en-GB"/>
        </w:rPr>
      </w:pPr>
    </w:p>
    <w:p w14:paraId="56D16E96" w14:textId="77777777" w:rsidR="00E74FBD" w:rsidRDefault="00E74FBD" w:rsidP="005D43BB">
      <w:pPr>
        <w:spacing w:line="360" w:lineRule="auto"/>
        <w:jc w:val="both"/>
        <w:rPr>
          <w:rFonts w:ascii="Times New Roman" w:hAnsi="Times New Roman" w:cs="Times New Roman"/>
          <w:lang w:val="en-GB"/>
        </w:rPr>
      </w:pPr>
    </w:p>
    <w:p w14:paraId="3B8C6708" w14:textId="77777777" w:rsidR="00E74FBD" w:rsidRDefault="00E74FBD" w:rsidP="005D43BB">
      <w:pPr>
        <w:spacing w:line="360" w:lineRule="auto"/>
        <w:jc w:val="both"/>
        <w:rPr>
          <w:rFonts w:ascii="Times New Roman" w:hAnsi="Times New Roman" w:cs="Times New Roman"/>
          <w:lang w:val="en-GB"/>
        </w:rPr>
      </w:pPr>
    </w:p>
    <w:p w14:paraId="14595F06" w14:textId="77777777" w:rsidR="00E74FBD" w:rsidRDefault="00E74FBD" w:rsidP="005D43BB">
      <w:pPr>
        <w:spacing w:line="360" w:lineRule="auto"/>
        <w:jc w:val="both"/>
        <w:rPr>
          <w:rFonts w:ascii="Times New Roman" w:hAnsi="Times New Roman" w:cs="Times New Roman"/>
          <w:lang w:val="en-GB"/>
        </w:rPr>
      </w:pPr>
    </w:p>
    <w:p w14:paraId="439F16BC" w14:textId="77777777" w:rsidR="00E74FBD" w:rsidRDefault="00E74FBD" w:rsidP="005D43BB">
      <w:pPr>
        <w:spacing w:line="360" w:lineRule="auto"/>
        <w:jc w:val="both"/>
        <w:rPr>
          <w:rFonts w:ascii="Times New Roman" w:hAnsi="Times New Roman" w:cs="Times New Roman"/>
          <w:lang w:val="en-GB"/>
        </w:rPr>
      </w:pPr>
    </w:p>
    <w:p w14:paraId="493814EB" w14:textId="77777777" w:rsidR="00E74FBD" w:rsidRDefault="00E74FBD" w:rsidP="005D43BB">
      <w:pPr>
        <w:spacing w:line="360" w:lineRule="auto"/>
        <w:jc w:val="both"/>
        <w:rPr>
          <w:rFonts w:ascii="Times New Roman" w:hAnsi="Times New Roman" w:cs="Times New Roman"/>
          <w:lang w:val="en-GB"/>
        </w:rPr>
      </w:pPr>
    </w:p>
    <w:p w14:paraId="0787676C" w14:textId="77777777" w:rsidR="00E74FBD" w:rsidRDefault="00E74FBD" w:rsidP="005D43BB">
      <w:pPr>
        <w:spacing w:line="360" w:lineRule="auto"/>
        <w:jc w:val="both"/>
        <w:rPr>
          <w:rFonts w:ascii="Times New Roman" w:hAnsi="Times New Roman" w:cs="Times New Roman"/>
          <w:lang w:val="en-GB"/>
        </w:rPr>
      </w:pPr>
    </w:p>
    <w:p w14:paraId="70974ADC" w14:textId="77777777" w:rsidR="00E74FBD" w:rsidRDefault="00E74FBD" w:rsidP="005D43BB">
      <w:pPr>
        <w:spacing w:line="360" w:lineRule="auto"/>
        <w:jc w:val="both"/>
        <w:rPr>
          <w:rFonts w:ascii="Times New Roman" w:hAnsi="Times New Roman" w:cs="Times New Roman"/>
          <w:lang w:val="en-GB"/>
        </w:rPr>
      </w:pPr>
    </w:p>
    <w:p w14:paraId="771FD5B3" w14:textId="77777777" w:rsidR="00E74FBD" w:rsidRDefault="00E74FBD" w:rsidP="005D43BB">
      <w:pPr>
        <w:spacing w:line="360" w:lineRule="auto"/>
        <w:jc w:val="both"/>
        <w:rPr>
          <w:rFonts w:ascii="Times New Roman" w:hAnsi="Times New Roman" w:cs="Times New Roman"/>
          <w:lang w:val="en-GB"/>
        </w:rPr>
      </w:pPr>
    </w:p>
    <w:p w14:paraId="1B5636EE" w14:textId="77777777" w:rsidR="00E74FBD" w:rsidRDefault="00E74FBD" w:rsidP="005D43BB">
      <w:pPr>
        <w:spacing w:line="360" w:lineRule="auto"/>
        <w:jc w:val="both"/>
        <w:rPr>
          <w:rFonts w:ascii="Times New Roman" w:hAnsi="Times New Roman" w:cs="Times New Roman"/>
          <w:lang w:val="en-GB"/>
        </w:rPr>
      </w:pPr>
    </w:p>
    <w:p w14:paraId="55860886" w14:textId="77777777" w:rsidR="00E74FBD" w:rsidRDefault="00E74FBD" w:rsidP="005D43BB">
      <w:pPr>
        <w:spacing w:line="360" w:lineRule="auto"/>
        <w:jc w:val="both"/>
        <w:rPr>
          <w:rFonts w:ascii="Times New Roman" w:hAnsi="Times New Roman" w:cs="Times New Roman"/>
          <w:lang w:val="en-GB"/>
        </w:rPr>
      </w:pPr>
    </w:p>
    <w:p w14:paraId="1201E223" w14:textId="77777777" w:rsidR="00E74FBD" w:rsidRDefault="00E74FBD" w:rsidP="005D43BB">
      <w:pPr>
        <w:spacing w:line="360" w:lineRule="auto"/>
        <w:jc w:val="both"/>
        <w:rPr>
          <w:rFonts w:ascii="Times New Roman" w:hAnsi="Times New Roman" w:cs="Times New Roman"/>
          <w:lang w:val="en-GB"/>
        </w:rPr>
      </w:pPr>
    </w:p>
    <w:p w14:paraId="6D4D09F1" w14:textId="77777777" w:rsidR="00E74FBD" w:rsidRDefault="00E74FBD" w:rsidP="005D43BB">
      <w:pPr>
        <w:spacing w:line="360" w:lineRule="auto"/>
        <w:jc w:val="both"/>
        <w:rPr>
          <w:rFonts w:ascii="Times New Roman" w:hAnsi="Times New Roman" w:cs="Times New Roman"/>
          <w:lang w:val="en-GB"/>
        </w:rPr>
      </w:pPr>
    </w:p>
    <w:p w14:paraId="3F83495A" w14:textId="77777777" w:rsidR="00E74FBD" w:rsidRDefault="00E74FBD" w:rsidP="005D43BB">
      <w:pPr>
        <w:spacing w:line="360" w:lineRule="auto"/>
        <w:jc w:val="both"/>
        <w:rPr>
          <w:rFonts w:ascii="Times New Roman" w:hAnsi="Times New Roman" w:cs="Times New Roman"/>
          <w:lang w:val="en-GB"/>
        </w:rPr>
      </w:pPr>
    </w:p>
    <w:p w14:paraId="2AA1E3A1" w14:textId="77777777" w:rsidR="00E74FBD" w:rsidRDefault="00E74FBD" w:rsidP="005D43BB">
      <w:pPr>
        <w:spacing w:line="360" w:lineRule="auto"/>
        <w:jc w:val="both"/>
        <w:rPr>
          <w:rFonts w:ascii="Times New Roman" w:hAnsi="Times New Roman" w:cs="Times New Roman"/>
          <w:lang w:val="en-GB"/>
        </w:rPr>
      </w:pPr>
    </w:p>
    <w:p w14:paraId="1FA65A7A" w14:textId="77777777" w:rsidR="00E74FBD" w:rsidRDefault="00E74FBD" w:rsidP="005D43BB">
      <w:pPr>
        <w:spacing w:line="360" w:lineRule="auto"/>
        <w:jc w:val="both"/>
        <w:rPr>
          <w:rFonts w:ascii="Times New Roman" w:hAnsi="Times New Roman" w:cs="Times New Roman"/>
          <w:lang w:val="en-GB"/>
        </w:rPr>
      </w:pPr>
    </w:p>
    <w:p w14:paraId="4BE9BCA2" w14:textId="77777777" w:rsidR="00E74FBD" w:rsidRPr="005D43BB" w:rsidRDefault="00E74FBD" w:rsidP="005D43BB">
      <w:pPr>
        <w:spacing w:line="360" w:lineRule="auto"/>
        <w:jc w:val="both"/>
        <w:rPr>
          <w:rFonts w:ascii="Times New Roman" w:hAnsi="Times New Roman" w:cs="Times New Roman"/>
          <w:lang w:val="en-GB"/>
        </w:rPr>
      </w:pPr>
    </w:p>
    <w:p w14:paraId="5BA471A9" w14:textId="77777777" w:rsidR="00E74FBD" w:rsidRDefault="00E74FBD" w:rsidP="00E74FBD">
      <w:pPr>
        <w:rPr>
          <w:lang w:val="en-GB"/>
        </w:rPr>
        <w:sectPr w:rsidR="00E74FBD" w:rsidSect="00E74FBD">
          <w:pgSz w:w="11900" w:h="16840"/>
          <w:pgMar w:top="1474" w:right="1814" w:bottom="1474" w:left="1814" w:header="709" w:footer="709" w:gutter="0"/>
          <w:pgNumType w:start="1" w:chapStyle="1"/>
          <w:cols w:space="708"/>
          <w:titlePg/>
          <w:docGrid w:linePitch="360"/>
        </w:sectPr>
      </w:pPr>
    </w:p>
    <w:p w14:paraId="4AD75222" w14:textId="74BD3FCF" w:rsidR="002A1772" w:rsidRPr="00E74FBD" w:rsidRDefault="00E74FBD" w:rsidP="00BF1A52">
      <w:pPr>
        <w:pStyle w:val="Heading1"/>
        <w:spacing w:line="360" w:lineRule="auto"/>
        <w:rPr>
          <w:rFonts w:ascii="Times New Roman" w:hAnsi="Times New Roman" w:cs="Times New Roman"/>
          <w:lang w:val="en-GB"/>
        </w:rPr>
      </w:pPr>
      <w:bookmarkStart w:id="1" w:name="_Toc289250834"/>
      <w:r w:rsidRPr="00E74FBD">
        <w:rPr>
          <w:rFonts w:ascii="Times New Roman" w:hAnsi="Times New Roman" w:cs="Times New Roman"/>
          <w:lang w:val="en-GB"/>
        </w:rPr>
        <w:lastRenderedPageBreak/>
        <w:t xml:space="preserve">1.0 </w:t>
      </w:r>
      <w:r w:rsidR="002A1772" w:rsidRPr="00E74FBD">
        <w:rPr>
          <w:rFonts w:ascii="Times New Roman" w:hAnsi="Times New Roman" w:cs="Times New Roman"/>
          <w:lang w:val="en-GB"/>
        </w:rPr>
        <w:t>Introduction</w:t>
      </w:r>
      <w:bookmarkEnd w:id="1"/>
    </w:p>
    <w:p w14:paraId="688C1B96" w14:textId="0B36000A" w:rsidR="00EE27F9" w:rsidRDefault="00EE27F9" w:rsidP="00BF1A52">
      <w:pPr>
        <w:spacing w:line="360" w:lineRule="auto"/>
        <w:jc w:val="both"/>
        <w:rPr>
          <w:rFonts w:ascii="Times New Roman" w:hAnsi="Times New Roman" w:cs="Times New Roman"/>
          <w:lang w:val="en-GB"/>
        </w:rPr>
      </w:pPr>
      <w:r w:rsidRPr="00EE27F9">
        <w:rPr>
          <w:rFonts w:ascii="Times New Roman" w:hAnsi="Times New Roman" w:cs="Times New Roman"/>
          <w:lang w:val="en-GB"/>
        </w:rPr>
        <w:t xml:space="preserve">In a common position paper by Kommunernes Landsforening and Danske Regioner from 2012, those two organizations, representing the Danish municipalities and regions respectively, made their take on the European Procurement Directive clear. </w:t>
      </w:r>
      <w:r w:rsidR="006F27A6" w:rsidRPr="00EE27F9">
        <w:rPr>
          <w:rFonts w:ascii="Times New Roman" w:hAnsi="Times New Roman" w:cs="Times New Roman"/>
          <w:lang w:val="en-GB"/>
        </w:rPr>
        <w:t>Decisive</w:t>
      </w:r>
      <w:r w:rsidRPr="00EE27F9">
        <w:rPr>
          <w:rFonts w:ascii="Times New Roman" w:hAnsi="Times New Roman" w:cs="Times New Roman"/>
          <w:lang w:val="en-GB"/>
        </w:rPr>
        <w:t xml:space="preserve"> for this paper was the fact that the EU initiated a revision of the Directive at the time. Danish Regions and Municipalities were</w:t>
      </w:r>
      <w:r w:rsidR="006F27A6">
        <w:rPr>
          <w:rFonts w:ascii="Times New Roman" w:hAnsi="Times New Roman" w:cs="Times New Roman"/>
          <w:lang w:val="en-GB"/>
        </w:rPr>
        <w:t xml:space="preserve"> fore long been</w:t>
      </w:r>
      <w:r w:rsidRPr="00EE27F9">
        <w:rPr>
          <w:rFonts w:ascii="Times New Roman" w:hAnsi="Times New Roman" w:cs="Times New Roman"/>
          <w:lang w:val="en-GB"/>
        </w:rPr>
        <w:t xml:space="preserve"> dissatisfied with the limitations, inflexible rules and procedures required by the EU, put on local governments purchase of goods. The Commissions ideas of revision weren’t seen as going far enoug</w:t>
      </w:r>
      <w:r w:rsidR="000303F1">
        <w:rPr>
          <w:rFonts w:ascii="Times New Roman" w:hAnsi="Times New Roman" w:cs="Times New Roman"/>
          <w:lang w:val="en-GB"/>
        </w:rPr>
        <w:t>h and intense lobbying was done</w:t>
      </w:r>
      <w:r w:rsidRPr="00EE27F9">
        <w:rPr>
          <w:rFonts w:ascii="Times New Roman" w:hAnsi="Times New Roman" w:cs="Times New Roman"/>
          <w:lang w:val="en-GB"/>
        </w:rPr>
        <w:t xml:space="preserve"> to change decisions in the favour of Danish local governments. Local governments in Denmark alone spend around 140 billion Danish kroner on goods and services a year, so the affected areas in daily business are to be seen as vast. At the same time the desired effect of the Procurement Directive, which was introduced 20 years prior, is relatively minimal. The main idea was to encourage trade across the member states borders in order to ensure that public money was spend most cost efficient, and the regions and municipalities could get the advantage of the best bid from around the whole of the European Union.</w:t>
      </w:r>
      <w:r w:rsidR="006F27A6">
        <w:rPr>
          <w:rFonts w:ascii="Times New Roman" w:hAnsi="Times New Roman" w:cs="Times New Roman"/>
          <w:lang w:val="en-GB"/>
        </w:rPr>
        <w:t xml:space="preserve"> Not to forget that open competition across the borders is essential to the European common market.</w:t>
      </w:r>
      <w:r w:rsidRPr="00EE27F9">
        <w:rPr>
          <w:rFonts w:ascii="Times New Roman" w:hAnsi="Times New Roman" w:cs="Times New Roman"/>
          <w:lang w:val="en-GB"/>
        </w:rPr>
        <w:t xml:space="preserve"> In 2012 though, still only 1,6% of all contracts signed involved providers from another country, and 3,6% when measuring the total value of the contracts. In fact only 1 out of 10 of the Danish local governments had signed a contract with a provider from a foreign country within the past five years. One of Kommunernes Landsforeni</w:t>
      </w:r>
      <w:r w:rsidR="00492B31">
        <w:rPr>
          <w:rFonts w:ascii="Times New Roman" w:hAnsi="Times New Roman" w:cs="Times New Roman"/>
          <w:lang w:val="en-GB"/>
        </w:rPr>
        <w:t>ngs and Danske Regionsers aim was</w:t>
      </w:r>
      <w:r w:rsidRPr="00EE27F9">
        <w:rPr>
          <w:rFonts w:ascii="Times New Roman" w:hAnsi="Times New Roman" w:cs="Times New Roman"/>
          <w:lang w:val="en-GB"/>
        </w:rPr>
        <w:t xml:space="preserve"> to raise the bar</w:t>
      </w:r>
      <w:r w:rsidR="006F27A6">
        <w:rPr>
          <w:rFonts w:ascii="Times New Roman" w:hAnsi="Times New Roman" w:cs="Times New Roman"/>
          <w:lang w:val="en-GB"/>
        </w:rPr>
        <w:t>,</w:t>
      </w:r>
      <w:r w:rsidRPr="00EE27F9">
        <w:rPr>
          <w:rFonts w:ascii="Times New Roman" w:hAnsi="Times New Roman" w:cs="Times New Roman"/>
          <w:lang w:val="en-GB"/>
        </w:rPr>
        <w:t xml:space="preserve"> for when a purchase has to be done in accordance with the European Public Procurement Directive</w:t>
      </w:r>
      <w:r w:rsidR="006F27A6">
        <w:rPr>
          <w:rFonts w:ascii="Times New Roman" w:hAnsi="Times New Roman" w:cs="Times New Roman"/>
          <w:lang w:val="en-GB"/>
        </w:rPr>
        <w:t>,</w:t>
      </w:r>
      <w:r w:rsidRPr="00EE27F9">
        <w:rPr>
          <w:rFonts w:ascii="Times New Roman" w:hAnsi="Times New Roman" w:cs="Times New Roman"/>
          <w:lang w:val="en-GB"/>
        </w:rPr>
        <w:t xml:space="preserve"> from 1,5 million kroner today to 7,5 million kroner and by this to halve the number of EU procurements, which would mean a massive relief for the local governments who would be able to save a lot of time and money.</w:t>
      </w:r>
      <w:r>
        <w:rPr>
          <w:rStyle w:val="FootnoteReference"/>
          <w:rFonts w:cs="Times New Roman"/>
          <w:lang w:val="en-GB"/>
        </w:rPr>
        <w:footnoteReference w:id="1"/>
      </w:r>
    </w:p>
    <w:p w14:paraId="115928C3" w14:textId="491D1663" w:rsidR="0031594A" w:rsidRPr="00EE27F9" w:rsidRDefault="0031594A" w:rsidP="00BF1A52">
      <w:pPr>
        <w:spacing w:line="360" w:lineRule="auto"/>
        <w:jc w:val="both"/>
        <w:rPr>
          <w:rFonts w:ascii="Times New Roman" w:hAnsi="Times New Roman" w:cs="Times New Roman"/>
          <w:lang w:val="en-GB"/>
        </w:rPr>
      </w:pPr>
      <w:r w:rsidRPr="001535CA">
        <w:rPr>
          <w:rFonts w:ascii="Times New Roman" w:hAnsi="Times New Roman" w:cs="Times New Roman"/>
          <w:lang w:val="en-GB"/>
        </w:rPr>
        <w:t>The European Union consists</w:t>
      </w:r>
      <w:r>
        <w:rPr>
          <w:rFonts w:ascii="Times New Roman" w:hAnsi="Times New Roman" w:cs="Times New Roman"/>
          <w:lang w:val="en-GB"/>
        </w:rPr>
        <w:t xml:space="preserve"> today of roughly 270 regions and an overwhelming 90.000 local authorities. They accumulate one third of all public spending, </w:t>
      </w:r>
      <w:proofErr w:type="gramStart"/>
      <w:r>
        <w:rPr>
          <w:rFonts w:ascii="Times New Roman" w:hAnsi="Times New Roman" w:cs="Times New Roman"/>
          <w:lang w:val="en-GB"/>
        </w:rPr>
        <w:t>which</w:t>
      </w:r>
      <w:proofErr w:type="gramEnd"/>
      <w:r>
        <w:rPr>
          <w:rFonts w:ascii="Times New Roman" w:hAnsi="Times New Roman" w:cs="Times New Roman"/>
          <w:lang w:val="en-GB"/>
        </w:rPr>
        <w:t xml:space="preserve"> equals 16% of the EU’s GDP and about 70% of all European legislation is being </w:t>
      </w:r>
      <w:r>
        <w:rPr>
          <w:rFonts w:ascii="Times New Roman" w:hAnsi="Times New Roman" w:cs="Times New Roman"/>
          <w:lang w:val="en-GB"/>
        </w:rPr>
        <w:lastRenderedPageBreak/>
        <w:t>implemented on local level.</w:t>
      </w:r>
      <w:r>
        <w:rPr>
          <w:rStyle w:val="FootnoteReference"/>
          <w:rFonts w:cs="Times New Roman"/>
          <w:lang w:val="en-GB"/>
        </w:rPr>
        <w:footnoteReference w:id="2"/>
      </w:r>
      <w:r>
        <w:rPr>
          <w:rFonts w:ascii="Times New Roman" w:hAnsi="Times New Roman" w:cs="Times New Roman"/>
          <w:lang w:val="en-GB"/>
        </w:rPr>
        <w:t xml:space="preserve"> The regions influence on policymaking should thus reflect their importance and liabilities.</w:t>
      </w:r>
    </w:p>
    <w:p w14:paraId="620B2DF8" w14:textId="77777777" w:rsidR="00EE27F9" w:rsidRPr="00EE27F9" w:rsidRDefault="00EE27F9" w:rsidP="00BF1A52">
      <w:pPr>
        <w:spacing w:line="360" w:lineRule="auto"/>
        <w:jc w:val="both"/>
        <w:rPr>
          <w:rFonts w:ascii="Times New Roman" w:hAnsi="Times New Roman" w:cs="Times New Roman"/>
          <w:lang w:val="en-GB"/>
        </w:rPr>
      </w:pPr>
      <w:r w:rsidRPr="00EE27F9">
        <w:rPr>
          <w:rFonts w:ascii="Times New Roman" w:hAnsi="Times New Roman" w:cs="Times New Roman"/>
          <w:lang w:val="en-GB"/>
        </w:rPr>
        <w:t xml:space="preserve">The process of adjusting and revising EU legislation in the specific case of the Public Procurement Directive and specifically the Danish local governments possibility to take influence, is going to be the theme of this project. </w:t>
      </w:r>
    </w:p>
    <w:p w14:paraId="582604C9" w14:textId="77777777" w:rsidR="004306C5" w:rsidRPr="004306C5" w:rsidRDefault="004306C5" w:rsidP="00BF1A52">
      <w:pPr>
        <w:spacing w:line="360" w:lineRule="auto"/>
        <w:jc w:val="both"/>
        <w:rPr>
          <w:rFonts w:ascii="Times New Roman" w:hAnsi="Times New Roman" w:cs="Times New Roman"/>
          <w:lang w:val="en-GB"/>
        </w:rPr>
      </w:pPr>
    </w:p>
    <w:p w14:paraId="013E6B13" w14:textId="50053926" w:rsidR="002A1772" w:rsidRPr="006D698C" w:rsidRDefault="00E74FBD" w:rsidP="00BF1A52">
      <w:pPr>
        <w:pStyle w:val="Heading1"/>
        <w:spacing w:line="360" w:lineRule="auto"/>
        <w:rPr>
          <w:rFonts w:ascii="Times New Roman" w:hAnsi="Times New Roman" w:cs="Times New Roman"/>
          <w:lang w:val="en-GB"/>
        </w:rPr>
      </w:pPr>
      <w:bookmarkStart w:id="2" w:name="_Toc289250835"/>
      <w:r w:rsidRPr="006D698C">
        <w:rPr>
          <w:rFonts w:ascii="Times New Roman" w:hAnsi="Times New Roman" w:cs="Times New Roman"/>
          <w:lang w:val="en-GB"/>
        </w:rPr>
        <w:t xml:space="preserve">2.0 </w:t>
      </w:r>
      <w:r w:rsidR="002A1772" w:rsidRPr="006D698C">
        <w:rPr>
          <w:rFonts w:ascii="Times New Roman" w:hAnsi="Times New Roman" w:cs="Times New Roman"/>
          <w:lang w:val="en-GB"/>
        </w:rPr>
        <w:t>Problem formulation</w:t>
      </w:r>
      <w:bookmarkEnd w:id="2"/>
    </w:p>
    <w:p w14:paraId="529E689B" w14:textId="30E00235" w:rsidR="00883388" w:rsidRPr="005D43BB" w:rsidRDefault="00883388" w:rsidP="00BF1A52">
      <w:pPr>
        <w:spacing w:line="360" w:lineRule="auto"/>
        <w:jc w:val="both"/>
        <w:rPr>
          <w:rFonts w:ascii="Times New Roman" w:hAnsi="Times New Roman" w:cs="Times New Roman"/>
          <w:b/>
          <w:sz w:val="28"/>
          <w:szCs w:val="28"/>
          <w:lang w:val="en-GB"/>
        </w:rPr>
      </w:pPr>
      <w:r w:rsidRPr="005D43BB">
        <w:rPr>
          <w:rFonts w:ascii="Times New Roman" w:hAnsi="Times New Roman" w:cs="Times New Roman"/>
          <w:lang w:val="en-GB"/>
        </w:rPr>
        <w:t>The aim of this project is to shed light on local governments possibility to influence the</w:t>
      </w:r>
      <w:r w:rsidR="004306C5">
        <w:rPr>
          <w:rFonts w:ascii="Times New Roman" w:hAnsi="Times New Roman" w:cs="Times New Roman"/>
          <w:lang w:val="en-GB"/>
        </w:rPr>
        <w:t xml:space="preserve"> EU policymaking affecting these</w:t>
      </w:r>
      <w:r w:rsidRPr="005D43BB">
        <w:rPr>
          <w:rFonts w:ascii="Times New Roman" w:hAnsi="Times New Roman" w:cs="Times New Roman"/>
          <w:lang w:val="en-GB"/>
        </w:rPr>
        <w:t xml:space="preserve"> local authorities. </w:t>
      </w:r>
      <w:r w:rsidR="004306C5">
        <w:rPr>
          <w:rFonts w:ascii="Times New Roman" w:hAnsi="Times New Roman" w:cs="Times New Roman"/>
          <w:lang w:val="en-GB"/>
        </w:rPr>
        <w:t xml:space="preserve">Examining the </w:t>
      </w:r>
      <w:r w:rsidR="007D1D03">
        <w:rPr>
          <w:rFonts w:ascii="Times New Roman" w:hAnsi="Times New Roman" w:cs="Times New Roman"/>
          <w:lang w:val="en-GB"/>
        </w:rPr>
        <w:t>above-mentioned</w:t>
      </w:r>
      <w:r w:rsidR="004306C5">
        <w:rPr>
          <w:rFonts w:ascii="Times New Roman" w:hAnsi="Times New Roman" w:cs="Times New Roman"/>
          <w:lang w:val="en-GB"/>
        </w:rPr>
        <w:t xml:space="preserve"> Public Procurement Directive, through literature and interviews with local government representatives involved in this case</w:t>
      </w:r>
      <w:r w:rsidR="007D1D03">
        <w:rPr>
          <w:rFonts w:ascii="Times New Roman" w:hAnsi="Times New Roman" w:cs="Times New Roman"/>
          <w:lang w:val="en-GB"/>
        </w:rPr>
        <w:t>,</w:t>
      </w:r>
      <w:r w:rsidR="004306C5">
        <w:rPr>
          <w:rFonts w:ascii="Times New Roman" w:hAnsi="Times New Roman" w:cs="Times New Roman"/>
          <w:lang w:val="en-GB"/>
        </w:rPr>
        <w:t xml:space="preserve"> it is sought to find an answer to</w:t>
      </w:r>
      <w:r w:rsidRPr="005D43BB">
        <w:rPr>
          <w:rFonts w:ascii="Times New Roman" w:hAnsi="Times New Roman" w:cs="Times New Roman"/>
          <w:lang w:val="en-GB"/>
        </w:rPr>
        <w:t xml:space="preserve"> </w:t>
      </w:r>
      <w:r w:rsidR="007D1D03">
        <w:rPr>
          <w:rFonts w:ascii="Times New Roman" w:hAnsi="Times New Roman" w:cs="Times New Roman"/>
          <w:lang w:val="en-GB"/>
        </w:rPr>
        <w:t xml:space="preserve">how local governments interests are being represented in Brussels. </w:t>
      </w:r>
      <w:r w:rsidRPr="005D43BB">
        <w:rPr>
          <w:rFonts w:ascii="Times New Roman" w:hAnsi="Times New Roman" w:cs="Times New Roman"/>
          <w:lang w:val="en-GB"/>
        </w:rPr>
        <w:t>The problem formulation this project seeks to answer is thus:</w:t>
      </w:r>
      <w:r w:rsidRPr="005D43BB">
        <w:rPr>
          <w:rFonts w:ascii="Times New Roman" w:hAnsi="Times New Roman" w:cs="Times New Roman"/>
          <w:lang w:val="en-GB"/>
        </w:rPr>
        <w:tab/>
      </w:r>
      <w:r w:rsidRPr="005D43BB">
        <w:rPr>
          <w:rFonts w:ascii="Times New Roman" w:hAnsi="Times New Roman" w:cs="Times New Roman"/>
          <w:lang w:val="en-GB"/>
        </w:rPr>
        <w:br/>
      </w:r>
    </w:p>
    <w:p w14:paraId="221FDEB3" w14:textId="278EB155" w:rsidR="00883388" w:rsidRPr="005D43BB" w:rsidRDefault="00883388" w:rsidP="00BF1A52">
      <w:pPr>
        <w:spacing w:line="360" w:lineRule="auto"/>
        <w:jc w:val="both"/>
        <w:rPr>
          <w:rFonts w:ascii="Times New Roman" w:hAnsi="Times New Roman" w:cs="Times New Roman"/>
          <w:lang w:val="en-GB"/>
        </w:rPr>
      </w:pPr>
      <w:r w:rsidRPr="005D43BB">
        <w:rPr>
          <w:rFonts w:ascii="Times New Roman" w:hAnsi="Times New Roman" w:cs="Times New Roman"/>
          <w:b/>
          <w:sz w:val="28"/>
          <w:szCs w:val="28"/>
          <w:lang w:val="en-GB"/>
        </w:rPr>
        <w:t xml:space="preserve">In the case of </w:t>
      </w:r>
      <w:r w:rsidR="00DA1C08">
        <w:rPr>
          <w:rFonts w:ascii="Times New Roman" w:hAnsi="Times New Roman" w:cs="Times New Roman"/>
          <w:b/>
          <w:sz w:val="28"/>
          <w:szCs w:val="28"/>
          <w:lang w:val="en-GB"/>
        </w:rPr>
        <w:t xml:space="preserve">the </w:t>
      </w:r>
      <w:r w:rsidRPr="005D43BB">
        <w:rPr>
          <w:rFonts w:ascii="Times New Roman" w:hAnsi="Times New Roman" w:cs="Times New Roman"/>
          <w:b/>
          <w:sz w:val="28"/>
          <w:szCs w:val="28"/>
          <w:lang w:val="en-GB"/>
        </w:rPr>
        <w:t>EU’s public procurement directive</w:t>
      </w:r>
      <w:proofErr w:type="gramStart"/>
      <w:r w:rsidRPr="005D43BB">
        <w:rPr>
          <w:rFonts w:ascii="Times New Roman" w:hAnsi="Times New Roman" w:cs="Times New Roman"/>
          <w:b/>
          <w:sz w:val="28"/>
          <w:szCs w:val="28"/>
          <w:lang w:val="en-GB"/>
        </w:rPr>
        <w:t>;</w:t>
      </w:r>
      <w:proofErr w:type="gramEnd"/>
      <w:r w:rsidRPr="005D43BB">
        <w:rPr>
          <w:rFonts w:ascii="Times New Roman" w:hAnsi="Times New Roman" w:cs="Times New Roman"/>
          <w:b/>
          <w:sz w:val="28"/>
          <w:szCs w:val="28"/>
          <w:lang w:val="en-GB"/>
        </w:rPr>
        <w:t xml:space="preserve"> how can </w:t>
      </w:r>
      <w:r w:rsidR="00DA1C08">
        <w:rPr>
          <w:rFonts w:ascii="Times New Roman" w:hAnsi="Times New Roman" w:cs="Times New Roman"/>
          <w:b/>
          <w:sz w:val="28"/>
          <w:szCs w:val="28"/>
          <w:lang w:val="en-GB"/>
        </w:rPr>
        <w:t xml:space="preserve">Danish </w:t>
      </w:r>
      <w:r w:rsidRPr="005D43BB">
        <w:rPr>
          <w:rFonts w:ascii="Times New Roman" w:hAnsi="Times New Roman" w:cs="Times New Roman"/>
          <w:b/>
          <w:sz w:val="28"/>
          <w:szCs w:val="28"/>
          <w:lang w:val="en-GB"/>
        </w:rPr>
        <w:t>local authorities</w:t>
      </w:r>
      <w:r w:rsidR="007E7A5D">
        <w:rPr>
          <w:rFonts w:ascii="Times New Roman" w:hAnsi="Times New Roman" w:cs="Times New Roman"/>
          <w:b/>
          <w:sz w:val="28"/>
          <w:szCs w:val="28"/>
          <w:lang w:val="en-GB"/>
        </w:rPr>
        <w:t xml:space="preserve"> in</w:t>
      </w:r>
      <w:r w:rsidRPr="005D43BB">
        <w:rPr>
          <w:rFonts w:ascii="Times New Roman" w:hAnsi="Times New Roman" w:cs="Times New Roman"/>
          <w:b/>
          <w:sz w:val="28"/>
          <w:szCs w:val="28"/>
          <w:lang w:val="en-GB"/>
        </w:rPr>
        <w:t xml:space="preserve"> </w:t>
      </w:r>
      <w:r w:rsidR="007E7A5D">
        <w:rPr>
          <w:rFonts w:ascii="Times New Roman" w:hAnsi="Times New Roman" w:cs="Times New Roman"/>
          <w:b/>
          <w:sz w:val="28"/>
          <w:szCs w:val="28"/>
          <w:lang w:val="en-GB"/>
        </w:rPr>
        <w:t>specific</w:t>
      </w:r>
      <w:r w:rsidR="007E7A5D" w:rsidRPr="005D43BB">
        <w:rPr>
          <w:rFonts w:ascii="Times New Roman" w:hAnsi="Times New Roman" w:cs="Times New Roman"/>
          <w:b/>
          <w:sz w:val="28"/>
          <w:szCs w:val="28"/>
          <w:lang w:val="en-GB"/>
        </w:rPr>
        <w:t xml:space="preserve"> </w:t>
      </w:r>
      <w:r w:rsidRPr="005D43BB">
        <w:rPr>
          <w:rFonts w:ascii="Times New Roman" w:hAnsi="Times New Roman" w:cs="Times New Roman"/>
          <w:b/>
          <w:sz w:val="28"/>
          <w:szCs w:val="28"/>
          <w:lang w:val="en-GB"/>
        </w:rPr>
        <w:t>take influence on EU policymaking in the initial start and</w:t>
      </w:r>
      <w:r w:rsidR="005C6D6A">
        <w:rPr>
          <w:rFonts w:ascii="Times New Roman" w:hAnsi="Times New Roman" w:cs="Times New Roman"/>
          <w:b/>
          <w:sz w:val="28"/>
          <w:szCs w:val="28"/>
          <w:lang w:val="en-GB"/>
        </w:rPr>
        <w:t>/or</w:t>
      </w:r>
      <w:r w:rsidR="007E7A5D">
        <w:rPr>
          <w:rFonts w:ascii="Times New Roman" w:hAnsi="Times New Roman" w:cs="Times New Roman"/>
          <w:b/>
          <w:sz w:val="28"/>
          <w:szCs w:val="28"/>
          <w:lang w:val="en-GB"/>
        </w:rPr>
        <w:t xml:space="preserve"> during later revisions</w:t>
      </w:r>
      <w:r w:rsidRPr="005D43BB">
        <w:rPr>
          <w:rFonts w:ascii="Times New Roman" w:hAnsi="Times New Roman" w:cs="Times New Roman"/>
          <w:b/>
          <w:sz w:val="28"/>
          <w:szCs w:val="28"/>
          <w:lang w:val="en-GB"/>
        </w:rPr>
        <w:t>?</w:t>
      </w:r>
    </w:p>
    <w:p w14:paraId="2B3B45B9" w14:textId="77777777" w:rsidR="007D1D03" w:rsidRPr="007D1D03" w:rsidRDefault="007D1D03" w:rsidP="00BF1A52">
      <w:pPr>
        <w:spacing w:line="360" w:lineRule="auto"/>
        <w:jc w:val="both"/>
        <w:rPr>
          <w:rFonts w:ascii="Times New Roman" w:hAnsi="Times New Roman" w:cs="Times New Roman"/>
          <w:sz w:val="30"/>
          <w:szCs w:val="30"/>
          <w:lang w:val="en-GB"/>
        </w:rPr>
      </w:pPr>
    </w:p>
    <w:p w14:paraId="4FA2DD4A" w14:textId="590F4846" w:rsidR="002A1772" w:rsidRPr="006D698C" w:rsidRDefault="006D698C" w:rsidP="00BF1A52">
      <w:pPr>
        <w:pStyle w:val="Heading1"/>
        <w:spacing w:line="360" w:lineRule="auto"/>
        <w:rPr>
          <w:rFonts w:ascii="Times New Roman" w:hAnsi="Times New Roman" w:cs="Times New Roman"/>
          <w:lang w:val="en-GB"/>
        </w:rPr>
      </w:pPr>
      <w:bookmarkStart w:id="3" w:name="_Toc289250836"/>
      <w:r w:rsidRPr="006D698C">
        <w:rPr>
          <w:rFonts w:ascii="Times New Roman" w:hAnsi="Times New Roman" w:cs="Times New Roman"/>
          <w:lang w:val="en-GB"/>
        </w:rPr>
        <w:t xml:space="preserve">3.0 </w:t>
      </w:r>
      <w:r w:rsidR="002A1772" w:rsidRPr="006D698C">
        <w:rPr>
          <w:rFonts w:ascii="Times New Roman" w:hAnsi="Times New Roman" w:cs="Times New Roman"/>
          <w:lang w:val="en-GB"/>
        </w:rPr>
        <w:t>Methodology</w:t>
      </w:r>
      <w:bookmarkEnd w:id="3"/>
    </w:p>
    <w:p w14:paraId="415A6AD5" w14:textId="607F3646" w:rsidR="00DA1C08" w:rsidRDefault="007E7A5D" w:rsidP="00BF1A52">
      <w:pPr>
        <w:spacing w:line="360" w:lineRule="auto"/>
        <w:jc w:val="both"/>
        <w:rPr>
          <w:rFonts w:ascii="Times New Roman" w:hAnsi="Times New Roman" w:cs="Times New Roman"/>
          <w:lang w:val="en-GB"/>
        </w:rPr>
      </w:pPr>
      <w:r>
        <w:rPr>
          <w:rFonts w:ascii="Times New Roman" w:hAnsi="Times New Roman" w:cs="Times New Roman"/>
          <w:lang w:val="en-GB"/>
        </w:rPr>
        <w:t>In this</w:t>
      </w:r>
      <w:r w:rsidR="00DA1C08">
        <w:rPr>
          <w:rFonts w:ascii="Times New Roman" w:hAnsi="Times New Roman" w:cs="Times New Roman"/>
          <w:lang w:val="en-GB"/>
        </w:rPr>
        <w:t xml:space="preserve"> chapter the projects layout will be described and the reasoning behind the structure and chosen approach presented.</w:t>
      </w:r>
      <w:r>
        <w:rPr>
          <w:rFonts w:ascii="Times New Roman" w:hAnsi="Times New Roman" w:cs="Times New Roman"/>
          <w:lang w:val="en-GB"/>
        </w:rPr>
        <w:t xml:space="preserve"> A more detailed discussion of the chosen theories will follow at the end of the actual theory chapter. </w:t>
      </w:r>
    </w:p>
    <w:p w14:paraId="3FE03190" w14:textId="7B51BB5E" w:rsidR="00DA1C08" w:rsidRPr="00DA1C08" w:rsidRDefault="00DA1C08" w:rsidP="00BF1A52">
      <w:pPr>
        <w:pStyle w:val="Heading2"/>
        <w:spacing w:line="360" w:lineRule="auto"/>
        <w:rPr>
          <w:lang w:val="en-GB"/>
        </w:rPr>
      </w:pPr>
      <w:bookmarkStart w:id="4" w:name="_Toc289250837"/>
      <w:r>
        <w:rPr>
          <w:lang w:val="en-GB"/>
        </w:rPr>
        <w:t xml:space="preserve">3.1 </w:t>
      </w:r>
      <w:r w:rsidRPr="00DA1C08">
        <w:rPr>
          <w:lang w:val="en-GB"/>
        </w:rPr>
        <w:t>Layout</w:t>
      </w:r>
      <w:bookmarkEnd w:id="4"/>
    </w:p>
    <w:p w14:paraId="70789CF7" w14:textId="46366368" w:rsidR="00EA074A" w:rsidRPr="00DA1C08" w:rsidRDefault="00EA074A" w:rsidP="00BF1A52">
      <w:pPr>
        <w:spacing w:line="360" w:lineRule="auto"/>
        <w:jc w:val="both"/>
        <w:rPr>
          <w:rFonts w:ascii="Times New Roman" w:hAnsi="Times New Roman" w:cs="Times New Roman"/>
          <w:lang w:val="en-GB"/>
        </w:rPr>
      </w:pPr>
      <w:r w:rsidRPr="00DA1C08">
        <w:rPr>
          <w:rFonts w:ascii="Times New Roman" w:hAnsi="Times New Roman" w:cs="Times New Roman"/>
          <w:lang w:val="en-GB"/>
        </w:rPr>
        <w:t>In the following four chapters it is sought to answer the above problem formulation. This will be done in a step-by-step approach where we start out by introducing the main the</w:t>
      </w:r>
      <w:r w:rsidR="00FE01C5">
        <w:rPr>
          <w:rFonts w:ascii="Times New Roman" w:hAnsi="Times New Roman" w:cs="Times New Roman"/>
          <w:lang w:val="en-GB"/>
        </w:rPr>
        <w:t>oretical frame of this project.</w:t>
      </w:r>
      <w:r w:rsidRPr="00DA1C08">
        <w:rPr>
          <w:rFonts w:ascii="Times New Roman" w:hAnsi="Times New Roman" w:cs="Times New Roman"/>
          <w:lang w:val="en-GB"/>
        </w:rPr>
        <w:t xml:space="preserve"> The Policy-Cycle approach, as by Harold Dwight Lasswell, will be described in order to give an idealized picture of the policy-</w:t>
      </w:r>
      <w:r w:rsidRPr="00DA1C08">
        <w:rPr>
          <w:rFonts w:ascii="Times New Roman" w:hAnsi="Times New Roman" w:cs="Times New Roman"/>
          <w:lang w:val="en-GB"/>
        </w:rPr>
        <w:lastRenderedPageBreak/>
        <w:t xml:space="preserve">making </w:t>
      </w:r>
      <w:r w:rsidR="00522560" w:rsidRPr="00DA1C08">
        <w:rPr>
          <w:rFonts w:ascii="Times New Roman" w:hAnsi="Times New Roman" w:cs="Times New Roman"/>
          <w:lang w:val="en-GB"/>
        </w:rPr>
        <w:t>process</w:t>
      </w:r>
      <w:r w:rsidRPr="00DA1C08">
        <w:rPr>
          <w:rFonts w:ascii="Times New Roman" w:hAnsi="Times New Roman" w:cs="Times New Roman"/>
          <w:lang w:val="en-GB"/>
        </w:rPr>
        <w:t xml:space="preserve">. The theory of multi-level-governance </w:t>
      </w:r>
      <w:r w:rsidR="00522560" w:rsidRPr="00DA1C08">
        <w:rPr>
          <w:rFonts w:ascii="Times New Roman" w:hAnsi="Times New Roman" w:cs="Times New Roman"/>
          <w:lang w:val="en-GB"/>
        </w:rPr>
        <w:t>is going to shed light on the working in a system with many different authorities and finally the concept of lobbyism will be presented to bind everything together. The chapter of theori</w:t>
      </w:r>
      <w:r w:rsidR="006F27A6" w:rsidRPr="00DA1C08">
        <w:rPr>
          <w:rFonts w:ascii="Times New Roman" w:hAnsi="Times New Roman" w:cs="Times New Roman"/>
          <w:lang w:val="en-GB"/>
        </w:rPr>
        <w:t>es will be wrapped up by a</w:t>
      </w:r>
      <w:r w:rsidR="00522560" w:rsidRPr="00DA1C08">
        <w:rPr>
          <w:rFonts w:ascii="Times New Roman" w:hAnsi="Times New Roman" w:cs="Times New Roman"/>
          <w:lang w:val="en-GB"/>
        </w:rPr>
        <w:t xml:space="preserve"> discussion of </w:t>
      </w:r>
      <w:r w:rsidR="006F27A6" w:rsidRPr="00DA1C08">
        <w:rPr>
          <w:rFonts w:ascii="Times New Roman" w:hAnsi="Times New Roman" w:cs="Times New Roman"/>
          <w:lang w:val="en-GB"/>
        </w:rPr>
        <w:t xml:space="preserve">the chosen theoretical approach and possible </w:t>
      </w:r>
      <w:r w:rsidR="00522560" w:rsidRPr="00DA1C08">
        <w:rPr>
          <w:rFonts w:ascii="Times New Roman" w:hAnsi="Times New Roman" w:cs="Times New Roman"/>
          <w:lang w:val="en-GB"/>
        </w:rPr>
        <w:t>alternative</w:t>
      </w:r>
      <w:r w:rsidR="006F27A6" w:rsidRPr="00DA1C08">
        <w:rPr>
          <w:rFonts w:ascii="Times New Roman" w:hAnsi="Times New Roman" w:cs="Times New Roman"/>
          <w:lang w:val="en-GB"/>
        </w:rPr>
        <w:t>s</w:t>
      </w:r>
      <w:r w:rsidR="00522560" w:rsidRPr="00DA1C08">
        <w:rPr>
          <w:rFonts w:ascii="Times New Roman" w:hAnsi="Times New Roman" w:cs="Times New Roman"/>
          <w:lang w:val="en-GB"/>
        </w:rPr>
        <w:t xml:space="preserve">.  </w:t>
      </w:r>
    </w:p>
    <w:p w14:paraId="6380086B" w14:textId="41CFE41C" w:rsidR="00BF1A52" w:rsidRDefault="00ED5BC6"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The next step is going to be a description of the policy-making process within the EU. The for this project most important actors and authorities will be presented and ideally fitted into the policy-cycle in order to draw a picture of how the EU is supposed to work and to prepare for the later analysis </w:t>
      </w:r>
      <w:r w:rsidR="00A7436D">
        <w:rPr>
          <w:rFonts w:ascii="Times New Roman" w:hAnsi="Times New Roman" w:cs="Times New Roman"/>
          <w:lang w:val="en-GB"/>
        </w:rPr>
        <w:t xml:space="preserve">of the </w:t>
      </w:r>
      <w:r>
        <w:rPr>
          <w:rFonts w:ascii="Times New Roman" w:hAnsi="Times New Roman" w:cs="Times New Roman"/>
          <w:lang w:val="en-GB"/>
        </w:rPr>
        <w:t xml:space="preserve">Public Procurement Directive case. </w:t>
      </w:r>
      <w:r w:rsidR="00A7436D">
        <w:rPr>
          <w:rFonts w:ascii="Times New Roman" w:hAnsi="Times New Roman" w:cs="Times New Roman"/>
          <w:lang w:val="en-GB"/>
        </w:rPr>
        <w:t xml:space="preserve">Now there is a thorough picture of how the EU works and directives are formed is established, it is time to address the core of the question postulated in the problem formulation. Through which means, channels and committees are Danish regions and municipalities able to take influence on the shaping of EU legislation. Since the EU officially encourages </w:t>
      </w:r>
      <w:r w:rsidR="005F19E0">
        <w:rPr>
          <w:rFonts w:ascii="Times New Roman" w:hAnsi="Times New Roman" w:cs="Times New Roman"/>
          <w:lang w:val="en-GB"/>
        </w:rPr>
        <w:t>making</w:t>
      </w:r>
      <w:r w:rsidR="00A7436D">
        <w:rPr>
          <w:rFonts w:ascii="Times New Roman" w:hAnsi="Times New Roman" w:cs="Times New Roman"/>
          <w:lang w:val="en-GB"/>
        </w:rPr>
        <w:t xml:space="preserve"> politics as close to the </w:t>
      </w:r>
      <w:r w:rsidR="005F19E0">
        <w:rPr>
          <w:rFonts w:ascii="Times New Roman" w:hAnsi="Times New Roman" w:cs="Times New Roman"/>
          <w:lang w:val="en-GB"/>
        </w:rPr>
        <w:t>“end user” as possible</w:t>
      </w:r>
      <w:r w:rsidR="007D386D">
        <w:rPr>
          <w:rFonts w:ascii="Times New Roman" w:hAnsi="Times New Roman" w:cs="Times New Roman"/>
          <w:lang w:val="en-GB"/>
        </w:rPr>
        <w:t>,</w:t>
      </w:r>
      <w:r w:rsidR="005F19E0">
        <w:rPr>
          <w:rFonts w:ascii="Times New Roman" w:hAnsi="Times New Roman" w:cs="Times New Roman"/>
          <w:lang w:val="en-GB"/>
        </w:rPr>
        <w:t xml:space="preserve"> a picture of how this</w:t>
      </w:r>
      <w:r w:rsidR="007D386D">
        <w:rPr>
          <w:rFonts w:ascii="Times New Roman" w:hAnsi="Times New Roman" w:cs="Times New Roman"/>
          <w:lang w:val="en-GB"/>
        </w:rPr>
        <w:t xml:space="preserve"> is</w:t>
      </w:r>
      <w:r w:rsidR="005F19E0">
        <w:rPr>
          <w:rFonts w:ascii="Times New Roman" w:hAnsi="Times New Roman" w:cs="Times New Roman"/>
          <w:lang w:val="en-GB"/>
        </w:rPr>
        <w:t xml:space="preserve"> supposed to be achieved</w:t>
      </w:r>
      <w:r w:rsidR="00E411C2">
        <w:rPr>
          <w:rFonts w:ascii="Times New Roman" w:hAnsi="Times New Roman" w:cs="Times New Roman"/>
          <w:lang w:val="en-GB"/>
        </w:rPr>
        <w:t xml:space="preserve"> is drawn</w:t>
      </w:r>
      <w:r w:rsidR="005F19E0">
        <w:rPr>
          <w:rFonts w:ascii="Times New Roman" w:hAnsi="Times New Roman" w:cs="Times New Roman"/>
          <w:lang w:val="en-GB"/>
        </w:rPr>
        <w:t xml:space="preserve">.  Last but not least the case of the Public Procurement Directive is going to be introduced, this chapter will consist of a timeline showing the development in legislation and most importantly of interviews with representatives of Danish regions and municipalities who actively have been involved in defending Danish interests in this specific case. </w:t>
      </w:r>
      <w:r w:rsidR="001756D2">
        <w:rPr>
          <w:rFonts w:ascii="Times New Roman" w:hAnsi="Times New Roman" w:cs="Times New Roman"/>
          <w:lang w:val="en-GB"/>
        </w:rPr>
        <w:t xml:space="preserve">The main idea is now to have drawn a picture of how the EU works in theory and how it worked for Danish regions and municipalities in reality in the specific case of Public Procurement. The analysis </w:t>
      </w:r>
      <w:r w:rsidR="00E411C2">
        <w:rPr>
          <w:rFonts w:ascii="Times New Roman" w:hAnsi="Times New Roman" w:cs="Times New Roman"/>
          <w:lang w:val="en-GB"/>
        </w:rPr>
        <w:t>chapter’s</w:t>
      </w:r>
      <w:r w:rsidR="001756D2">
        <w:rPr>
          <w:rFonts w:ascii="Times New Roman" w:hAnsi="Times New Roman" w:cs="Times New Roman"/>
          <w:lang w:val="en-GB"/>
        </w:rPr>
        <w:t xml:space="preserve"> </w:t>
      </w:r>
      <w:proofErr w:type="gramStart"/>
      <w:r w:rsidR="00E411C2">
        <w:rPr>
          <w:rFonts w:ascii="Times New Roman" w:hAnsi="Times New Roman" w:cs="Times New Roman"/>
          <w:lang w:val="en-GB"/>
        </w:rPr>
        <w:t>task is to map the effective influence Danish local governments had and have</w:t>
      </w:r>
      <w:proofErr w:type="gramEnd"/>
      <w:r w:rsidR="007D386D">
        <w:rPr>
          <w:rFonts w:ascii="Times New Roman" w:hAnsi="Times New Roman" w:cs="Times New Roman"/>
          <w:lang w:val="en-GB"/>
        </w:rPr>
        <w:t xml:space="preserve"> in the case of the European Procurement Directive. </w:t>
      </w:r>
    </w:p>
    <w:p w14:paraId="2641585F" w14:textId="2930B6DB" w:rsidR="00DA1C08" w:rsidRDefault="008836D0" w:rsidP="00BF1A52">
      <w:pPr>
        <w:pStyle w:val="Heading2"/>
        <w:spacing w:line="360" w:lineRule="auto"/>
        <w:rPr>
          <w:lang w:val="en-GB"/>
        </w:rPr>
      </w:pPr>
      <w:bookmarkStart w:id="5" w:name="_Toc289250838"/>
      <w:r>
        <w:rPr>
          <w:lang w:val="en-GB"/>
        </w:rPr>
        <w:t>3.2 A</w:t>
      </w:r>
      <w:r w:rsidR="00DA1C08">
        <w:rPr>
          <w:lang w:val="en-GB"/>
        </w:rPr>
        <w:t>pproach</w:t>
      </w:r>
      <w:bookmarkEnd w:id="5"/>
    </w:p>
    <w:p w14:paraId="33E7FE8B" w14:textId="01FD741A" w:rsidR="00DA1C08" w:rsidRDefault="007D386D"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In order to achieve this, </w:t>
      </w:r>
      <w:r w:rsidR="00A64E2A">
        <w:rPr>
          <w:rFonts w:ascii="Times New Roman" w:hAnsi="Times New Roman" w:cs="Times New Roman"/>
          <w:lang w:val="en-GB"/>
        </w:rPr>
        <w:t>as it is described above, there was chosen an approach</w:t>
      </w:r>
      <w:r w:rsidR="00AE4300">
        <w:rPr>
          <w:rFonts w:ascii="Times New Roman" w:hAnsi="Times New Roman" w:cs="Times New Roman"/>
          <w:lang w:val="en-GB"/>
        </w:rPr>
        <w:t xml:space="preserve"> that</w:t>
      </w:r>
      <w:r w:rsidR="00A64E2A">
        <w:rPr>
          <w:rFonts w:ascii="Times New Roman" w:hAnsi="Times New Roman" w:cs="Times New Roman"/>
          <w:lang w:val="en-GB"/>
        </w:rPr>
        <w:t xml:space="preserve"> makes use of triangul</w:t>
      </w:r>
      <w:r w:rsidR="00E411C2">
        <w:rPr>
          <w:rFonts w:ascii="Times New Roman" w:hAnsi="Times New Roman" w:cs="Times New Roman"/>
          <w:lang w:val="en-GB"/>
        </w:rPr>
        <w:t>ation and more specifically of m</w:t>
      </w:r>
      <w:r w:rsidR="00A64E2A">
        <w:rPr>
          <w:rFonts w:ascii="Times New Roman" w:hAnsi="Times New Roman" w:cs="Times New Roman"/>
          <w:lang w:val="en-GB"/>
        </w:rPr>
        <w:t xml:space="preserve">ethodological triangulation. Triangulation refers to the use of more than one approach to gather information, as in this case, previous studies, theories and laws on the one hand and direct first hand information taken from interviews on the other. This is done in order to enhance the confidence in </w:t>
      </w:r>
      <w:r w:rsidR="00AE4300">
        <w:rPr>
          <w:rFonts w:ascii="Times New Roman" w:hAnsi="Times New Roman" w:cs="Times New Roman"/>
          <w:lang w:val="en-GB"/>
        </w:rPr>
        <w:t>the</w:t>
      </w:r>
      <w:r w:rsidR="00A64E2A">
        <w:rPr>
          <w:rFonts w:ascii="Times New Roman" w:hAnsi="Times New Roman" w:cs="Times New Roman"/>
          <w:lang w:val="en-GB"/>
        </w:rPr>
        <w:t xml:space="preserve"> results, </w:t>
      </w:r>
      <w:r w:rsidR="00AE4300">
        <w:rPr>
          <w:rFonts w:ascii="Times New Roman" w:hAnsi="Times New Roman" w:cs="Times New Roman"/>
          <w:lang w:val="en-GB"/>
        </w:rPr>
        <w:t xml:space="preserve">since, </w:t>
      </w:r>
      <w:r w:rsidR="00A64E2A">
        <w:rPr>
          <w:rFonts w:ascii="Times New Roman" w:hAnsi="Times New Roman" w:cs="Times New Roman"/>
          <w:lang w:val="en-GB"/>
        </w:rPr>
        <w:t>as described by Eugene Webb</w:t>
      </w:r>
      <w:r w:rsidR="00AE4300">
        <w:rPr>
          <w:rFonts w:ascii="Times New Roman" w:hAnsi="Times New Roman" w:cs="Times New Roman"/>
          <w:lang w:val="en-GB"/>
        </w:rPr>
        <w:t xml:space="preserve">, </w:t>
      </w:r>
      <w:r w:rsidR="00AE4300" w:rsidRPr="00AE4300">
        <w:rPr>
          <w:rFonts w:ascii="Times New Roman" w:hAnsi="Times New Roman" w:cs="Times New Roman"/>
          <w:i/>
          <w:lang w:val="en-GB"/>
        </w:rPr>
        <w:t xml:space="preserve">“Once a proposition has been confirmed by two ore more independent measurement processes, the </w:t>
      </w:r>
      <w:r w:rsidR="00AE4300" w:rsidRPr="00AE4300">
        <w:rPr>
          <w:rFonts w:ascii="Times New Roman" w:hAnsi="Times New Roman" w:cs="Times New Roman"/>
          <w:i/>
          <w:lang w:val="en-GB"/>
        </w:rPr>
        <w:lastRenderedPageBreak/>
        <w:t>uncertainty of its interpretation is greatly reduced”</w:t>
      </w:r>
      <w:r w:rsidR="001C14B3">
        <w:rPr>
          <w:rStyle w:val="FootnoteReference"/>
          <w:rFonts w:cs="Times New Roman"/>
          <w:i/>
          <w:lang w:val="en-GB"/>
        </w:rPr>
        <w:footnoteReference w:id="3"/>
      </w:r>
      <w:r w:rsidR="00AE4300">
        <w:rPr>
          <w:rFonts w:ascii="Times New Roman" w:hAnsi="Times New Roman" w:cs="Times New Roman"/>
          <w:lang w:val="en-GB"/>
        </w:rPr>
        <w:t>. Though one has to be wary not to jump to the conclusion</w:t>
      </w:r>
      <w:r w:rsidR="00E411C2">
        <w:rPr>
          <w:rFonts w:ascii="Times New Roman" w:hAnsi="Times New Roman" w:cs="Times New Roman"/>
          <w:lang w:val="en-GB"/>
        </w:rPr>
        <w:t>,</w:t>
      </w:r>
      <w:r w:rsidR="00AE4300">
        <w:rPr>
          <w:rFonts w:ascii="Times New Roman" w:hAnsi="Times New Roman" w:cs="Times New Roman"/>
          <w:lang w:val="en-GB"/>
        </w:rPr>
        <w:t xml:space="preserve"> that just because an assumption has been proved by two or more methods, the ultimate truth has been found. Another point of critique is aim</w:t>
      </w:r>
      <w:r w:rsidR="00364FCA">
        <w:rPr>
          <w:rFonts w:ascii="Times New Roman" w:hAnsi="Times New Roman" w:cs="Times New Roman"/>
          <w:lang w:val="en-GB"/>
        </w:rPr>
        <w:t>ed at the fact that information</w:t>
      </w:r>
      <w:r w:rsidR="00E411C2">
        <w:rPr>
          <w:rFonts w:ascii="Times New Roman" w:hAnsi="Times New Roman" w:cs="Times New Roman"/>
          <w:lang w:val="en-GB"/>
        </w:rPr>
        <w:t>,</w:t>
      </w:r>
      <w:r w:rsidR="00364FCA">
        <w:rPr>
          <w:rFonts w:ascii="Times New Roman" w:hAnsi="Times New Roman" w:cs="Times New Roman"/>
          <w:lang w:val="en-GB"/>
        </w:rPr>
        <w:t xml:space="preserve"> gathered by differ</w:t>
      </w:r>
      <w:r w:rsidR="00E411C2">
        <w:rPr>
          <w:rFonts w:ascii="Times New Roman" w:hAnsi="Times New Roman" w:cs="Times New Roman"/>
          <w:lang w:val="en-GB"/>
        </w:rPr>
        <w:t>ent methods, not necessarily can</w:t>
      </w:r>
      <w:r w:rsidR="00364FCA">
        <w:rPr>
          <w:rFonts w:ascii="Times New Roman" w:hAnsi="Times New Roman" w:cs="Times New Roman"/>
          <w:lang w:val="en-GB"/>
        </w:rPr>
        <w:t xml:space="preserve"> be compared, since special circumstances can result in two different results on the same question</w:t>
      </w:r>
      <w:r w:rsidR="00E411C2">
        <w:rPr>
          <w:rFonts w:ascii="Times New Roman" w:hAnsi="Times New Roman" w:cs="Times New Roman"/>
          <w:lang w:val="en-GB"/>
        </w:rPr>
        <w:t>.</w:t>
      </w:r>
      <w:r w:rsidR="00B56D46">
        <w:rPr>
          <w:rStyle w:val="FootnoteReference"/>
          <w:rFonts w:cs="Times New Roman"/>
          <w:lang w:val="en-GB"/>
        </w:rPr>
        <w:footnoteReference w:id="4"/>
      </w:r>
      <w:r w:rsidR="00364FCA">
        <w:rPr>
          <w:rFonts w:ascii="Times New Roman" w:hAnsi="Times New Roman" w:cs="Times New Roman"/>
          <w:lang w:val="en-GB"/>
        </w:rPr>
        <w:t xml:space="preserve"> In the case of this project the interviews can contain personal interpretations of situation</w:t>
      </w:r>
      <w:r w:rsidR="002537E9">
        <w:rPr>
          <w:rFonts w:ascii="Times New Roman" w:hAnsi="Times New Roman" w:cs="Times New Roman"/>
          <w:lang w:val="en-GB"/>
        </w:rPr>
        <w:t>s</w:t>
      </w:r>
      <w:r w:rsidR="00364FCA">
        <w:rPr>
          <w:rFonts w:ascii="Times New Roman" w:hAnsi="Times New Roman" w:cs="Times New Roman"/>
          <w:lang w:val="en-GB"/>
        </w:rPr>
        <w:t>, which can differ greatly from how another pe</w:t>
      </w:r>
      <w:r w:rsidR="002537E9">
        <w:rPr>
          <w:rFonts w:ascii="Times New Roman" w:hAnsi="Times New Roman" w:cs="Times New Roman"/>
          <w:lang w:val="en-GB"/>
        </w:rPr>
        <w:t>rson would have perceived them.</w:t>
      </w:r>
      <w:r w:rsidR="00364FCA">
        <w:rPr>
          <w:rFonts w:ascii="Times New Roman" w:hAnsi="Times New Roman" w:cs="Times New Roman"/>
          <w:lang w:val="en-GB"/>
        </w:rPr>
        <w:t xml:space="preserve"> </w:t>
      </w:r>
      <w:r w:rsidR="00AE4300">
        <w:rPr>
          <w:rFonts w:ascii="Times New Roman" w:hAnsi="Times New Roman" w:cs="Times New Roman"/>
          <w:lang w:val="en-GB"/>
        </w:rPr>
        <w:t>In any case triangul</w:t>
      </w:r>
      <w:r w:rsidR="00364FCA">
        <w:rPr>
          <w:rFonts w:ascii="Times New Roman" w:hAnsi="Times New Roman" w:cs="Times New Roman"/>
          <w:lang w:val="en-GB"/>
        </w:rPr>
        <w:t xml:space="preserve">ation can give this project more depth regardless of the end result might turn out inconclusive. </w:t>
      </w:r>
    </w:p>
    <w:p w14:paraId="7CBCFC9B" w14:textId="72167834" w:rsidR="00DA1C08" w:rsidRDefault="00DA1C08" w:rsidP="00BF1A52">
      <w:pPr>
        <w:pStyle w:val="Heading2"/>
        <w:spacing w:line="360" w:lineRule="auto"/>
        <w:rPr>
          <w:lang w:val="en-GB"/>
        </w:rPr>
      </w:pPr>
      <w:bookmarkStart w:id="6" w:name="_Toc289250839"/>
      <w:r>
        <w:rPr>
          <w:lang w:val="en-GB"/>
        </w:rPr>
        <w:t>3.3 Interviews</w:t>
      </w:r>
      <w:bookmarkEnd w:id="6"/>
    </w:p>
    <w:p w14:paraId="5E4CC709" w14:textId="4DF2B26E" w:rsidR="00FB49CA" w:rsidRDefault="003D5C75"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The interviews incorporated into this project lead us to the next challenges, connected to qualitative data gathering. The problem </w:t>
      </w:r>
      <w:r w:rsidR="004F23CD">
        <w:rPr>
          <w:rFonts w:ascii="Times New Roman" w:hAnsi="Times New Roman" w:cs="Times New Roman"/>
          <w:lang w:val="en-GB"/>
        </w:rPr>
        <w:t>with qualitative research is, that it doesn’t rely on precisely measurable data that can be expressed in tables and charts. It is hard to determine when a remarkable observation is remarkable or only pure coincidence. On the other hand qualitative research, as individual interviews, open up for the possibility to look further and to shake of restrictions, that quantitative research can contain. One can move more free in order to answer question, which otherwise are hard to answer.</w:t>
      </w:r>
      <w:r w:rsidR="00862A76">
        <w:rPr>
          <w:rStyle w:val="FootnoteReference"/>
          <w:rFonts w:cs="Times New Roman"/>
          <w:lang w:val="en-GB"/>
        </w:rPr>
        <w:footnoteReference w:id="5"/>
      </w:r>
      <w:r w:rsidR="00862A76">
        <w:rPr>
          <w:rFonts w:ascii="Times New Roman" w:hAnsi="Times New Roman" w:cs="Times New Roman"/>
          <w:lang w:val="en-GB"/>
        </w:rPr>
        <w:t xml:space="preserve"> </w:t>
      </w:r>
      <w:r w:rsidR="004D3A00">
        <w:rPr>
          <w:rFonts w:ascii="Times New Roman" w:hAnsi="Times New Roman" w:cs="Times New Roman"/>
          <w:lang w:val="en-GB"/>
        </w:rPr>
        <w:t xml:space="preserve">In interviews the most important questions to </w:t>
      </w:r>
      <w:r w:rsidR="005A2270">
        <w:rPr>
          <w:rFonts w:ascii="Times New Roman" w:hAnsi="Times New Roman" w:cs="Times New Roman"/>
          <w:lang w:val="en-GB"/>
        </w:rPr>
        <w:t>ask</w:t>
      </w:r>
      <w:r w:rsidR="004D3A00">
        <w:rPr>
          <w:rFonts w:ascii="Times New Roman" w:hAnsi="Times New Roman" w:cs="Times New Roman"/>
          <w:lang w:val="en-GB"/>
        </w:rPr>
        <w:t xml:space="preserve"> are “what</w:t>
      </w:r>
      <w:r w:rsidR="005A2270">
        <w:rPr>
          <w:rFonts w:ascii="Times New Roman" w:hAnsi="Times New Roman" w:cs="Times New Roman"/>
          <w:lang w:val="en-GB"/>
        </w:rPr>
        <w:t>?</w:t>
      </w:r>
      <w:proofErr w:type="gramStart"/>
      <w:r w:rsidR="004D3A00">
        <w:rPr>
          <w:rFonts w:ascii="Times New Roman" w:hAnsi="Times New Roman" w:cs="Times New Roman"/>
          <w:lang w:val="en-GB"/>
        </w:rPr>
        <w:t>”,</w:t>
      </w:r>
      <w:proofErr w:type="gramEnd"/>
      <w:r w:rsidR="004D3A00">
        <w:rPr>
          <w:rFonts w:ascii="Times New Roman" w:hAnsi="Times New Roman" w:cs="Times New Roman"/>
          <w:lang w:val="en-GB"/>
        </w:rPr>
        <w:t xml:space="preserve"> “why?” and “in what way</w:t>
      </w:r>
      <w:r w:rsidR="005A2270">
        <w:rPr>
          <w:rFonts w:ascii="Times New Roman" w:hAnsi="Times New Roman" w:cs="Times New Roman"/>
          <w:lang w:val="en-GB"/>
        </w:rPr>
        <w:t>?</w:t>
      </w:r>
      <w:r w:rsidR="004D3A00">
        <w:rPr>
          <w:rFonts w:ascii="Times New Roman" w:hAnsi="Times New Roman" w:cs="Times New Roman"/>
          <w:lang w:val="en-GB"/>
        </w:rPr>
        <w:t>”</w:t>
      </w:r>
      <w:r w:rsidR="005A2270">
        <w:rPr>
          <w:rFonts w:ascii="Times New Roman" w:hAnsi="Times New Roman" w:cs="Times New Roman"/>
          <w:lang w:val="en-GB"/>
        </w:rPr>
        <w:t>,</w:t>
      </w:r>
      <w:r w:rsidR="004D3A00">
        <w:rPr>
          <w:rFonts w:ascii="Times New Roman" w:hAnsi="Times New Roman" w:cs="Times New Roman"/>
          <w:lang w:val="en-GB"/>
        </w:rPr>
        <w:t xml:space="preserve"> and a good preparation of the topic is essential to avoid unnecessary repetitions. What is already known, what would be interesting and what topics are worth of getting in depth with are </w:t>
      </w:r>
      <w:r w:rsidR="00862A76">
        <w:rPr>
          <w:rFonts w:ascii="Times New Roman" w:hAnsi="Times New Roman" w:cs="Times New Roman"/>
          <w:lang w:val="en-GB"/>
        </w:rPr>
        <w:t>the questions one has to ask one</w:t>
      </w:r>
      <w:r w:rsidR="004D3A00">
        <w:rPr>
          <w:rFonts w:ascii="Times New Roman" w:hAnsi="Times New Roman" w:cs="Times New Roman"/>
          <w:lang w:val="en-GB"/>
        </w:rPr>
        <w:t>self, when preparing a</w:t>
      </w:r>
      <w:r w:rsidR="00862A76">
        <w:rPr>
          <w:rFonts w:ascii="Times New Roman" w:hAnsi="Times New Roman" w:cs="Times New Roman"/>
          <w:lang w:val="en-GB"/>
        </w:rPr>
        <w:t>n</w:t>
      </w:r>
      <w:r w:rsidR="004D3A00">
        <w:rPr>
          <w:rFonts w:ascii="Times New Roman" w:hAnsi="Times New Roman" w:cs="Times New Roman"/>
          <w:lang w:val="en-GB"/>
        </w:rPr>
        <w:t xml:space="preserve"> interview. While preparation is essential, it is also important to be able to respond </w:t>
      </w:r>
      <w:r w:rsidR="00862A76">
        <w:rPr>
          <w:rFonts w:ascii="Times New Roman" w:hAnsi="Times New Roman" w:cs="Times New Roman"/>
          <w:lang w:val="en-GB"/>
        </w:rPr>
        <w:t>spontaneous to the development of the interview.</w:t>
      </w:r>
      <w:r w:rsidR="00862A76">
        <w:rPr>
          <w:rStyle w:val="FootnoteReference"/>
          <w:rFonts w:cs="Times New Roman"/>
          <w:lang w:val="en-GB"/>
        </w:rPr>
        <w:footnoteReference w:id="6"/>
      </w:r>
      <w:r w:rsidR="007C3068">
        <w:rPr>
          <w:rFonts w:ascii="Times New Roman" w:hAnsi="Times New Roman" w:cs="Times New Roman"/>
          <w:lang w:val="en-GB"/>
        </w:rPr>
        <w:t xml:space="preserve"> In general it is possible to structure the interview in two ways, as, metaphorical speaking, a tree or a river. The tree is fixed and well defined and the scenes, the branches, are to complete the information. If the researcher knows the problem well, this model is to prefer, since he knows where to go and what to ask. The “river” model </w:t>
      </w:r>
      <w:r w:rsidR="00F0678B">
        <w:rPr>
          <w:rFonts w:ascii="Times New Roman" w:hAnsi="Times New Roman" w:cs="Times New Roman"/>
          <w:lang w:val="en-GB"/>
        </w:rPr>
        <w:t xml:space="preserve">on the other hand is to be seen as a river with many side-rivers, the longer you get down the interview the </w:t>
      </w:r>
      <w:r w:rsidR="00F0678B">
        <w:rPr>
          <w:rFonts w:ascii="Times New Roman" w:hAnsi="Times New Roman" w:cs="Times New Roman"/>
          <w:lang w:val="en-GB"/>
        </w:rPr>
        <w:lastRenderedPageBreak/>
        <w:t>more information comes from the side-rivers and alters the interview. This model ca</w:t>
      </w:r>
      <w:r w:rsidR="00444E77">
        <w:rPr>
          <w:rFonts w:ascii="Times New Roman" w:hAnsi="Times New Roman" w:cs="Times New Roman"/>
          <w:lang w:val="en-GB"/>
        </w:rPr>
        <w:t>n be selected if the researcher</w:t>
      </w:r>
      <w:r w:rsidR="00F0678B">
        <w:rPr>
          <w:rFonts w:ascii="Times New Roman" w:hAnsi="Times New Roman" w:cs="Times New Roman"/>
          <w:lang w:val="en-GB"/>
        </w:rPr>
        <w:t xml:space="preserve"> has a</w:t>
      </w:r>
      <w:r w:rsidR="00444E77">
        <w:rPr>
          <w:rFonts w:ascii="Times New Roman" w:hAnsi="Times New Roman" w:cs="Times New Roman"/>
          <w:lang w:val="en-GB"/>
        </w:rPr>
        <w:t>n</w:t>
      </w:r>
      <w:r w:rsidR="00F0678B">
        <w:rPr>
          <w:rFonts w:ascii="Times New Roman" w:hAnsi="Times New Roman" w:cs="Times New Roman"/>
          <w:lang w:val="en-GB"/>
        </w:rPr>
        <w:t xml:space="preserve"> idea about a topic, but is able to and desires to incorporate new information in to his work.</w:t>
      </w:r>
      <w:r w:rsidR="00F0678B">
        <w:rPr>
          <w:rStyle w:val="FootnoteReference"/>
          <w:rFonts w:cs="Times New Roman"/>
          <w:lang w:val="en-GB"/>
        </w:rPr>
        <w:footnoteReference w:id="7"/>
      </w:r>
      <w:r w:rsidR="00444E77">
        <w:rPr>
          <w:rFonts w:ascii="Times New Roman" w:hAnsi="Times New Roman" w:cs="Times New Roman"/>
          <w:lang w:val="en-GB"/>
        </w:rPr>
        <w:t xml:space="preserve"> Another aspect of the interview can be to decide to do interviews individual or in smaller or bigger groups. While the individual interview can give the person a sense of confidentiality that enables him/her to talk more freely, the discussions that can occur when two or more people are intervie</w:t>
      </w:r>
      <w:r w:rsidR="005A2270">
        <w:rPr>
          <w:rFonts w:ascii="Times New Roman" w:hAnsi="Times New Roman" w:cs="Times New Roman"/>
          <w:lang w:val="en-GB"/>
        </w:rPr>
        <w:t>wed together can</w:t>
      </w:r>
      <w:r w:rsidR="00444E77">
        <w:rPr>
          <w:rFonts w:ascii="Times New Roman" w:hAnsi="Times New Roman" w:cs="Times New Roman"/>
          <w:lang w:val="en-GB"/>
        </w:rPr>
        <w:t xml:space="preserve"> bring new and exiting insights. People reacting to each </w:t>
      </w:r>
      <w:r w:rsidR="005A2270">
        <w:rPr>
          <w:rFonts w:ascii="Times New Roman" w:hAnsi="Times New Roman" w:cs="Times New Roman"/>
          <w:lang w:val="en-GB"/>
        </w:rPr>
        <w:t>other’s</w:t>
      </w:r>
      <w:r w:rsidR="00444E77">
        <w:rPr>
          <w:rFonts w:ascii="Times New Roman" w:hAnsi="Times New Roman" w:cs="Times New Roman"/>
          <w:lang w:val="en-GB"/>
        </w:rPr>
        <w:t xml:space="preserve"> answers can add a new</w:t>
      </w:r>
      <w:r w:rsidR="005A2270">
        <w:rPr>
          <w:rFonts w:ascii="Times New Roman" w:hAnsi="Times New Roman" w:cs="Times New Roman"/>
          <w:lang w:val="en-GB"/>
        </w:rPr>
        <w:t xml:space="preserve"> dynamic to the interview, where</w:t>
      </w:r>
      <w:r w:rsidR="00444E77">
        <w:rPr>
          <w:rFonts w:ascii="Times New Roman" w:hAnsi="Times New Roman" w:cs="Times New Roman"/>
          <w:lang w:val="en-GB"/>
        </w:rPr>
        <w:t xml:space="preserve"> the researchers work is to keep the interviews topic on track.</w:t>
      </w:r>
      <w:r w:rsidR="00444E77">
        <w:rPr>
          <w:rStyle w:val="FootnoteReference"/>
          <w:rFonts w:cs="Times New Roman"/>
          <w:lang w:val="en-GB"/>
        </w:rPr>
        <w:footnoteReference w:id="8"/>
      </w:r>
      <w:r w:rsidR="00444E77">
        <w:rPr>
          <w:rFonts w:ascii="Times New Roman" w:hAnsi="Times New Roman" w:cs="Times New Roman"/>
          <w:lang w:val="en-GB"/>
        </w:rPr>
        <w:t xml:space="preserve"> </w:t>
      </w:r>
    </w:p>
    <w:p w14:paraId="1CC6205E" w14:textId="171DE07E" w:rsidR="00444E77" w:rsidRDefault="00444E77" w:rsidP="00BF1A52">
      <w:pPr>
        <w:spacing w:line="360" w:lineRule="auto"/>
        <w:jc w:val="both"/>
        <w:rPr>
          <w:rFonts w:ascii="Times New Roman" w:hAnsi="Times New Roman" w:cs="Times New Roman"/>
          <w:lang w:val="en-GB"/>
        </w:rPr>
      </w:pPr>
      <w:r>
        <w:rPr>
          <w:rFonts w:ascii="Times New Roman" w:hAnsi="Times New Roman" w:cs="Times New Roman"/>
          <w:lang w:val="en-GB"/>
        </w:rPr>
        <w:t>For this projects</w:t>
      </w:r>
      <w:r w:rsidR="002377B4">
        <w:rPr>
          <w:rFonts w:ascii="Times New Roman" w:hAnsi="Times New Roman" w:cs="Times New Roman"/>
          <w:lang w:val="en-GB"/>
        </w:rPr>
        <w:t xml:space="preserve"> interview a more “river” like approach was chosen. While the theoretical knowledge</w:t>
      </w:r>
      <w:r w:rsidR="00325934">
        <w:rPr>
          <w:rFonts w:ascii="Times New Roman" w:hAnsi="Times New Roman" w:cs="Times New Roman"/>
          <w:lang w:val="en-GB"/>
        </w:rPr>
        <w:t xml:space="preserve"> of local governments lobby work</w:t>
      </w:r>
      <w:r w:rsidR="002377B4">
        <w:rPr>
          <w:rFonts w:ascii="Times New Roman" w:hAnsi="Times New Roman" w:cs="Times New Roman"/>
          <w:lang w:val="en-GB"/>
        </w:rPr>
        <w:t xml:space="preserve"> was good, the aim was get a sense of how the reality looks like. Furthermore the interview was conducted with representatives of Danske Regioner and Kommunernes Landsforening at the same time, this gave the interview a conversation like character where the prepared questions only worked as a guideline.</w:t>
      </w:r>
      <w:r w:rsidR="00325934">
        <w:rPr>
          <w:rFonts w:ascii="Times New Roman" w:hAnsi="Times New Roman" w:cs="Times New Roman"/>
          <w:lang w:val="en-GB"/>
        </w:rPr>
        <w:t xml:space="preserve"> The fact that both organizations work closely together made it even more obvious to do it this way.</w:t>
      </w:r>
      <w:r w:rsidR="002377B4">
        <w:rPr>
          <w:rFonts w:ascii="Times New Roman" w:hAnsi="Times New Roman" w:cs="Times New Roman"/>
          <w:lang w:val="en-GB"/>
        </w:rPr>
        <w:t xml:space="preserve"> The number of interviewed people and their background only can give answer to certain aspects of the lobbying the procurement directive case and in the ideal case more involved would have been interviewed. </w:t>
      </w:r>
      <w:r w:rsidR="003E1F32">
        <w:rPr>
          <w:rFonts w:ascii="Times New Roman" w:hAnsi="Times New Roman" w:cs="Times New Roman"/>
          <w:lang w:val="en-GB"/>
        </w:rPr>
        <w:t>Restrictions</w:t>
      </w:r>
      <w:r w:rsidR="002377B4">
        <w:rPr>
          <w:rFonts w:ascii="Times New Roman" w:hAnsi="Times New Roman" w:cs="Times New Roman"/>
          <w:lang w:val="en-GB"/>
        </w:rPr>
        <w:t xml:space="preserve"> on time and resources set</w:t>
      </w:r>
      <w:r w:rsidR="00325934">
        <w:rPr>
          <w:rFonts w:ascii="Times New Roman" w:hAnsi="Times New Roman" w:cs="Times New Roman"/>
          <w:lang w:val="en-GB"/>
        </w:rPr>
        <w:t xml:space="preserve"> a limit though. </w:t>
      </w:r>
    </w:p>
    <w:p w14:paraId="1A697D8C" w14:textId="58C45EB6" w:rsidR="00DA1C08" w:rsidRDefault="00DA1C08" w:rsidP="00BF1A52">
      <w:pPr>
        <w:pStyle w:val="Heading2"/>
        <w:spacing w:line="360" w:lineRule="auto"/>
        <w:rPr>
          <w:lang w:val="en-GB"/>
        </w:rPr>
      </w:pPr>
      <w:bookmarkStart w:id="7" w:name="_Toc289250840"/>
      <w:r>
        <w:rPr>
          <w:lang w:val="en-GB"/>
        </w:rPr>
        <w:t>3.4 Case Study</w:t>
      </w:r>
      <w:bookmarkEnd w:id="7"/>
    </w:p>
    <w:p w14:paraId="5ABD68E9" w14:textId="65971816" w:rsidR="00C320D0" w:rsidRDefault="00FC5865" w:rsidP="00BF1A52">
      <w:pPr>
        <w:spacing w:line="360" w:lineRule="auto"/>
        <w:jc w:val="both"/>
        <w:rPr>
          <w:rFonts w:ascii="Times New Roman" w:hAnsi="Times New Roman" w:cs="Times New Roman"/>
          <w:lang w:val="en-GB"/>
        </w:rPr>
      </w:pPr>
      <w:r>
        <w:rPr>
          <w:rFonts w:ascii="Times New Roman" w:hAnsi="Times New Roman" w:cs="Times New Roman"/>
          <w:lang w:val="en-GB"/>
        </w:rPr>
        <w:t>The big advantage of a case study over other methods is that it roots in a real-life context and contains the possibility to examine a certain case in-depth.</w:t>
      </w:r>
      <w:r w:rsidR="001E21A7">
        <w:rPr>
          <w:rStyle w:val="FootnoteReference"/>
          <w:rFonts w:cs="Times New Roman"/>
          <w:lang w:val="en-GB"/>
        </w:rPr>
        <w:footnoteReference w:id="9"/>
      </w:r>
    </w:p>
    <w:p w14:paraId="415D8835" w14:textId="01702BCB" w:rsidR="00C320D0" w:rsidRDefault="00D2017E" w:rsidP="00BF1A52">
      <w:pPr>
        <w:spacing w:line="360" w:lineRule="auto"/>
        <w:jc w:val="both"/>
        <w:rPr>
          <w:rFonts w:ascii="Times New Roman" w:hAnsi="Times New Roman" w:cs="Times New Roman"/>
          <w:lang w:val="en-GB"/>
        </w:rPr>
      </w:pPr>
      <w:r>
        <w:rPr>
          <w:rFonts w:ascii="Times New Roman" w:hAnsi="Times New Roman" w:cs="Times New Roman"/>
          <w:lang w:val="en-GB"/>
        </w:rPr>
        <w:t>This method is aided by collecting data in a natural setting and makes the work thus independent from processed statistics</w:t>
      </w:r>
      <w:r w:rsidR="003A4609">
        <w:rPr>
          <w:rFonts w:ascii="Times New Roman" w:hAnsi="Times New Roman" w:cs="Times New Roman"/>
          <w:lang w:val="en-GB"/>
        </w:rPr>
        <w:t>,</w:t>
      </w:r>
      <w:r>
        <w:rPr>
          <w:rFonts w:ascii="Times New Roman" w:hAnsi="Times New Roman" w:cs="Times New Roman"/>
          <w:lang w:val="en-GB"/>
        </w:rPr>
        <w:t xml:space="preserve"> which can</w:t>
      </w:r>
      <w:r w:rsidR="003A4609">
        <w:rPr>
          <w:rFonts w:ascii="Times New Roman" w:hAnsi="Times New Roman" w:cs="Times New Roman"/>
          <w:lang w:val="en-GB"/>
        </w:rPr>
        <w:t xml:space="preserve"> put limitations on the possibilities for new discoveries.</w:t>
      </w:r>
      <w:r w:rsidR="003A4609">
        <w:rPr>
          <w:rStyle w:val="FootnoteReference"/>
          <w:rFonts w:cs="Times New Roman"/>
          <w:lang w:val="en-GB"/>
        </w:rPr>
        <w:footnoteReference w:id="10"/>
      </w:r>
      <w:r w:rsidR="003A4609">
        <w:rPr>
          <w:rFonts w:ascii="Times New Roman" w:hAnsi="Times New Roman" w:cs="Times New Roman"/>
          <w:lang w:val="en-GB"/>
        </w:rPr>
        <w:t xml:space="preserve"> </w:t>
      </w:r>
      <w:r>
        <w:rPr>
          <w:rFonts w:ascii="Times New Roman" w:hAnsi="Times New Roman" w:cs="Times New Roman"/>
          <w:lang w:val="en-GB"/>
        </w:rPr>
        <w:t xml:space="preserve"> </w:t>
      </w:r>
      <w:r w:rsidR="003A4609">
        <w:rPr>
          <w:rFonts w:ascii="Times New Roman" w:hAnsi="Times New Roman" w:cs="Times New Roman"/>
          <w:lang w:val="en-GB"/>
        </w:rPr>
        <w:t xml:space="preserve">The most obvious field of use for this method are descriptive or explanatory problems where the aim is to produce </w:t>
      </w:r>
      <w:r w:rsidR="00C320D0">
        <w:rPr>
          <w:rFonts w:ascii="Times New Roman" w:hAnsi="Times New Roman" w:cs="Times New Roman"/>
          <w:lang w:val="en-GB"/>
        </w:rPr>
        <w:t xml:space="preserve">first-hand understanding of events. </w:t>
      </w:r>
    </w:p>
    <w:p w14:paraId="7BCD6004" w14:textId="619FDD0B" w:rsidR="00C320D0" w:rsidRDefault="00C320D0"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The method isn’t so different from other methods, but the most striking difference is that collection and analysis of data have to happen at the same time. In case </w:t>
      </w:r>
      <w:r>
        <w:rPr>
          <w:rFonts w:ascii="Times New Roman" w:hAnsi="Times New Roman" w:cs="Times New Roman"/>
          <w:lang w:val="en-GB"/>
        </w:rPr>
        <w:lastRenderedPageBreak/>
        <w:t>interviews contradict each other, one need to find the reason, redo parts of the interview or find more interview partners in order get a good result.</w:t>
      </w:r>
      <w:r w:rsidR="003A4609">
        <w:rPr>
          <w:rStyle w:val="FootnoteReference"/>
          <w:rFonts w:cs="Times New Roman"/>
          <w:lang w:val="en-GB"/>
        </w:rPr>
        <w:footnoteReference w:id="11"/>
      </w:r>
      <w:r>
        <w:rPr>
          <w:rFonts w:ascii="Times New Roman" w:hAnsi="Times New Roman" w:cs="Times New Roman"/>
          <w:lang w:val="en-GB"/>
        </w:rPr>
        <w:t xml:space="preserve"> </w:t>
      </w:r>
    </w:p>
    <w:p w14:paraId="26961A56" w14:textId="252DA00C" w:rsidR="00C320D0" w:rsidRDefault="003A4609" w:rsidP="00BF1A52">
      <w:pPr>
        <w:spacing w:line="360" w:lineRule="auto"/>
        <w:jc w:val="both"/>
        <w:rPr>
          <w:rFonts w:ascii="Times New Roman" w:hAnsi="Times New Roman" w:cs="Times New Roman"/>
          <w:lang w:val="en-GB"/>
        </w:rPr>
      </w:pPr>
      <w:r>
        <w:rPr>
          <w:rFonts w:ascii="Times New Roman" w:hAnsi="Times New Roman" w:cs="Times New Roman"/>
          <w:lang w:val="en-GB"/>
        </w:rPr>
        <w:t>When working on a case study, in order to get the full advantage out of it, i</w:t>
      </w:r>
      <w:r w:rsidR="00C320D0">
        <w:rPr>
          <w:rFonts w:ascii="Times New Roman" w:hAnsi="Times New Roman" w:cs="Times New Roman"/>
          <w:lang w:val="en-GB"/>
        </w:rPr>
        <w:t xml:space="preserve">t is important to stay open minded and not to assume results beforehand. </w:t>
      </w:r>
    </w:p>
    <w:p w14:paraId="773925AB" w14:textId="3AA4E3B7" w:rsidR="00D97265" w:rsidRDefault="00605637" w:rsidP="00BF1A52">
      <w:pPr>
        <w:spacing w:line="360" w:lineRule="auto"/>
        <w:jc w:val="both"/>
        <w:rPr>
          <w:rFonts w:ascii="Times New Roman" w:hAnsi="Times New Roman" w:cs="Times New Roman"/>
          <w:lang w:val="en-GB"/>
        </w:rPr>
      </w:pPr>
      <w:r>
        <w:rPr>
          <w:rFonts w:ascii="Times New Roman" w:hAnsi="Times New Roman" w:cs="Times New Roman"/>
          <w:lang w:val="en-GB"/>
        </w:rPr>
        <w:t>When it comes to designing</w:t>
      </w:r>
      <w:r w:rsidR="002B019F">
        <w:rPr>
          <w:rFonts w:ascii="Times New Roman" w:hAnsi="Times New Roman" w:cs="Times New Roman"/>
          <w:lang w:val="en-GB"/>
        </w:rPr>
        <w:t xml:space="preserve"> a </w:t>
      </w:r>
      <w:r>
        <w:rPr>
          <w:rFonts w:ascii="Times New Roman" w:hAnsi="Times New Roman" w:cs="Times New Roman"/>
          <w:lang w:val="en-GB"/>
        </w:rPr>
        <w:t xml:space="preserve">specific </w:t>
      </w:r>
      <w:r w:rsidR="002B019F">
        <w:rPr>
          <w:rFonts w:ascii="Times New Roman" w:hAnsi="Times New Roman" w:cs="Times New Roman"/>
          <w:lang w:val="en-GB"/>
        </w:rPr>
        <w:t>case study</w:t>
      </w:r>
      <w:r>
        <w:rPr>
          <w:rFonts w:ascii="Times New Roman" w:hAnsi="Times New Roman" w:cs="Times New Roman"/>
          <w:lang w:val="en-GB"/>
        </w:rPr>
        <w:t xml:space="preserve">, the first thing that needs to be done is do define the case in detail and then to decide whether to use a single or multi case approach. Focusing on one case makes it necessary </w:t>
      </w:r>
      <w:r w:rsidR="002B019F">
        <w:rPr>
          <w:rFonts w:ascii="Times New Roman" w:hAnsi="Times New Roman" w:cs="Times New Roman"/>
          <w:lang w:val="en-GB"/>
        </w:rPr>
        <w:t>to devote careful attention to the case. The multi case approach though opens up to st</w:t>
      </w:r>
      <w:r>
        <w:rPr>
          <w:rFonts w:ascii="Times New Roman" w:hAnsi="Times New Roman" w:cs="Times New Roman"/>
          <w:lang w:val="en-GB"/>
        </w:rPr>
        <w:t>rengthen the researches result, through multiple results verifying the same assumption</w:t>
      </w:r>
      <w:r>
        <w:rPr>
          <w:rStyle w:val="FootnoteReference"/>
          <w:rFonts w:cs="Times New Roman"/>
          <w:lang w:val="en-GB"/>
        </w:rPr>
        <w:footnoteReference w:id="12"/>
      </w:r>
    </w:p>
    <w:p w14:paraId="15FA4D8C" w14:textId="460741D4" w:rsidR="001E21A7" w:rsidRDefault="00605637"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Last but not least it </w:t>
      </w:r>
      <w:r w:rsidR="00902209">
        <w:rPr>
          <w:rFonts w:ascii="Times New Roman" w:hAnsi="Times New Roman" w:cs="Times New Roman"/>
          <w:lang w:val="en-GB"/>
        </w:rPr>
        <w:t xml:space="preserve">is necessary to choose if one does want to solely rely on </w:t>
      </w:r>
      <w:r w:rsidR="00DB0628">
        <w:rPr>
          <w:rFonts w:ascii="Times New Roman" w:hAnsi="Times New Roman" w:cs="Times New Roman"/>
          <w:lang w:val="en-GB"/>
        </w:rPr>
        <w:t>the collected data and make new discoveries from scratch</w:t>
      </w:r>
      <w:r>
        <w:rPr>
          <w:rFonts w:ascii="Times New Roman" w:hAnsi="Times New Roman" w:cs="Times New Roman"/>
          <w:lang w:val="en-GB"/>
        </w:rPr>
        <w:t>,</w:t>
      </w:r>
      <w:r w:rsidR="00DB0628">
        <w:rPr>
          <w:rFonts w:ascii="Times New Roman" w:hAnsi="Times New Roman" w:cs="Times New Roman"/>
          <w:lang w:val="en-GB"/>
        </w:rPr>
        <w:t xml:space="preserve"> or to incorporate a theoretical perspective. Incorporating theories can on the one hand prevent new discoveries but on the other side also be used to challenge or extend a certain hypothesis. </w:t>
      </w:r>
      <w:r>
        <w:rPr>
          <w:rFonts w:ascii="Times New Roman" w:hAnsi="Times New Roman" w:cs="Times New Roman"/>
          <w:lang w:val="en-GB"/>
        </w:rPr>
        <w:t>The case study design should</w:t>
      </w:r>
      <w:r w:rsidR="00FC5865">
        <w:rPr>
          <w:rFonts w:ascii="Times New Roman" w:hAnsi="Times New Roman" w:cs="Times New Roman"/>
          <w:lang w:val="en-GB"/>
        </w:rPr>
        <w:t xml:space="preserve"> thus at a minimum involve the definition of the case, a justification for the number of cases and </w:t>
      </w:r>
      <w:proofErr w:type="gramStart"/>
      <w:r w:rsidR="00FC5865">
        <w:rPr>
          <w:rFonts w:ascii="Times New Roman" w:hAnsi="Times New Roman" w:cs="Times New Roman"/>
          <w:lang w:val="en-GB"/>
        </w:rPr>
        <w:t>a</w:t>
      </w:r>
      <w:proofErr w:type="gramEnd"/>
      <w:r w:rsidR="00FC5865">
        <w:rPr>
          <w:rFonts w:ascii="Times New Roman" w:hAnsi="Times New Roman" w:cs="Times New Roman"/>
          <w:lang w:val="en-GB"/>
        </w:rPr>
        <w:t xml:space="preserve"> explanation whether for or against to incorporate a theoretical perspective.</w:t>
      </w:r>
      <w:r>
        <w:rPr>
          <w:rStyle w:val="FootnoteReference"/>
          <w:rFonts w:cs="Times New Roman"/>
          <w:lang w:val="en-GB"/>
        </w:rPr>
        <w:footnoteReference w:id="13"/>
      </w:r>
    </w:p>
    <w:p w14:paraId="53FED9BE" w14:textId="12F50576" w:rsidR="00FA0B12" w:rsidRPr="001E21A7" w:rsidRDefault="00FA0B12"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In the case of this project the case is as defined in the section “Limits” at the end of this chapter. Only one case was worked with, due to limited time. But in order to have reached a clearer result in regard to answering the problem formulation, it would have made sense to not only incorporated the views and experiences of Danske regioners and Kommunernes Landsforenings consultants in Brussels, but also to have talked with other involved actors, such as the main office in Copenhagen or representatives in the CoR. </w:t>
      </w:r>
      <w:r w:rsidR="00222644">
        <w:rPr>
          <w:rFonts w:ascii="Times New Roman" w:hAnsi="Times New Roman" w:cs="Times New Roman"/>
          <w:lang w:val="en-GB"/>
        </w:rPr>
        <w:t>This would have made a clearer and more diversified picture of the actual situation and not only angled it from the point of the Brussels offices. As it already was mentioned above, the project incorporates a certain amount of theories. The idea is to either verify the theoretical findings and</w:t>
      </w:r>
      <w:r w:rsidR="00BA22CE">
        <w:rPr>
          <w:rFonts w:ascii="Times New Roman" w:hAnsi="Times New Roman" w:cs="Times New Roman"/>
          <w:lang w:val="en-GB"/>
        </w:rPr>
        <w:t xml:space="preserve"> or to reveal</w:t>
      </w:r>
      <w:r w:rsidR="00222644">
        <w:rPr>
          <w:rFonts w:ascii="Times New Roman" w:hAnsi="Times New Roman" w:cs="Times New Roman"/>
          <w:lang w:val="en-GB"/>
        </w:rPr>
        <w:t xml:space="preserve"> discrepanc</w:t>
      </w:r>
      <w:r w:rsidR="00BA22CE">
        <w:rPr>
          <w:rFonts w:ascii="Times New Roman" w:hAnsi="Times New Roman" w:cs="Times New Roman"/>
          <w:lang w:val="en-GB"/>
        </w:rPr>
        <w:t xml:space="preserve">ies between the local governments theoretical possibilities to influence EU legislation and the actual real-world situation as described through the interviews. </w:t>
      </w:r>
    </w:p>
    <w:p w14:paraId="15F53825" w14:textId="77777777" w:rsidR="008836D0" w:rsidRDefault="008836D0" w:rsidP="00BF1A52">
      <w:pPr>
        <w:spacing w:line="360" w:lineRule="auto"/>
      </w:pPr>
    </w:p>
    <w:p w14:paraId="7B778E72" w14:textId="373EF59E" w:rsidR="008836D0" w:rsidRPr="008836D0" w:rsidRDefault="000F6CDF" w:rsidP="00BF1A52">
      <w:pPr>
        <w:pStyle w:val="Heading2"/>
        <w:spacing w:line="360" w:lineRule="auto"/>
      </w:pPr>
      <w:bookmarkStart w:id="8" w:name="_Toc289250841"/>
      <w:r>
        <w:lastRenderedPageBreak/>
        <w:t>3.5</w:t>
      </w:r>
      <w:r w:rsidR="008836D0">
        <w:t xml:space="preserve"> Limits</w:t>
      </w:r>
      <w:bookmarkEnd w:id="8"/>
    </w:p>
    <w:p w14:paraId="06C85837" w14:textId="40A9FDF8" w:rsidR="00C957A2" w:rsidRPr="00C957A2" w:rsidRDefault="00F240C6"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There are a few limitations to this project, both in regard to what it aims to answer and what it can answer. </w:t>
      </w:r>
      <w:r w:rsidR="00582287">
        <w:rPr>
          <w:rFonts w:ascii="Times New Roman" w:hAnsi="Times New Roman" w:cs="Times New Roman"/>
          <w:lang w:val="en-GB"/>
        </w:rPr>
        <w:t xml:space="preserve">The most obvious is, that the goal isn’t to give a general answer to local governments influence on EU legislation. There are too many types of legislation, different procedures and countless actors and committees to consider in order being able to give a general answer to this. So in this project the focus is on </w:t>
      </w:r>
      <w:r w:rsidR="00B3016E">
        <w:rPr>
          <w:rFonts w:ascii="Times New Roman" w:hAnsi="Times New Roman" w:cs="Times New Roman"/>
          <w:lang w:val="en-GB"/>
        </w:rPr>
        <w:t>European</w:t>
      </w:r>
      <w:r w:rsidR="00582287">
        <w:rPr>
          <w:rFonts w:ascii="Times New Roman" w:hAnsi="Times New Roman" w:cs="Times New Roman"/>
          <w:lang w:val="en-GB"/>
        </w:rPr>
        <w:t xml:space="preserve"> Procurement Directives and more specifically on Public Procurement. The aim is to shine light</w:t>
      </w:r>
      <w:r w:rsidR="00B3016E">
        <w:rPr>
          <w:rFonts w:ascii="Times New Roman" w:hAnsi="Times New Roman" w:cs="Times New Roman"/>
          <w:lang w:val="en-GB"/>
        </w:rPr>
        <w:t xml:space="preserve"> only</w:t>
      </w:r>
      <w:r w:rsidR="00582287">
        <w:rPr>
          <w:rFonts w:ascii="Times New Roman" w:hAnsi="Times New Roman" w:cs="Times New Roman"/>
          <w:lang w:val="en-GB"/>
        </w:rPr>
        <w:t xml:space="preserve"> on the last renegotiation </w:t>
      </w:r>
      <w:r w:rsidR="00DE0AF6">
        <w:rPr>
          <w:rFonts w:ascii="Times New Roman" w:hAnsi="Times New Roman" w:cs="Times New Roman"/>
          <w:lang w:val="en-GB"/>
        </w:rPr>
        <w:t xml:space="preserve">of the directive which took place 2011-2014, both because their have been made many changes to treaties over time and competencies have shifted between the different actors, but also due to limitations of tine and size of this project. Furthermore the main focus during the analysis and answering of the problem formulation is to be the threshold for public procurement within the EU. This is due to the fact that it was the main goal for Danish local governments to raise this threshold and because it is a rather concrete, measurable goal, while many other desired changes were rather technical and difficult to grasp. </w:t>
      </w:r>
      <w:r w:rsidR="00AB347F">
        <w:rPr>
          <w:rFonts w:ascii="Times New Roman" w:hAnsi="Times New Roman" w:cs="Times New Roman"/>
          <w:lang w:val="en-GB"/>
        </w:rPr>
        <w:t>It is also important to mention that the aim isn’t to give a</w:t>
      </w:r>
      <w:r w:rsidR="002537E9">
        <w:rPr>
          <w:rFonts w:ascii="Times New Roman" w:hAnsi="Times New Roman" w:cs="Times New Roman"/>
          <w:lang w:val="en-GB"/>
        </w:rPr>
        <w:t>n</w:t>
      </w:r>
      <w:r w:rsidR="00AB347F">
        <w:rPr>
          <w:rFonts w:ascii="Times New Roman" w:hAnsi="Times New Roman" w:cs="Times New Roman"/>
          <w:lang w:val="en-GB"/>
        </w:rPr>
        <w:t xml:space="preserve"> answer to what might have gone wrong or where there is room for improvement, the purpose of this project is only to draw a picture of the process and the role of local governments in reforming the public procurement. That said it isn’t a full picture of Danish local governments influence. The focus lies on Danske Regioner and Kommunernes Landsforening </w:t>
      </w:r>
      <w:r w:rsidR="006600B1">
        <w:rPr>
          <w:rFonts w:ascii="Times New Roman" w:hAnsi="Times New Roman" w:cs="Times New Roman"/>
          <w:lang w:val="en-GB"/>
        </w:rPr>
        <w:t>and more specific on their offices in Brussels</w:t>
      </w:r>
      <w:r w:rsidR="00D02C64">
        <w:rPr>
          <w:rFonts w:ascii="Times New Roman" w:hAnsi="Times New Roman" w:cs="Times New Roman"/>
          <w:lang w:val="en-GB"/>
        </w:rPr>
        <w:t xml:space="preserve">, it thus leaves out other crucial actors or only touches them slightly, as for example </w:t>
      </w:r>
      <w:r w:rsidR="00B3016E">
        <w:rPr>
          <w:rFonts w:ascii="Times New Roman" w:hAnsi="Times New Roman" w:cs="Times New Roman"/>
          <w:lang w:val="en-GB"/>
        </w:rPr>
        <w:t xml:space="preserve">their Copenhagen head offices, the </w:t>
      </w:r>
      <w:r w:rsidR="00D02C64">
        <w:rPr>
          <w:rFonts w:ascii="Times New Roman" w:hAnsi="Times New Roman" w:cs="Times New Roman"/>
          <w:lang w:val="en-GB"/>
        </w:rPr>
        <w:t>Committee of the Regions, CEMMR or the European Economic and Social Committee.</w:t>
      </w:r>
    </w:p>
    <w:p w14:paraId="2971A9A3" w14:textId="77777777" w:rsidR="002A1772" w:rsidRPr="0068365C" w:rsidRDefault="002A1772" w:rsidP="00BF1A52">
      <w:pPr>
        <w:pStyle w:val="Heading1"/>
        <w:spacing w:line="360" w:lineRule="auto"/>
        <w:jc w:val="both"/>
        <w:rPr>
          <w:rFonts w:ascii="Times New Roman" w:hAnsi="Times New Roman" w:cs="Times New Roman"/>
          <w:lang w:val="en-GB"/>
        </w:rPr>
      </w:pPr>
      <w:bookmarkStart w:id="9" w:name="_Toc289250842"/>
      <w:r w:rsidRPr="0068365C">
        <w:rPr>
          <w:rFonts w:ascii="Times New Roman" w:hAnsi="Times New Roman" w:cs="Times New Roman"/>
          <w:lang w:val="en-GB"/>
        </w:rPr>
        <w:t>4.0 Theories</w:t>
      </w:r>
      <w:bookmarkEnd w:id="9"/>
    </w:p>
    <w:p w14:paraId="2C9D77C0" w14:textId="5282C922" w:rsidR="0068365C" w:rsidRPr="00DC381B" w:rsidRDefault="0068365C" w:rsidP="00BF1A52">
      <w:pPr>
        <w:spacing w:line="360" w:lineRule="auto"/>
        <w:jc w:val="both"/>
        <w:rPr>
          <w:rFonts w:ascii="Times New Roman" w:hAnsi="Times New Roman" w:cs="Times New Roman"/>
          <w:lang w:val="en-GB"/>
        </w:rPr>
      </w:pPr>
      <w:r w:rsidRPr="00DC381B">
        <w:rPr>
          <w:rFonts w:ascii="Times New Roman" w:hAnsi="Times New Roman" w:cs="Times New Roman"/>
          <w:lang w:val="en-GB"/>
        </w:rPr>
        <w:t xml:space="preserve">In this Chapter </w:t>
      </w:r>
      <w:r w:rsidR="00806F62">
        <w:rPr>
          <w:rFonts w:ascii="Times New Roman" w:hAnsi="Times New Roman" w:cs="Times New Roman"/>
          <w:lang w:val="en-GB"/>
        </w:rPr>
        <w:t xml:space="preserve">the main theories </w:t>
      </w:r>
      <w:r w:rsidR="00DC381B" w:rsidRPr="00DC381B">
        <w:rPr>
          <w:rFonts w:ascii="Times New Roman" w:hAnsi="Times New Roman" w:cs="Times New Roman"/>
          <w:lang w:val="en-GB"/>
        </w:rPr>
        <w:t xml:space="preserve">of this project will be described, </w:t>
      </w:r>
      <w:r w:rsidR="00DC381B">
        <w:rPr>
          <w:rFonts w:ascii="Times New Roman" w:hAnsi="Times New Roman" w:cs="Times New Roman"/>
          <w:lang w:val="en-GB"/>
        </w:rPr>
        <w:t>the theory of the Policy-</w:t>
      </w:r>
      <w:r w:rsidR="00DC381B" w:rsidRPr="00DC381B">
        <w:rPr>
          <w:rFonts w:ascii="Times New Roman" w:hAnsi="Times New Roman" w:cs="Times New Roman"/>
          <w:lang w:val="en-GB"/>
        </w:rPr>
        <w:t>Cycle</w:t>
      </w:r>
      <w:r w:rsidR="00DC381B">
        <w:rPr>
          <w:rFonts w:ascii="Times New Roman" w:hAnsi="Times New Roman" w:cs="Times New Roman"/>
          <w:lang w:val="en-GB"/>
        </w:rPr>
        <w:t xml:space="preserve">, which </w:t>
      </w:r>
      <w:proofErr w:type="gramStart"/>
      <w:r w:rsidR="00DC381B">
        <w:rPr>
          <w:rFonts w:ascii="Times New Roman" w:hAnsi="Times New Roman" w:cs="Times New Roman"/>
          <w:lang w:val="en-GB"/>
        </w:rPr>
        <w:t>was introduced by Harold Dwight Lasswell</w:t>
      </w:r>
      <w:proofErr w:type="gramEnd"/>
      <w:r w:rsidR="00DC381B">
        <w:rPr>
          <w:rFonts w:ascii="Times New Roman" w:hAnsi="Times New Roman" w:cs="Times New Roman"/>
          <w:lang w:val="en-GB"/>
        </w:rPr>
        <w:t xml:space="preserve"> back in the year 1956. It gives </w:t>
      </w:r>
      <w:proofErr w:type="gramStart"/>
      <w:r w:rsidR="00DC381B">
        <w:rPr>
          <w:rFonts w:ascii="Times New Roman" w:hAnsi="Times New Roman" w:cs="Times New Roman"/>
          <w:lang w:val="en-GB"/>
        </w:rPr>
        <w:t>a</w:t>
      </w:r>
      <w:proofErr w:type="gramEnd"/>
      <w:r w:rsidR="00DC381B">
        <w:rPr>
          <w:rFonts w:ascii="Times New Roman" w:hAnsi="Times New Roman" w:cs="Times New Roman"/>
          <w:lang w:val="en-GB"/>
        </w:rPr>
        <w:t xml:space="preserve"> idealized picture of the process of policy making and though it might be difficult to apply in reality, it still is able to provide a good general idea and a basis for later analysis. </w:t>
      </w:r>
      <w:r w:rsidR="00806F62">
        <w:rPr>
          <w:rFonts w:ascii="Times New Roman" w:hAnsi="Times New Roman" w:cs="Times New Roman"/>
          <w:lang w:val="en-GB"/>
        </w:rPr>
        <w:t>The t</w:t>
      </w:r>
      <w:r w:rsidR="00DC381B">
        <w:rPr>
          <w:rFonts w:ascii="Times New Roman" w:hAnsi="Times New Roman" w:cs="Times New Roman"/>
          <w:lang w:val="en-GB"/>
        </w:rPr>
        <w:t>heory of lobbyism will be presented</w:t>
      </w:r>
      <w:r w:rsidR="00806F62">
        <w:rPr>
          <w:rFonts w:ascii="Times New Roman" w:hAnsi="Times New Roman" w:cs="Times New Roman"/>
          <w:lang w:val="en-GB"/>
        </w:rPr>
        <w:t xml:space="preserve"> here</w:t>
      </w:r>
      <w:r w:rsidR="00DC381B">
        <w:rPr>
          <w:rFonts w:ascii="Times New Roman" w:hAnsi="Times New Roman" w:cs="Times New Roman"/>
          <w:lang w:val="en-GB"/>
        </w:rPr>
        <w:t xml:space="preserve"> continuously in the course of this project, when seen fit and necessary. </w:t>
      </w:r>
      <w:r w:rsidR="00806F62">
        <w:rPr>
          <w:rFonts w:ascii="Times New Roman" w:hAnsi="Times New Roman" w:cs="Times New Roman"/>
          <w:lang w:val="en-GB"/>
        </w:rPr>
        <w:t xml:space="preserve">The theory of multi-level governance will be introduced and the chapter ends with a short discussion of the </w:t>
      </w:r>
      <w:r w:rsidR="00806F62">
        <w:rPr>
          <w:rFonts w:ascii="Times New Roman" w:hAnsi="Times New Roman" w:cs="Times New Roman"/>
          <w:lang w:val="en-GB"/>
        </w:rPr>
        <w:lastRenderedPageBreak/>
        <w:t xml:space="preserve">advantages and </w:t>
      </w:r>
      <w:r w:rsidR="000F6CDF">
        <w:rPr>
          <w:rFonts w:ascii="Times New Roman" w:hAnsi="Times New Roman" w:cs="Times New Roman"/>
          <w:lang w:val="en-GB"/>
        </w:rPr>
        <w:t>disadvantages of these theories</w:t>
      </w:r>
      <w:r w:rsidR="00806F62">
        <w:rPr>
          <w:rFonts w:ascii="Times New Roman" w:hAnsi="Times New Roman" w:cs="Times New Roman"/>
          <w:lang w:val="en-GB"/>
        </w:rPr>
        <w:t xml:space="preserve"> and a brief introduction to a possible different approach.</w:t>
      </w:r>
    </w:p>
    <w:p w14:paraId="6593DE37" w14:textId="77777777" w:rsidR="0068365C" w:rsidRDefault="0068365C" w:rsidP="00BF1A52">
      <w:pPr>
        <w:spacing w:line="360" w:lineRule="auto"/>
        <w:rPr>
          <w:rFonts w:ascii="Times New Roman" w:hAnsi="Times New Roman" w:cs="Times New Roman"/>
          <w:lang w:val="en-GB"/>
        </w:rPr>
      </w:pPr>
    </w:p>
    <w:p w14:paraId="08859953" w14:textId="4CB72B1C" w:rsidR="002A1772" w:rsidRPr="005D43BB" w:rsidRDefault="00372660" w:rsidP="00BF1A52">
      <w:pPr>
        <w:pStyle w:val="Heading2"/>
        <w:spacing w:line="360" w:lineRule="auto"/>
        <w:jc w:val="both"/>
        <w:rPr>
          <w:rFonts w:ascii="Times New Roman" w:hAnsi="Times New Roman" w:cs="Times New Roman"/>
          <w:lang w:val="en-GB"/>
        </w:rPr>
      </w:pPr>
      <w:bookmarkStart w:id="10" w:name="_Toc289250843"/>
      <w:r>
        <w:rPr>
          <w:rFonts w:ascii="Times New Roman" w:hAnsi="Times New Roman" w:cs="Times New Roman"/>
          <w:lang w:val="en-GB"/>
        </w:rPr>
        <w:t>4.1 What is</w:t>
      </w:r>
      <w:r w:rsidR="000801E6" w:rsidRPr="005D43BB">
        <w:rPr>
          <w:rFonts w:ascii="Times New Roman" w:hAnsi="Times New Roman" w:cs="Times New Roman"/>
          <w:lang w:val="en-GB"/>
        </w:rPr>
        <w:t xml:space="preserve"> policy?</w:t>
      </w:r>
      <w:bookmarkEnd w:id="10"/>
    </w:p>
    <w:p w14:paraId="29440103" w14:textId="2E8F909F" w:rsidR="000801E6" w:rsidRDefault="00372660"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So what is policy? One of the founders of modern Policy Science, Harold Lasswell, defined it, as far as the public policy is concerned, as </w:t>
      </w:r>
      <w:r w:rsidRPr="00372660">
        <w:rPr>
          <w:rFonts w:ascii="Times New Roman" w:hAnsi="Times New Roman" w:cs="Times New Roman"/>
          <w:i/>
          <w:lang w:val="en-GB"/>
        </w:rPr>
        <w:t>“public order decisisions”</w:t>
      </w:r>
      <w:r>
        <w:rPr>
          <w:rFonts w:ascii="Times New Roman" w:hAnsi="Times New Roman" w:cs="Times New Roman"/>
          <w:lang w:val="en-GB"/>
        </w:rPr>
        <w:t>. Thomas Dye, one of Lasswell’s curr</w:t>
      </w:r>
      <w:r w:rsidR="000D377F">
        <w:rPr>
          <w:rFonts w:ascii="Times New Roman" w:hAnsi="Times New Roman" w:cs="Times New Roman"/>
          <w:lang w:val="en-GB"/>
        </w:rPr>
        <w:t>ent colleagues, described it as, “Public policy is whatever governments choose to do or not to do”.</w:t>
      </w:r>
      <w:r w:rsidR="000D377F">
        <w:rPr>
          <w:rStyle w:val="FootnoteReference"/>
          <w:rFonts w:cs="Times New Roman"/>
          <w:lang w:val="en-GB"/>
        </w:rPr>
        <w:footnoteReference w:id="14"/>
      </w:r>
      <w:r w:rsidR="00511450">
        <w:rPr>
          <w:rFonts w:ascii="Times New Roman" w:hAnsi="Times New Roman" w:cs="Times New Roman"/>
          <w:lang w:val="en-GB"/>
        </w:rPr>
        <w:t xml:space="preserve"> </w:t>
      </w:r>
      <w:r w:rsidR="00BC610D">
        <w:rPr>
          <w:rFonts w:ascii="Times New Roman" w:hAnsi="Times New Roman" w:cs="Times New Roman"/>
          <w:lang w:val="en-GB"/>
        </w:rPr>
        <w:t>In order to better</w:t>
      </w:r>
      <w:r w:rsidR="005C253E">
        <w:rPr>
          <w:rFonts w:ascii="Times New Roman" w:hAnsi="Times New Roman" w:cs="Times New Roman"/>
          <w:lang w:val="en-GB"/>
        </w:rPr>
        <w:t xml:space="preserve"> understand</w:t>
      </w:r>
      <w:r w:rsidR="00BC610D">
        <w:rPr>
          <w:rFonts w:ascii="Times New Roman" w:hAnsi="Times New Roman" w:cs="Times New Roman"/>
          <w:lang w:val="en-GB"/>
        </w:rPr>
        <w:t xml:space="preserve"> policies and how they work, it is possible to classif</w:t>
      </w:r>
      <w:r w:rsidR="005C253E">
        <w:rPr>
          <w:rFonts w:ascii="Times New Roman" w:hAnsi="Times New Roman" w:cs="Times New Roman"/>
          <w:lang w:val="en-GB"/>
        </w:rPr>
        <w:t>y them in a bunch of categories. F</w:t>
      </w:r>
      <w:r w:rsidR="00BC610D">
        <w:rPr>
          <w:rFonts w:ascii="Times New Roman" w:hAnsi="Times New Roman" w:cs="Times New Roman"/>
          <w:lang w:val="en-GB"/>
        </w:rPr>
        <w:t>rom a</w:t>
      </w:r>
      <w:r w:rsidR="00806F62">
        <w:rPr>
          <w:rFonts w:ascii="Times New Roman" w:hAnsi="Times New Roman" w:cs="Times New Roman"/>
          <w:lang w:val="en-GB"/>
        </w:rPr>
        <w:t>n</w:t>
      </w:r>
      <w:r w:rsidR="00BC610D">
        <w:rPr>
          <w:rFonts w:ascii="Times New Roman" w:hAnsi="Times New Roman" w:cs="Times New Roman"/>
          <w:lang w:val="en-GB"/>
        </w:rPr>
        <w:t xml:space="preserve"> analytical point of view, a few have shown</w:t>
      </w:r>
      <w:r w:rsidR="005C253E">
        <w:rPr>
          <w:rFonts w:ascii="Times New Roman" w:hAnsi="Times New Roman" w:cs="Times New Roman"/>
          <w:lang w:val="en-GB"/>
        </w:rPr>
        <w:t xml:space="preserve"> to be</w:t>
      </w:r>
      <w:r w:rsidR="00BC610D">
        <w:rPr>
          <w:rFonts w:ascii="Times New Roman" w:hAnsi="Times New Roman" w:cs="Times New Roman"/>
          <w:lang w:val="en-GB"/>
        </w:rPr>
        <w:t xml:space="preserve"> interesting for the analysis of a policy. Those categories are each focussing on the nominal, the impact, the controlling principle, and the nature of a policy. Below those catego</w:t>
      </w:r>
      <w:r w:rsidR="008108CC">
        <w:rPr>
          <w:rFonts w:ascii="Times New Roman" w:hAnsi="Times New Roman" w:cs="Times New Roman"/>
          <w:lang w:val="en-GB"/>
        </w:rPr>
        <w:t>ries</w:t>
      </w:r>
      <w:r w:rsidR="00A77714">
        <w:rPr>
          <w:rFonts w:ascii="Times New Roman" w:hAnsi="Times New Roman" w:cs="Times New Roman"/>
          <w:lang w:val="en-GB"/>
        </w:rPr>
        <w:t>, except for the one called impact</w:t>
      </w:r>
      <w:r w:rsidR="00BB54A2">
        <w:rPr>
          <w:rFonts w:ascii="Times New Roman" w:hAnsi="Times New Roman" w:cs="Times New Roman"/>
          <w:lang w:val="en-GB"/>
        </w:rPr>
        <w:t>, since it is deemed not to be relevant for this project,</w:t>
      </w:r>
      <w:r w:rsidR="008108CC">
        <w:rPr>
          <w:rFonts w:ascii="Times New Roman" w:hAnsi="Times New Roman" w:cs="Times New Roman"/>
          <w:lang w:val="en-GB"/>
        </w:rPr>
        <w:t xml:space="preserve"> will be presented briefly.</w:t>
      </w:r>
    </w:p>
    <w:p w14:paraId="5976A3CF" w14:textId="3D6ECFF4" w:rsidR="008108CC" w:rsidRDefault="008108CC" w:rsidP="00BF1A52">
      <w:pPr>
        <w:spacing w:line="360" w:lineRule="auto"/>
        <w:jc w:val="both"/>
        <w:rPr>
          <w:rFonts w:ascii="Times New Roman" w:hAnsi="Times New Roman" w:cs="Times New Roman"/>
          <w:lang w:val="en-GB"/>
        </w:rPr>
      </w:pPr>
      <w:r w:rsidRPr="00895254">
        <w:rPr>
          <w:rFonts w:ascii="Times New Roman" w:hAnsi="Times New Roman" w:cs="Times New Roman"/>
          <w:b/>
          <w:lang w:val="en-GB"/>
        </w:rPr>
        <w:t xml:space="preserve">Nominal </w:t>
      </w:r>
      <w:r w:rsidRPr="00895254">
        <w:rPr>
          <w:rFonts w:ascii="Times New Roman" w:hAnsi="Times New Roman" w:cs="Times New Roman"/>
          <w:lang w:val="en-GB"/>
        </w:rPr>
        <w:t>category:</w:t>
      </w:r>
      <w:r>
        <w:rPr>
          <w:rFonts w:ascii="Times New Roman" w:hAnsi="Times New Roman" w:cs="Times New Roman"/>
          <w:lang w:val="en-GB"/>
        </w:rPr>
        <w:t xml:space="preserve"> The n</w:t>
      </w:r>
      <w:r w:rsidR="00895254">
        <w:rPr>
          <w:rFonts w:ascii="Times New Roman" w:hAnsi="Times New Roman" w:cs="Times New Roman"/>
          <w:lang w:val="en-GB"/>
        </w:rPr>
        <w:t xml:space="preserve">ominal category narrows the </w:t>
      </w:r>
      <w:r>
        <w:rPr>
          <w:rFonts w:ascii="Times New Roman" w:hAnsi="Times New Roman" w:cs="Times New Roman"/>
          <w:lang w:val="en-GB"/>
        </w:rPr>
        <w:t xml:space="preserve">policy down to its </w:t>
      </w:r>
      <w:r w:rsidR="00895254">
        <w:rPr>
          <w:rFonts w:ascii="Times New Roman" w:hAnsi="Times New Roman" w:cs="Times New Roman"/>
          <w:lang w:val="en-GB"/>
        </w:rPr>
        <w:t xml:space="preserve">institutional </w:t>
      </w:r>
      <w:r>
        <w:rPr>
          <w:rFonts w:ascii="Times New Roman" w:hAnsi="Times New Roman" w:cs="Times New Roman"/>
          <w:lang w:val="en-GB"/>
        </w:rPr>
        <w:t>limitations</w:t>
      </w:r>
      <w:r w:rsidR="00895254">
        <w:rPr>
          <w:rFonts w:ascii="Times New Roman" w:hAnsi="Times New Roman" w:cs="Times New Roman"/>
          <w:lang w:val="en-GB"/>
        </w:rPr>
        <w:t>, for example by defining a certain policy as, foreign policy, agriculture policy, immigration policy. Those terms limit the policies to certain responsible institutional actors and restrict those who are involved.</w:t>
      </w:r>
      <w:r w:rsidR="0099506C">
        <w:rPr>
          <w:rStyle w:val="FootnoteReference"/>
          <w:rFonts w:cs="Times New Roman"/>
          <w:lang w:val="en-GB"/>
        </w:rPr>
        <w:footnoteReference w:id="15"/>
      </w:r>
    </w:p>
    <w:p w14:paraId="6B6FD72C" w14:textId="3939EDEE" w:rsidR="00895254" w:rsidRDefault="00BB54A2" w:rsidP="00BF1A52">
      <w:pPr>
        <w:spacing w:line="360" w:lineRule="auto"/>
        <w:jc w:val="both"/>
        <w:rPr>
          <w:rFonts w:ascii="Times New Roman" w:hAnsi="Times New Roman" w:cs="Times New Roman"/>
          <w:lang w:val="en-GB"/>
        </w:rPr>
      </w:pPr>
      <w:r>
        <w:rPr>
          <w:rFonts w:ascii="Times New Roman" w:hAnsi="Times New Roman" w:cs="Times New Roman"/>
          <w:b/>
          <w:lang w:val="en-GB"/>
        </w:rPr>
        <w:t>Controlling principal</w:t>
      </w:r>
      <w:r w:rsidR="00895254">
        <w:rPr>
          <w:rFonts w:ascii="Times New Roman" w:hAnsi="Times New Roman" w:cs="Times New Roman"/>
          <w:lang w:val="en-GB"/>
        </w:rPr>
        <w:t xml:space="preserve"> category: </w:t>
      </w:r>
      <w:r w:rsidR="0099506C">
        <w:rPr>
          <w:rFonts w:ascii="Times New Roman" w:hAnsi="Times New Roman" w:cs="Times New Roman"/>
          <w:lang w:val="en-GB"/>
        </w:rPr>
        <w:t>This category simply describes with which instruments certain policies are going to be achieved. Force and punishment or simple encouragement could be possibilities, as would be providing goods in exchange. On</w:t>
      </w:r>
      <w:r w:rsidR="00C82FBD">
        <w:rPr>
          <w:rFonts w:ascii="Times New Roman" w:hAnsi="Times New Roman" w:cs="Times New Roman"/>
          <w:lang w:val="en-GB"/>
        </w:rPr>
        <w:t>e</w:t>
      </w:r>
      <w:r w:rsidR="0099506C">
        <w:rPr>
          <w:rFonts w:ascii="Times New Roman" w:hAnsi="Times New Roman" w:cs="Times New Roman"/>
          <w:lang w:val="en-GB"/>
        </w:rPr>
        <w:t xml:space="preserve"> possibility to control policy implementation</w:t>
      </w:r>
      <w:r w:rsidR="00C82FBD">
        <w:rPr>
          <w:rFonts w:ascii="Times New Roman" w:hAnsi="Times New Roman" w:cs="Times New Roman"/>
          <w:lang w:val="en-GB"/>
        </w:rPr>
        <w:t xml:space="preserve"> will be described in detail, since it is of value to solving this projects problem formulation. Commandment and ban is a very common way to achieve a policy. </w:t>
      </w:r>
      <w:r w:rsidR="00F555EE">
        <w:rPr>
          <w:rFonts w:ascii="Times New Roman" w:hAnsi="Times New Roman" w:cs="Times New Roman"/>
          <w:lang w:val="en-GB"/>
        </w:rPr>
        <w:t>When only few option</w:t>
      </w:r>
      <w:r w:rsidR="00162ED7">
        <w:rPr>
          <w:rFonts w:ascii="Times New Roman" w:hAnsi="Times New Roman" w:cs="Times New Roman"/>
          <w:lang w:val="en-GB"/>
        </w:rPr>
        <w:t>s</w:t>
      </w:r>
      <w:r w:rsidR="00F555EE">
        <w:rPr>
          <w:rFonts w:ascii="Times New Roman" w:hAnsi="Times New Roman" w:cs="Times New Roman"/>
          <w:lang w:val="en-GB"/>
        </w:rPr>
        <w:t xml:space="preserve"> seem to be able to realize a certain aspect of a policy, it is often chosen to enact a ban or command, which is </w:t>
      </w:r>
      <w:r w:rsidR="00364AD9">
        <w:rPr>
          <w:rFonts w:ascii="Times New Roman" w:hAnsi="Times New Roman" w:cs="Times New Roman"/>
          <w:lang w:val="en-GB"/>
        </w:rPr>
        <w:t xml:space="preserve">especially effective when it is possible to describe a policy’s conditions in detail. Those policies will most often be found to control companies, employee working conditions, consumerism, nature conservancy and areas of </w:t>
      </w:r>
      <w:r w:rsidR="004141C9">
        <w:rPr>
          <w:rFonts w:ascii="Times New Roman" w:hAnsi="Times New Roman" w:cs="Times New Roman"/>
          <w:lang w:val="en-GB"/>
        </w:rPr>
        <w:t xml:space="preserve">that nature. Traffic </w:t>
      </w:r>
      <w:r w:rsidR="004141C9">
        <w:rPr>
          <w:rFonts w:ascii="Times New Roman" w:hAnsi="Times New Roman" w:cs="Times New Roman"/>
          <w:lang w:val="en-GB"/>
        </w:rPr>
        <w:lastRenderedPageBreak/>
        <w:t>regulation</w:t>
      </w:r>
      <w:r w:rsidR="00364AD9">
        <w:rPr>
          <w:rFonts w:ascii="Times New Roman" w:hAnsi="Times New Roman" w:cs="Times New Roman"/>
          <w:lang w:val="en-GB"/>
        </w:rPr>
        <w:t xml:space="preserve"> is also a</w:t>
      </w:r>
      <w:r w:rsidR="004141C9">
        <w:rPr>
          <w:rFonts w:ascii="Times New Roman" w:hAnsi="Times New Roman" w:cs="Times New Roman"/>
          <w:lang w:val="en-GB"/>
        </w:rPr>
        <w:t>n</w:t>
      </w:r>
      <w:r w:rsidR="00364AD9">
        <w:rPr>
          <w:rFonts w:ascii="Times New Roman" w:hAnsi="Times New Roman" w:cs="Times New Roman"/>
          <w:lang w:val="en-GB"/>
        </w:rPr>
        <w:t xml:space="preserve"> example of where the government wishes to enact a general valid behaviour and fines violation of those regulations.</w:t>
      </w:r>
      <w:r w:rsidR="007A72C3">
        <w:rPr>
          <w:rStyle w:val="FootnoteReference"/>
          <w:rFonts w:cs="Times New Roman"/>
          <w:lang w:val="en-GB"/>
        </w:rPr>
        <w:footnoteReference w:id="16"/>
      </w:r>
      <w:r w:rsidR="00364AD9">
        <w:rPr>
          <w:rFonts w:ascii="Times New Roman" w:hAnsi="Times New Roman" w:cs="Times New Roman"/>
          <w:lang w:val="en-GB"/>
        </w:rPr>
        <w:t xml:space="preserve"> </w:t>
      </w:r>
    </w:p>
    <w:p w14:paraId="76E2D6DC" w14:textId="77B1D4CF" w:rsidR="0099506C" w:rsidRPr="00372660" w:rsidRDefault="0099506C" w:rsidP="00BF1A52">
      <w:pPr>
        <w:spacing w:line="360" w:lineRule="auto"/>
        <w:jc w:val="both"/>
        <w:rPr>
          <w:rFonts w:ascii="Times New Roman" w:hAnsi="Times New Roman" w:cs="Times New Roman"/>
          <w:lang w:val="en-GB"/>
        </w:rPr>
      </w:pPr>
      <w:r w:rsidRPr="0099506C">
        <w:rPr>
          <w:rFonts w:ascii="Times New Roman" w:hAnsi="Times New Roman" w:cs="Times New Roman"/>
          <w:b/>
          <w:lang w:val="en-GB"/>
        </w:rPr>
        <w:t>Nature</w:t>
      </w:r>
      <w:r>
        <w:rPr>
          <w:rFonts w:ascii="Times New Roman" w:hAnsi="Times New Roman" w:cs="Times New Roman"/>
          <w:lang w:val="en-GB"/>
        </w:rPr>
        <w:t xml:space="preserve"> category:</w:t>
      </w:r>
      <w:r w:rsidR="00F555EE">
        <w:rPr>
          <w:rFonts w:ascii="Times New Roman" w:hAnsi="Times New Roman" w:cs="Times New Roman"/>
          <w:lang w:val="en-GB"/>
        </w:rPr>
        <w:t xml:space="preserve"> </w:t>
      </w:r>
      <w:r w:rsidR="002B2F27">
        <w:rPr>
          <w:rFonts w:ascii="Times New Roman" w:hAnsi="Times New Roman" w:cs="Times New Roman"/>
          <w:lang w:val="en-GB"/>
        </w:rPr>
        <w:t xml:space="preserve">A simple question to ask is what a specific policy consists of, if it is of material or immaterial nature. Financial aid, infrastructure programmes, distribution of non-cash assets or simple immaterial services provided by the government. Since we in this project are going to deal with a directive, the regulative nature of a policy is of special interest. </w:t>
      </w:r>
      <w:r w:rsidR="00162ED7">
        <w:rPr>
          <w:rFonts w:ascii="Times New Roman" w:hAnsi="Times New Roman" w:cs="Times New Roman"/>
          <w:lang w:val="en-GB"/>
        </w:rPr>
        <w:tab/>
      </w:r>
      <w:r w:rsidR="00162ED7">
        <w:rPr>
          <w:rFonts w:ascii="Times New Roman" w:hAnsi="Times New Roman" w:cs="Times New Roman"/>
          <w:lang w:val="en-GB"/>
        </w:rPr>
        <w:br/>
        <w:t>Those regulative policies are widely found throughout society, as already me</w:t>
      </w:r>
      <w:r w:rsidR="005C253E">
        <w:rPr>
          <w:rFonts w:ascii="Times New Roman" w:hAnsi="Times New Roman" w:cs="Times New Roman"/>
          <w:lang w:val="en-GB"/>
        </w:rPr>
        <w:t>ntioned in the above paragraph.</w:t>
      </w:r>
      <w:r w:rsidR="005C253E">
        <w:rPr>
          <w:rStyle w:val="FootnoteReference"/>
          <w:rFonts w:cs="Times New Roman"/>
          <w:lang w:val="en-GB"/>
        </w:rPr>
        <w:footnoteReference w:id="17"/>
      </w:r>
    </w:p>
    <w:p w14:paraId="0857C718" w14:textId="55F83C9B" w:rsidR="002A1772" w:rsidRPr="005D43BB" w:rsidRDefault="000801E6" w:rsidP="00BF1A52">
      <w:pPr>
        <w:pStyle w:val="Heading2"/>
        <w:spacing w:line="360" w:lineRule="auto"/>
        <w:jc w:val="both"/>
        <w:rPr>
          <w:rFonts w:ascii="Times New Roman" w:hAnsi="Times New Roman" w:cs="Times New Roman"/>
          <w:lang w:val="en-GB"/>
        </w:rPr>
      </w:pPr>
      <w:bookmarkStart w:id="11" w:name="_Toc289250844"/>
      <w:r w:rsidRPr="005D43BB">
        <w:rPr>
          <w:rFonts w:ascii="Times New Roman" w:hAnsi="Times New Roman" w:cs="Times New Roman"/>
          <w:lang w:val="en-GB"/>
        </w:rPr>
        <w:t>4.2</w:t>
      </w:r>
      <w:r w:rsidR="002A1772" w:rsidRPr="005D43BB">
        <w:rPr>
          <w:rFonts w:ascii="Times New Roman" w:hAnsi="Times New Roman" w:cs="Times New Roman"/>
          <w:lang w:val="en-GB"/>
        </w:rPr>
        <w:t xml:space="preserve"> Policy cycle</w:t>
      </w:r>
      <w:bookmarkEnd w:id="11"/>
    </w:p>
    <w:p w14:paraId="513CFC22" w14:textId="0F5AC27E" w:rsidR="003379B7" w:rsidRDefault="00384E97" w:rsidP="00BF1A52">
      <w:pPr>
        <w:spacing w:line="360" w:lineRule="auto"/>
        <w:jc w:val="both"/>
        <w:rPr>
          <w:rFonts w:ascii="Times New Roman" w:hAnsi="Times New Roman" w:cs="Times New Roman"/>
          <w:lang w:val="en-GB"/>
        </w:rPr>
      </w:pPr>
      <w:r>
        <w:rPr>
          <w:rFonts w:ascii="Times New Roman" w:hAnsi="Times New Roman" w:cs="Times New Roman"/>
          <w:noProof/>
          <w:lang w:val="en-US"/>
        </w:rPr>
        <w:drawing>
          <wp:anchor distT="0" distB="0" distL="114300" distR="114300" simplePos="0" relativeHeight="251658240" behindDoc="0" locked="0" layoutInCell="1" allowOverlap="1" wp14:anchorId="6BD9D4EC" wp14:editId="21FD92DE">
            <wp:simplePos x="0" y="0"/>
            <wp:positionH relativeFrom="column">
              <wp:posOffset>0</wp:posOffset>
            </wp:positionH>
            <wp:positionV relativeFrom="paragraph">
              <wp:posOffset>1223010</wp:posOffset>
            </wp:positionV>
            <wp:extent cx="3200400" cy="3242945"/>
            <wp:effectExtent l="50800" t="0" r="50800" b="825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7A1578" w:rsidRPr="005D43BB">
        <w:rPr>
          <w:rFonts w:ascii="Times New Roman" w:hAnsi="Times New Roman" w:cs="Times New Roman"/>
          <w:lang w:val="en-GB"/>
        </w:rPr>
        <w:t xml:space="preserve">The policy cycle is, in its core, a </w:t>
      </w:r>
      <w:r w:rsidR="00507C70" w:rsidRPr="005D43BB">
        <w:rPr>
          <w:rFonts w:ascii="Times New Roman" w:hAnsi="Times New Roman" w:cs="Times New Roman"/>
          <w:lang w:val="en-GB"/>
        </w:rPr>
        <w:t xml:space="preserve">very simple theory, which explains the making of policies. Policymaking is a dynamic process, which in this model </w:t>
      </w:r>
      <w:r w:rsidR="00045B5C" w:rsidRPr="005D43BB">
        <w:rPr>
          <w:rFonts w:ascii="Times New Roman" w:hAnsi="Times New Roman" w:cs="Times New Roman"/>
          <w:lang w:val="en-GB"/>
        </w:rPr>
        <w:t xml:space="preserve">is divided into several phases as followed, the </w:t>
      </w:r>
      <w:r w:rsidR="008F6561" w:rsidRPr="005D43BB">
        <w:rPr>
          <w:rFonts w:ascii="Times New Roman" w:hAnsi="Times New Roman" w:cs="Times New Roman"/>
          <w:lang w:val="en-GB"/>
        </w:rPr>
        <w:t>identification of a problem</w:t>
      </w:r>
      <w:r w:rsidR="00507C70" w:rsidRPr="005D43BB">
        <w:rPr>
          <w:rFonts w:ascii="Times New Roman" w:hAnsi="Times New Roman" w:cs="Times New Roman"/>
          <w:lang w:val="en-GB"/>
        </w:rPr>
        <w:t>, setting of a politica</w:t>
      </w:r>
      <w:r w:rsidR="00045B5C" w:rsidRPr="005D43BB">
        <w:rPr>
          <w:rFonts w:ascii="Times New Roman" w:hAnsi="Times New Roman" w:cs="Times New Roman"/>
          <w:lang w:val="en-GB"/>
        </w:rPr>
        <w:t>l agenda, formulation of a</w:t>
      </w:r>
      <w:r w:rsidR="00507C70" w:rsidRPr="005D43BB">
        <w:rPr>
          <w:rFonts w:ascii="Times New Roman" w:hAnsi="Times New Roman" w:cs="Times New Roman"/>
          <w:lang w:val="en-GB"/>
        </w:rPr>
        <w:t xml:space="preserve"> po</w:t>
      </w:r>
      <w:r w:rsidR="00045B5C" w:rsidRPr="005D43BB">
        <w:rPr>
          <w:rFonts w:ascii="Times New Roman" w:hAnsi="Times New Roman" w:cs="Times New Roman"/>
          <w:lang w:val="en-GB"/>
        </w:rPr>
        <w:t>licy, implementation of a policy, followed by</w:t>
      </w:r>
      <w:r w:rsidR="007136F8" w:rsidRPr="005D43BB">
        <w:rPr>
          <w:rFonts w:ascii="Times New Roman" w:hAnsi="Times New Roman" w:cs="Times New Roman"/>
          <w:lang w:val="en-GB"/>
        </w:rPr>
        <w:t xml:space="preserve"> an evaluation and</w:t>
      </w:r>
      <w:r w:rsidR="00045B5C" w:rsidRPr="005D43BB">
        <w:rPr>
          <w:rFonts w:ascii="Times New Roman" w:hAnsi="Times New Roman" w:cs="Times New Roman"/>
          <w:lang w:val="en-GB"/>
        </w:rPr>
        <w:t xml:space="preserve"> amendment or termination. The political administrative system does in this case not only consist of constitutional </w:t>
      </w:r>
      <w:r w:rsidR="00BC1F8F" w:rsidRPr="005D43BB">
        <w:rPr>
          <w:rFonts w:ascii="Times New Roman" w:hAnsi="Times New Roman" w:cs="Times New Roman"/>
          <w:lang w:val="en-GB"/>
        </w:rPr>
        <w:t>political</w:t>
      </w:r>
      <w:r w:rsidR="00045B5C" w:rsidRPr="005D43BB">
        <w:rPr>
          <w:rFonts w:ascii="Times New Roman" w:hAnsi="Times New Roman" w:cs="Times New Roman"/>
          <w:lang w:val="en-GB"/>
        </w:rPr>
        <w:t xml:space="preserve"> institutions, but of actors such as inte</w:t>
      </w:r>
      <w:r w:rsidR="00097068" w:rsidRPr="005D43BB">
        <w:rPr>
          <w:rFonts w:ascii="Times New Roman" w:hAnsi="Times New Roman" w:cs="Times New Roman"/>
          <w:lang w:val="en-GB"/>
        </w:rPr>
        <w:t>rest groups</w:t>
      </w:r>
      <w:r w:rsidR="007136F8" w:rsidRPr="005D43BB">
        <w:rPr>
          <w:rFonts w:ascii="Times New Roman" w:hAnsi="Times New Roman" w:cs="Times New Roman"/>
          <w:lang w:val="en-GB"/>
        </w:rPr>
        <w:t xml:space="preserve"> as well</w:t>
      </w:r>
      <w:r w:rsidR="00045B5C" w:rsidRPr="005D43BB">
        <w:rPr>
          <w:rFonts w:ascii="Times New Roman" w:hAnsi="Times New Roman" w:cs="Times New Roman"/>
          <w:lang w:val="en-GB"/>
        </w:rPr>
        <w:t>.</w:t>
      </w:r>
      <w:r w:rsidR="00EC56A2" w:rsidRPr="005D43BB">
        <w:rPr>
          <w:rFonts w:ascii="Times New Roman" w:hAnsi="Times New Roman" w:cs="Times New Roman"/>
          <w:lang w:val="en-GB"/>
        </w:rPr>
        <w:t xml:space="preserve"> </w:t>
      </w:r>
    </w:p>
    <w:p w14:paraId="116A5E5F" w14:textId="54900C71" w:rsidR="007136F8" w:rsidRPr="005D43BB" w:rsidRDefault="00384E97" w:rsidP="00BF1A52">
      <w:pPr>
        <w:spacing w:line="360" w:lineRule="auto"/>
        <w:jc w:val="both"/>
        <w:rPr>
          <w:rFonts w:ascii="Times New Roman" w:hAnsi="Times New Roman" w:cs="Times New Roman"/>
          <w:lang w:val="en-GB"/>
        </w:rPr>
      </w:pPr>
      <w:r>
        <w:rPr>
          <w:noProof/>
          <w:lang w:val="en-US"/>
        </w:rPr>
        <mc:AlternateContent>
          <mc:Choice Requires="wps">
            <w:drawing>
              <wp:anchor distT="0" distB="0" distL="114300" distR="114300" simplePos="0" relativeHeight="251660288" behindDoc="0" locked="0" layoutInCell="1" allowOverlap="1" wp14:anchorId="073E3BEC" wp14:editId="18F01397">
                <wp:simplePos x="0" y="0"/>
                <wp:positionH relativeFrom="column">
                  <wp:posOffset>-3365500</wp:posOffset>
                </wp:positionH>
                <wp:positionV relativeFrom="paragraph">
                  <wp:posOffset>1874520</wp:posOffset>
                </wp:positionV>
                <wp:extent cx="3200400" cy="26289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200400" cy="26289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7AC53314" w14:textId="05BC080D" w:rsidR="00D56A69" w:rsidRPr="00F147CC" w:rsidRDefault="00D56A69" w:rsidP="00F147CC">
                            <w:pPr>
                              <w:pStyle w:val="Caption"/>
                              <w:rPr>
                                <w:rFonts w:ascii="Times New Roman" w:hAnsi="Times New Roman" w:cs="Times New Roman"/>
                                <w:noProof/>
                                <w:lang w:val="en-US"/>
                              </w:rPr>
                            </w:pPr>
                            <w:r w:rsidRPr="00F147CC">
                              <w:t xml:space="preserve">Figure </w:t>
                            </w:r>
                            <w:fldSimple w:instr=" SEQ Figure \* ARABIC ">
                              <w:r>
                                <w:rPr>
                                  <w:noProof/>
                                </w:rPr>
                                <w:t>1</w:t>
                              </w:r>
                            </w:fldSimple>
                            <w:r w:rsidRPr="00F147CC">
                              <w:t xml:space="preserve"> - The Policy Cycle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264.95pt;margin-top:147.6pt;width:252pt;height:20.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" stroked="f">
                <v:textbox inset="0,0,0,0">
                  <w:txbxContent>
                    <w:p w14:paraId="7AC53314" w14:textId="05BC080D" w:rsidR="00D56A69" w:rsidRPr="00F147CC" w:rsidRDefault="00D56A69" w:rsidP="00F147CC">
                      <w:pPr>
                        <w:pStyle w:val="Caption"/>
                        <w:rPr>
                          <w:rFonts w:ascii="Times New Roman" w:hAnsi="Times New Roman" w:cs="Times New Roman"/>
                          <w:noProof/>
                          <w:lang w:val="en-US"/>
                        </w:rPr>
                      </w:pPr>
                      <w:r w:rsidRPr="00F147CC">
                        <w:t xml:space="preserve">Figure </w:t>
                      </w:r>
                      <w:fldSimple w:instr=" SEQ Figure \* ARABIC ">
                        <w:r>
                          <w:rPr>
                            <w:noProof/>
                          </w:rPr>
                          <w:t>1</w:t>
                        </w:r>
                      </w:fldSimple>
                      <w:r w:rsidRPr="00F147CC">
                        <w:t xml:space="preserve"> - The Policy Cycle</w:t>
                      </w:r>
                    </w:p>
                  </w:txbxContent>
                </v:textbox>
                <w10:wrap type="square"/>
              </v:shape>
            </w:pict>
          </mc:Fallback>
        </mc:AlternateContent>
      </w:r>
      <w:r w:rsidR="00EC56A2" w:rsidRPr="005D43BB">
        <w:rPr>
          <w:rFonts w:ascii="Times New Roman" w:hAnsi="Times New Roman" w:cs="Times New Roman"/>
          <w:lang w:val="en-GB"/>
        </w:rPr>
        <w:t>As mentioned above this model is very simple in its core, what makes it more complicated is the fact that the described stages in general do occur in this certain order, but that they often overlap each other or even appear parallel.</w:t>
      </w:r>
      <w:r w:rsidR="00097068" w:rsidRPr="005D43BB">
        <w:rPr>
          <w:rFonts w:ascii="Times New Roman" w:hAnsi="Times New Roman" w:cs="Times New Roman"/>
          <w:lang w:val="en-GB"/>
        </w:rPr>
        <w:t xml:space="preserve"> </w:t>
      </w:r>
      <w:r w:rsidR="00EC56A2" w:rsidRPr="005D43BB">
        <w:rPr>
          <w:rFonts w:ascii="Times New Roman" w:hAnsi="Times New Roman" w:cs="Times New Roman"/>
          <w:lang w:val="en-GB"/>
        </w:rPr>
        <w:t xml:space="preserve">Thus it can be difficult to </w:t>
      </w:r>
      <w:r w:rsidR="00EC56A2" w:rsidRPr="005D43BB">
        <w:rPr>
          <w:rFonts w:ascii="Times New Roman" w:hAnsi="Times New Roman" w:cs="Times New Roman"/>
          <w:lang w:val="en-GB"/>
        </w:rPr>
        <w:lastRenderedPageBreak/>
        <w:t xml:space="preserve">classify those stages in reality. </w:t>
      </w:r>
      <w:r w:rsidR="00231957" w:rsidRPr="005D43BB">
        <w:rPr>
          <w:rFonts w:ascii="Times New Roman" w:hAnsi="Times New Roman" w:cs="Times New Roman"/>
          <w:lang w:val="en-GB"/>
        </w:rPr>
        <w:t>Still this model helps to understand policies as something dynamic instead of static and in a later analysis of a certain policy it can be very helpful and interesting to see eventual differences between the actual policy and what it was attended to look like to begin with.</w:t>
      </w:r>
      <w:r w:rsidR="0002679E" w:rsidRPr="005D43BB">
        <w:rPr>
          <w:rStyle w:val="FootnoteReference"/>
          <w:rFonts w:cs="Times New Roman"/>
          <w:lang w:val="en-GB"/>
        </w:rPr>
        <w:footnoteReference w:id="18"/>
      </w:r>
      <w:r w:rsidR="00231957" w:rsidRPr="005D43BB">
        <w:rPr>
          <w:rFonts w:ascii="Times New Roman" w:hAnsi="Times New Roman" w:cs="Times New Roman"/>
          <w:lang w:val="en-GB"/>
        </w:rPr>
        <w:t xml:space="preserve"> </w:t>
      </w:r>
    </w:p>
    <w:p w14:paraId="316A1EC5" w14:textId="1C8C7C7A" w:rsidR="008F6561" w:rsidRPr="005D43BB" w:rsidRDefault="008F6561" w:rsidP="00BF1A52">
      <w:pPr>
        <w:spacing w:line="360" w:lineRule="auto"/>
        <w:jc w:val="both"/>
        <w:rPr>
          <w:rFonts w:ascii="Times New Roman" w:hAnsi="Times New Roman" w:cs="Times New Roman"/>
          <w:lang w:val="en-GB"/>
        </w:rPr>
      </w:pPr>
      <w:r w:rsidRPr="005D43BB">
        <w:rPr>
          <w:rFonts w:ascii="Times New Roman" w:hAnsi="Times New Roman" w:cs="Times New Roman"/>
          <w:lang w:val="en-GB"/>
        </w:rPr>
        <w:t>In the following the occurring stages will be presented in more detail.</w:t>
      </w:r>
    </w:p>
    <w:p w14:paraId="4427FD4C" w14:textId="0B2913D6" w:rsidR="008F6561" w:rsidRPr="005D43BB" w:rsidRDefault="008F6561" w:rsidP="00BF1A52">
      <w:pPr>
        <w:pStyle w:val="Heading3"/>
        <w:spacing w:line="360" w:lineRule="auto"/>
        <w:jc w:val="both"/>
        <w:rPr>
          <w:rFonts w:ascii="Times New Roman" w:hAnsi="Times New Roman" w:cs="Times New Roman"/>
          <w:lang w:val="en-GB"/>
        </w:rPr>
      </w:pPr>
      <w:bookmarkStart w:id="12" w:name="_Toc289250845"/>
      <w:r w:rsidRPr="005D43BB">
        <w:rPr>
          <w:rFonts w:ascii="Times New Roman" w:hAnsi="Times New Roman" w:cs="Times New Roman"/>
          <w:lang w:val="en-GB"/>
        </w:rPr>
        <w:t>4.2.1 Problem identification</w:t>
      </w:r>
      <w:bookmarkEnd w:id="12"/>
    </w:p>
    <w:p w14:paraId="3F562CB8" w14:textId="19713D1A" w:rsidR="008F6561" w:rsidRPr="005D43BB" w:rsidRDefault="005D43BB" w:rsidP="00BF1A52">
      <w:pPr>
        <w:spacing w:line="360" w:lineRule="auto"/>
        <w:jc w:val="both"/>
        <w:rPr>
          <w:rFonts w:ascii="Times New Roman" w:hAnsi="Times New Roman" w:cs="Times New Roman"/>
          <w:lang w:val="en-GB"/>
        </w:rPr>
      </w:pPr>
      <w:r w:rsidRPr="005C253E">
        <w:rPr>
          <w:rFonts w:ascii="Times New Roman" w:hAnsi="Times New Roman" w:cs="Times New Roman"/>
          <w:lang w:val="en-GB"/>
        </w:rPr>
        <w:t xml:space="preserve">In the beginning of every policy cycle stands the identification of a problem. In this dynamic model the process of identifying and specifying a certain problem will be continuous and extend through the whole cycle. It is hard to define the process of problem identification and explain why certain problems will be </w:t>
      </w:r>
      <w:r w:rsidR="00CC5F84" w:rsidRPr="005C253E">
        <w:rPr>
          <w:rFonts w:ascii="Times New Roman" w:hAnsi="Times New Roman" w:cs="Times New Roman"/>
          <w:lang w:val="en-GB"/>
        </w:rPr>
        <w:t>regarded as important enough to be discussed in the political arena, while others are going to be dismissed. This is due to the fact that this first phase of the policy cycle is highly influenced by individual actors, media, interest organizations and whoever else wants</w:t>
      </w:r>
      <w:r w:rsidR="00CC5F84">
        <w:rPr>
          <w:rFonts w:ascii="Times New Roman" w:hAnsi="Times New Roman" w:cs="Times New Roman"/>
          <w:lang w:val="en-GB"/>
        </w:rPr>
        <w:t xml:space="preserve"> to participate in the public discourse. This lack of institutional </w:t>
      </w:r>
      <w:r w:rsidR="00342451">
        <w:rPr>
          <w:rFonts w:ascii="Times New Roman" w:hAnsi="Times New Roman" w:cs="Times New Roman"/>
          <w:lang w:val="en-GB"/>
        </w:rPr>
        <w:t>structures</w:t>
      </w:r>
      <w:r w:rsidR="00CC5F84">
        <w:rPr>
          <w:rFonts w:ascii="Times New Roman" w:hAnsi="Times New Roman" w:cs="Times New Roman"/>
          <w:lang w:val="en-GB"/>
        </w:rPr>
        <w:t xml:space="preserve"> makes it difficult</w:t>
      </w:r>
      <w:r w:rsidR="00F24A43">
        <w:rPr>
          <w:rFonts w:ascii="Times New Roman" w:hAnsi="Times New Roman" w:cs="Times New Roman"/>
          <w:lang w:val="en-GB"/>
        </w:rPr>
        <w:t xml:space="preserve"> to</w:t>
      </w:r>
      <w:r w:rsidR="00CC5F84">
        <w:rPr>
          <w:rFonts w:ascii="Times New Roman" w:hAnsi="Times New Roman" w:cs="Times New Roman"/>
          <w:lang w:val="en-GB"/>
        </w:rPr>
        <w:t xml:space="preserve"> analyse the process and to pinpoint responsibilities. </w:t>
      </w:r>
      <w:r w:rsidR="00F45957">
        <w:rPr>
          <w:rFonts w:ascii="Times New Roman" w:hAnsi="Times New Roman" w:cs="Times New Roman"/>
          <w:lang w:val="en-GB"/>
        </w:rPr>
        <w:t>The manifestation of a problem happens in the public consciousness. Another contributing factor to the difficulty of analysing this first phase lies in the nature of a problem. It doesn’t exist per se, but occurs as soon as somebody identifies it as such, how we perceive a certain policy as a problem is very individual and dependent on many per</w:t>
      </w:r>
      <w:r w:rsidR="00DF4B47">
        <w:rPr>
          <w:rFonts w:ascii="Times New Roman" w:hAnsi="Times New Roman" w:cs="Times New Roman"/>
          <w:lang w:val="en-GB"/>
        </w:rPr>
        <w:t>sonal factors. Bot conscious and unconscious</w:t>
      </w:r>
      <w:r w:rsidR="00F45957">
        <w:rPr>
          <w:rFonts w:ascii="Times New Roman" w:hAnsi="Times New Roman" w:cs="Times New Roman"/>
          <w:lang w:val="en-GB"/>
        </w:rPr>
        <w:t xml:space="preserve"> selection criterions play a role when choosing a situation as a problem that deserves to be dealt with.</w:t>
      </w:r>
      <w:r w:rsidR="00AB1E94">
        <w:rPr>
          <w:rStyle w:val="FootnoteReference"/>
          <w:rFonts w:cs="Times New Roman"/>
          <w:lang w:val="en-GB"/>
        </w:rPr>
        <w:footnoteReference w:id="19"/>
      </w:r>
      <w:r w:rsidR="00F45957">
        <w:rPr>
          <w:rFonts w:ascii="Times New Roman" w:hAnsi="Times New Roman" w:cs="Times New Roman"/>
          <w:lang w:val="en-GB"/>
        </w:rPr>
        <w:t xml:space="preserve"> </w:t>
      </w:r>
    </w:p>
    <w:p w14:paraId="41EAC073" w14:textId="29CC3A93" w:rsidR="008F6561" w:rsidRPr="005D43BB" w:rsidRDefault="008F6561" w:rsidP="00BF1A52">
      <w:pPr>
        <w:spacing w:line="360" w:lineRule="auto"/>
        <w:jc w:val="both"/>
        <w:rPr>
          <w:rFonts w:ascii="Times New Roman" w:hAnsi="Times New Roman" w:cs="Times New Roman"/>
          <w:lang w:val="en-GB"/>
        </w:rPr>
      </w:pPr>
    </w:p>
    <w:p w14:paraId="12F15D30" w14:textId="04EB4C52" w:rsidR="008F6561" w:rsidRPr="005D43BB" w:rsidRDefault="008F6561" w:rsidP="00BF1A52">
      <w:pPr>
        <w:pStyle w:val="Heading3"/>
        <w:spacing w:line="360" w:lineRule="auto"/>
        <w:jc w:val="both"/>
        <w:rPr>
          <w:rFonts w:ascii="Times New Roman" w:hAnsi="Times New Roman" w:cs="Times New Roman"/>
          <w:lang w:val="en-GB"/>
        </w:rPr>
      </w:pPr>
      <w:bookmarkStart w:id="13" w:name="_Toc289250846"/>
      <w:r w:rsidRPr="005D43BB">
        <w:rPr>
          <w:rFonts w:ascii="Times New Roman" w:hAnsi="Times New Roman" w:cs="Times New Roman"/>
          <w:lang w:val="en-GB"/>
        </w:rPr>
        <w:t>4.2.2 Setting of a agenda</w:t>
      </w:r>
      <w:bookmarkEnd w:id="13"/>
    </w:p>
    <w:p w14:paraId="67FE5A5F" w14:textId="1EAC3BA4" w:rsidR="008F6561" w:rsidRPr="005D43BB" w:rsidRDefault="00F24A43" w:rsidP="00BF1A52">
      <w:pPr>
        <w:spacing w:line="360" w:lineRule="auto"/>
        <w:jc w:val="both"/>
        <w:rPr>
          <w:rFonts w:ascii="Times New Roman" w:hAnsi="Times New Roman" w:cs="Times New Roman"/>
          <w:lang w:val="en-GB"/>
        </w:rPr>
      </w:pPr>
      <w:r>
        <w:rPr>
          <w:rFonts w:ascii="Times New Roman" w:hAnsi="Times New Roman" w:cs="Times New Roman"/>
          <w:lang w:val="en-GB"/>
        </w:rPr>
        <w:t>When a certain problem is identified and seen as worthy to be dealt with, it moves on to the next phase, which is the setting of a specific agenda. This stage serves as another filter b</w:t>
      </w:r>
      <w:r w:rsidR="00D547E0">
        <w:rPr>
          <w:rFonts w:ascii="Times New Roman" w:hAnsi="Times New Roman" w:cs="Times New Roman"/>
          <w:lang w:val="en-GB"/>
        </w:rPr>
        <w:t>efore the problem finally reaches the political arena, where binding laws and regulations can be introduced. It can be seen as the bridge between the identification of a problem and the formulation of a policy.</w:t>
      </w:r>
      <w:r w:rsidR="00D547E0">
        <w:rPr>
          <w:rStyle w:val="FootnoteReference"/>
          <w:rFonts w:cs="Times New Roman"/>
          <w:lang w:val="en-GB"/>
        </w:rPr>
        <w:footnoteReference w:id="20"/>
      </w:r>
      <w:r w:rsidR="00D547E0">
        <w:rPr>
          <w:rFonts w:ascii="Times New Roman" w:hAnsi="Times New Roman" w:cs="Times New Roman"/>
          <w:lang w:val="en-GB"/>
        </w:rPr>
        <w:t xml:space="preserve"> </w:t>
      </w:r>
    </w:p>
    <w:p w14:paraId="600A692D" w14:textId="682CFC48" w:rsidR="00956AB1" w:rsidRDefault="00A07C8A" w:rsidP="00BF1A52">
      <w:pPr>
        <w:spacing w:line="360" w:lineRule="auto"/>
        <w:jc w:val="both"/>
        <w:rPr>
          <w:rFonts w:ascii="Times New Roman" w:hAnsi="Times New Roman" w:cs="Times New Roman"/>
          <w:lang w:val="en-GB"/>
        </w:rPr>
      </w:pPr>
      <w:r>
        <w:rPr>
          <w:rFonts w:ascii="Times New Roman" w:hAnsi="Times New Roman" w:cs="Times New Roman"/>
          <w:lang w:val="en-GB"/>
        </w:rPr>
        <w:lastRenderedPageBreak/>
        <w:t>Most issues making it on the political agenda are reoccurring, some are to be dealt with on a yearly basis, like the approval of public budgets, others are more infrequent. Every once in while, as mentioned above, a problem is identified that “deserves” to be dealt with and for this an agenda is to be set. I</w:t>
      </w:r>
      <w:r w:rsidR="00FC0E05">
        <w:rPr>
          <w:rFonts w:ascii="Times New Roman" w:hAnsi="Times New Roman" w:cs="Times New Roman"/>
          <w:lang w:val="en-GB"/>
        </w:rPr>
        <w:t>n order to lift such a problem to the level where political decisions are made, political resources are needed, with which it becomes possible to allocate key actors of the decision process. These lobbyists push some problems to the front and, through persuasion and bargaining, build up a political coalition.</w:t>
      </w:r>
      <w:r w:rsidR="00A51F8E">
        <w:rPr>
          <w:rStyle w:val="FootnoteReference"/>
          <w:rFonts w:cs="Times New Roman"/>
          <w:lang w:val="en-GB"/>
        </w:rPr>
        <w:footnoteReference w:id="21"/>
      </w:r>
      <w:r w:rsidR="00731E39">
        <w:rPr>
          <w:rFonts w:ascii="Times New Roman" w:hAnsi="Times New Roman" w:cs="Times New Roman"/>
          <w:lang w:val="en-GB"/>
        </w:rPr>
        <w:t xml:space="preserve"> </w:t>
      </w:r>
    </w:p>
    <w:p w14:paraId="4C591F3C" w14:textId="7DC4CBE3" w:rsidR="00956AB1" w:rsidRDefault="00956AB1"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In many cases though there is no need for an external actor to set the agenda. </w:t>
      </w:r>
      <w:r w:rsidR="00342451">
        <w:rPr>
          <w:rFonts w:ascii="Times New Roman" w:hAnsi="Times New Roman" w:cs="Times New Roman"/>
          <w:lang w:val="en-GB"/>
        </w:rPr>
        <w:t>Setting an agenda directly from within an authority is a promising method. In cases of excess capacity</w:t>
      </w:r>
      <w:r w:rsidR="00DF4B47">
        <w:rPr>
          <w:rFonts w:ascii="Times New Roman" w:hAnsi="Times New Roman" w:cs="Times New Roman"/>
          <w:lang w:val="en-GB"/>
        </w:rPr>
        <w:t>,</w:t>
      </w:r>
      <w:r w:rsidR="00342451">
        <w:rPr>
          <w:rFonts w:ascii="Times New Roman" w:hAnsi="Times New Roman" w:cs="Times New Roman"/>
          <w:lang w:val="en-GB"/>
        </w:rPr>
        <w:t xml:space="preserve"> in terms of especially personnel</w:t>
      </w:r>
      <w:r w:rsidR="00DF4B47">
        <w:rPr>
          <w:rFonts w:ascii="Times New Roman" w:hAnsi="Times New Roman" w:cs="Times New Roman"/>
          <w:lang w:val="en-GB"/>
        </w:rPr>
        <w:t>,</w:t>
      </w:r>
      <w:r w:rsidR="00342451">
        <w:rPr>
          <w:rFonts w:ascii="Times New Roman" w:hAnsi="Times New Roman" w:cs="Times New Roman"/>
          <w:lang w:val="en-GB"/>
        </w:rPr>
        <w:t xml:space="preserve"> it can seem very attractive for an authority to launch a policy-problem by putting it on the agenda. This can for example be done out of the </w:t>
      </w:r>
      <w:r w:rsidR="00307F82">
        <w:rPr>
          <w:rFonts w:ascii="Times New Roman" w:hAnsi="Times New Roman" w:cs="Times New Roman"/>
          <w:lang w:val="en-GB"/>
        </w:rPr>
        <w:t xml:space="preserve">desire to please authority affiliated third actors. To begin with the authority classifies problem as an item of potential action, which means a state of assessment, then, in case it is accepted, as a problem which requires action. </w:t>
      </w:r>
      <w:r w:rsidR="00B133D9">
        <w:rPr>
          <w:rFonts w:ascii="Times New Roman" w:hAnsi="Times New Roman" w:cs="Times New Roman"/>
          <w:lang w:val="en-GB"/>
        </w:rPr>
        <w:t>For this to happen there are two conditions have to be fulfilled, a) the authority is responsible for the political area and b) the authority is convinced of being able to handle the problem</w:t>
      </w:r>
      <w:r w:rsidR="0054517A">
        <w:rPr>
          <w:rFonts w:ascii="Times New Roman" w:hAnsi="Times New Roman" w:cs="Times New Roman"/>
          <w:lang w:val="en-GB"/>
        </w:rPr>
        <w:t xml:space="preserve"> in an</w:t>
      </w:r>
      <w:r w:rsidR="00B133D9">
        <w:rPr>
          <w:rFonts w:ascii="Times New Roman" w:hAnsi="Times New Roman" w:cs="Times New Roman"/>
          <w:lang w:val="en-GB"/>
        </w:rPr>
        <w:t xml:space="preserve"> </w:t>
      </w:r>
      <w:r w:rsidR="0054517A">
        <w:rPr>
          <w:rFonts w:ascii="Times New Roman" w:hAnsi="Times New Roman" w:cs="Times New Roman"/>
          <w:lang w:val="en-GB"/>
        </w:rPr>
        <w:t xml:space="preserve">adequate manner. </w:t>
      </w:r>
      <w:r w:rsidR="00A51F8E">
        <w:rPr>
          <w:rFonts w:ascii="Times New Roman" w:hAnsi="Times New Roman" w:cs="Times New Roman"/>
          <w:lang w:val="en-GB"/>
        </w:rPr>
        <w:t xml:space="preserve">If this is the case there are issued new priorities and the authorities agenda will get modified. </w:t>
      </w:r>
      <w:r w:rsidR="00A51F8E">
        <w:rPr>
          <w:rFonts w:ascii="Times New Roman" w:hAnsi="Times New Roman" w:cs="Times New Roman"/>
          <w:lang w:val="en-GB"/>
        </w:rPr>
        <w:tab/>
      </w:r>
      <w:r w:rsidR="006162E9">
        <w:rPr>
          <w:rFonts w:ascii="Times New Roman" w:hAnsi="Times New Roman" w:cs="Times New Roman"/>
          <w:lang w:val="en-GB"/>
        </w:rPr>
        <w:t>For such a proposal to work it is also essential that one can expect a long-term interest in the cause.</w:t>
      </w:r>
      <w:r w:rsidR="006162E9">
        <w:rPr>
          <w:rFonts w:ascii="Times New Roman" w:hAnsi="Times New Roman" w:cs="Times New Roman"/>
          <w:lang w:val="en-GB"/>
        </w:rPr>
        <w:tab/>
      </w:r>
      <w:r w:rsidR="00A51F8E">
        <w:rPr>
          <w:rFonts w:ascii="Times New Roman" w:hAnsi="Times New Roman" w:cs="Times New Roman"/>
          <w:lang w:val="en-GB"/>
        </w:rPr>
        <w:br/>
        <w:t>I</w:t>
      </w:r>
      <w:r w:rsidR="000363CC">
        <w:rPr>
          <w:rFonts w:ascii="Times New Roman" w:hAnsi="Times New Roman" w:cs="Times New Roman"/>
          <w:lang w:val="en-GB"/>
        </w:rPr>
        <w:t>t</w:t>
      </w:r>
      <w:r w:rsidR="00B133D9">
        <w:rPr>
          <w:rFonts w:ascii="Times New Roman" w:hAnsi="Times New Roman" w:cs="Times New Roman"/>
          <w:lang w:val="en-GB"/>
        </w:rPr>
        <w:t xml:space="preserve"> </w:t>
      </w:r>
      <w:r w:rsidR="00A51F8E">
        <w:rPr>
          <w:rFonts w:ascii="Times New Roman" w:hAnsi="Times New Roman" w:cs="Times New Roman"/>
          <w:lang w:val="en-GB"/>
        </w:rPr>
        <w:t xml:space="preserve">can be established that </w:t>
      </w:r>
      <w:r w:rsidR="006162E9">
        <w:rPr>
          <w:rFonts w:ascii="Times New Roman" w:hAnsi="Times New Roman" w:cs="Times New Roman"/>
          <w:lang w:val="en-GB"/>
        </w:rPr>
        <w:t>it needs the political will and the political power to set such an agenda, but this is only the instrumental aspect of the case. A cultural normati</w:t>
      </w:r>
      <w:r w:rsidR="002C37E7">
        <w:rPr>
          <w:rFonts w:ascii="Times New Roman" w:hAnsi="Times New Roman" w:cs="Times New Roman"/>
          <w:lang w:val="en-GB"/>
        </w:rPr>
        <w:t xml:space="preserve">ve aspect </w:t>
      </w:r>
      <w:r w:rsidR="006162E9">
        <w:rPr>
          <w:rFonts w:ascii="Times New Roman" w:hAnsi="Times New Roman" w:cs="Times New Roman"/>
          <w:lang w:val="en-GB"/>
        </w:rPr>
        <w:t xml:space="preserve">plays the other role. As mentioned during </w:t>
      </w:r>
      <w:r w:rsidR="002C37E7">
        <w:rPr>
          <w:rFonts w:ascii="Times New Roman" w:hAnsi="Times New Roman" w:cs="Times New Roman"/>
          <w:lang w:val="en-GB"/>
        </w:rPr>
        <w:t>problem identification, there must be a broad consensus in society to acknowledge a problem as such. The closer a policy problem is situated to the fundamental core values of society, the higher is the chance of a policy problem to be passed through to the next level where binding political decisions are made.</w:t>
      </w:r>
      <w:r w:rsidR="00F16E4B">
        <w:rPr>
          <w:rStyle w:val="FootnoteReference"/>
          <w:rFonts w:cs="Times New Roman"/>
          <w:lang w:val="en-GB"/>
        </w:rPr>
        <w:footnoteReference w:id="22"/>
      </w:r>
      <w:r w:rsidR="002C37E7">
        <w:rPr>
          <w:rFonts w:ascii="Times New Roman" w:hAnsi="Times New Roman" w:cs="Times New Roman"/>
          <w:lang w:val="en-GB"/>
        </w:rPr>
        <w:t xml:space="preserve"> </w:t>
      </w:r>
    </w:p>
    <w:p w14:paraId="05303EE6" w14:textId="274F358D" w:rsidR="00130A22" w:rsidRPr="005D43BB" w:rsidRDefault="00130A22" w:rsidP="00BF1A52">
      <w:pPr>
        <w:spacing w:line="360" w:lineRule="auto"/>
        <w:jc w:val="both"/>
        <w:rPr>
          <w:rFonts w:ascii="Times New Roman" w:hAnsi="Times New Roman" w:cs="Times New Roman"/>
          <w:lang w:val="en-GB"/>
        </w:rPr>
      </w:pPr>
      <w:r>
        <w:rPr>
          <w:rFonts w:ascii="Times New Roman" w:hAnsi="Times New Roman" w:cs="Times New Roman"/>
          <w:lang w:val="en-GB"/>
        </w:rPr>
        <w:t>An</w:t>
      </w:r>
      <w:r w:rsidR="000363CC">
        <w:rPr>
          <w:rFonts w:ascii="Times New Roman" w:hAnsi="Times New Roman" w:cs="Times New Roman"/>
          <w:lang w:val="en-GB"/>
        </w:rPr>
        <w:t>o</w:t>
      </w:r>
      <w:r>
        <w:rPr>
          <w:rFonts w:ascii="Times New Roman" w:hAnsi="Times New Roman" w:cs="Times New Roman"/>
          <w:lang w:val="en-GB"/>
        </w:rPr>
        <w:t>ther popular approach to a successful introduction of a policy problem to the next stage of the cycle</w:t>
      </w:r>
      <w:r w:rsidR="008071EE">
        <w:rPr>
          <w:rFonts w:ascii="Times New Roman" w:hAnsi="Times New Roman" w:cs="Times New Roman"/>
          <w:lang w:val="en-GB"/>
        </w:rPr>
        <w:t xml:space="preserve"> is policy-labelling. In order to increase the chances of an actual formulation of a policy, it is possible to present a certain problem as something </w:t>
      </w:r>
      <w:r w:rsidR="008071EE">
        <w:rPr>
          <w:rFonts w:ascii="Times New Roman" w:hAnsi="Times New Roman" w:cs="Times New Roman"/>
          <w:lang w:val="en-GB"/>
        </w:rPr>
        <w:lastRenderedPageBreak/>
        <w:t xml:space="preserve">concerning a huge part of the society, even though only a small part actually will benefit from a coming policy on that topic. In most cases it is possible to highlight certain aspects of a problem in order to achieve this effect. An example could be redistribution of income in society. While only a relatively small portion of society can benefit from this, a proper labelling of the problem can appeal to people’s emotions and common values. So in the case of income redistribution it for example could be possible to gather the whole of a country around the wish for an more equal society. </w:t>
      </w:r>
      <w:r w:rsidR="00C5742F">
        <w:rPr>
          <w:rFonts w:ascii="Times New Roman" w:hAnsi="Times New Roman" w:cs="Times New Roman"/>
          <w:lang w:val="en-GB"/>
        </w:rPr>
        <w:t>While this in the short term can work really well, there is a chance that this common interest argument is being perceived as phony and in this case a possible coalition can dissolve quickly. In general the media and their interest in that matter play a huge role in this approach. Without an interested media the message can’t get out to the broad public.</w:t>
      </w:r>
      <w:r w:rsidR="00C5742F">
        <w:rPr>
          <w:rStyle w:val="FootnoteReference"/>
          <w:rFonts w:cs="Times New Roman"/>
          <w:lang w:val="en-GB"/>
        </w:rPr>
        <w:footnoteReference w:id="23"/>
      </w:r>
      <w:r w:rsidR="005F281A">
        <w:rPr>
          <w:rFonts w:ascii="Times New Roman" w:hAnsi="Times New Roman" w:cs="Times New Roman"/>
          <w:lang w:val="en-GB"/>
        </w:rPr>
        <w:t xml:space="preserve"> </w:t>
      </w:r>
      <w:r w:rsidR="005F281A">
        <w:rPr>
          <w:rFonts w:ascii="Times New Roman" w:hAnsi="Times New Roman" w:cs="Times New Roman"/>
          <w:lang w:val="en-GB"/>
        </w:rPr>
        <w:tab/>
      </w:r>
    </w:p>
    <w:p w14:paraId="5090A5AC" w14:textId="0661F83E" w:rsidR="008F6561" w:rsidRPr="005D43BB" w:rsidRDefault="008F6561" w:rsidP="00BF1A52">
      <w:pPr>
        <w:pStyle w:val="Heading3"/>
        <w:spacing w:line="360" w:lineRule="auto"/>
        <w:jc w:val="both"/>
        <w:rPr>
          <w:rFonts w:ascii="Times New Roman" w:hAnsi="Times New Roman" w:cs="Times New Roman"/>
          <w:lang w:val="en-GB"/>
        </w:rPr>
      </w:pPr>
      <w:bookmarkStart w:id="14" w:name="_Toc289250847"/>
      <w:r w:rsidRPr="005D43BB">
        <w:rPr>
          <w:rFonts w:ascii="Times New Roman" w:hAnsi="Times New Roman" w:cs="Times New Roman"/>
          <w:lang w:val="en-GB"/>
        </w:rPr>
        <w:t>4.2.3 Formulation of a policy</w:t>
      </w:r>
      <w:bookmarkEnd w:id="14"/>
    </w:p>
    <w:p w14:paraId="65E5CF18" w14:textId="1523F91A" w:rsidR="008F6561" w:rsidRPr="005D43BB" w:rsidRDefault="0097000F" w:rsidP="00BF1A52">
      <w:pPr>
        <w:spacing w:line="360" w:lineRule="auto"/>
        <w:jc w:val="both"/>
        <w:rPr>
          <w:rFonts w:ascii="Times New Roman" w:hAnsi="Times New Roman" w:cs="Times New Roman"/>
          <w:lang w:val="en-GB"/>
        </w:rPr>
      </w:pPr>
      <w:r>
        <w:rPr>
          <w:rFonts w:ascii="Times New Roman" w:hAnsi="Times New Roman" w:cs="Times New Roman"/>
          <w:lang w:val="en-GB"/>
        </w:rPr>
        <w:t>When there is</w:t>
      </w:r>
      <w:r w:rsidR="00CE71AA">
        <w:rPr>
          <w:rFonts w:ascii="Times New Roman" w:hAnsi="Times New Roman" w:cs="Times New Roman"/>
          <w:lang w:val="en-GB"/>
        </w:rPr>
        <w:t xml:space="preserve"> a</w:t>
      </w:r>
      <w:r>
        <w:rPr>
          <w:rFonts w:ascii="Times New Roman" w:hAnsi="Times New Roman" w:cs="Times New Roman"/>
          <w:lang w:val="en-GB"/>
        </w:rPr>
        <w:t xml:space="preserve"> problem, which is put on the agenda and gets adopted, it is time for those</w:t>
      </w:r>
      <w:r w:rsidR="008E1002">
        <w:rPr>
          <w:rFonts w:ascii="Times New Roman" w:hAnsi="Times New Roman" w:cs="Times New Roman"/>
          <w:lang w:val="en-GB"/>
        </w:rPr>
        <w:t>,</w:t>
      </w:r>
      <w:r>
        <w:rPr>
          <w:rFonts w:ascii="Times New Roman" w:hAnsi="Times New Roman" w:cs="Times New Roman"/>
          <w:lang w:val="en-GB"/>
        </w:rPr>
        <w:t xml:space="preserve"> with power du make binding political decision</w:t>
      </w:r>
      <w:r w:rsidR="008E1002">
        <w:rPr>
          <w:rFonts w:ascii="Times New Roman" w:hAnsi="Times New Roman" w:cs="Times New Roman"/>
          <w:lang w:val="en-GB"/>
        </w:rPr>
        <w:t>,</w:t>
      </w:r>
      <w:r>
        <w:rPr>
          <w:rFonts w:ascii="Times New Roman" w:hAnsi="Times New Roman" w:cs="Times New Roman"/>
          <w:lang w:val="en-GB"/>
        </w:rPr>
        <w:t xml:space="preserve"> to collect all the threats and formulate a concrete policy concerning that problem. Information is gathered, processed and turned into a policy proposal, which is put up for vote in a law making political organ. Discussion</w:t>
      </w:r>
      <w:r w:rsidR="008E1002">
        <w:rPr>
          <w:rFonts w:ascii="Times New Roman" w:hAnsi="Times New Roman" w:cs="Times New Roman"/>
          <w:lang w:val="en-GB"/>
        </w:rPr>
        <w:t>s</w:t>
      </w:r>
      <w:r>
        <w:rPr>
          <w:rFonts w:ascii="Times New Roman" w:hAnsi="Times New Roman" w:cs="Times New Roman"/>
          <w:lang w:val="en-GB"/>
        </w:rPr>
        <w:t xml:space="preserve"> and bargaining follow</w:t>
      </w:r>
      <w:r w:rsidR="008E1002">
        <w:rPr>
          <w:rFonts w:ascii="Times New Roman" w:hAnsi="Times New Roman" w:cs="Times New Roman"/>
          <w:lang w:val="en-GB"/>
        </w:rPr>
        <w:t>s</w:t>
      </w:r>
      <w:r>
        <w:rPr>
          <w:rFonts w:ascii="Times New Roman" w:hAnsi="Times New Roman" w:cs="Times New Roman"/>
          <w:lang w:val="en-GB"/>
        </w:rPr>
        <w:t xml:space="preserve"> that in the end might result in a majority voting for the policy proposal and by that make it a binding law.</w:t>
      </w:r>
      <w:r w:rsidR="0044256D">
        <w:rPr>
          <w:rStyle w:val="FootnoteReference"/>
          <w:rFonts w:cs="Times New Roman"/>
          <w:lang w:val="en-GB"/>
        </w:rPr>
        <w:footnoteReference w:id="24"/>
      </w:r>
      <w:r>
        <w:rPr>
          <w:rFonts w:ascii="Times New Roman" w:hAnsi="Times New Roman" w:cs="Times New Roman"/>
          <w:lang w:val="en-GB"/>
        </w:rPr>
        <w:t xml:space="preserve"> </w:t>
      </w:r>
    </w:p>
    <w:p w14:paraId="3C46CB52" w14:textId="58EBA519" w:rsidR="008F6561" w:rsidRDefault="00565238" w:rsidP="00BF1A52">
      <w:pPr>
        <w:spacing w:line="360" w:lineRule="auto"/>
        <w:jc w:val="both"/>
        <w:rPr>
          <w:rFonts w:ascii="Times New Roman" w:hAnsi="Times New Roman" w:cs="Times New Roman"/>
          <w:lang w:val="en-GB"/>
        </w:rPr>
      </w:pPr>
      <w:r>
        <w:rPr>
          <w:rFonts w:ascii="Times New Roman" w:hAnsi="Times New Roman" w:cs="Times New Roman"/>
          <w:lang w:val="en-GB"/>
        </w:rPr>
        <w:t>When it comes to get to an agreement on the adoption of a policy proposal, the political system and its conditions play a key role. The analysis of policy formulation has for long been of special interest to political scientist</w:t>
      </w:r>
      <w:r w:rsidR="008E1002">
        <w:rPr>
          <w:rFonts w:ascii="Times New Roman" w:hAnsi="Times New Roman" w:cs="Times New Roman"/>
          <w:lang w:val="en-GB"/>
        </w:rPr>
        <w:t>s</w:t>
      </w:r>
      <w:r>
        <w:rPr>
          <w:rFonts w:ascii="Times New Roman" w:hAnsi="Times New Roman" w:cs="Times New Roman"/>
          <w:lang w:val="en-GB"/>
        </w:rPr>
        <w:t xml:space="preserve"> who study the effect of decentralised or centralised governments, possibility of </w:t>
      </w:r>
      <w:r w:rsidR="008E1002">
        <w:rPr>
          <w:rFonts w:ascii="Times New Roman" w:hAnsi="Times New Roman" w:cs="Times New Roman"/>
          <w:lang w:val="en-GB"/>
        </w:rPr>
        <w:t xml:space="preserve">plebiscites or socioeconomically factors on the policy cycle. All these factors do influence the policy cycle beyond the formulation of policy and shapes the arena for later implementation and evaluations. </w:t>
      </w:r>
      <w:r w:rsidR="00831109">
        <w:rPr>
          <w:rFonts w:ascii="Times New Roman" w:hAnsi="Times New Roman" w:cs="Times New Roman"/>
          <w:lang w:val="en-GB"/>
        </w:rPr>
        <w:t xml:space="preserve">A central thesis is for example that the political administration only to a certain degree and very selective is able to deal with complex, interdepartmental problems. This is due to alleged missing communication between responsible resorts, which in many cases only occur as a result of disturbance rather then positive cooperation. This has the fragmentation of problems </w:t>
      </w:r>
      <w:r w:rsidR="00831109">
        <w:rPr>
          <w:rFonts w:ascii="Times New Roman" w:hAnsi="Times New Roman" w:cs="Times New Roman"/>
          <w:lang w:val="en-GB"/>
        </w:rPr>
        <w:lastRenderedPageBreak/>
        <w:t xml:space="preserve">as a result and </w:t>
      </w:r>
      <w:r w:rsidR="00795BE6">
        <w:rPr>
          <w:rFonts w:ascii="Times New Roman" w:hAnsi="Times New Roman" w:cs="Times New Roman"/>
          <w:lang w:val="en-GB"/>
        </w:rPr>
        <w:t xml:space="preserve">makes the allocation of resources difficult seen from the centralised organization point of view. </w:t>
      </w:r>
      <w:r w:rsidR="000609CA">
        <w:rPr>
          <w:rFonts w:ascii="Times New Roman" w:hAnsi="Times New Roman" w:cs="Times New Roman"/>
          <w:lang w:val="en-GB"/>
        </w:rPr>
        <w:t>Aside from the conflict between centralized and decentralized politics</w:t>
      </w:r>
      <w:r w:rsidR="00CE71AA">
        <w:rPr>
          <w:rFonts w:ascii="Times New Roman" w:hAnsi="Times New Roman" w:cs="Times New Roman"/>
          <w:lang w:val="en-GB"/>
        </w:rPr>
        <w:t>,</w:t>
      </w:r>
      <w:r w:rsidR="000609CA">
        <w:rPr>
          <w:rFonts w:ascii="Times New Roman" w:hAnsi="Times New Roman" w:cs="Times New Roman"/>
          <w:lang w:val="en-GB"/>
        </w:rPr>
        <w:t xml:space="preserve"> studies also have shown that there </w:t>
      </w:r>
      <w:r w:rsidR="00FA3B9B">
        <w:rPr>
          <w:rFonts w:ascii="Times New Roman" w:hAnsi="Times New Roman" w:cs="Times New Roman"/>
          <w:lang w:val="en-GB"/>
        </w:rPr>
        <w:t xml:space="preserve">are big differences between the possibilities in the cases were decisions are taken in parliaments and were they are taken by the public through plebiscites. In the case of referendums in Switzerland it showed that 90% of progressive innovative initiatives were dismissed and only had a chance of being passed after have been altered by the parliament to a less radical version. The cause for this can be that while parliamentarians have the responsibility to act for the country as whole in the name of a greater good, while individual citizens </w:t>
      </w:r>
      <w:r w:rsidR="0029708C">
        <w:rPr>
          <w:rFonts w:ascii="Times New Roman" w:hAnsi="Times New Roman" w:cs="Times New Roman"/>
          <w:lang w:val="en-GB"/>
        </w:rPr>
        <w:t>vote out of their</w:t>
      </w:r>
      <w:r w:rsidR="00FA3B9B">
        <w:rPr>
          <w:rFonts w:ascii="Times New Roman" w:hAnsi="Times New Roman" w:cs="Times New Roman"/>
          <w:lang w:val="en-GB"/>
        </w:rPr>
        <w:t xml:space="preserve"> immediate surr</w:t>
      </w:r>
      <w:r w:rsidR="0029708C">
        <w:rPr>
          <w:rFonts w:ascii="Times New Roman" w:hAnsi="Times New Roman" w:cs="Times New Roman"/>
          <w:lang w:val="en-GB"/>
        </w:rPr>
        <w:t>oundings in accordance with th</w:t>
      </w:r>
      <w:r w:rsidR="00FA3B9B">
        <w:rPr>
          <w:rFonts w:ascii="Times New Roman" w:hAnsi="Times New Roman" w:cs="Times New Roman"/>
          <w:lang w:val="en-GB"/>
        </w:rPr>
        <w:t>e</w:t>
      </w:r>
      <w:r w:rsidR="0029708C">
        <w:rPr>
          <w:rFonts w:ascii="Times New Roman" w:hAnsi="Times New Roman" w:cs="Times New Roman"/>
          <w:lang w:val="en-GB"/>
        </w:rPr>
        <w:t>ir</w:t>
      </w:r>
      <w:r w:rsidR="00FA3B9B">
        <w:rPr>
          <w:rFonts w:ascii="Times New Roman" w:hAnsi="Times New Roman" w:cs="Times New Roman"/>
          <w:lang w:val="en-GB"/>
        </w:rPr>
        <w:t xml:space="preserve"> own needs.</w:t>
      </w:r>
      <w:r w:rsidR="00FA3B9B">
        <w:rPr>
          <w:rStyle w:val="FootnoteReference"/>
          <w:rFonts w:cs="Times New Roman"/>
          <w:lang w:val="en-GB"/>
        </w:rPr>
        <w:footnoteReference w:id="25"/>
      </w:r>
      <w:r w:rsidR="005F281A">
        <w:rPr>
          <w:rFonts w:ascii="Times New Roman" w:hAnsi="Times New Roman" w:cs="Times New Roman"/>
          <w:lang w:val="en-GB"/>
        </w:rPr>
        <w:tab/>
      </w:r>
      <w:r w:rsidR="005F281A">
        <w:rPr>
          <w:rFonts w:ascii="Times New Roman" w:hAnsi="Times New Roman" w:cs="Times New Roman"/>
          <w:lang w:val="en-GB"/>
        </w:rPr>
        <w:br/>
        <w:t>In many cases it is a cost benefit analys</w:t>
      </w:r>
      <w:r w:rsidR="0067424C">
        <w:rPr>
          <w:rFonts w:ascii="Times New Roman" w:hAnsi="Times New Roman" w:cs="Times New Roman"/>
          <w:lang w:val="en-GB"/>
        </w:rPr>
        <w:t>is that builds the foundation to</w:t>
      </w:r>
      <w:r w:rsidR="005F281A">
        <w:rPr>
          <w:rFonts w:ascii="Times New Roman" w:hAnsi="Times New Roman" w:cs="Times New Roman"/>
          <w:lang w:val="en-GB"/>
        </w:rPr>
        <w:t xml:space="preserve"> deter</w:t>
      </w:r>
      <w:r w:rsidR="0067424C">
        <w:rPr>
          <w:rFonts w:ascii="Times New Roman" w:hAnsi="Times New Roman" w:cs="Times New Roman"/>
          <w:lang w:val="en-GB"/>
        </w:rPr>
        <w:t>mine if a policy proposal is considered good or not. Even though it might look like a proposal could be passed and become law, because it is considered key issue of political fraction in the parliament, it can happen that it will get dismissed. Various reasons could play in hear. The proposal could be deemed not to be radical enough or there could be a fear of loosing bargaining power in other cases. A left wing issue could be di</w:t>
      </w:r>
      <w:r w:rsidR="00C95A07">
        <w:rPr>
          <w:rFonts w:ascii="Times New Roman" w:hAnsi="Times New Roman" w:cs="Times New Roman"/>
          <w:lang w:val="en-GB"/>
        </w:rPr>
        <w:t>s</w:t>
      </w:r>
      <w:r w:rsidR="0067424C">
        <w:rPr>
          <w:rFonts w:ascii="Times New Roman" w:hAnsi="Times New Roman" w:cs="Times New Roman"/>
          <w:lang w:val="en-GB"/>
        </w:rPr>
        <w:t>missed by the left wing fraction of the parliament</w:t>
      </w:r>
      <w:r w:rsidR="00C95A07">
        <w:rPr>
          <w:rFonts w:ascii="Times New Roman" w:hAnsi="Times New Roman" w:cs="Times New Roman"/>
          <w:lang w:val="en-GB"/>
        </w:rPr>
        <w:t>,</w:t>
      </w:r>
      <w:r w:rsidR="0067424C">
        <w:rPr>
          <w:rFonts w:ascii="Times New Roman" w:hAnsi="Times New Roman" w:cs="Times New Roman"/>
          <w:lang w:val="en-GB"/>
        </w:rPr>
        <w:t xml:space="preserve"> simply on </w:t>
      </w:r>
      <w:r w:rsidR="00C95A07">
        <w:rPr>
          <w:rFonts w:ascii="Times New Roman" w:hAnsi="Times New Roman" w:cs="Times New Roman"/>
          <w:lang w:val="en-GB"/>
        </w:rPr>
        <w:t>basis that a right wing party proposed it.</w:t>
      </w:r>
      <w:r w:rsidR="00C95A07">
        <w:rPr>
          <w:rStyle w:val="FootnoteReference"/>
          <w:rFonts w:cs="Times New Roman"/>
          <w:lang w:val="en-GB"/>
        </w:rPr>
        <w:footnoteReference w:id="26"/>
      </w:r>
      <w:r w:rsidR="00C95A07">
        <w:rPr>
          <w:rFonts w:ascii="Times New Roman" w:hAnsi="Times New Roman" w:cs="Times New Roman"/>
          <w:lang w:val="en-GB"/>
        </w:rPr>
        <w:t xml:space="preserve"> </w:t>
      </w:r>
    </w:p>
    <w:p w14:paraId="2FAFDFA8" w14:textId="52ABA221" w:rsidR="0020694E" w:rsidRPr="005D43BB" w:rsidRDefault="00D31A91" w:rsidP="00BF1A52">
      <w:pPr>
        <w:spacing w:line="360" w:lineRule="auto"/>
        <w:jc w:val="both"/>
        <w:rPr>
          <w:rFonts w:ascii="Times New Roman" w:hAnsi="Times New Roman" w:cs="Times New Roman"/>
          <w:lang w:val="en-GB"/>
        </w:rPr>
      </w:pPr>
      <w:r>
        <w:rPr>
          <w:rFonts w:ascii="Times New Roman" w:hAnsi="Times New Roman" w:cs="Times New Roman"/>
          <w:lang w:val="en-GB"/>
        </w:rPr>
        <w:t>When formulating a policy and delimiting its reach and extent, the accountable have to decide if it</w:t>
      </w:r>
      <w:r w:rsidR="00ED0164">
        <w:rPr>
          <w:rFonts w:ascii="Times New Roman" w:hAnsi="Times New Roman" w:cs="Times New Roman"/>
          <w:lang w:val="en-GB"/>
        </w:rPr>
        <w:t>’s going to be a strict policy with clearly defined goals</w:t>
      </w:r>
      <w:r w:rsidR="00666760">
        <w:rPr>
          <w:rFonts w:ascii="Times New Roman" w:hAnsi="Times New Roman" w:cs="Times New Roman"/>
          <w:lang w:val="en-GB"/>
        </w:rPr>
        <w:t xml:space="preserve"> </w:t>
      </w:r>
      <w:r w:rsidR="00ED0164">
        <w:rPr>
          <w:rFonts w:ascii="Times New Roman" w:hAnsi="Times New Roman" w:cs="Times New Roman"/>
          <w:lang w:val="en-GB"/>
        </w:rPr>
        <w:t>and how to reach them</w:t>
      </w:r>
      <w:r w:rsidR="00666760">
        <w:rPr>
          <w:rFonts w:ascii="Times New Roman" w:hAnsi="Times New Roman" w:cs="Times New Roman"/>
          <w:lang w:val="en-GB"/>
        </w:rPr>
        <w:t xml:space="preserve"> (Rule of Law)</w:t>
      </w:r>
      <w:r w:rsidR="00ED0164">
        <w:rPr>
          <w:rFonts w:ascii="Times New Roman" w:hAnsi="Times New Roman" w:cs="Times New Roman"/>
          <w:lang w:val="en-GB"/>
        </w:rPr>
        <w:t>, or a more loose version where there is space for interpretation and discretionary leeway</w:t>
      </w:r>
      <w:r w:rsidR="00666760">
        <w:rPr>
          <w:rFonts w:ascii="Times New Roman" w:hAnsi="Times New Roman" w:cs="Times New Roman"/>
          <w:lang w:val="en-GB"/>
        </w:rPr>
        <w:t xml:space="preserve"> (Policy-Without-Law)</w:t>
      </w:r>
      <w:r w:rsidR="00ED0164">
        <w:rPr>
          <w:rFonts w:ascii="Times New Roman" w:hAnsi="Times New Roman" w:cs="Times New Roman"/>
          <w:lang w:val="en-GB"/>
        </w:rPr>
        <w:t>. A policy without clear guidelines can be the result of the inability to agree upon those o</w:t>
      </w:r>
      <w:r w:rsidR="008C0137">
        <w:rPr>
          <w:rFonts w:ascii="Times New Roman" w:hAnsi="Times New Roman" w:cs="Times New Roman"/>
          <w:lang w:val="en-GB"/>
        </w:rPr>
        <w:t xml:space="preserve">r </w:t>
      </w:r>
      <w:r w:rsidR="00575841">
        <w:rPr>
          <w:rFonts w:ascii="Times New Roman" w:hAnsi="Times New Roman" w:cs="Times New Roman"/>
          <w:lang w:val="en-GB"/>
        </w:rPr>
        <w:t xml:space="preserve">the wish </w:t>
      </w:r>
      <w:r w:rsidR="008C0137">
        <w:rPr>
          <w:rFonts w:ascii="Times New Roman" w:hAnsi="Times New Roman" w:cs="Times New Roman"/>
          <w:lang w:val="en-GB"/>
        </w:rPr>
        <w:t xml:space="preserve">to extract potential conflict, in order to increase the chances for it to be passed. In that case a cost benefit analysis isn’t easy and conflict after implementation isn’t unlikely. </w:t>
      </w:r>
      <w:r w:rsidR="003467C6">
        <w:rPr>
          <w:rFonts w:ascii="Times New Roman" w:hAnsi="Times New Roman" w:cs="Times New Roman"/>
          <w:lang w:val="en-GB"/>
        </w:rPr>
        <w:t xml:space="preserve">Not agreeing on clear formulations doesn’t though always result from inability. The effect and needed measurements can in some cases basically not be known. In other cases it can be believed that local governments, closer to the subject are better at handling and implementing laws and regulations at its own discretion, rather then a centralized government dictating on a matter outside there expertise. </w:t>
      </w:r>
      <w:r w:rsidR="00575841">
        <w:rPr>
          <w:rFonts w:ascii="Times New Roman" w:hAnsi="Times New Roman" w:cs="Times New Roman"/>
          <w:lang w:val="en-GB"/>
        </w:rPr>
        <w:t xml:space="preserve">A clear definition on the </w:t>
      </w:r>
      <w:r w:rsidR="00575841">
        <w:rPr>
          <w:rFonts w:ascii="Times New Roman" w:hAnsi="Times New Roman" w:cs="Times New Roman"/>
          <w:lang w:val="en-GB"/>
        </w:rPr>
        <w:lastRenderedPageBreak/>
        <w:t>other hand can a</w:t>
      </w:r>
      <w:r w:rsidR="00666760">
        <w:rPr>
          <w:rFonts w:ascii="Times New Roman" w:hAnsi="Times New Roman" w:cs="Times New Roman"/>
          <w:lang w:val="en-GB"/>
        </w:rPr>
        <w:t>lso have the benefit of a parliamentarian</w:t>
      </w:r>
      <w:r w:rsidR="00575841">
        <w:rPr>
          <w:rFonts w:ascii="Times New Roman" w:hAnsi="Times New Roman" w:cs="Times New Roman"/>
          <w:lang w:val="en-GB"/>
        </w:rPr>
        <w:t xml:space="preserve"> being able to present him</w:t>
      </w:r>
      <w:r w:rsidR="00666760">
        <w:rPr>
          <w:rFonts w:ascii="Times New Roman" w:hAnsi="Times New Roman" w:cs="Times New Roman"/>
          <w:lang w:val="en-GB"/>
        </w:rPr>
        <w:t>/her</w:t>
      </w:r>
      <w:r w:rsidR="00575841">
        <w:rPr>
          <w:rFonts w:ascii="Times New Roman" w:hAnsi="Times New Roman" w:cs="Times New Roman"/>
          <w:lang w:val="en-GB"/>
        </w:rPr>
        <w:t xml:space="preserve">self as a reformer, as somebody who solves problems. In the </w:t>
      </w:r>
      <w:r w:rsidR="00666760">
        <w:rPr>
          <w:rFonts w:ascii="Times New Roman" w:hAnsi="Times New Roman" w:cs="Times New Roman"/>
          <w:lang w:val="en-GB"/>
        </w:rPr>
        <w:t xml:space="preserve">case it becomes impossible, or </w:t>
      </w:r>
      <w:r w:rsidR="008B4110">
        <w:rPr>
          <w:rFonts w:ascii="Times New Roman" w:hAnsi="Times New Roman" w:cs="Times New Roman"/>
          <w:lang w:val="en-GB"/>
        </w:rPr>
        <w:t xml:space="preserve">only with difficulties, </w:t>
      </w:r>
      <w:r w:rsidR="006D339E">
        <w:rPr>
          <w:rFonts w:ascii="Times New Roman" w:hAnsi="Times New Roman" w:cs="Times New Roman"/>
          <w:lang w:val="en-GB"/>
        </w:rPr>
        <w:t xml:space="preserve">to </w:t>
      </w:r>
      <w:r w:rsidR="00666760">
        <w:rPr>
          <w:rFonts w:ascii="Times New Roman" w:hAnsi="Times New Roman" w:cs="Times New Roman"/>
          <w:lang w:val="en-GB"/>
        </w:rPr>
        <w:t>trace back</w:t>
      </w:r>
      <w:r w:rsidR="008B4110">
        <w:rPr>
          <w:rFonts w:ascii="Times New Roman" w:hAnsi="Times New Roman" w:cs="Times New Roman"/>
          <w:lang w:val="en-GB"/>
        </w:rPr>
        <w:t xml:space="preserve"> </w:t>
      </w:r>
      <w:r w:rsidR="00666760">
        <w:rPr>
          <w:rFonts w:ascii="Times New Roman" w:hAnsi="Times New Roman" w:cs="Times New Roman"/>
          <w:lang w:val="en-GB"/>
        </w:rPr>
        <w:t>why a policy is shaped as</w:t>
      </w:r>
      <w:r w:rsidR="006D339E">
        <w:rPr>
          <w:rFonts w:ascii="Times New Roman" w:hAnsi="Times New Roman" w:cs="Times New Roman"/>
          <w:lang w:val="en-GB"/>
        </w:rPr>
        <w:t xml:space="preserve"> it is and who exactly is responsible, it gets lost in the bureaucratic </w:t>
      </w:r>
      <w:r w:rsidR="00666760">
        <w:rPr>
          <w:rFonts w:ascii="Times New Roman" w:hAnsi="Times New Roman" w:cs="Times New Roman"/>
          <w:lang w:val="en-GB"/>
        </w:rPr>
        <w:t>structures. Furthermore it opens up for the possibility of no fraction in the parliament feeling like the looser of a process since all negotiation already has happened on the lower level and they can pass a finished policy.</w:t>
      </w:r>
      <w:r w:rsidR="003467C6">
        <w:rPr>
          <w:rFonts w:ascii="Times New Roman" w:hAnsi="Times New Roman" w:cs="Times New Roman"/>
          <w:lang w:val="en-GB"/>
        </w:rPr>
        <w:t xml:space="preserve"> </w:t>
      </w:r>
      <w:proofErr w:type="gramStart"/>
      <w:r w:rsidR="00D81101">
        <w:rPr>
          <w:rFonts w:ascii="Times New Roman" w:hAnsi="Times New Roman" w:cs="Times New Roman"/>
          <w:lang w:val="en-GB"/>
        </w:rPr>
        <w:t>Last  but</w:t>
      </w:r>
      <w:proofErr w:type="gramEnd"/>
      <w:r w:rsidR="00D81101">
        <w:rPr>
          <w:rFonts w:ascii="Times New Roman" w:hAnsi="Times New Roman" w:cs="Times New Roman"/>
          <w:lang w:val="en-GB"/>
        </w:rPr>
        <w:t xml:space="preserve"> not least the parliament, its composition, the power of the present ruling party or coalition is a contributing factor in how a policy is shaped out, since it always will be done with the goal for it to pass. </w:t>
      </w:r>
      <w:r w:rsidR="003467C6">
        <w:rPr>
          <w:rFonts w:ascii="Times New Roman" w:hAnsi="Times New Roman" w:cs="Times New Roman"/>
          <w:lang w:val="en-GB"/>
        </w:rPr>
        <w:t>In any case, in order for a policy to succeed in the long run, it is important that the involved follow up on the developments even after the stage of policy formulation.</w:t>
      </w:r>
      <w:r w:rsidR="003467C6">
        <w:rPr>
          <w:rStyle w:val="FootnoteReference"/>
          <w:rFonts w:cs="Times New Roman"/>
          <w:lang w:val="en-GB"/>
        </w:rPr>
        <w:footnoteReference w:id="27"/>
      </w:r>
    </w:p>
    <w:p w14:paraId="59275BA0" w14:textId="777D1911" w:rsidR="008F6561" w:rsidRPr="005D43BB" w:rsidRDefault="008F6561" w:rsidP="00BF1A52">
      <w:pPr>
        <w:pStyle w:val="Heading3"/>
        <w:spacing w:line="360" w:lineRule="auto"/>
        <w:jc w:val="both"/>
        <w:rPr>
          <w:rFonts w:ascii="Times New Roman" w:hAnsi="Times New Roman" w:cs="Times New Roman"/>
          <w:lang w:val="en-GB"/>
        </w:rPr>
      </w:pPr>
      <w:bookmarkStart w:id="15" w:name="_Toc289250848"/>
      <w:r w:rsidRPr="005D43BB">
        <w:rPr>
          <w:rFonts w:ascii="Times New Roman" w:hAnsi="Times New Roman" w:cs="Times New Roman"/>
          <w:lang w:val="en-GB"/>
        </w:rPr>
        <w:t>4.2.4 Implementation of a policy</w:t>
      </w:r>
      <w:bookmarkEnd w:id="15"/>
    </w:p>
    <w:p w14:paraId="02F2EF72" w14:textId="57440A4C" w:rsidR="008F6561" w:rsidRPr="005D43BB" w:rsidRDefault="00617401" w:rsidP="00BF1A52">
      <w:pPr>
        <w:spacing w:line="360" w:lineRule="auto"/>
        <w:jc w:val="both"/>
        <w:rPr>
          <w:rFonts w:ascii="Times New Roman" w:hAnsi="Times New Roman" w:cs="Times New Roman"/>
          <w:lang w:val="en-GB"/>
        </w:rPr>
      </w:pPr>
      <w:r>
        <w:rPr>
          <w:rFonts w:ascii="Times New Roman" w:hAnsi="Times New Roman" w:cs="Times New Roman"/>
          <w:lang w:val="en-GB"/>
        </w:rPr>
        <w:t>Over time it has shown time and time again, that some policies</w:t>
      </w:r>
      <w:r w:rsidR="00A8718E">
        <w:rPr>
          <w:rFonts w:ascii="Times New Roman" w:hAnsi="Times New Roman" w:cs="Times New Roman"/>
          <w:lang w:val="en-GB"/>
        </w:rPr>
        <w:t>, for various reasons,</w:t>
      </w:r>
      <w:r>
        <w:rPr>
          <w:rFonts w:ascii="Times New Roman" w:hAnsi="Times New Roman" w:cs="Times New Roman"/>
          <w:lang w:val="en-GB"/>
        </w:rPr>
        <w:t xml:space="preserve"> didn’t had the desired effect</w:t>
      </w:r>
      <w:r w:rsidR="00A8718E">
        <w:rPr>
          <w:rFonts w:ascii="Times New Roman" w:hAnsi="Times New Roman" w:cs="Times New Roman"/>
          <w:lang w:val="en-GB"/>
        </w:rPr>
        <w:t>. While it easy to assume that policies that pass the previous stages and become binding law are getting implemented and unfold the anticipated way, numerous factors and actors influence the process. Understanding the institutional apparatus, its shape and functioning, is essent</w:t>
      </w:r>
      <w:r w:rsidR="00202057">
        <w:rPr>
          <w:rFonts w:ascii="Times New Roman" w:hAnsi="Times New Roman" w:cs="Times New Roman"/>
          <w:lang w:val="en-GB"/>
        </w:rPr>
        <w:t>ial for a pr</w:t>
      </w:r>
      <w:r w:rsidR="00A15897">
        <w:rPr>
          <w:rFonts w:ascii="Times New Roman" w:hAnsi="Times New Roman" w:cs="Times New Roman"/>
          <w:lang w:val="en-GB"/>
        </w:rPr>
        <w:t>oper implementation. Top down and</w:t>
      </w:r>
      <w:r w:rsidR="00202057">
        <w:rPr>
          <w:rFonts w:ascii="Times New Roman" w:hAnsi="Times New Roman" w:cs="Times New Roman"/>
          <w:lang w:val="en-GB"/>
        </w:rPr>
        <w:t xml:space="preserve"> bottom up structures have totally different requiremen</w:t>
      </w:r>
      <w:r w:rsidR="00A15897">
        <w:rPr>
          <w:rFonts w:ascii="Times New Roman" w:hAnsi="Times New Roman" w:cs="Times New Roman"/>
          <w:lang w:val="en-GB"/>
        </w:rPr>
        <w:t>ts and effects on legislation. O</w:t>
      </w:r>
      <w:r w:rsidR="00202057">
        <w:rPr>
          <w:rFonts w:ascii="Times New Roman" w:hAnsi="Times New Roman" w:cs="Times New Roman"/>
          <w:lang w:val="en-GB"/>
        </w:rPr>
        <w:t xml:space="preserve">n the one hand it can be argued that top down implementation </w:t>
      </w:r>
      <w:r w:rsidR="00A15897">
        <w:rPr>
          <w:rFonts w:ascii="Times New Roman" w:hAnsi="Times New Roman" w:cs="Times New Roman"/>
          <w:lang w:val="en-GB"/>
        </w:rPr>
        <w:t>guarantees</w:t>
      </w:r>
      <w:r w:rsidR="00202057">
        <w:rPr>
          <w:rFonts w:ascii="Times New Roman" w:hAnsi="Times New Roman" w:cs="Times New Roman"/>
          <w:lang w:val="en-GB"/>
        </w:rPr>
        <w:t xml:space="preserve"> the implementation in a certain way</w:t>
      </w:r>
      <w:r w:rsidR="00886319">
        <w:rPr>
          <w:rFonts w:ascii="Times New Roman" w:hAnsi="Times New Roman" w:cs="Times New Roman"/>
          <w:lang w:val="en-GB"/>
        </w:rPr>
        <w:t xml:space="preserve"> </w:t>
      </w:r>
      <w:r w:rsidR="00202057">
        <w:rPr>
          <w:rFonts w:ascii="Times New Roman" w:hAnsi="Times New Roman" w:cs="Times New Roman"/>
          <w:lang w:val="en-GB"/>
        </w:rPr>
        <w:t>without</w:t>
      </w:r>
      <w:r w:rsidR="00A15897">
        <w:rPr>
          <w:rFonts w:ascii="Times New Roman" w:hAnsi="Times New Roman" w:cs="Times New Roman"/>
          <w:lang w:val="en-GB"/>
        </w:rPr>
        <w:t xml:space="preserve"> being thinned out</w:t>
      </w:r>
      <w:r w:rsidR="00886319">
        <w:rPr>
          <w:rFonts w:ascii="Times New Roman" w:hAnsi="Times New Roman" w:cs="Times New Roman"/>
          <w:lang w:val="en-GB"/>
        </w:rPr>
        <w:t>,</w:t>
      </w:r>
      <w:r w:rsidR="00886319" w:rsidRPr="00886319">
        <w:rPr>
          <w:rFonts w:ascii="Times New Roman" w:hAnsi="Times New Roman" w:cs="Times New Roman"/>
          <w:lang w:val="en-GB"/>
        </w:rPr>
        <w:t xml:space="preserve"> </w:t>
      </w:r>
      <w:r w:rsidR="00886319">
        <w:rPr>
          <w:rFonts w:ascii="Times New Roman" w:hAnsi="Times New Roman" w:cs="Times New Roman"/>
          <w:lang w:val="en-GB"/>
        </w:rPr>
        <w:t xml:space="preserve">although that depends on the number of stages a policy has to pass before reaching to the bottom. </w:t>
      </w:r>
      <w:r w:rsidR="00A15897">
        <w:rPr>
          <w:rFonts w:ascii="Times New Roman" w:hAnsi="Times New Roman" w:cs="Times New Roman"/>
          <w:lang w:val="en-GB"/>
        </w:rPr>
        <w:t>. On the other hand one can assume it easier to react to local features in a bottom up structure and thus optimize a certain policy.</w:t>
      </w:r>
      <w:r w:rsidR="00A15897">
        <w:rPr>
          <w:rStyle w:val="FootnoteReference"/>
          <w:rFonts w:cs="Times New Roman"/>
          <w:lang w:val="en-GB"/>
        </w:rPr>
        <w:footnoteReference w:id="28"/>
      </w:r>
      <w:r w:rsidR="00A15897">
        <w:rPr>
          <w:rFonts w:ascii="Times New Roman" w:hAnsi="Times New Roman" w:cs="Times New Roman"/>
          <w:lang w:val="en-GB"/>
        </w:rPr>
        <w:t xml:space="preserve"> </w:t>
      </w:r>
      <w:r w:rsidR="00AB13D6">
        <w:rPr>
          <w:rFonts w:ascii="Times New Roman" w:hAnsi="Times New Roman" w:cs="Times New Roman"/>
          <w:lang w:val="en-GB"/>
        </w:rPr>
        <w:tab/>
      </w:r>
      <w:r w:rsidR="00AB13D6">
        <w:rPr>
          <w:rFonts w:ascii="Times New Roman" w:hAnsi="Times New Roman" w:cs="Times New Roman"/>
          <w:lang w:val="en-GB"/>
        </w:rPr>
        <w:br/>
        <w:t>The prior mentioned blurred borders between the phases of the policy cycle model, become especially clear when looking at the phase of implementation. There can’t be clear distinguished between policy formulation and implementation, since the actors responsible for implementation in most cases already take</w:t>
      </w:r>
      <w:r w:rsidR="00E94794">
        <w:rPr>
          <w:rFonts w:ascii="Times New Roman" w:hAnsi="Times New Roman" w:cs="Times New Roman"/>
          <w:lang w:val="en-GB"/>
        </w:rPr>
        <w:t xml:space="preserve"> heavy</w:t>
      </w:r>
      <w:r w:rsidR="00AB13D6">
        <w:rPr>
          <w:rFonts w:ascii="Times New Roman" w:hAnsi="Times New Roman" w:cs="Times New Roman"/>
          <w:lang w:val="en-GB"/>
        </w:rPr>
        <w:t xml:space="preserve"> influence on the formulation of the policy</w:t>
      </w:r>
      <w:r w:rsidR="00E94794">
        <w:rPr>
          <w:rFonts w:ascii="Times New Roman" w:hAnsi="Times New Roman" w:cs="Times New Roman"/>
          <w:lang w:val="en-GB"/>
        </w:rPr>
        <w:t xml:space="preserve">. During the process of formulation, as described above, conflict and disagreements arise that have to be dealt with. If these conflicts aren’t resolved and put to rest during the formulation, it is most likely they will reoccur in </w:t>
      </w:r>
      <w:r w:rsidR="00E94794">
        <w:rPr>
          <w:rFonts w:ascii="Times New Roman" w:hAnsi="Times New Roman" w:cs="Times New Roman"/>
          <w:lang w:val="en-GB"/>
        </w:rPr>
        <w:lastRenderedPageBreak/>
        <w:t>the process of implementation and prevent satisfactory results</w:t>
      </w:r>
      <w:r w:rsidR="00692FFA">
        <w:rPr>
          <w:rFonts w:ascii="Times New Roman" w:hAnsi="Times New Roman" w:cs="Times New Roman"/>
          <w:lang w:val="en-GB"/>
        </w:rPr>
        <w:t>. In</w:t>
      </w:r>
      <w:r w:rsidR="00E94794">
        <w:rPr>
          <w:rFonts w:ascii="Times New Roman" w:hAnsi="Times New Roman" w:cs="Times New Roman"/>
          <w:lang w:val="en-GB"/>
        </w:rPr>
        <w:t xml:space="preserve"> case those conflict</w:t>
      </w:r>
      <w:r w:rsidR="00692FFA">
        <w:rPr>
          <w:rFonts w:ascii="Times New Roman" w:hAnsi="Times New Roman" w:cs="Times New Roman"/>
          <w:lang w:val="en-GB"/>
        </w:rPr>
        <w:t>s</w:t>
      </w:r>
      <w:r w:rsidR="00E94794">
        <w:rPr>
          <w:rFonts w:ascii="Times New Roman" w:hAnsi="Times New Roman" w:cs="Times New Roman"/>
          <w:lang w:val="en-GB"/>
        </w:rPr>
        <w:t xml:space="preserve"> are avoided in total, </w:t>
      </w:r>
      <w:r w:rsidR="00692FFA">
        <w:rPr>
          <w:rFonts w:ascii="Times New Roman" w:hAnsi="Times New Roman" w:cs="Times New Roman"/>
          <w:lang w:val="en-GB"/>
        </w:rPr>
        <w:t xml:space="preserve">it puts the administrative actors and courts in a much stronger position during implementation. Subsequently the intertwining of the phases are a fact and a necessity without effective </w:t>
      </w:r>
      <w:r w:rsidR="005808DE">
        <w:rPr>
          <w:rFonts w:ascii="Times New Roman" w:hAnsi="Times New Roman" w:cs="Times New Roman"/>
          <w:lang w:val="en-GB"/>
        </w:rPr>
        <w:t>policymaking isn’t possible.</w:t>
      </w:r>
      <w:r w:rsidR="00692FFA">
        <w:rPr>
          <w:rFonts w:ascii="Times New Roman" w:hAnsi="Times New Roman" w:cs="Times New Roman"/>
          <w:lang w:val="en-GB"/>
        </w:rPr>
        <w:t xml:space="preserve"> </w:t>
      </w:r>
      <w:r w:rsidR="005808DE">
        <w:rPr>
          <w:rFonts w:ascii="Times New Roman" w:hAnsi="Times New Roman" w:cs="Times New Roman"/>
          <w:lang w:val="en-GB"/>
        </w:rPr>
        <w:t>Since those responsible for implementation take direct influence on the formulation of a policy the question for why certain policies doesn’t work becomes even more interesting. In order to find an answer it is not enough to look at final implementations</w:t>
      </w:r>
      <w:r w:rsidR="0085690A">
        <w:rPr>
          <w:rFonts w:ascii="Times New Roman" w:hAnsi="Times New Roman" w:cs="Times New Roman"/>
          <w:lang w:val="en-GB"/>
        </w:rPr>
        <w:t>, but at the whole development from beginning to end.</w:t>
      </w:r>
      <w:r w:rsidR="0085690A">
        <w:rPr>
          <w:rStyle w:val="FootnoteReference"/>
          <w:rFonts w:cs="Times New Roman"/>
          <w:lang w:val="en-GB"/>
        </w:rPr>
        <w:footnoteReference w:id="29"/>
      </w:r>
    </w:p>
    <w:p w14:paraId="3CD8960C" w14:textId="77777777" w:rsidR="008F6561" w:rsidRPr="005D43BB" w:rsidRDefault="008F6561" w:rsidP="00BF1A52">
      <w:pPr>
        <w:spacing w:line="360" w:lineRule="auto"/>
        <w:jc w:val="both"/>
        <w:rPr>
          <w:rFonts w:ascii="Times New Roman" w:hAnsi="Times New Roman" w:cs="Times New Roman"/>
          <w:lang w:val="en-GB"/>
        </w:rPr>
      </w:pPr>
    </w:p>
    <w:p w14:paraId="5C011597" w14:textId="30A61A6C" w:rsidR="008F6561" w:rsidRPr="005D43BB" w:rsidRDefault="008F6561" w:rsidP="00BF1A52">
      <w:pPr>
        <w:pStyle w:val="Heading3"/>
        <w:spacing w:line="360" w:lineRule="auto"/>
        <w:jc w:val="both"/>
        <w:rPr>
          <w:rFonts w:ascii="Times New Roman" w:hAnsi="Times New Roman" w:cs="Times New Roman"/>
          <w:lang w:val="en-GB"/>
        </w:rPr>
      </w:pPr>
      <w:bookmarkStart w:id="16" w:name="_Toc289250849"/>
      <w:r w:rsidRPr="005D43BB">
        <w:rPr>
          <w:rFonts w:ascii="Times New Roman" w:hAnsi="Times New Roman" w:cs="Times New Roman"/>
          <w:lang w:val="en-GB"/>
        </w:rPr>
        <w:t>4.2.5 Evaluation of a policy</w:t>
      </w:r>
      <w:bookmarkEnd w:id="16"/>
    </w:p>
    <w:p w14:paraId="01BFAFAC" w14:textId="118C636E" w:rsidR="00F54A23" w:rsidRDefault="001C5F1B" w:rsidP="00BF1A52">
      <w:pPr>
        <w:spacing w:line="360" w:lineRule="auto"/>
        <w:jc w:val="both"/>
        <w:rPr>
          <w:rFonts w:ascii="Times New Roman" w:hAnsi="Times New Roman" w:cs="Times New Roman"/>
          <w:lang w:val="en-GB"/>
        </w:rPr>
      </w:pPr>
      <w:r>
        <w:rPr>
          <w:rFonts w:ascii="Times New Roman" w:hAnsi="Times New Roman" w:cs="Times New Roman"/>
          <w:lang w:val="en-GB"/>
        </w:rPr>
        <w:t>The last phase of the policy cycle model is where a certain policy gets evaluated. Since this model is based on a cycle, the last phase can as well be the first one, if the pe</w:t>
      </w:r>
      <w:r w:rsidR="00816E79">
        <w:rPr>
          <w:rFonts w:ascii="Times New Roman" w:hAnsi="Times New Roman" w:cs="Times New Roman"/>
          <w:lang w:val="en-GB"/>
        </w:rPr>
        <w:t xml:space="preserve">ople involved in a policy see amendment as a necessity. The evaluation of a new law can happen in various ways, formal, informal, spontaneous or be missing. The form of evaluation also depends on who the affected of a policy is. If the policy </w:t>
      </w:r>
      <w:r w:rsidR="00D95C38">
        <w:rPr>
          <w:rFonts w:ascii="Times New Roman" w:hAnsi="Times New Roman" w:cs="Times New Roman"/>
          <w:lang w:val="en-GB"/>
        </w:rPr>
        <w:t>concerns</w:t>
      </w:r>
      <w:r w:rsidR="00816E79">
        <w:rPr>
          <w:rFonts w:ascii="Times New Roman" w:hAnsi="Times New Roman" w:cs="Times New Roman"/>
          <w:lang w:val="en-GB"/>
        </w:rPr>
        <w:t xml:space="preserve"> c</w:t>
      </w:r>
      <w:r w:rsidR="00D95C38">
        <w:rPr>
          <w:rFonts w:ascii="Times New Roman" w:hAnsi="Times New Roman" w:cs="Times New Roman"/>
          <w:lang w:val="en-GB"/>
        </w:rPr>
        <w:t>itizens in general, authorities or public servants</w:t>
      </w:r>
      <w:r w:rsidR="00816E79">
        <w:rPr>
          <w:rFonts w:ascii="Times New Roman" w:hAnsi="Times New Roman" w:cs="Times New Roman"/>
          <w:lang w:val="en-GB"/>
        </w:rPr>
        <w:t xml:space="preserve"> </w:t>
      </w:r>
      <w:r w:rsidR="00D95C38">
        <w:rPr>
          <w:rFonts w:ascii="Times New Roman" w:hAnsi="Times New Roman" w:cs="Times New Roman"/>
          <w:lang w:val="en-GB"/>
        </w:rPr>
        <w:t xml:space="preserve">does </w:t>
      </w:r>
      <w:r w:rsidR="00816E79">
        <w:rPr>
          <w:rFonts w:ascii="Times New Roman" w:hAnsi="Times New Roman" w:cs="Times New Roman"/>
          <w:lang w:val="en-GB"/>
        </w:rPr>
        <w:t>influence the way an evaluations</w:t>
      </w:r>
      <w:r w:rsidR="00D95C38">
        <w:rPr>
          <w:rFonts w:ascii="Times New Roman" w:hAnsi="Times New Roman" w:cs="Times New Roman"/>
          <w:lang w:val="en-GB"/>
        </w:rPr>
        <w:t xml:space="preserve"> is shaped</w:t>
      </w:r>
      <w:r w:rsidR="00816E79">
        <w:rPr>
          <w:rFonts w:ascii="Times New Roman" w:hAnsi="Times New Roman" w:cs="Times New Roman"/>
          <w:lang w:val="en-GB"/>
        </w:rPr>
        <w:t xml:space="preserve">. Different groups of people have different possibilities to express them self and be heard by those who can make a change. </w:t>
      </w:r>
      <w:r w:rsidR="005F67C5">
        <w:rPr>
          <w:rFonts w:ascii="Times New Roman" w:hAnsi="Times New Roman" w:cs="Times New Roman"/>
          <w:lang w:val="en-GB"/>
        </w:rPr>
        <w:t>The phase of evaluation give lob</w:t>
      </w:r>
      <w:r w:rsidR="00D95C38">
        <w:rPr>
          <w:rFonts w:ascii="Times New Roman" w:hAnsi="Times New Roman" w:cs="Times New Roman"/>
          <w:lang w:val="en-GB"/>
        </w:rPr>
        <w:t>byist once again the chance to take part in moulding the possible changes to come or to convince people right to begin with that a policy isn’t working.</w:t>
      </w:r>
      <w:r w:rsidR="005F67C5">
        <w:rPr>
          <w:rFonts w:ascii="Times New Roman" w:hAnsi="Times New Roman" w:cs="Times New Roman"/>
          <w:lang w:val="en-GB"/>
        </w:rPr>
        <w:t xml:space="preserve"> </w:t>
      </w:r>
      <w:r w:rsidR="00013908">
        <w:rPr>
          <w:rFonts w:ascii="Times New Roman" w:hAnsi="Times New Roman" w:cs="Times New Roman"/>
          <w:lang w:val="en-GB"/>
        </w:rPr>
        <w:t xml:space="preserve"> As with many other phases of the model, there is taking an overlapping place, where the evaluation can begin as soon as the policy’s implementation has started.</w:t>
      </w:r>
      <w:r>
        <w:rPr>
          <w:rFonts w:ascii="Times New Roman" w:hAnsi="Times New Roman" w:cs="Times New Roman"/>
          <w:lang w:val="en-GB"/>
        </w:rPr>
        <w:t xml:space="preserve"> </w:t>
      </w:r>
      <w:r w:rsidR="00B701ED">
        <w:rPr>
          <w:rStyle w:val="FootnoteReference"/>
          <w:rFonts w:cs="Times New Roman"/>
          <w:lang w:val="en-GB"/>
        </w:rPr>
        <w:footnoteReference w:id="30"/>
      </w:r>
    </w:p>
    <w:p w14:paraId="31C30505" w14:textId="0DB7EF36" w:rsidR="00F54A23" w:rsidRDefault="00F54A23" w:rsidP="00BF1A52">
      <w:pPr>
        <w:pStyle w:val="Heading2"/>
        <w:spacing w:line="360" w:lineRule="auto"/>
        <w:jc w:val="both"/>
        <w:rPr>
          <w:rFonts w:ascii="Times New Roman" w:hAnsi="Times New Roman" w:cs="Times New Roman"/>
          <w:lang w:val="en-GB"/>
        </w:rPr>
      </w:pPr>
      <w:bookmarkStart w:id="17" w:name="_Toc289250850"/>
      <w:r>
        <w:rPr>
          <w:rFonts w:ascii="Times New Roman" w:hAnsi="Times New Roman" w:cs="Times New Roman"/>
          <w:lang w:val="en-GB"/>
        </w:rPr>
        <w:t>4.3 Multi level Governance</w:t>
      </w:r>
      <w:bookmarkEnd w:id="17"/>
    </w:p>
    <w:p w14:paraId="5988BD90" w14:textId="7A7382A2" w:rsidR="00D27FB8" w:rsidRDefault="00D27FB8" w:rsidP="00BF1A52">
      <w:pPr>
        <w:spacing w:line="360" w:lineRule="auto"/>
        <w:jc w:val="both"/>
        <w:rPr>
          <w:rFonts w:ascii="Times New Roman" w:hAnsi="Times New Roman" w:cs="Times New Roman"/>
          <w:lang w:val="en-GB"/>
        </w:rPr>
      </w:pPr>
      <w:r w:rsidRPr="00B809FC">
        <w:rPr>
          <w:rFonts w:ascii="Times New Roman" w:hAnsi="Times New Roman" w:cs="Times New Roman"/>
          <w:lang w:val="en-GB"/>
        </w:rPr>
        <w:t>Over the past decades a change in government styl</w:t>
      </w:r>
      <w:r>
        <w:rPr>
          <w:rFonts w:ascii="Times New Roman" w:hAnsi="Times New Roman" w:cs="Times New Roman"/>
          <w:lang w:val="en-GB"/>
        </w:rPr>
        <w:t xml:space="preserve">e could be observed, it was found that 63 out of 75 surveyed developing countries recently have undergone a process of decentralization. The same counts for European countries, where no country since 1980 has shown signs of moving towards a centralized government. This trend has can also be seen in the theoretical field of political science, where multi-level governance appeared as a new theoretical approach build on the experiences with the </w:t>
      </w:r>
      <w:r>
        <w:rPr>
          <w:rFonts w:ascii="Times New Roman" w:hAnsi="Times New Roman" w:cs="Times New Roman"/>
          <w:lang w:val="en-GB"/>
        </w:rPr>
        <w:lastRenderedPageBreak/>
        <w:t>on-going European integration.</w:t>
      </w:r>
      <w:r>
        <w:rPr>
          <w:rStyle w:val="FootnoteReference"/>
          <w:rFonts w:cs="Times New Roman"/>
          <w:lang w:val="en-GB"/>
        </w:rPr>
        <w:footnoteReference w:id="31"/>
      </w:r>
      <w:r>
        <w:rPr>
          <w:rFonts w:ascii="Times New Roman" w:hAnsi="Times New Roman" w:cs="Times New Roman"/>
          <w:lang w:val="en-GB"/>
        </w:rPr>
        <w:t xml:space="preserve"> When measuring the level of centralization and categorize the type of governance, the easiest step and first indicator is to count the levels of jurisdictions. While this gives a good first impression, it is important to have a look at the nature of those jurisdictions, what kind of policy competencies, what influence on taxation and what relationship between the jurisdictions, are questions that must be asked.</w:t>
      </w:r>
      <w:r>
        <w:rPr>
          <w:rStyle w:val="FootnoteReference"/>
          <w:rFonts w:cs="Times New Roman"/>
          <w:lang w:val="en-GB"/>
        </w:rPr>
        <w:footnoteReference w:id="32"/>
      </w:r>
      <w:r>
        <w:rPr>
          <w:rFonts w:ascii="Times New Roman" w:hAnsi="Times New Roman" w:cs="Times New Roman"/>
          <w:lang w:val="en-GB"/>
        </w:rPr>
        <w:t xml:space="preserve"> Furthermore one can ask the question what effect it has when the decision makers on multiple levels all belong to the same centralised political party? Regardless of the otherwise official decentralized system, this must have an effect on the governance, towards possible centralization.</w:t>
      </w:r>
      <w:r>
        <w:rPr>
          <w:rStyle w:val="FootnoteReference"/>
          <w:rFonts w:cs="Times New Roman"/>
          <w:lang w:val="en-GB"/>
        </w:rPr>
        <w:footnoteReference w:id="33"/>
      </w:r>
      <w:r>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GB"/>
        </w:rPr>
        <w:br/>
        <w:t xml:space="preserve">In the following the theory of multi-level governance will be introduced in further detail; it is one of many theories that aims to explain the more decentralized systems that have been establishing itself over time. All the theories refer to the dispersion of authority away from central government, upwards to a supranational level, downwards to subnational jurisdictions and sideways to public and private </w:t>
      </w:r>
      <w:r w:rsidR="00485E1A">
        <w:rPr>
          <w:rFonts w:ascii="Times New Roman" w:hAnsi="Times New Roman" w:cs="Times New Roman"/>
          <w:lang w:val="en-GB"/>
        </w:rPr>
        <w:t>networks, which open up for incorporating</w:t>
      </w:r>
      <w:r>
        <w:rPr>
          <w:rFonts w:ascii="Times New Roman" w:hAnsi="Times New Roman" w:cs="Times New Roman"/>
          <w:lang w:val="en-GB"/>
        </w:rPr>
        <w:t xml:space="preserve"> lobbyism in the act of governance.</w:t>
      </w:r>
      <w:r>
        <w:rPr>
          <w:rStyle w:val="FootnoteReference"/>
          <w:rFonts w:cs="Times New Roman"/>
          <w:lang w:val="en-GB"/>
        </w:rPr>
        <w:footnoteReference w:id="34"/>
      </w:r>
    </w:p>
    <w:p w14:paraId="6DDD1726" w14:textId="77777777" w:rsidR="00D27FB8" w:rsidRDefault="00D27FB8" w:rsidP="00BF1A52">
      <w:pPr>
        <w:spacing w:line="360" w:lineRule="auto"/>
        <w:jc w:val="both"/>
        <w:rPr>
          <w:rFonts w:ascii="Times New Roman" w:hAnsi="Times New Roman" w:cs="Times New Roman"/>
          <w:lang w:val="en-GB"/>
        </w:rPr>
      </w:pPr>
      <w:r>
        <w:rPr>
          <w:rFonts w:ascii="Times New Roman" w:hAnsi="Times New Roman" w:cs="Times New Roman"/>
          <w:lang w:val="en-GB"/>
        </w:rPr>
        <w:t>By many scholars it is argued, that a decentralized political system with many levels of jurisdiction is more efficient, based on the assumption that different problems are better solved on different levels. While some problems can be global, like climate change, problems with services provided by cities are local and have to be treated differently in another theoretical framework.</w:t>
      </w:r>
      <w:r>
        <w:rPr>
          <w:rStyle w:val="FootnoteReference"/>
          <w:rFonts w:cs="Times New Roman"/>
          <w:lang w:val="en-GB"/>
        </w:rPr>
        <w:footnoteReference w:id="35"/>
      </w:r>
      <w:r>
        <w:rPr>
          <w:rFonts w:ascii="Times New Roman" w:hAnsi="Times New Roman" w:cs="Times New Roman"/>
          <w:lang w:val="en-GB"/>
        </w:rPr>
        <w:t xml:space="preserve"> While it is widely agreed upon that decentralized governance is beneficial, the organization of those multi-level systems is still up to debate. There are in general to contrasting visions:</w:t>
      </w:r>
      <w:r>
        <w:rPr>
          <w:rFonts w:ascii="Times New Roman" w:hAnsi="Times New Roman" w:cs="Times New Roman"/>
          <w:lang w:val="en-GB"/>
        </w:rPr>
        <w:tab/>
      </w:r>
      <w:r>
        <w:rPr>
          <w:rFonts w:ascii="Times New Roman" w:hAnsi="Times New Roman" w:cs="Times New Roman"/>
          <w:lang w:val="en-GB"/>
        </w:rPr>
        <w:br/>
      </w:r>
    </w:p>
    <w:p w14:paraId="55CE04D7" w14:textId="77777777" w:rsidR="00D27FB8" w:rsidRDefault="00D27FB8"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Type I: </w:t>
      </w:r>
      <w:r w:rsidRPr="00C65AC4">
        <w:rPr>
          <w:rFonts w:ascii="Times New Roman" w:hAnsi="Times New Roman" w:cs="Times New Roman"/>
          <w:lang w:val="en-GB"/>
        </w:rPr>
        <w:t>Authority is dispersed to a limited number of jurisdictions, which do not overlap and are relatively stable. In this system jurisdictions tend to bundle in large packages and by that limit the amount of levels.</w:t>
      </w:r>
    </w:p>
    <w:p w14:paraId="5B9C85A5" w14:textId="77777777" w:rsidR="00D27FB8" w:rsidRDefault="00D27FB8" w:rsidP="00BF1A52">
      <w:pPr>
        <w:spacing w:line="360" w:lineRule="auto"/>
        <w:jc w:val="both"/>
        <w:rPr>
          <w:rFonts w:ascii="Times New Roman" w:hAnsi="Times New Roman" w:cs="Times New Roman"/>
          <w:lang w:val="en-GB"/>
        </w:rPr>
      </w:pPr>
      <w:r>
        <w:rPr>
          <w:rFonts w:ascii="Times New Roman" w:hAnsi="Times New Roman" w:cs="Times New Roman"/>
          <w:lang w:val="en-GB"/>
        </w:rPr>
        <w:lastRenderedPageBreak/>
        <w:t>Type II: In this system, there is an indefinite number of jurisdictions, which tend to overlap each other. In many cases they are very flexible and can appear and disappear, as the need and demand for them changes. These systems jurisdictions are likely to have very fungible competencies, which can be spliced further into functionally specific jurisdictions.</w:t>
      </w:r>
      <w:r>
        <w:rPr>
          <w:rStyle w:val="FootnoteReference"/>
          <w:rFonts w:cs="Times New Roman"/>
          <w:lang w:val="en-GB"/>
        </w:rPr>
        <w:footnoteReference w:id="36"/>
      </w:r>
    </w:p>
    <w:p w14:paraId="2BC4F7AB" w14:textId="77777777" w:rsidR="00F147CC" w:rsidRDefault="00D27FB8" w:rsidP="00BF1A52">
      <w:pPr>
        <w:keepNext/>
        <w:spacing w:line="360" w:lineRule="auto"/>
        <w:jc w:val="both"/>
      </w:pPr>
      <w:r>
        <w:rPr>
          <w:rFonts w:ascii="Times New Roman" w:hAnsi="Times New Roman" w:cs="Times New Roman"/>
          <w:noProof/>
          <w:lang w:val="en-US"/>
        </w:rPr>
        <w:drawing>
          <wp:inline distT="0" distB="0" distL="0" distR="0" wp14:anchorId="39DE24A4" wp14:editId="1A307A4D">
            <wp:extent cx="5270500" cy="3074670"/>
            <wp:effectExtent l="50800" t="0" r="635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EBFE71B" w14:textId="04BB9EAD" w:rsidR="00D27FB8" w:rsidRDefault="00F147CC" w:rsidP="00BF1A52">
      <w:pPr>
        <w:pStyle w:val="Caption"/>
        <w:spacing w:line="360" w:lineRule="auto"/>
        <w:jc w:val="both"/>
        <w:rPr>
          <w:rFonts w:ascii="Times New Roman" w:hAnsi="Times New Roman" w:cs="Times New Roman"/>
          <w:lang w:val="en-GB"/>
        </w:rPr>
      </w:pPr>
      <w:r>
        <w:t xml:space="preserve">Info Box </w:t>
      </w:r>
      <w:r w:rsidR="00A0714F">
        <w:fldChar w:fldCharType="begin"/>
      </w:r>
      <w:r w:rsidR="00A0714F">
        <w:instrText xml:space="preserve"> SEQ Info_Box \* ARABIC </w:instrText>
      </w:r>
      <w:r w:rsidR="00A0714F">
        <w:fldChar w:fldCharType="separate"/>
      </w:r>
      <w:r w:rsidR="000932D8">
        <w:rPr>
          <w:noProof/>
        </w:rPr>
        <w:t>1</w:t>
      </w:r>
      <w:r w:rsidR="00A0714F">
        <w:rPr>
          <w:noProof/>
        </w:rPr>
        <w:fldChar w:fldCharType="end"/>
      </w:r>
      <w:r>
        <w:t xml:space="preserve"> - Multi-level Governance</w:t>
      </w:r>
    </w:p>
    <w:p w14:paraId="4311BA52" w14:textId="77777777" w:rsidR="00D27FB8" w:rsidRDefault="00D27FB8" w:rsidP="00BF1A52">
      <w:pPr>
        <w:spacing w:line="360" w:lineRule="auto"/>
        <w:jc w:val="both"/>
        <w:rPr>
          <w:rFonts w:ascii="Times New Roman" w:hAnsi="Times New Roman" w:cs="Times New Roman"/>
          <w:lang w:val="en-GB"/>
        </w:rPr>
      </w:pPr>
      <w:r>
        <w:rPr>
          <w:rFonts w:ascii="Times New Roman" w:hAnsi="Times New Roman" w:cs="Times New Roman"/>
          <w:lang w:val="en-GB"/>
        </w:rPr>
        <w:t>The type I governance style is closely related to federalism, where power is shared among a limited number of governments, operating just a few levels. It focuses on the relationship between a central government and a tier of sub-national governments.</w:t>
      </w:r>
      <w:r>
        <w:rPr>
          <w:rStyle w:val="FootnoteReference"/>
          <w:rFonts w:cs="Times New Roman"/>
          <w:lang w:val="en-GB"/>
        </w:rPr>
        <w:footnoteReference w:id="37"/>
      </w:r>
      <w:r>
        <w:rPr>
          <w:rFonts w:ascii="Times New Roman" w:hAnsi="Times New Roman" w:cs="Times New Roman"/>
          <w:lang w:val="en-GB"/>
        </w:rPr>
        <w:t xml:space="preserve"> In federalism it is believed to be very difficult to split authority into too many small packages, hence multi-task jurisdictions are very common, which also can be widely observed in Europe. Here local governments exercise wide spread functions, which reflect the concept of general-purpose authorities. And as in federalism, there are strict and clear jurisdictional boundaries, which, in combination with the multi-tasking principle, set a limit on authority division. Furthermore it is believed, that jurisdiction need a certain size in order to function efficiently. The same goes for the number of jurisdictional levels, which are rather limited in this governance system. In general the ideal number of levels are heavily discussed, but it is agreed upon to </w:t>
      </w:r>
      <w:r>
        <w:rPr>
          <w:rFonts w:ascii="Times New Roman" w:hAnsi="Times New Roman" w:cs="Times New Roman"/>
          <w:lang w:val="en-GB"/>
        </w:rPr>
        <w:lastRenderedPageBreak/>
        <w:t>distinguish between a local, an intermediate, and a central level. The positive or negative effects of more levels haven’t been agreed on yet, but empirical studies from Belgium have shown too many levels to be redundant. The existing jurisdictions and levels in this system though are very stable and are unlikely to be changed over time. Since it is very costly to reform a system entirely, alterations mainly affect and change the allocation of policy functions across the existing levels of governance.</w:t>
      </w:r>
      <w:r>
        <w:rPr>
          <w:rStyle w:val="FootnoteReference"/>
          <w:rFonts w:cs="Times New Roman"/>
          <w:lang w:val="en-GB"/>
        </w:rPr>
        <w:footnoteReference w:id="38"/>
      </w:r>
    </w:p>
    <w:p w14:paraId="1A25A885" w14:textId="77777777" w:rsidR="00D27FB8" w:rsidRDefault="00D27FB8" w:rsidP="00BF1A52">
      <w:pPr>
        <w:spacing w:line="360" w:lineRule="auto"/>
        <w:jc w:val="both"/>
        <w:rPr>
          <w:rFonts w:ascii="Times New Roman" w:hAnsi="Times New Roman" w:cs="Times New Roman"/>
          <w:lang w:val="en-GB"/>
        </w:rPr>
      </w:pPr>
      <w:r>
        <w:rPr>
          <w:rFonts w:ascii="Times New Roman" w:hAnsi="Times New Roman" w:cs="Times New Roman"/>
          <w:lang w:val="en-GB"/>
        </w:rPr>
        <w:t>While this Type I is strongly connected to federalism and intergovernmental relations, it is not limited to this and captures a conception of governance among many European scholars. In the European Union we have for a long time seen a tendency of not only distributing jurisdictions on a supranational level, but increasingly also on a sub-national level.</w:t>
      </w:r>
      <w:r>
        <w:rPr>
          <w:rStyle w:val="FootnoteReference"/>
          <w:rFonts w:cs="Times New Roman"/>
          <w:lang w:val="en-GB"/>
        </w:rPr>
        <w:footnoteReference w:id="39"/>
      </w:r>
      <w:r>
        <w:rPr>
          <w:rFonts w:ascii="Times New Roman" w:hAnsi="Times New Roman" w:cs="Times New Roman"/>
          <w:lang w:val="en-GB"/>
        </w:rPr>
        <w:t xml:space="preserve"> </w:t>
      </w:r>
    </w:p>
    <w:p w14:paraId="31BEA9CB" w14:textId="3AFAADF9" w:rsidR="00D27FB8" w:rsidRPr="00267076" w:rsidRDefault="00D27FB8"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In the Type II governance we find the distinct opposite characteristics, jurisdictions are broken down to very specific areas of expertise. So citizens aren’t served by their government, but by different “public service industries”. Those jurisdictions, although presumably small and very specified, don’t work within defined borders and overlapping occurs regularly. Bruno Frey and Reiner Eichenberger coined the </w:t>
      </w:r>
      <w:proofErr w:type="gramStart"/>
      <w:r>
        <w:rPr>
          <w:rFonts w:ascii="Times New Roman" w:hAnsi="Times New Roman" w:cs="Times New Roman"/>
          <w:lang w:val="en-GB"/>
        </w:rPr>
        <w:t>acronym  FOCJ</w:t>
      </w:r>
      <w:proofErr w:type="gramEnd"/>
      <w:r>
        <w:rPr>
          <w:rFonts w:ascii="Times New Roman" w:hAnsi="Times New Roman" w:cs="Times New Roman"/>
          <w:lang w:val="en-GB"/>
        </w:rPr>
        <w:t xml:space="preserve"> to describe this system, it stands for </w:t>
      </w:r>
      <w:r w:rsidRPr="005D31A0">
        <w:rPr>
          <w:rFonts w:ascii="Times New Roman" w:hAnsi="Times New Roman" w:cs="Times New Roman"/>
          <w:i/>
          <w:lang w:val="en-GB"/>
        </w:rPr>
        <w:t>“functional, overlapping, and competing jurisdictions”</w:t>
      </w:r>
      <w:r>
        <w:rPr>
          <w:rFonts w:ascii="Times New Roman" w:hAnsi="Times New Roman" w:cs="Times New Roman"/>
          <w:lang w:val="en-GB"/>
        </w:rPr>
        <w:t>. As said, the jurisdictions in Type II governance are in general smaller then in Type I and are overlapping and this less formal and restrictive form is a reason for a higher number of jurisdictions in this governance system. Every collective action problem of a group of citizens can enable a new jurisdiction to arise. This diversity of jurisdictions and the more open structure also shows itself in the number of jurisdictional levels. This is due to the belief that each public good should be provided by the jurisdiction that effectively internalizes its benefits and costs, plus the fact that some public goods demand jurisdiction on multiple levels.</w:t>
      </w:r>
      <w:r w:rsidR="001234B8">
        <w:rPr>
          <w:rStyle w:val="FootnoteReference"/>
          <w:rFonts w:cs="Times New Roman"/>
          <w:lang w:val="en-GB"/>
        </w:rPr>
        <w:footnoteReference w:id="40"/>
      </w:r>
      <w:r>
        <w:rPr>
          <w:rFonts w:ascii="Times New Roman" w:hAnsi="Times New Roman" w:cs="Times New Roman"/>
          <w:lang w:val="en-GB"/>
        </w:rPr>
        <w:t xml:space="preserve"> </w:t>
      </w:r>
      <w:r w:rsidR="001234B8">
        <w:rPr>
          <w:rFonts w:ascii="Times New Roman" w:hAnsi="Times New Roman" w:cs="Times New Roman"/>
          <w:lang w:val="en-GB"/>
        </w:rPr>
        <w:t xml:space="preserve">Last but not </w:t>
      </w:r>
      <w:r w:rsidR="001234B8" w:rsidRPr="00267076">
        <w:rPr>
          <w:rFonts w:ascii="Times New Roman" w:hAnsi="Times New Roman" w:cs="Times New Roman"/>
          <w:lang w:val="en-GB"/>
        </w:rPr>
        <w:t xml:space="preserve">least the jurisdictions in this Type II governance are flexible and can disappear as fast as they emerged, in accordance with the publics changing preferences and functional requirements. The idea is that, as on an open market for commodities, the citizens </w:t>
      </w:r>
      <w:r w:rsidR="001234B8" w:rsidRPr="00267076">
        <w:rPr>
          <w:rFonts w:ascii="Times New Roman" w:hAnsi="Times New Roman" w:cs="Times New Roman"/>
          <w:lang w:val="en-GB"/>
        </w:rPr>
        <w:lastRenderedPageBreak/>
        <w:t>freely can move between competing overlapping jurisdictions, which appear when needed and are discontinued when their service no longer is in demand.</w:t>
      </w:r>
      <w:r w:rsidR="001234B8" w:rsidRPr="00267076">
        <w:rPr>
          <w:rStyle w:val="FootnoteReference"/>
          <w:rFonts w:cs="Times New Roman"/>
          <w:color w:val="auto"/>
          <w:sz w:val="24"/>
          <w:lang w:val="en-GB"/>
        </w:rPr>
        <w:footnoteReference w:id="41"/>
      </w:r>
    </w:p>
    <w:p w14:paraId="4D57BC43" w14:textId="6B807A12" w:rsidR="00D27FB8" w:rsidRPr="007B6A3D" w:rsidRDefault="00D27FB8" w:rsidP="00BF1A52">
      <w:pPr>
        <w:pStyle w:val="FootnoteText"/>
        <w:spacing w:line="360" w:lineRule="auto"/>
        <w:jc w:val="both"/>
        <w:rPr>
          <w:rStyle w:val="FootnoteReference"/>
          <w:rFonts w:cs="Times New Roman"/>
          <w:color w:val="auto"/>
          <w:sz w:val="24"/>
          <w:lang w:val="en-GB"/>
        </w:rPr>
      </w:pPr>
      <w:r w:rsidRPr="00267076">
        <w:rPr>
          <w:color w:val="auto"/>
          <w:sz w:val="24"/>
          <w:lang w:val="en-GB"/>
        </w:rPr>
        <w:t>While it above says, that Type II governance is distinctly different from Type I, it doesn’t mean</w:t>
      </w:r>
      <w:r w:rsidR="00267076" w:rsidRPr="00267076">
        <w:rPr>
          <w:color w:val="auto"/>
          <w:sz w:val="24"/>
          <w:lang w:val="en-GB"/>
        </w:rPr>
        <w:t xml:space="preserve">, that they exclude each other and hybrids can occur. Due to the rationale and the emphasis on free decision making the schools connected to this type of governance are neoclassical political economy and public choice theory, but also </w:t>
      </w:r>
      <w:r w:rsidR="00267076" w:rsidRPr="004128B7">
        <w:rPr>
          <w:rFonts w:cs="Times New Roman"/>
          <w:color w:val="auto"/>
          <w:sz w:val="24"/>
          <w:lang w:val="en-GB"/>
        </w:rPr>
        <w:t xml:space="preserve">the ideas of different scholars from federalism and international relations overlap with </w:t>
      </w:r>
      <w:r w:rsidR="00267076" w:rsidRPr="007B6A3D">
        <w:rPr>
          <w:rFonts w:cs="Times New Roman"/>
          <w:color w:val="auto"/>
          <w:sz w:val="24"/>
          <w:lang w:val="en-GB"/>
        </w:rPr>
        <w:t>this approach.</w:t>
      </w:r>
      <w:r w:rsidR="00267076" w:rsidRPr="007B6A3D">
        <w:rPr>
          <w:rStyle w:val="FootnoteReference"/>
          <w:rFonts w:cs="Times New Roman"/>
          <w:color w:val="auto"/>
          <w:szCs w:val="20"/>
          <w:lang w:val="en-GB"/>
        </w:rPr>
        <w:footnoteReference w:id="42"/>
      </w:r>
    </w:p>
    <w:p w14:paraId="38ED969E" w14:textId="60DB5D4A" w:rsidR="00F54A23" w:rsidRDefault="0076728D" w:rsidP="00BF1A52">
      <w:pPr>
        <w:spacing w:line="360" w:lineRule="auto"/>
        <w:jc w:val="both"/>
        <w:rPr>
          <w:rFonts w:ascii="Times New Roman" w:hAnsi="Times New Roman" w:cs="Times New Roman"/>
          <w:lang w:val="en-GB"/>
        </w:rPr>
      </w:pPr>
      <w:r w:rsidRPr="007B6A3D">
        <w:rPr>
          <w:rFonts w:ascii="Times New Roman" w:hAnsi="Times New Roman" w:cs="Times New Roman"/>
          <w:lang w:val="en-GB"/>
        </w:rPr>
        <w:t>In Europe, as already mentioned, we have seen a trend towards decentralization</w:t>
      </w:r>
      <w:r w:rsidR="00F10B93" w:rsidRPr="007B6A3D">
        <w:rPr>
          <w:rFonts w:ascii="Times New Roman" w:hAnsi="Times New Roman" w:cs="Times New Roman"/>
          <w:lang w:val="en-GB"/>
        </w:rPr>
        <w:t xml:space="preserve"> on national level</w:t>
      </w:r>
      <w:r w:rsidRPr="007B6A3D">
        <w:rPr>
          <w:rFonts w:ascii="Times New Roman" w:hAnsi="Times New Roman" w:cs="Times New Roman"/>
          <w:lang w:val="en-GB"/>
        </w:rPr>
        <w:t>, which especially in Spain, Belgium and Italy has c</w:t>
      </w:r>
      <w:r w:rsidR="005E3FC4">
        <w:rPr>
          <w:rFonts w:ascii="Times New Roman" w:hAnsi="Times New Roman" w:cs="Times New Roman"/>
          <w:lang w:val="en-GB"/>
        </w:rPr>
        <w:t>hanged the political arena dras</w:t>
      </w:r>
      <w:r w:rsidRPr="007B6A3D">
        <w:rPr>
          <w:rFonts w:ascii="Times New Roman" w:hAnsi="Times New Roman" w:cs="Times New Roman"/>
          <w:lang w:val="en-GB"/>
        </w:rPr>
        <w:t xml:space="preserve">tically. </w:t>
      </w:r>
      <w:r w:rsidR="004128B7" w:rsidRPr="007B6A3D">
        <w:rPr>
          <w:rFonts w:ascii="Times New Roman" w:hAnsi="Times New Roman" w:cs="Times New Roman"/>
          <w:lang w:val="en-GB"/>
        </w:rPr>
        <w:t>In some areas has France also</w:t>
      </w:r>
      <w:r w:rsidR="005E3FC4">
        <w:rPr>
          <w:rFonts w:ascii="Times New Roman" w:hAnsi="Times New Roman" w:cs="Times New Roman"/>
          <w:lang w:val="en-GB"/>
        </w:rPr>
        <w:t xml:space="preserve"> undergone tangible</w:t>
      </w:r>
      <w:r w:rsidR="004128B7" w:rsidRPr="007B6A3D">
        <w:rPr>
          <w:rFonts w:ascii="Times New Roman" w:hAnsi="Times New Roman" w:cs="Times New Roman"/>
          <w:lang w:val="en-GB"/>
        </w:rPr>
        <w:t xml:space="preserve"> change, while the German and Austrian federal republics since their founding aft</w:t>
      </w:r>
      <w:r w:rsidR="00F10B93" w:rsidRPr="007B6A3D">
        <w:rPr>
          <w:rFonts w:ascii="Times New Roman" w:hAnsi="Times New Roman" w:cs="Times New Roman"/>
          <w:lang w:val="en-GB"/>
        </w:rPr>
        <w:t>er World War II are</w:t>
      </w:r>
      <w:r w:rsidR="004128B7" w:rsidRPr="007B6A3D">
        <w:rPr>
          <w:rFonts w:ascii="Times New Roman" w:hAnsi="Times New Roman" w:cs="Times New Roman"/>
          <w:lang w:val="en-GB"/>
        </w:rPr>
        <w:t xml:space="preserve"> based on a highly decentralized </w:t>
      </w:r>
      <w:proofErr w:type="gramStart"/>
      <w:r w:rsidR="004128B7" w:rsidRPr="007B6A3D">
        <w:rPr>
          <w:rFonts w:ascii="Times New Roman" w:hAnsi="Times New Roman" w:cs="Times New Roman"/>
          <w:lang w:val="en-GB"/>
        </w:rPr>
        <w:t>system.</w:t>
      </w:r>
      <w:proofErr w:type="gramEnd"/>
      <w:r w:rsidR="00F27F9E" w:rsidRPr="007B6A3D">
        <w:rPr>
          <w:rFonts w:ascii="Times New Roman" w:hAnsi="Times New Roman" w:cs="Times New Roman"/>
          <w:lang w:val="en-GB"/>
        </w:rPr>
        <w:t xml:space="preserve"> Common for those changes happening in various Eur</w:t>
      </w:r>
      <w:r w:rsidR="00610DDE" w:rsidRPr="007B6A3D">
        <w:rPr>
          <w:rFonts w:ascii="Times New Roman" w:hAnsi="Times New Roman" w:cs="Times New Roman"/>
          <w:lang w:val="en-GB"/>
        </w:rPr>
        <w:t>opean national states is that they follow</w:t>
      </w:r>
      <w:r w:rsidR="00F27F9E" w:rsidRPr="007B6A3D">
        <w:rPr>
          <w:rFonts w:ascii="Times New Roman" w:hAnsi="Times New Roman" w:cs="Times New Roman"/>
          <w:lang w:val="en-GB"/>
        </w:rPr>
        <w:t xml:space="preserve"> the Type I governance</w:t>
      </w:r>
      <w:r w:rsidR="00610DDE" w:rsidRPr="007B6A3D">
        <w:rPr>
          <w:rFonts w:ascii="Times New Roman" w:hAnsi="Times New Roman" w:cs="Times New Roman"/>
          <w:lang w:val="en-GB"/>
        </w:rPr>
        <w:t>, with few, clear divided jurisdiction.</w:t>
      </w:r>
      <w:r w:rsidR="00F27F9E" w:rsidRPr="007B6A3D">
        <w:rPr>
          <w:rStyle w:val="FootnoteReference"/>
          <w:rFonts w:cs="Times New Roman"/>
          <w:color w:val="auto"/>
          <w:lang w:val="en-GB"/>
        </w:rPr>
        <w:footnoteReference w:id="43"/>
      </w:r>
      <w:r w:rsidR="004128B7" w:rsidRPr="007B6A3D">
        <w:rPr>
          <w:rFonts w:ascii="Times New Roman" w:hAnsi="Times New Roman" w:cs="Times New Roman"/>
          <w:lang w:val="en-GB"/>
        </w:rPr>
        <w:t xml:space="preserve"> </w:t>
      </w:r>
      <w:r w:rsidR="00610DDE" w:rsidRPr="007B6A3D">
        <w:rPr>
          <w:rFonts w:ascii="Times New Roman" w:hAnsi="Times New Roman" w:cs="Times New Roman"/>
          <w:lang w:val="en-GB"/>
        </w:rPr>
        <w:t>So while their on national level has been a tendency to strengthen subnational governments, the European Union has gro</w:t>
      </w:r>
      <w:r w:rsidR="00933FF4" w:rsidRPr="007B6A3D">
        <w:rPr>
          <w:rFonts w:ascii="Times New Roman" w:hAnsi="Times New Roman" w:cs="Times New Roman"/>
          <w:lang w:val="en-GB"/>
        </w:rPr>
        <w:t xml:space="preserve">wn in importance and influence until </w:t>
      </w:r>
      <w:r w:rsidR="00610DDE" w:rsidRPr="007B6A3D">
        <w:rPr>
          <w:rFonts w:ascii="Times New Roman" w:hAnsi="Times New Roman" w:cs="Times New Roman"/>
          <w:lang w:val="en-GB"/>
        </w:rPr>
        <w:t>today, where it has a become a supranational government, affecting</w:t>
      </w:r>
      <w:r w:rsidR="00183062" w:rsidRPr="007B6A3D">
        <w:rPr>
          <w:rFonts w:ascii="Times New Roman" w:hAnsi="Times New Roman" w:cs="Times New Roman"/>
          <w:lang w:val="en-GB"/>
        </w:rPr>
        <w:t xml:space="preserve"> and shaping</w:t>
      </w:r>
      <w:r w:rsidR="00610DDE" w:rsidRPr="007B6A3D">
        <w:rPr>
          <w:rFonts w:ascii="Times New Roman" w:hAnsi="Times New Roman" w:cs="Times New Roman"/>
          <w:lang w:val="en-GB"/>
        </w:rPr>
        <w:t xml:space="preserve"> a wide range of policies.</w:t>
      </w:r>
      <w:r w:rsidR="00933FF4" w:rsidRPr="007B6A3D">
        <w:rPr>
          <w:rFonts w:ascii="Times New Roman" w:hAnsi="Times New Roman" w:cs="Times New Roman"/>
          <w:lang w:val="en-GB"/>
        </w:rPr>
        <w:t xml:space="preserve"> The majority of EU policies apply to a single unified jurisdiction.</w:t>
      </w:r>
      <w:r w:rsidR="00933FF4" w:rsidRPr="007B6A3D">
        <w:rPr>
          <w:rStyle w:val="FootnoteReference"/>
          <w:rFonts w:cs="Times New Roman"/>
          <w:color w:val="auto"/>
          <w:lang w:val="en-GB"/>
        </w:rPr>
        <w:footnoteReference w:id="44"/>
      </w:r>
      <w:r w:rsidR="00610DDE" w:rsidRPr="007B6A3D">
        <w:rPr>
          <w:rFonts w:ascii="Times New Roman" w:hAnsi="Times New Roman" w:cs="Times New Roman"/>
          <w:lang w:val="en-GB"/>
        </w:rPr>
        <w:t xml:space="preserve"> </w:t>
      </w:r>
      <w:r w:rsidR="00767EC6" w:rsidRPr="007B6A3D">
        <w:rPr>
          <w:rFonts w:ascii="Times New Roman" w:hAnsi="Times New Roman" w:cs="Times New Roman"/>
          <w:lang w:val="en-GB"/>
        </w:rPr>
        <w:t xml:space="preserve">At the same time does the EU encourage decentralization and promotes the creation of trans-regional institutions financially, which in some cases resemble Type II governance. </w:t>
      </w:r>
      <w:r w:rsidR="00933FF4" w:rsidRPr="007B6A3D">
        <w:rPr>
          <w:rFonts w:ascii="Times New Roman" w:hAnsi="Times New Roman" w:cs="Times New Roman"/>
          <w:lang w:val="en-GB"/>
        </w:rPr>
        <w:t xml:space="preserve">Interreg is a perfect example of how cross regional </w:t>
      </w:r>
      <w:r w:rsidR="00745930" w:rsidRPr="007B6A3D">
        <w:rPr>
          <w:rFonts w:ascii="Times New Roman" w:hAnsi="Times New Roman" w:cs="Times New Roman"/>
          <w:lang w:val="en-GB"/>
        </w:rPr>
        <w:t xml:space="preserve">cooperation can strengthen economic and social cohesion. </w:t>
      </w:r>
      <w:r w:rsidR="00933FF4" w:rsidRPr="007B6A3D">
        <w:rPr>
          <w:rFonts w:ascii="Times New Roman" w:hAnsi="Times New Roman" w:cs="Times New Roman"/>
          <w:lang w:val="en-GB"/>
        </w:rPr>
        <w:t>So it can be argued, that the EU incorporates both</w:t>
      </w:r>
      <w:r w:rsidR="00745930" w:rsidRPr="007B6A3D">
        <w:rPr>
          <w:rFonts w:ascii="Times New Roman" w:hAnsi="Times New Roman" w:cs="Times New Roman"/>
          <w:lang w:val="en-GB"/>
        </w:rPr>
        <w:t xml:space="preserve"> Type II characteristics and I.</w:t>
      </w:r>
      <w:r w:rsidR="00745930" w:rsidRPr="007B6A3D">
        <w:rPr>
          <w:rStyle w:val="FootnoteReference"/>
          <w:rFonts w:cs="Times New Roman"/>
          <w:color w:val="auto"/>
          <w:lang w:val="en-GB"/>
        </w:rPr>
        <w:footnoteReference w:id="45"/>
      </w:r>
    </w:p>
    <w:p w14:paraId="47194CAC" w14:textId="1F0EC8F7" w:rsidR="00B00653" w:rsidRPr="007B6A3D" w:rsidRDefault="00B00653" w:rsidP="00BF1A52">
      <w:pPr>
        <w:spacing w:line="360" w:lineRule="auto"/>
        <w:jc w:val="both"/>
        <w:rPr>
          <w:rFonts w:ascii="Times New Roman" w:hAnsi="Times New Roman" w:cs="Times New Roman"/>
          <w:lang w:val="en-GB"/>
        </w:rPr>
      </w:pPr>
      <w:r>
        <w:rPr>
          <w:rFonts w:ascii="Times New Roman" w:hAnsi="Times New Roman" w:cs="Times New Roman"/>
          <w:lang w:val="en-GB"/>
        </w:rPr>
        <w:t>With the Lisbon treaty multi-level governance became, though not directly, a mean to fill the treaty with life and the Committee of the Regions has since published a white paper that illuminates the essential need for multi-level governance.</w:t>
      </w:r>
      <w:r>
        <w:rPr>
          <w:rStyle w:val="FootnoteReference"/>
          <w:rFonts w:cs="Times New Roman"/>
          <w:lang w:val="en-GB"/>
        </w:rPr>
        <w:footnoteReference w:id="46"/>
      </w:r>
      <w:r>
        <w:rPr>
          <w:rFonts w:ascii="Times New Roman" w:hAnsi="Times New Roman" w:cs="Times New Roman"/>
          <w:lang w:val="en-GB"/>
        </w:rPr>
        <w:t xml:space="preserve"> </w:t>
      </w:r>
    </w:p>
    <w:p w14:paraId="6460ACDA" w14:textId="77777777" w:rsidR="00F54A23" w:rsidRPr="0076728D" w:rsidRDefault="00F54A23" w:rsidP="00BF1A52">
      <w:pPr>
        <w:spacing w:line="360" w:lineRule="auto"/>
        <w:rPr>
          <w:lang w:val="en-GB"/>
        </w:rPr>
      </w:pPr>
    </w:p>
    <w:p w14:paraId="05CCB1A1" w14:textId="77777777" w:rsidR="00AF6E21" w:rsidRDefault="00F54A23" w:rsidP="00BF1A52">
      <w:pPr>
        <w:pStyle w:val="Heading2"/>
        <w:spacing w:line="360" w:lineRule="auto"/>
        <w:rPr>
          <w:lang w:val="en-GB"/>
        </w:rPr>
      </w:pPr>
      <w:bookmarkStart w:id="18" w:name="_Toc289250851"/>
      <w:r w:rsidRPr="0076728D">
        <w:rPr>
          <w:lang w:val="en-GB"/>
        </w:rPr>
        <w:t>4.4 Lobbyism</w:t>
      </w:r>
      <w:bookmarkEnd w:id="18"/>
    </w:p>
    <w:p w14:paraId="23D08E3D" w14:textId="18C71E92" w:rsidR="00AF6E21" w:rsidRPr="00AF6E21" w:rsidRDefault="00AF6E21" w:rsidP="00BF1A52">
      <w:pPr>
        <w:spacing w:line="360" w:lineRule="auto"/>
        <w:jc w:val="both"/>
        <w:rPr>
          <w:rFonts w:ascii="Times New Roman" w:hAnsi="Times New Roman" w:cs="Times New Roman"/>
          <w:lang w:val="en-GB"/>
        </w:rPr>
      </w:pPr>
      <w:r w:rsidRPr="00AF6E21">
        <w:rPr>
          <w:rFonts w:ascii="Times New Roman" w:hAnsi="Times New Roman" w:cs="Times New Roman"/>
          <w:lang w:val="en-GB"/>
        </w:rPr>
        <w:t xml:space="preserve">The word lobbying is derived from the word lobby, where members of parliament would gather before and after debates and it was possible to talk with and influence politicians. Nowadays though, lobbying isn’t limited to the lobby of a parliament anymore and takes place many places and takes on various forms. The Council of Europe understands lobbying as a: </w:t>
      </w:r>
    </w:p>
    <w:p w14:paraId="12ED81B8" w14:textId="77777777" w:rsidR="00AF6E21" w:rsidRPr="00AF6E21" w:rsidRDefault="00AF6E21" w:rsidP="00BF1A52">
      <w:pPr>
        <w:spacing w:line="360" w:lineRule="auto"/>
        <w:jc w:val="both"/>
        <w:rPr>
          <w:rFonts w:ascii="Times New Roman" w:hAnsi="Times New Roman" w:cs="Times New Roman"/>
          <w:lang w:val="en-GB"/>
        </w:rPr>
      </w:pPr>
    </w:p>
    <w:p w14:paraId="3C96353A" w14:textId="77777777" w:rsidR="00AF6E21" w:rsidRPr="00AF6E21" w:rsidRDefault="00AF6E21" w:rsidP="00BF1A52">
      <w:pPr>
        <w:spacing w:line="360" w:lineRule="auto"/>
        <w:jc w:val="both"/>
        <w:rPr>
          <w:rFonts w:ascii="Times New Roman" w:hAnsi="Times New Roman" w:cs="Times New Roman"/>
          <w:i/>
          <w:lang w:val="en-GB"/>
        </w:rPr>
      </w:pPr>
      <w:r w:rsidRPr="00AF6E21">
        <w:rPr>
          <w:rFonts w:ascii="Times New Roman" w:hAnsi="Times New Roman" w:cs="Times New Roman"/>
          <w:i/>
          <w:lang w:val="en-GB"/>
        </w:rPr>
        <w:t>“</w:t>
      </w:r>
      <w:proofErr w:type="gramStart"/>
      <w:r w:rsidRPr="00AF6E21">
        <w:rPr>
          <w:rFonts w:ascii="Times New Roman" w:hAnsi="Times New Roman" w:cs="Times New Roman"/>
          <w:i/>
          <w:lang w:val="en-GB"/>
        </w:rPr>
        <w:t>concerted</w:t>
      </w:r>
      <w:proofErr w:type="gramEnd"/>
      <w:r w:rsidRPr="00AF6E21">
        <w:rPr>
          <w:rFonts w:ascii="Times New Roman" w:hAnsi="Times New Roman" w:cs="Times New Roman"/>
          <w:i/>
          <w:lang w:val="en-GB"/>
        </w:rPr>
        <w:t xml:space="preserve"> effort to influence policy formulation and decision-making with a view to obtaining some designated result from government authorities and elected representatives. In a wider sense, the term may refer to public actions (such as demonstrations) or “public affairs” activities by various institutions (associations, consultancies, advocacy groups, think-tanks, non governmental organisations, lawyers, ect.); in a more restrictive sense, it would mean the protection of economic interest by the corporate sector (corporate lobbying) commensurate to its weight on a national or global scene.”</w:t>
      </w:r>
      <w:r w:rsidRPr="00AF6E21">
        <w:rPr>
          <w:rStyle w:val="FootnoteReference"/>
          <w:rFonts w:cs="Times New Roman"/>
          <w:lang w:val="en-GB"/>
        </w:rPr>
        <w:footnoteReference w:id="47"/>
      </w:r>
    </w:p>
    <w:p w14:paraId="6984D38D" w14:textId="77777777" w:rsidR="00AF6E21" w:rsidRPr="00AF6E21" w:rsidRDefault="00AF6E21" w:rsidP="00BF1A52">
      <w:pPr>
        <w:spacing w:line="360" w:lineRule="auto"/>
        <w:jc w:val="both"/>
        <w:rPr>
          <w:rFonts w:ascii="Times New Roman" w:hAnsi="Times New Roman" w:cs="Times New Roman"/>
          <w:lang w:val="en-GB"/>
        </w:rPr>
      </w:pPr>
    </w:p>
    <w:p w14:paraId="6A8FA597" w14:textId="4D55273D" w:rsidR="00AF6E21" w:rsidRPr="00AF6E21" w:rsidRDefault="00AF6E21" w:rsidP="00BF1A52">
      <w:pPr>
        <w:spacing w:line="360" w:lineRule="auto"/>
        <w:jc w:val="both"/>
        <w:rPr>
          <w:rFonts w:ascii="Times New Roman" w:hAnsi="Times New Roman" w:cs="Times New Roman"/>
          <w:bCs/>
          <w:lang w:val="en-GB"/>
        </w:rPr>
      </w:pPr>
      <w:r w:rsidRPr="00AF6E21">
        <w:rPr>
          <w:rFonts w:ascii="Times New Roman" w:hAnsi="Times New Roman" w:cs="Times New Roman"/>
          <w:lang w:val="en-GB"/>
        </w:rPr>
        <w:t xml:space="preserve">While it is clear, that most lobbyists are active for organisations representing business interests, one can be sure of that there, out the estimated 15.000 to 30.000 lobbyist active in Brussels, still are plenty to target local interests. The big differ in number of lobbyist, is a result of that there is no official statistic counting them, and the </w:t>
      </w:r>
      <w:r w:rsidR="00A94CC3">
        <w:rPr>
          <w:rFonts w:ascii="Times New Roman" w:hAnsi="Times New Roman" w:cs="Times New Roman"/>
          <w:lang w:val="en-GB"/>
        </w:rPr>
        <w:t>definition of who is a lobbyist</w:t>
      </w:r>
      <w:r w:rsidRPr="00AF6E21">
        <w:rPr>
          <w:rFonts w:ascii="Times New Roman" w:hAnsi="Times New Roman" w:cs="Times New Roman"/>
          <w:lang w:val="en-GB"/>
        </w:rPr>
        <w:t xml:space="preserve"> is quite blurry.</w:t>
      </w:r>
      <w:r w:rsidRPr="00AF6E21">
        <w:rPr>
          <w:rStyle w:val="FootnoteReference"/>
          <w:rFonts w:cs="Times New Roman"/>
          <w:lang w:val="en-GB"/>
        </w:rPr>
        <w:footnoteReference w:id="48"/>
      </w:r>
    </w:p>
    <w:p w14:paraId="49183192" w14:textId="5D0BEA18" w:rsidR="00AF6E21" w:rsidRPr="00AF6E21" w:rsidRDefault="00AF6E21" w:rsidP="00BF1A52">
      <w:pPr>
        <w:spacing w:line="360" w:lineRule="auto"/>
        <w:jc w:val="both"/>
        <w:rPr>
          <w:rFonts w:ascii="Times New Roman" w:hAnsi="Times New Roman" w:cs="Times New Roman"/>
          <w:bCs/>
          <w:lang w:val="en-GB"/>
        </w:rPr>
      </w:pPr>
      <w:r w:rsidRPr="00AF6E21">
        <w:rPr>
          <w:rFonts w:ascii="Times New Roman" w:hAnsi="Times New Roman" w:cs="Times New Roman"/>
          <w:bCs/>
          <w:lang w:val="en-GB"/>
        </w:rPr>
        <w:t>The sheer amount of institutions and actors in the European Union, of which some will be shortly described in the next chapter below, brings both advantages and disadvantages, when it comes to lobbying the EU. While there is an endless amount of possible ways to influence policymaking through various organs, it is, at the same time, impossible for any interest association to have an elusive access to relevant officials or politicians. The highly intertwined institutions make it possible to lobby the same case from many different positions.</w:t>
      </w:r>
      <w:r w:rsidRPr="00AF6E21">
        <w:rPr>
          <w:rStyle w:val="FootnoteReference"/>
          <w:rFonts w:cs="Times New Roman"/>
          <w:lang w:val="en-GB"/>
        </w:rPr>
        <w:footnoteReference w:id="49"/>
      </w:r>
      <w:r w:rsidRPr="00AF6E21">
        <w:rPr>
          <w:rStyle w:val="FootnoteReference"/>
          <w:rFonts w:cs="Times New Roman"/>
          <w:sz w:val="24"/>
        </w:rPr>
        <w:t xml:space="preserve"> </w:t>
      </w:r>
      <w:r w:rsidRPr="00AF6E21">
        <w:rPr>
          <w:rFonts w:ascii="Times New Roman" w:hAnsi="Times New Roman" w:cs="Times New Roman"/>
          <w:bCs/>
          <w:lang w:val="en-GB"/>
        </w:rPr>
        <w:t xml:space="preserve"> </w:t>
      </w:r>
    </w:p>
    <w:p w14:paraId="40327E70" w14:textId="77777777" w:rsidR="00AF6E21" w:rsidRDefault="00AF6E21" w:rsidP="00BF1A52">
      <w:pPr>
        <w:spacing w:line="360" w:lineRule="auto"/>
        <w:jc w:val="both"/>
        <w:rPr>
          <w:rFonts w:ascii="Times New Roman" w:hAnsi="Times New Roman" w:cs="Times New Roman"/>
          <w:lang w:val="en-GB"/>
        </w:rPr>
      </w:pPr>
      <w:r w:rsidRPr="00AF6E21">
        <w:rPr>
          <w:rFonts w:ascii="Times New Roman" w:hAnsi="Times New Roman" w:cs="Times New Roman"/>
          <w:lang w:val="en-GB"/>
        </w:rPr>
        <w:lastRenderedPageBreak/>
        <w:t xml:space="preserve">In 2002 the CONNECS-Database listed 941 European organizations, out of those who provided the information, 59% (212) had a basis in Brussels. The number of organizations lobbying the European Union is strongly correlated to </w:t>
      </w:r>
      <w:proofErr w:type="gramStart"/>
      <w:r w:rsidRPr="00AF6E21">
        <w:rPr>
          <w:rFonts w:ascii="Times New Roman" w:hAnsi="Times New Roman" w:cs="Times New Roman"/>
          <w:lang w:val="en-GB"/>
        </w:rPr>
        <w:t>the extend</w:t>
      </w:r>
      <w:proofErr w:type="gramEnd"/>
      <w:r w:rsidRPr="00AF6E21">
        <w:rPr>
          <w:rFonts w:ascii="Times New Roman" w:hAnsi="Times New Roman" w:cs="Times New Roman"/>
          <w:lang w:val="en-GB"/>
        </w:rPr>
        <w:t xml:space="preserve"> of European integration. The founding of the Coal and Steel Union, the EC, the internal marked all boosted the number of organizations significantly</w:t>
      </w:r>
      <w:r>
        <w:rPr>
          <w:rFonts w:ascii="Times New Roman" w:hAnsi="Times New Roman" w:cs="Times New Roman"/>
          <w:lang w:val="en-GB"/>
        </w:rPr>
        <w:t>. But even in the periods in between, even in the period up to the early 80’s, where European integration has come to a halt, there could be observed a steady increase of organizations lobbying their interests on a European level. European regions only started their lobbying activities in the 70’s but increased their work during the 80’s and 90’s along with the European Unions competences widened to affect more and more of the Regions daily business.</w:t>
      </w:r>
      <w:r>
        <w:rPr>
          <w:rStyle w:val="FootnoteReference"/>
          <w:rFonts w:cs="Times New Roman"/>
          <w:lang w:val="en-GB"/>
        </w:rPr>
        <w:footnoteReference w:id="50"/>
      </w:r>
      <w:r>
        <w:rPr>
          <w:rFonts w:ascii="Times New Roman" w:hAnsi="Times New Roman" w:cs="Times New Roman"/>
          <w:lang w:val="en-GB"/>
        </w:rPr>
        <w:t xml:space="preserve"> </w:t>
      </w:r>
    </w:p>
    <w:p w14:paraId="6C2964B4" w14:textId="77777777" w:rsidR="00AF6E21" w:rsidRPr="005D430A" w:rsidRDefault="00AF6E21" w:rsidP="00BF1A52">
      <w:pPr>
        <w:spacing w:line="360" w:lineRule="auto"/>
        <w:jc w:val="both"/>
        <w:rPr>
          <w:rFonts w:ascii="Times New Roman" w:hAnsi="Times New Roman" w:cs="Times New Roman"/>
          <w:lang w:val="en-GB"/>
        </w:rPr>
      </w:pPr>
    </w:p>
    <w:p w14:paraId="0B093B50" w14:textId="77777777" w:rsidR="00AF6E21" w:rsidRDefault="00AF6E21" w:rsidP="00BF1A52">
      <w:pPr>
        <w:spacing w:line="360" w:lineRule="auto"/>
        <w:jc w:val="both"/>
        <w:rPr>
          <w:rFonts w:ascii="Times New Roman" w:hAnsi="Times New Roman" w:cs="Times New Roman"/>
          <w:i/>
          <w:lang w:val="en-GB"/>
        </w:rPr>
      </w:pPr>
      <w:r w:rsidRPr="006E3AB0">
        <w:rPr>
          <w:rFonts w:ascii="Times New Roman" w:hAnsi="Times New Roman" w:cs="Times New Roman"/>
          <w:i/>
          <w:lang w:val="en-GB"/>
        </w:rPr>
        <w:t>“Political systems need legitimacy from their subject in order to undertake a full range of governance functions. Legitimacy arises from two sources: inputs (the ability to participate in the political decision making); and effectiveness (results). The limited nature of the EU as a political regime can partly be explained through its lack of input legitimacy”</w:t>
      </w:r>
      <w:r>
        <w:rPr>
          <w:rStyle w:val="FootnoteReference"/>
          <w:rFonts w:cs="Times New Roman"/>
          <w:lang w:val="en-GB"/>
        </w:rPr>
        <w:footnoteReference w:id="51"/>
      </w:r>
    </w:p>
    <w:p w14:paraId="7C353185" w14:textId="77777777" w:rsidR="00AF6E21" w:rsidRDefault="00AF6E21" w:rsidP="00BF1A52">
      <w:pPr>
        <w:spacing w:line="360" w:lineRule="auto"/>
        <w:jc w:val="both"/>
        <w:rPr>
          <w:rFonts w:ascii="Times New Roman" w:hAnsi="Times New Roman" w:cs="Times New Roman"/>
          <w:lang w:val="en-GB"/>
        </w:rPr>
      </w:pPr>
    </w:p>
    <w:p w14:paraId="1FB9A3C5" w14:textId="77777777" w:rsidR="00AF6E21" w:rsidRPr="00B801C0" w:rsidRDefault="00AF6E21" w:rsidP="00BF1A52">
      <w:pPr>
        <w:spacing w:line="360" w:lineRule="auto"/>
        <w:jc w:val="both"/>
        <w:rPr>
          <w:rFonts w:ascii="Times New Roman" w:hAnsi="Times New Roman" w:cs="Times New Roman"/>
          <w:i/>
          <w:lang w:val="en-GB"/>
        </w:rPr>
      </w:pPr>
      <w:r>
        <w:rPr>
          <w:rFonts w:ascii="Times New Roman" w:hAnsi="Times New Roman" w:cs="Times New Roman"/>
          <w:lang w:val="en-GB"/>
        </w:rPr>
        <w:t>Since the EU, as a supranational organization, is dominated by national governments representatives, also known as the the Council and a large bureaucratic apparatus that is the Commission, while the European parliament remains weaker than its national counterparts, the democratic deficit is still a challenge for the EU.</w:t>
      </w:r>
      <w:r>
        <w:rPr>
          <w:rStyle w:val="FootnoteReference"/>
          <w:rFonts w:cs="Times New Roman"/>
          <w:lang w:val="en-GB"/>
        </w:rPr>
        <w:footnoteReference w:id="52"/>
      </w:r>
      <w:r>
        <w:rPr>
          <w:rFonts w:ascii="Times New Roman" w:hAnsi="Times New Roman" w:cs="Times New Roman"/>
          <w:lang w:val="en-GB"/>
        </w:rPr>
        <w:t xml:space="preserve"> On the one hand one can argue that the role of lobbyism helps to solve this democratic deficit, since it adds another level and another mean of being heard to the democratic process. While it on the other hand can be argued, that only a limited amount of actors have the recources to actually do lobby work and by that only a limited part of the people and their needs are heard. This works in the direct opposite of what democracy stands for.</w:t>
      </w:r>
      <w:r>
        <w:rPr>
          <w:rStyle w:val="FootnoteReference"/>
          <w:rFonts w:cs="Times New Roman"/>
          <w:lang w:val="en-GB"/>
        </w:rPr>
        <w:footnoteReference w:id="53"/>
      </w:r>
      <w:r>
        <w:rPr>
          <w:rFonts w:ascii="Times New Roman" w:hAnsi="Times New Roman" w:cs="Times New Roman"/>
          <w:lang w:val="en-GB"/>
        </w:rPr>
        <w:t xml:space="preserve"> In general though, ceteris paribus, it is safe to say that:</w:t>
      </w:r>
    </w:p>
    <w:p w14:paraId="2FCC7823" w14:textId="77777777" w:rsidR="00AF6E21" w:rsidRDefault="00AF6E21" w:rsidP="00BF1A52">
      <w:pPr>
        <w:spacing w:line="360" w:lineRule="auto"/>
        <w:jc w:val="both"/>
        <w:rPr>
          <w:rFonts w:ascii="Times New Roman" w:hAnsi="Times New Roman" w:cs="Times New Roman"/>
          <w:i/>
          <w:lang w:val="en-GB"/>
        </w:rPr>
      </w:pPr>
    </w:p>
    <w:p w14:paraId="522999B3" w14:textId="77777777" w:rsidR="00AF6E21" w:rsidRDefault="00AF6E21" w:rsidP="00BF1A52">
      <w:pPr>
        <w:spacing w:line="360" w:lineRule="auto"/>
        <w:jc w:val="both"/>
        <w:rPr>
          <w:rFonts w:ascii="Times New Roman" w:hAnsi="Times New Roman" w:cs="Times New Roman"/>
          <w:lang w:val="en-GB"/>
        </w:rPr>
      </w:pPr>
      <w:r w:rsidRPr="005A5579">
        <w:rPr>
          <w:rFonts w:ascii="Times New Roman" w:hAnsi="Times New Roman" w:cs="Times New Roman"/>
          <w:i/>
          <w:lang w:val="en-GB"/>
        </w:rPr>
        <w:lastRenderedPageBreak/>
        <w:t>“They bring much needed resources to policy making, implementation, and monitoring</w:t>
      </w:r>
      <w:r>
        <w:rPr>
          <w:rFonts w:ascii="Times New Roman" w:hAnsi="Times New Roman" w:cs="Times New Roman"/>
          <w:i/>
          <w:lang w:val="en-GB"/>
        </w:rPr>
        <w:t>.</w:t>
      </w:r>
      <w:r w:rsidRPr="005A5579">
        <w:rPr>
          <w:rFonts w:ascii="Times New Roman" w:hAnsi="Times New Roman" w:cs="Times New Roman"/>
          <w:i/>
          <w:lang w:val="en-GB"/>
        </w:rPr>
        <w:t xml:space="preserve"> In some accounts of how the European integration develops, they help the EU to acquire more policy competencies by brining irresistible demands </w:t>
      </w:r>
      <w:r>
        <w:rPr>
          <w:rFonts w:ascii="Times New Roman" w:hAnsi="Times New Roman" w:cs="Times New Roman"/>
          <w:i/>
          <w:lang w:val="en-GB"/>
        </w:rPr>
        <w:t>t</w:t>
      </w:r>
      <w:r w:rsidRPr="005A5579">
        <w:rPr>
          <w:rFonts w:ascii="Times New Roman" w:hAnsi="Times New Roman" w:cs="Times New Roman"/>
          <w:i/>
          <w:lang w:val="en-GB"/>
        </w:rPr>
        <w:t>o member states doorsteps, and assist in the popular identification with the European Union”</w:t>
      </w:r>
      <w:r>
        <w:rPr>
          <w:rStyle w:val="FootnoteReference"/>
          <w:rFonts w:cs="Times New Roman"/>
          <w:lang w:val="en-GB"/>
        </w:rPr>
        <w:footnoteReference w:id="54"/>
      </w:r>
    </w:p>
    <w:p w14:paraId="20FA50B4" w14:textId="77777777" w:rsidR="00AF6E21" w:rsidRDefault="00AF6E21" w:rsidP="00BF1A52">
      <w:pPr>
        <w:spacing w:line="360" w:lineRule="auto"/>
        <w:jc w:val="both"/>
        <w:rPr>
          <w:rFonts w:ascii="Times New Roman" w:hAnsi="Times New Roman" w:cs="Times New Roman"/>
          <w:lang w:val="en-GB"/>
        </w:rPr>
      </w:pPr>
    </w:p>
    <w:p w14:paraId="3DF6D9B7" w14:textId="77777777" w:rsidR="00AF6E21" w:rsidRDefault="00AF6E21"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An interest organizations ability to act is made up by to components, on the one hand it is determined by what role the organizations is able to fill out and on the other how it is able to handle and solve the tasks it meets. Such an organization can be an autonomous actor, it can be a forum for its members to discuss and streamline point of views or it can be just an instrument used by some of it members or even authorities. Depending on the organizations role and abilities it works with: </w:t>
      </w:r>
    </w:p>
    <w:p w14:paraId="420B1088" w14:textId="77777777" w:rsidR="00AF6E21" w:rsidRPr="00531A02" w:rsidRDefault="00AF6E21" w:rsidP="00BF1A52">
      <w:pPr>
        <w:pStyle w:val="ListParagraph"/>
        <w:numPr>
          <w:ilvl w:val="0"/>
          <w:numId w:val="4"/>
        </w:numPr>
        <w:spacing w:line="360" w:lineRule="auto"/>
        <w:jc w:val="both"/>
        <w:rPr>
          <w:rFonts w:ascii="Times New Roman" w:hAnsi="Times New Roman" w:cs="Times New Roman"/>
          <w:i/>
          <w:color w:val="404040" w:themeColor="text1" w:themeTint="BF"/>
          <w:sz w:val="26"/>
          <w:szCs w:val="26"/>
          <w:lang w:val="en-GB"/>
        </w:rPr>
      </w:pPr>
      <w:proofErr w:type="gramStart"/>
      <w:r w:rsidRPr="00531A02">
        <w:rPr>
          <w:rFonts w:ascii="Times New Roman" w:hAnsi="Times New Roman" w:cs="Times New Roman"/>
          <w:i/>
          <w:color w:val="404040" w:themeColor="text1" w:themeTint="BF"/>
          <w:sz w:val="26"/>
          <w:szCs w:val="26"/>
          <w:lang w:val="en-GB"/>
        </w:rPr>
        <w:t>the</w:t>
      </w:r>
      <w:proofErr w:type="gramEnd"/>
      <w:r w:rsidRPr="00531A02">
        <w:rPr>
          <w:rFonts w:ascii="Times New Roman" w:hAnsi="Times New Roman" w:cs="Times New Roman"/>
          <w:i/>
          <w:color w:val="404040" w:themeColor="text1" w:themeTint="BF"/>
          <w:sz w:val="26"/>
          <w:szCs w:val="26"/>
          <w:lang w:val="en-GB"/>
        </w:rPr>
        <w:t xml:space="preserve"> process of relevant information and distribution to its members</w:t>
      </w:r>
    </w:p>
    <w:p w14:paraId="3D85FD16" w14:textId="77777777" w:rsidR="00AF6E21" w:rsidRPr="00531A02" w:rsidRDefault="00AF6E21" w:rsidP="00BF1A52">
      <w:pPr>
        <w:pStyle w:val="ListParagraph"/>
        <w:numPr>
          <w:ilvl w:val="0"/>
          <w:numId w:val="4"/>
        </w:numPr>
        <w:spacing w:line="360" w:lineRule="auto"/>
        <w:jc w:val="both"/>
        <w:rPr>
          <w:rFonts w:ascii="Times New Roman" w:hAnsi="Times New Roman" w:cs="Times New Roman"/>
          <w:i/>
          <w:color w:val="404040" w:themeColor="text1" w:themeTint="BF"/>
          <w:sz w:val="26"/>
          <w:szCs w:val="26"/>
          <w:lang w:val="en-GB"/>
        </w:rPr>
      </w:pPr>
      <w:proofErr w:type="gramStart"/>
      <w:r w:rsidRPr="00531A02">
        <w:rPr>
          <w:rFonts w:ascii="Times New Roman" w:hAnsi="Times New Roman" w:cs="Times New Roman"/>
          <w:i/>
          <w:color w:val="404040" w:themeColor="text1" w:themeTint="BF"/>
          <w:sz w:val="26"/>
          <w:szCs w:val="26"/>
          <w:lang w:val="en-GB"/>
        </w:rPr>
        <w:t>the</w:t>
      </w:r>
      <w:proofErr w:type="gramEnd"/>
      <w:r w:rsidRPr="00531A02">
        <w:rPr>
          <w:rFonts w:ascii="Times New Roman" w:hAnsi="Times New Roman" w:cs="Times New Roman"/>
          <w:i/>
          <w:color w:val="404040" w:themeColor="text1" w:themeTint="BF"/>
          <w:sz w:val="26"/>
          <w:szCs w:val="26"/>
          <w:lang w:val="en-GB"/>
        </w:rPr>
        <w:t xml:space="preserve"> establishment of connection to the European institutions</w:t>
      </w:r>
    </w:p>
    <w:p w14:paraId="584AFA00" w14:textId="77777777" w:rsidR="00AF6E21" w:rsidRPr="00531A02" w:rsidRDefault="00AF6E21" w:rsidP="00BF1A52">
      <w:pPr>
        <w:pStyle w:val="ListParagraph"/>
        <w:numPr>
          <w:ilvl w:val="0"/>
          <w:numId w:val="4"/>
        </w:numPr>
        <w:spacing w:line="360" w:lineRule="auto"/>
        <w:jc w:val="both"/>
        <w:rPr>
          <w:rFonts w:ascii="Times New Roman" w:hAnsi="Times New Roman" w:cs="Times New Roman"/>
          <w:i/>
          <w:color w:val="404040" w:themeColor="text1" w:themeTint="BF"/>
          <w:sz w:val="26"/>
          <w:szCs w:val="26"/>
          <w:lang w:val="en-GB"/>
        </w:rPr>
      </w:pPr>
      <w:proofErr w:type="gramStart"/>
      <w:r w:rsidRPr="00531A02">
        <w:rPr>
          <w:rFonts w:ascii="Times New Roman" w:hAnsi="Times New Roman" w:cs="Times New Roman"/>
          <w:i/>
          <w:color w:val="404040" w:themeColor="text1" w:themeTint="BF"/>
          <w:sz w:val="26"/>
          <w:szCs w:val="26"/>
          <w:lang w:val="en-GB"/>
        </w:rPr>
        <w:t>the</w:t>
      </w:r>
      <w:proofErr w:type="gramEnd"/>
      <w:r w:rsidRPr="00531A02">
        <w:rPr>
          <w:rFonts w:ascii="Times New Roman" w:hAnsi="Times New Roman" w:cs="Times New Roman"/>
          <w:i/>
          <w:color w:val="404040" w:themeColor="text1" w:themeTint="BF"/>
          <w:sz w:val="26"/>
          <w:szCs w:val="26"/>
          <w:lang w:val="en-GB"/>
        </w:rPr>
        <w:t xml:space="preserve"> bundling of different interests to one common position</w:t>
      </w:r>
    </w:p>
    <w:p w14:paraId="4F65B701" w14:textId="77777777" w:rsidR="00AF6E21" w:rsidRPr="00531A02" w:rsidRDefault="00AF6E21" w:rsidP="00BF1A52">
      <w:pPr>
        <w:pStyle w:val="ListParagraph"/>
        <w:numPr>
          <w:ilvl w:val="0"/>
          <w:numId w:val="4"/>
        </w:numPr>
        <w:spacing w:line="360" w:lineRule="auto"/>
        <w:jc w:val="both"/>
        <w:rPr>
          <w:rFonts w:ascii="Times New Roman" w:hAnsi="Times New Roman" w:cs="Times New Roman"/>
          <w:i/>
          <w:color w:val="404040" w:themeColor="text1" w:themeTint="BF"/>
          <w:sz w:val="26"/>
          <w:szCs w:val="26"/>
          <w:lang w:val="en-GB"/>
        </w:rPr>
      </w:pPr>
      <w:proofErr w:type="gramStart"/>
      <w:r w:rsidRPr="00531A02">
        <w:rPr>
          <w:rFonts w:ascii="Times New Roman" w:hAnsi="Times New Roman" w:cs="Times New Roman"/>
          <w:i/>
          <w:color w:val="404040" w:themeColor="text1" w:themeTint="BF"/>
          <w:sz w:val="26"/>
          <w:szCs w:val="26"/>
          <w:lang w:val="en-GB"/>
        </w:rPr>
        <w:t>the</w:t>
      </w:r>
      <w:proofErr w:type="gramEnd"/>
      <w:r w:rsidRPr="00531A02">
        <w:rPr>
          <w:rFonts w:ascii="Times New Roman" w:hAnsi="Times New Roman" w:cs="Times New Roman"/>
          <w:i/>
          <w:color w:val="404040" w:themeColor="text1" w:themeTint="BF"/>
          <w:sz w:val="26"/>
          <w:szCs w:val="26"/>
          <w:lang w:val="en-GB"/>
        </w:rPr>
        <w:t xml:space="preserve"> organizations public relations and influencing public oppinions</w:t>
      </w:r>
    </w:p>
    <w:p w14:paraId="0C2A7583" w14:textId="77777777" w:rsidR="00AF6E21" w:rsidRDefault="00AF6E21" w:rsidP="00BF1A52">
      <w:pPr>
        <w:pStyle w:val="ListParagraph"/>
        <w:numPr>
          <w:ilvl w:val="0"/>
          <w:numId w:val="4"/>
        </w:numPr>
        <w:spacing w:line="360" w:lineRule="auto"/>
        <w:jc w:val="both"/>
        <w:rPr>
          <w:rFonts w:ascii="Times New Roman" w:hAnsi="Times New Roman" w:cs="Times New Roman"/>
          <w:i/>
          <w:color w:val="404040" w:themeColor="text1" w:themeTint="BF"/>
          <w:sz w:val="26"/>
          <w:szCs w:val="26"/>
          <w:lang w:val="en-GB"/>
        </w:rPr>
      </w:pPr>
      <w:proofErr w:type="gramStart"/>
      <w:r w:rsidRPr="00531A02">
        <w:rPr>
          <w:rFonts w:ascii="Times New Roman" w:hAnsi="Times New Roman" w:cs="Times New Roman"/>
          <w:i/>
          <w:color w:val="404040" w:themeColor="text1" w:themeTint="BF"/>
          <w:sz w:val="26"/>
          <w:szCs w:val="26"/>
          <w:lang w:val="en-GB"/>
        </w:rPr>
        <w:t>the</w:t>
      </w:r>
      <w:proofErr w:type="gramEnd"/>
      <w:r w:rsidRPr="00531A02">
        <w:rPr>
          <w:rFonts w:ascii="Times New Roman" w:hAnsi="Times New Roman" w:cs="Times New Roman"/>
          <w:i/>
          <w:color w:val="404040" w:themeColor="text1" w:themeTint="BF"/>
          <w:sz w:val="26"/>
          <w:szCs w:val="26"/>
          <w:lang w:val="en-GB"/>
        </w:rPr>
        <w:t xml:space="preserve"> representation of interests in the European decision making process</w:t>
      </w:r>
    </w:p>
    <w:p w14:paraId="53EAD564" w14:textId="77777777" w:rsidR="00AF6E21" w:rsidRPr="00995DBE" w:rsidRDefault="00AF6E21" w:rsidP="00BF1A52">
      <w:pPr>
        <w:pStyle w:val="ListParagraph"/>
        <w:numPr>
          <w:ilvl w:val="0"/>
          <w:numId w:val="4"/>
        </w:numPr>
        <w:spacing w:line="360" w:lineRule="auto"/>
        <w:jc w:val="both"/>
        <w:rPr>
          <w:rFonts w:ascii="Times New Roman" w:hAnsi="Times New Roman" w:cs="Times New Roman"/>
          <w:i/>
          <w:color w:val="404040" w:themeColor="text1" w:themeTint="BF"/>
          <w:sz w:val="26"/>
          <w:szCs w:val="26"/>
          <w:lang w:val="en-GB"/>
        </w:rPr>
      </w:pPr>
      <w:proofErr w:type="gramStart"/>
      <w:r w:rsidRPr="00995DBE">
        <w:rPr>
          <w:rFonts w:ascii="Times New Roman" w:hAnsi="Times New Roman" w:cs="Times New Roman"/>
          <w:i/>
          <w:color w:val="404040" w:themeColor="text1" w:themeTint="BF"/>
          <w:sz w:val="26"/>
          <w:szCs w:val="26"/>
          <w:lang w:val="en-GB"/>
        </w:rPr>
        <w:t>the</w:t>
      </w:r>
      <w:proofErr w:type="gramEnd"/>
      <w:r w:rsidRPr="00995DBE">
        <w:rPr>
          <w:rFonts w:ascii="Times New Roman" w:hAnsi="Times New Roman" w:cs="Times New Roman"/>
          <w:i/>
          <w:color w:val="404040" w:themeColor="text1" w:themeTint="BF"/>
          <w:sz w:val="26"/>
          <w:szCs w:val="26"/>
          <w:lang w:val="en-GB"/>
        </w:rPr>
        <w:t xml:space="preserve"> formulation and implementation of European acts.</w:t>
      </w:r>
      <w:r>
        <w:rPr>
          <w:rStyle w:val="FootnoteReference"/>
          <w:rFonts w:cs="Times New Roman"/>
          <w:i/>
          <w:lang w:val="en-GB"/>
        </w:rPr>
        <w:footnoteReference w:id="55"/>
      </w:r>
    </w:p>
    <w:p w14:paraId="73093D02" w14:textId="77777777" w:rsidR="00AF6E21" w:rsidRDefault="00AF6E21" w:rsidP="00BF1A52">
      <w:pPr>
        <w:spacing w:line="360" w:lineRule="auto"/>
        <w:jc w:val="both"/>
        <w:rPr>
          <w:rFonts w:ascii="Times New Roman" w:hAnsi="Times New Roman" w:cs="Times New Roman"/>
          <w:lang w:val="en-GB"/>
        </w:rPr>
      </w:pPr>
    </w:p>
    <w:p w14:paraId="44767435" w14:textId="2CFD3778" w:rsidR="00AF6E21" w:rsidRDefault="00AF6E21" w:rsidP="00BF1A52">
      <w:pPr>
        <w:spacing w:line="360" w:lineRule="auto"/>
        <w:jc w:val="both"/>
        <w:rPr>
          <w:rFonts w:ascii="Times New Roman" w:hAnsi="Times New Roman" w:cs="Times New Roman"/>
          <w:lang w:val="en-GB"/>
        </w:rPr>
      </w:pPr>
      <w:r>
        <w:rPr>
          <w:rFonts w:ascii="Times New Roman" w:hAnsi="Times New Roman" w:cs="Times New Roman"/>
          <w:lang w:val="en-GB"/>
        </w:rPr>
        <w:t>In the role as the defender of the European treat</w:t>
      </w:r>
      <w:r w:rsidR="005D0320">
        <w:rPr>
          <w:rFonts w:ascii="Times New Roman" w:hAnsi="Times New Roman" w:cs="Times New Roman"/>
          <w:lang w:val="en-GB"/>
        </w:rPr>
        <w:t>ies, the Commission still is a</w:t>
      </w:r>
      <w:r>
        <w:rPr>
          <w:rFonts w:ascii="Times New Roman" w:hAnsi="Times New Roman" w:cs="Times New Roman"/>
          <w:lang w:val="en-GB"/>
        </w:rPr>
        <w:t xml:space="preserve"> main target for lobbying activities, although the European Parliament has gained importance, as itself has gained influence in the shaping of policies. The Council and the European Council are hard to penetrate by lobbyist in Brussels, since </w:t>
      </w:r>
      <w:proofErr w:type="gramStart"/>
      <w:r>
        <w:rPr>
          <w:rFonts w:ascii="Times New Roman" w:hAnsi="Times New Roman" w:cs="Times New Roman"/>
          <w:lang w:val="en-GB"/>
        </w:rPr>
        <w:t>they are made up by member states government officials</w:t>
      </w:r>
      <w:proofErr w:type="gramEnd"/>
      <w:r>
        <w:rPr>
          <w:rFonts w:ascii="Times New Roman" w:hAnsi="Times New Roman" w:cs="Times New Roman"/>
          <w:lang w:val="en-GB"/>
        </w:rPr>
        <w:t>, and interest organizations have an easier time to take influence on national levels. The tendency to lobby the Commission and the Parliament have been strengthened since it in the single European Act was decided to strengthen the EU’s competencies and qualified</w:t>
      </w:r>
      <w:r w:rsidR="00E92AC1">
        <w:rPr>
          <w:rFonts w:ascii="Times New Roman" w:hAnsi="Times New Roman" w:cs="Times New Roman"/>
          <w:lang w:val="en-GB"/>
        </w:rPr>
        <w:t xml:space="preserve"> </w:t>
      </w:r>
      <w:r>
        <w:rPr>
          <w:rFonts w:ascii="Times New Roman" w:hAnsi="Times New Roman" w:cs="Times New Roman"/>
          <w:lang w:val="en-GB"/>
        </w:rPr>
        <w:lastRenderedPageBreak/>
        <w:t>majority voting later on made it even more difficult for national parliaments to block laws and reforms.</w:t>
      </w:r>
      <w:r>
        <w:rPr>
          <w:rStyle w:val="FootnoteReference"/>
          <w:rFonts w:cs="Times New Roman"/>
          <w:lang w:val="en-GB"/>
        </w:rPr>
        <w:footnoteReference w:id="56"/>
      </w:r>
    </w:p>
    <w:p w14:paraId="0F54E01C" w14:textId="77777777" w:rsidR="00AF6E21" w:rsidRDefault="00AF6E21"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In accordance with multi-level governance theory, decisions are made on many levels within the EU. Hence lobbying on national level is still important, also regarding decisions made on EU level. National interest organizations don’t have unlimited resources, so when lobbying a cause, it can be more effective to lobby it on national level or join an European interest organization, than to embark on an independent lobby mission in Brussels. So the closer an interest organizations ties are to local networks, the less it becomes probable to lobby on a big scale in Brussels. The other way round, loose and weak connections on national level, is more likely to trigger an organizations substitution with European authorities. Since the world we live in isn’t black and white, can strong connections on national level, in certain cases also benefit the establishment and maintenance of connections on EU level, and vice </w:t>
      </w:r>
      <w:proofErr w:type="gramStart"/>
      <w:r>
        <w:rPr>
          <w:rFonts w:ascii="Times New Roman" w:hAnsi="Times New Roman" w:cs="Times New Roman"/>
          <w:lang w:val="en-GB"/>
        </w:rPr>
        <w:t>versa.</w:t>
      </w:r>
      <w:proofErr w:type="gramEnd"/>
      <w:r>
        <w:rPr>
          <w:rStyle w:val="FootnoteReference"/>
          <w:rFonts w:cs="Times New Roman"/>
          <w:lang w:val="en-GB"/>
        </w:rPr>
        <w:footnoteReference w:id="57"/>
      </w:r>
      <w:r>
        <w:rPr>
          <w:rFonts w:ascii="Times New Roman" w:hAnsi="Times New Roman" w:cs="Times New Roman"/>
          <w:lang w:val="en-GB"/>
        </w:rPr>
        <w:t xml:space="preserve"> </w:t>
      </w:r>
    </w:p>
    <w:p w14:paraId="21A458C1" w14:textId="77777777" w:rsidR="00F54A23" w:rsidRPr="0076728D" w:rsidRDefault="00F54A23" w:rsidP="00BF1A52">
      <w:pPr>
        <w:spacing w:line="360" w:lineRule="auto"/>
        <w:rPr>
          <w:lang w:val="en-GB"/>
        </w:rPr>
      </w:pPr>
    </w:p>
    <w:p w14:paraId="71BA0902" w14:textId="5E764192" w:rsidR="00097068" w:rsidRPr="005D43BB" w:rsidRDefault="00F54A23" w:rsidP="00BF1A52">
      <w:pPr>
        <w:pStyle w:val="Heading2"/>
        <w:spacing w:line="360" w:lineRule="auto"/>
        <w:jc w:val="both"/>
        <w:rPr>
          <w:rFonts w:ascii="Times New Roman" w:hAnsi="Times New Roman" w:cs="Times New Roman"/>
          <w:lang w:val="en-GB"/>
        </w:rPr>
      </w:pPr>
      <w:bookmarkStart w:id="19" w:name="_Toc289250852"/>
      <w:r w:rsidRPr="0076728D">
        <w:rPr>
          <w:rFonts w:ascii="Times New Roman" w:hAnsi="Times New Roman" w:cs="Times New Roman"/>
          <w:lang w:val="en-GB"/>
        </w:rPr>
        <w:t>4.5</w:t>
      </w:r>
      <w:r w:rsidR="000801E6" w:rsidRPr="0076728D">
        <w:rPr>
          <w:rFonts w:ascii="Times New Roman" w:hAnsi="Times New Roman" w:cs="Times New Roman"/>
          <w:lang w:val="en-GB"/>
        </w:rPr>
        <w:t xml:space="preserve"> A possible different</w:t>
      </w:r>
      <w:r w:rsidR="000801E6" w:rsidRPr="005D43BB">
        <w:rPr>
          <w:rFonts w:ascii="Times New Roman" w:hAnsi="Times New Roman" w:cs="Times New Roman"/>
          <w:lang w:val="en-GB"/>
        </w:rPr>
        <w:t xml:space="preserve"> theoretical approach</w:t>
      </w:r>
      <w:bookmarkEnd w:id="19"/>
    </w:p>
    <w:p w14:paraId="70E704B8" w14:textId="77777777" w:rsidR="00AA6C0B" w:rsidRPr="00852542" w:rsidRDefault="00AA6C0B" w:rsidP="00AA6C0B">
      <w:pPr>
        <w:spacing w:line="360" w:lineRule="auto"/>
        <w:jc w:val="both"/>
        <w:rPr>
          <w:rFonts w:ascii="Times New Roman" w:hAnsi="Times New Roman" w:cs="Times New Roman"/>
          <w:lang w:val="en-GB"/>
        </w:rPr>
      </w:pPr>
      <w:r w:rsidRPr="00852542">
        <w:rPr>
          <w:rFonts w:ascii="Times New Roman" w:hAnsi="Times New Roman" w:cs="Times New Roman"/>
          <w:lang w:val="en-GB"/>
        </w:rPr>
        <w:t>The p</w:t>
      </w:r>
      <w:r>
        <w:rPr>
          <w:rFonts w:ascii="Times New Roman" w:hAnsi="Times New Roman" w:cs="Times New Roman"/>
          <w:lang w:val="en-GB"/>
        </w:rPr>
        <w:t>olicy cycle paints, as a model</w:t>
      </w:r>
      <w:r w:rsidRPr="00852542">
        <w:rPr>
          <w:rFonts w:ascii="Times New Roman" w:hAnsi="Times New Roman" w:cs="Times New Roman"/>
          <w:lang w:val="en-GB"/>
        </w:rPr>
        <w:t xml:space="preserve"> consisting</w:t>
      </w:r>
      <w:r>
        <w:rPr>
          <w:rFonts w:ascii="Times New Roman" w:hAnsi="Times New Roman" w:cs="Times New Roman"/>
          <w:lang w:val="en-GB"/>
        </w:rPr>
        <w:t xml:space="preserve"> of phases,</w:t>
      </w:r>
      <w:r w:rsidRPr="00852542">
        <w:rPr>
          <w:rFonts w:ascii="Times New Roman" w:hAnsi="Times New Roman" w:cs="Times New Roman"/>
          <w:lang w:val="en-GB"/>
        </w:rPr>
        <w:t xml:space="preserve"> an ideal picture of how policy is made. It is a template to systemize the phases and enables to analyse the processes as a whole from a logical perspective. As a critique it can be argued that the </w:t>
      </w:r>
      <w:r>
        <w:rPr>
          <w:rFonts w:ascii="Times New Roman" w:hAnsi="Times New Roman" w:cs="Times New Roman"/>
          <w:lang w:val="en-GB"/>
        </w:rPr>
        <w:t>policy cycle isn’t a theoretical model</w:t>
      </w:r>
      <w:r w:rsidRPr="00852542">
        <w:rPr>
          <w:rFonts w:ascii="Times New Roman" w:hAnsi="Times New Roman" w:cs="Times New Roman"/>
          <w:lang w:val="en-GB"/>
        </w:rPr>
        <w:t xml:space="preserve"> in the classical sense. There isn’t a clear line of causes and no verifiable hypothesis</w:t>
      </w:r>
      <w:r>
        <w:rPr>
          <w:rFonts w:ascii="Times New Roman" w:hAnsi="Times New Roman" w:cs="Times New Roman"/>
          <w:lang w:val="en-GB"/>
        </w:rPr>
        <w:t>es</w:t>
      </w:r>
      <w:r w:rsidRPr="00852542">
        <w:rPr>
          <w:rFonts w:ascii="Times New Roman" w:hAnsi="Times New Roman" w:cs="Times New Roman"/>
          <w:lang w:val="en-GB"/>
        </w:rPr>
        <w:t>.</w:t>
      </w:r>
      <w:r>
        <w:rPr>
          <w:rFonts w:ascii="Times New Roman" w:hAnsi="Times New Roman" w:cs="Times New Roman"/>
          <w:lang w:val="en-GB"/>
        </w:rPr>
        <w:t xml:space="preserve"> Furthermore, as already mentioned, the phases described in the cycle don’t occur as clear and distinct in reality as the model would suggest. Last but not least the model describes from a strict top-down perspective, where the interaction between the different levels of the policy process don’t play an important role.  While it is true, that the policy cycle isn’t able to test hypotheses, it can be used to determine logical connections after studying a specific case. And while it also is true, that the phases in reality rarely are as strict divided as in the policy cycle, it later can be seen that the phases in the case of the procurement directive are quite distinct. As such I would argue, that the policy cycle model </w:t>
      </w:r>
      <w:proofErr w:type="gramStart"/>
      <w:r>
        <w:rPr>
          <w:rFonts w:ascii="Times New Roman" w:hAnsi="Times New Roman" w:cs="Times New Roman"/>
          <w:lang w:val="en-GB"/>
        </w:rPr>
        <w:t>is  a</w:t>
      </w:r>
      <w:proofErr w:type="gramEnd"/>
      <w:r>
        <w:rPr>
          <w:rFonts w:ascii="Times New Roman" w:hAnsi="Times New Roman" w:cs="Times New Roman"/>
          <w:lang w:val="en-GB"/>
        </w:rPr>
        <w:t xml:space="preserve"> good choice for the later analysis of the European Procurement Directive.</w:t>
      </w:r>
    </w:p>
    <w:p w14:paraId="74F8E0EB" w14:textId="2853AAA5" w:rsidR="00CE6166" w:rsidRDefault="00BC2BF7" w:rsidP="00BF1A52">
      <w:pPr>
        <w:spacing w:line="360" w:lineRule="auto"/>
        <w:jc w:val="both"/>
        <w:rPr>
          <w:rFonts w:ascii="Times New Roman" w:hAnsi="Times New Roman" w:cs="Times New Roman"/>
          <w:lang w:val="en-GB"/>
        </w:rPr>
      </w:pPr>
      <w:r w:rsidRPr="00BC2BF7">
        <w:rPr>
          <w:rFonts w:ascii="Times New Roman" w:hAnsi="Times New Roman" w:cs="Times New Roman"/>
          <w:lang w:val="en-GB"/>
        </w:rPr>
        <w:lastRenderedPageBreak/>
        <w:t>The approach</w:t>
      </w:r>
      <w:r w:rsidR="00AA6C0B">
        <w:rPr>
          <w:rFonts w:ascii="Times New Roman" w:hAnsi="Times New Roman" w:cs="Times New Roman"/>
          <w:lang w:val="en-GB"/>
        </w:rPr>
        <w:t xml:space="preserve"> taken</w:t>
      </w:r>
      <w:r w:rsidRPr="00BC2BF7">
        <w:rPr>
          <w:rFonts w:ascii="Times New Roman" w:hAnsi="Times New Roman" w:cs="Times New Roman"/>
          <w:lang w:val="en-GB"/>
        </w:rPr>
        <w:t xml:space="preserve"> </w:t>
      </w:r>
      <w:r>
        <w:rPr>
          <w:rFonts w:ascii="Times New Roman" w:hAnsi="Times New Roman" w:cs="Times New Roman"/>
          <w:lang w:val="en-GB"/>
        </w:rPr>
        <w:t>in this project basically mirrors</w:t>
      </w:r>
      <w:r w:rsidRPr="00BC2BF7">
        <w:rPr>
          <w:rFonts w:ascii="Times New Roman" w:hAnsi="Times New Roman" w:cs="Times New Roman"/>
          <w:lang w:val="en-GB"/>
        </w:rPr>
        <w:t xml:space="preserve"> the decision ma</w:t>
      </w:r>
      <w:r>
        <w:rPr>
          <w:rFonts w:ascii="Times New Roman" w:hAnsi="Times New Roman" w:cs="Times New Roman"/>
          <w:lang w:val="en-GB"/>
        </w:rPr>
        <w:t>king process on national level, especially within decentralized states such as for example Germany</w:t>
      </w:r>
      <w:r w:rsidR="00CF0D64">
        <w:rPr>
          <w:rFonts w:ascii="Times New Roman" w:hAnsi="Times New Roman" w:cs="Times New Roman"/>
          <w:lang w:val="en-GB"/>
        </w:rPr>
        <w:t xml:space="preserve">. Instead of taking this internal politics approach, it could be thinkable to incorporate theories of international relations to analyse </w:t>
      </w:r>
      <w:r w:rsidR="00AA6C0B">
        <w:rPr>
          <w:rFonts w:ascii="Times New Roman" w:hAnsi="Times New Roman" w:cs="Times New Roman"/>
          <w:lang w:val="en-GB"/>
        </w:rPr>
        <w:t xml:space="preserve">the negotiations of the </w:t>
      </w:r>
      <w:r w:rsidR="0007435D">
        <w:rPr>
          <w:rFonts w:ascii="Times New Roman" w:hAnsi="Times New Roman" w:cs="Times New Roman"/>
          <w:lang w:val="en-GB"/>
        </w:rPr>
        <w:t>revision</w:t>
      </w:r>
      <w:r w:rsidR="00CF0D64">
        <w:rPr>
          <w:rFonts w:ascii="Times New Roman" w:hAnsi="Times New Roman" w:cs="Times New Roman"/>
          <w:lang w:val="en-GB"/>
        </w:rPr>
        <w:t>. As for this project it though was chosen to go for an internal politics approach, since the actors focused on, Danske Regioner and Kommunernes Landsforening, don’t have the same options to react as a national state</w:t>
      </w:r>
      <w:r w:rsidR="0007435D">
        <w:rPr>
          <w:rFonts w:ascii="Times New Roman" w:hAnsi="Times New Roman" w:cs="Times New Roman"/>
          <w:lang w:val="en-GB"/>
        </w:rPr>
        <w:t>s</w:t>
      </w:r>
      <w:r w:rsidR="00CF0D64">
        <w:rPr>
          <w:rFonts w:ascii="Times New Roman" w:hAnsi="Times New Roman" w:cs="Times New Roman"/>
          <w:lang w:val="en-GB"/>
        </w:rPr>
        <w:t xml:space="preserve">, don’t have any official power in Brussels and don’t have any leverage when bargaining. Their work and role in Brussels doesn’t differ </w:t>
      </w:r>
      <w:r w:rsidR="00D64FD3">
        <w:rPr>
          <w:rFonts w:ascii="Times New Roman" w:hAnsi="Times New Roman" w:cs="Times New Roman"/>
          <w:lang w:val="en-GB"/>
        </w:rPr>
        <w:t xml:space="preserve">much </w:t>
      </w:r>
      <w:r w:rsidR="00CF0D64">
        <w:rPr>
          <w:rFonts w:ascii="Times New Roman" w:hAnsi="Times New Roman" w:cs="Times New Roman"/>
          <w:lang w:val="en-GB"/>
        </w:rPr>
        <w:t>from their work in Denmark.</w:t>
      </w:r>
      <w:r w:rsidR="00D64FD3">
        <w:rPr>
          <w:rFonts w:ascii="Times New Roman" w:hAnsi="Times New Roman" w:cs="Times New Roman"/>
          <w:lang w:val="en-GB"/>
        </w:rPr>
        <w:t xml:space="preserve"> </w:t>
      </w:r>
    </w:p>
    <w:p w14:paraId="57FA9B30" w14:textId="1AFBC015" w:rsidR="00CE6166" w:rsidRPr="005D43BB" w:rsidRDefault="00CE6166" w:rsidP="00BF1A52">
      <w:pPr>
        <w:pStyle w:val="Heading1"/>
        <w:spacing w:line="360" w:lineRule="auto"/>
        <w:jc w:val="both"/>
        <w:rPr>
          <w:rFonts w:ascii="Times New Roman" w:hAnsi="Times New Roman" w:cs="Times New Roman"/>
          <w:lang w:val="en-GB"/>
        </w:rPr>
      </w:pPr>
      <w:bookmarkStart w:id="20" w:name="_Toc289250853"/>
      <w:r>
        <w:rPr>
          <w:rFonts w:ascii="Times New Roman" w:hAnsi="Times New Roman" w:cs="Times New Roman"/>
          <w:lang w:val="en-GB"/>
        </w:rPr>
        <w:t>5</w:t>
      </w:r>
      <w:r w:rsidRPr="005D43BB">
        <w:rPr>
          <w:rFonts w:ascii="Times New Roman" w:hAnsi="Times New Roman" w:cs="Times New Roman"/>
          <w:lang w:val="en-GB"/>
        </w:rPr>
        <w:t>.0 Lo</w:t>
      </w:r>
      <w:r>
        <w:rPr>
          <w:rFonts w:ascii="Times New Roman" w:hAnsi="Times New Roman" w:cs="Times New Roman"/>
          <w:lang w:val="en-GB"/>
        </w:rPr>
        <w:t>cal authorities and their influenc</w:t>
      </w:r>
      <w:r w:rsidRPr="005D43BB">
        <w:rPr>
          <w:rFonts w:ascii="Times New Roman" w:hAnsi="Times New Roman" w:cs="Times New Roman"/>
          <w:lang w:val="en-GB"/>
        </w:rPr>
        <w:t>e on EU policy</w:t>
      </w:r>
      <w:bookmarkEnd w:id="20"/>
    </w:p>
    <w:p w14:paraId="4420564E" w14:textId="77777777" w:rsidR="00CE6166" w:rsidRPr="005D43BB" w:rsidRDefault="00CE6166"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Local authorities throughout Europe have the possibility to participate actively in shaping policies that concern the local community. Officially they are even encouraged to contribute the process, as the EU has the goal to make politics as close to the final consumer as possible. This chapter’s aim is to sketch a picture of how and with what means, it is thought able to achieve the EU’s wish of being as close to the citizen as possible and the local governments desire to be heard in the EU and take influence. In the following it will be described what lobbyism consist of and who, in the Danish case, are the most important actors to consider. </w:t>
      </w:r>
    </w:p>
    <w:p w14:paraId="279BCE52" w14:textId="1804F761" w:rsidR="00CE6166" w:rsidRPr="005D43BB" w:rsidRDefault="00CE6166" w:rsidP="00BF1A52">
      <w:pPr>
        <w:pStyle w:val="Heading2"/>
        <w:spacing w:line="360" w:lineRule="auto"/>
        <w:jc w:val="both"/>
        <w:rPr>
          <w:rFonts w:ascii="Times New Roman" w:hAnsi="Times New Roman" w:cs="Times New Roman"/>
          <w:lang w:val="en-GB"/>
        </w:rPr>
      </w:pPr>
      <w:bookmarkStart w:id="21" w:name="_Toc289250854"/>
      <w:r>
        <w:rPr>
          <w:rFonts w:ascii="Times New Roman" w:hAnsi="Times New Roman" w:cs="Times New Roman"/>
          <w:lang w:val="en-GB"/>
        </w:rPr>
        <w:t>5.1</w:t>
      </w:r>
      <w:r w:rsidRPr="005D43BB">
        <w:rPr>
          <w:rFonts w:ascii="Times New Roman" w:hAnsi="Times New Roman" w:cs="Times New Roman"/>
          <w:lang w:val="en-GB"/>
        </w:rPr>
        <w:t xml:space="preserve"> Kommunernes Landsforening</w:t>
      </w:r>
      <w:r>
        <w:rPr>
          <w:rFonts w:ascii="Times New Roman" w:hAnsi="Times New Roman" w:cs="Times New Roman"/>
          <w:lang w:val="en-GB"/>
        </w:rPr>
        <w:t xml:space="preserve"> / Danske</w:t>
      </w:r>
      <w:r w:rsidRPr="00740872">
        <w:rPr>
          <w:rFonts w:ascii="Times New Roman" w:hAnsi="Times New Roman" w:cs="Times New Roman"/>
          <w:lang w:val="en-GB"/>
        </w:rPr>
        <w:t xml:space="preserve"> </w:t>
      </w:r>
      <w:r>
        <w:rPr>
          <w:rFonts w:ascii="Times New Roman" w:hAnsi="Times New Roman" w:cs="Times New Roman"/>
          <w:lang w:val="en-GB"/>
        </w:rPr>
        <w:t>Regioner</w:t>
      </w:r>
      <w:bookmarkEnd w:id="21"/>
    </w:p>
    <w:p w14:paraId="1F46ED6B" w14:textId="77777777" w:rsidR="00CE6166" w:rsidRDefault="00CE6166"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Kommunernes Landsforening as well as Danske Regioner, </w:t>
      </w:r>
      <w:proofErr w:type="gramStart"/>
      <w:r>
        <w:rPr>
          <w:rFonts w:ascii="Times New Roman" w:hAnsi="Times New Roman" w:cs="Times New Roman"/>
          <w:lang w:val="en-GB"/>
        </w:rPr>
        <w:t>have</w:t>
      </w:r>
      <w:proofErr w:type="gramEnd"/>
      <w:r>
        <w:rPr>
          <w:rFonts w:ascii="Times New Roman" w:hAnsi="Times New Roman" w:cs="Times New Roman"/>
          <w:lang w:val="en-GB"/>
        </w:rPr>
        <w:t xml:space="preserve"> permanent representations in Brussels, where their main task is to assist their members who participate in plenary sessions and commissions of the Committee of the Regions. Furthermore they try to establish and maintain a tight and close network with the European Commission and other actors, like the Danish EU parliamentarians to discuss the Danish municipalities opinions and coordinate their interests. Those contacts are in general used to discuss current issues on the European agenda that concern Danish municipalities and regions. Since issues in many cases are treated simultaneously in the European Parliament and the Committee of the Regions, the </w:t>
      </w:r>
      <w:r>
        <w:rPr>
          <w:rFonts w:ascii="Times New Roman" w:hAnsi="Times New Roman" w:cs="Times New Roman"/>
          <w:lang w:val="en-GB"/>
        </w:rPr>
        <w:lastRenderedPageBreak/>
        <w:t>ties that have been established through those offices can benefit both sides and help to get the best deal for the Danish municipalities and regions.</w:t>
      </w:r>
      <w:r>
        <w:rPr>
          <w:rStyle w:val="FootnoteReference"/>
          <w:rFonts w:cs="Times New Roman"/>
          <w:lang w:val="en-GB"/>
        </w:rPr>
        <w:footnoteReference w:id="58"/>
      </w:r>
      <w:r>
        <w:rPr>
          <w:rFonts w:ascii="Times New Roman" w:hAnsi="Times New Roman" w:cs="Times New Roman"/>
          <w:lang w:val="en-GB"/>
        </w:rPr>
        <w:t xml:space="preserve"> </w:t>
      </w:r>
    </w:p>
    <w:p w14:paraId="6D222188" w14:textId="592110A8" w:rsidR="00A76DB7" w:rsidRDefault="00CE6166" w:rsidP="00BF1A52">
      <w:pPr>
        <w:spacing w:line="360" w:lineRule="auto"/>
        <w:jc w:val="both"/>
        <w:rPr>
          <w:rFonts w:ascii="Times New Roman" w:hAnsi="Times New Roman" w:cs="Times New Roman"/>
          <w:lang w:val="en-GB"/>
        </w:rPr>
      </w:pPr>
      <w:r>
        <w:rPr>
          <w:rFonts w:ascii="Times New Roman" w:hAnsi="Times New Roman" w:cs="Times New Roman"/>
          <w:lang w:val="en-GB"/>
        </w:rPr>
        <w:t>Danske Regioner mainta</w:t>
      </w:r>
      <w:r w:rsidR="007574E3">
        <w:rPr>
          <w:rFonts w:ascii="Times New Roman" w:hAnsi="Times New Roman" w:cs="Times New Roman"/>
          <w:lang w:val="en-GB"/>
        </w:rPr>
        <w:t>in an office in Bruxelles since</w:t>
      </w:r>
      <w:r w:rsidR="00CE6743">
        <w:rPr>
          <w:rFonts w:ascii="Times New Roman" w:hAnsi="Times New Roman" w:cs="Times New Roman"/>
          <w:lang w:val="en-GB"/>
        </w:rPr>
        <w:t xml:space="preserve"> 1991</w:t>
      </w:r>
      <w:r w:rsidR="007574E3">
        <w:rPr>
          <w:rStyle w:val="FootnoteReference"/>
          <w:rFonts w:cs="Times New Roman"/>
          <w:lang w:val="en-GB"/>
        </w:rPr>
        <w:footnoteReference w:id="59"/>
      </w:r>
      <w:r>
        <w:rPr>
          <w:rFonts w:ascii="Times New Roman" w:hAnsi="Times New Roman" w:cs="Times New Roman"/>
          <w:lang w:val="en-GB"/>
        </w:rPr>
        <w:t>, but only after heated discussions with the Danish government, which for a long time didn’t approve the idea of having a direct competitor in external relations.</w:t>
      </w:r>
      <w:r>
        <w:rPr>
          <w:rStyle w:val="FootnoteReference"/>
          <w:rFonts w:cs="Times New Roman"/>
          <w:lang w:val="en-GB"/>
        </w:rPr>
        <w:footnoteReference w:id="60"/>
      </w:r>
      <w:r w:rsidR="004279B8">
        <w:rPr>
          <w:rFonts w:ascii="Times New Roman" w:hAnsi="Times New Roman" w:cs="Times New Roman"/>
          <w:lang w:val="en-GB"/>
        </w:rPr>
        <w:t xml:space="preserve"> </w:t>
      </w:r>
    </w:p>
    <w:p w14:paraId="5B8DF389" w14:textId="27159654" w:rsidR="004279B8" w:rsidRDefault="004279B8" w:rsidP="00BF1A52">
      <w:pPr>
        <w:spacing w:line="360" w:lineRule="auto"/>
        <w:jc w:val="both"/>
        <w:rPr>
          <w:rFonts w:ascii="Times New Roman" w:hAnsi="Times New Roman" w:cs="Times New Roman"/>
          <w:lang w:val="en-GB"/>
        </w:rPr>
      </w:pPr>
      <w:r>
        <w:rPr>
          <w:rFonts w:ascii="Times New Roman" w:hAnsi="Times New Roman" w:cs="Times New Roman"/>
          <w:lang w:val="en-GB"/>
        </w:rPr>
        <w:t>Both Kommunernes Landsforneing and Danske Regioner are partners in the Council of European Municipalities and Regions (CEMR). This organization has been founded in 1951 and has since aimed to promote a united Europe on the basis of subsidiarity. This is done through two main working areas, the active influencing of European policy and legislation affecting municipalities</w:t>
      </w:r>
      <w:r w:rsidR="00CE6743">
        <w:rPr>
          <w:rFonts w:ascii="Times New Roman" w:hAnsi="Times New Roman" w:cs="Times New Roman"/>
          <w:lang w:val="en-GB"/>
        </w:rPr>
        <w:t xml:space="preserve"> and/or regions and</w:t>
      </w:r>
      <w:r>
        <w:rPr>
          <w:rFonts w:ascii="Times New Roman" w:hAnsi="Times New Roman" w:cs="Times New Roman"/>
          <w:lang w:val="en-GB"/>
        </w:rPr>
        <w:t xml:space="preserve"> providing a forum for discussion where representatives for local governments can meet.</w:t>
      </w:r>
      <w:r w:rsidR="000932D8">
        <w:rPr>
          <w:rStyle w:val="FootnoteReference"/>
          <w:rFonts w:cs="Times New Roman"/>
          <w:lang w:val="en-GB"/>
        </w:rPr>
        <w:footnoteReference w:id="61"/>
      </w:r>
      <w:r>
        <w:rPr>
          <w:rFonts w:ascii="Times New Roman" w:hAnsi="Times New Roman" w:cs="Times New Roman"/>
          <w:lang w:val="en-GB"/>
        </w:rPr>
        <w:t xml:space="preserve"> </w:t>
      </w:r>
    </w:p>
    <w:p w14:paraId="77E1EA16" w14:textId="524F29F3" w:rsidR="00CE6166" w:rsidRPr="005D43BB" w:rsidRDefault="00CE6166" w:rsidP="00BF1A52">
      <w:pPr>
        <w:pStyle w:val="Heading2"/>
        <w:spacing w:line="360" w:lineRule="auto"/>
        <w:jc w:val="both"/>
        <w:rPr>
          <w:rFonts w:ascii="Times New Roman" w:hAnsi="Times New Roman" w:cs="Times New Roman"/>
          <w:lang w:val="en-GB"/>
        </w:rPr>
      </w:pPr>
      <w:bookmarkStart w:id="22" w:name="_Toc289250855"/>
      <w:r>
        <w:rPr>
          <w:rFonts w:ascii="Times New Roman" w:hAnsi="Times New Roman" w:cs="Times New Roman"/>
          <w:lang w:val="en-GB"/>
        </w:rPr>
        <w:t>5.2</w:t>
      </w:r>
      <w:r w:rsidRPr="005D43BB">
        <w:rPr>
          <w:rFonts w:ascii="Times New Roman" w:hAnsi="Times New Roman" w:cs="Times New Roman"/>
          <w:lang w:val="en-GB"/>
        </w:rPr>
        <w:t xml:space="preserve"> Committee of the regions</w:t>
      </w:r>
      <w:bookmarkEnd w:id="22"/>
    </w:p>
    <w:p w14:paraId="30DE3B17" w14:textId="77777777" w:rsidR="00CE6166" w:rsidRPr="005D43BB" w:rsidRDefault="00CE6166" w:rsidP="00BF1A52">
      <w:pPr>
        <w:spacing w:line="360" w:lineRule="auto"/>
        <w:jc w:val="both"/>
        <w:rPr>
          <w:rFonts w:ascii="Times New Roman" w:hAnsi="Times New Roman" w:cs="Times New Roman"/>
          <w:lang w:val="en-GB"/>
        </w:rPr>
      </w:pPr>
      <w:r w:rsidRPr="005D43BB">
        <w:rPr>
          <w:rFonts w:ascii="Times New Roman" w:hAnsi="Times New Roman" w:cs="Times New Roman"/>
          <w:lang w:val="en-GB"/>
        </w:rPr>
        <w:t>The committee of the regions was established in 1994, according to the Maastricht Treaty and serves as an assembly of local and regional representatives, who ensure local governments a voice within the EU. The big leap in European integration, the Maastricht Treaty was, made it necessary to legitimize EU’s decision making by bringing it closer to the citizens.</w:t>
      </w:r>
      <w:r>
        <w:rPr>
          <w:rFonts w:ascii="Times New Roman" w:hAnsi="Times New Roman" w:cs="Times New Roman"/>
          <w:lang w:val="en-GB"/>
        </w:rPr>
        <w:tab/>
        <w:t>The</w:t>
      </w:r>
      <w:r w:rsidRPr="005D43BB">
        <w:rPr>
          <w:rFonts w:ascii="Times New Roman" w:hAnsi="Times New Roman" w:cs="Times New Roman"/>
          <w:lang w:val="en-GB"/>
        </w:rPr>
        <w:t xml:space="preserve"> Committee of the Regions role was strengthened over time by the: </w:t>
      </w:r>
    </w:p>
    <w:p w14:paraId="588DA6D0" w14:textId="77777777" w:rsidR="00CE6166" w:rsidRPr="005D43BB" w:rsidRDefault="00CE6166" w:rsidP="00BF1A52">
      <w:pPr>
        <w:spacing w:line="360" w:lineRule="auto"/>
        <w:jc w:val="both"/>
        <w:rPr>
          <w:rFonts w:ascii="Times New Roman" w:hAnsi="Times New Roman" w:cs="Times New Roman"/>
          <w:lang w:val="en-GB"/>
        </w:rPr>
      </w:pPr>
      <w:r w:rsidRPr="005D43BB">
        <w:rPr>
          <w:rFonts w:ascii="Times New Roman" w:hAnsi="Times New Roman" w:cs="Times New Roman"/>
          <w:b/>
          <w:lang w:val="en-GB"/>
        </w:rPr>
        <w:t>Amsterdam Treaty (1997)</w:t>
      </w:r>
      <w:r w:rsidRPr="005D43BB">
        <w:rPr>
          <w:rFonts w:ascii="Times New Roman" w:hAnsi="Times New Roman" w:cs="Times New Roman"/>
          <w:lang w:val="en-GB"/>
        </w:rPr>
        <w:t xml:space="preserve"> – It was made possible for the Committee to also be consulted by the European Parliament</w:t>
      </w:r>
    </w:p>
    <w:p w14:paraId="4D456203" w14:textId="77777777" w:rsidR="00CE6166" w:rsidRPr="005D43BB" w:rsidRDefault="00CE6166" w:rsidP="00BF1A52">
      <w:pPr>
        <w:spacing w:line="360" w:lineRule="auto"/>
        <w:jc w:val="both"/>
        <w:rPr>
          <w:rFonts w:ascii="Times New Roman" w:hAnsi="Times New Roman" w:cs="Times New Roman"/>
          <w:lang w:val="en-GB"/>
        </w:rPr>
      </w:pPr>
      <w:r w:rsidRPr="005D43BB">
        <w:rPr>
          <w:rFonts w:ascii="Times New Roman" w:hAnsi="Times New Roman" w:cs="Times New Roman"/>
          <w:b/>
          <w:lang w:val="en-GB"/>
        </w:rPr>
        <w:t>Nice Treaty (2001)</w:t>
      </w:r>
      <w:r w:rsidRPr="005D43BB">
        <w:rPr>
          <w:rFonts w:ascii="Times New Roman" w:hAnsi="Times New Roman" w:cs="Times New Roman"/>
          <w:lang w:val="en-GB"/>
        </w:rPr>
        <w:t xml:space="preserve"> – Members of the Committee are required to be elected or accountable to local governments</w:t>
      </w:r>
    </w:p>
    <w:p w14:paraId="79CDEEDE" w14:textId="77777777" w:rsidR="00CE6166" w:rsidRPr="005D43BB" w:rsidRDefault="00CE6166" w:rsidP="00BF1A52">
      <w:pPr>
        <w:spacing w:line="360" w:lineRule="auto"/>
        <w:jc w:val="both"/>
        <w:rPr>
          <w:rFonts w:ascii="Times New Roman" w:hAnsi="Times New Roman" w:cs="Times New Roman"/>
          <w:lang w:val="en-GB"/>
        </w:rPr>
      </w:pPr>
      <w:r w:rsidRPr="005D43BB">
        <w:rPr>
          <w:rFonts w:ascii="Times New Roman" w:hAnsi="Times New Roman" w:cs="Times New Roman"/>
          <w:b/>
          <w:lang w:val="en-GB"/>
        </w:rPr>
        <w:t>Lisbon Treaty (2007)</w:t>
      </w:r>
      <w:r w:rsidRPr="005D43BB">
        <w:rPr>
          <w:rFonts w:ascii="Times New Roman" w:hAnsi="Times New Roman" w:cs="Times New Roman"/>
          <w:lang w:val="en-GB"/>
        </w:rPr>
        <w:t xml:space="preserve"> – The Committees right to appeal to the Court of Justice of the European Union was confirmed.</w:t>
      </w:r>
      <w:r w:rsidRPr="005D43BB">
        <w:rPr>
          <w:rStyle w:val="FootnoteReference"/>
          <w:rFonts w:cs="Times New Roman"/>
          <w:lang w:val="en-GB"/>
        </w:rPr>
        <w:footnoteReference w:id="62"/>
      </w:r>
      <w:r w:rsidRPr="005D43BB">
        <w:rPr>
          <w:rFonts w:ascii="Times New Roman" w:hAnsi="Times New Roman" w:cs="Times New Roman"/>
          <w:lang w:val="en-GB"/>
        </w:rPr>
        <w:t xml:space="preserve"> </w:t>
      </w:r>
    </w:p>
    <w:p w14:paraId="4A9FE921" w14:textId="2AE4095A" w:rsidR="00CE6743" w:rsidRDefault="00CE6166" w:rsidP="00BF1A52">
      <w:pPr>
        <w:spacing w:line="360" w:lineRule="auto"/>
        <w:jc w:val="both"/>
        <w:rPr>
          <w:rFonts w:ascii="Times New Roman" w:hAnsi="Times New Roman" w:cs="Times New Roman"/>
          <w:lang w:val="en-GB"/>
        </w:rPr>
      </w:pPr>
      <w:r w:rsidRPr="005D43BB">
        <w:rPr>
          <w:rFonts w:ascii="Times New Roman" w:hAnsi="Times New Roman" w:cs="Times New Roman"/>
          <w:lang w:val="en-GB"/>
        </w:rPr>
        <w:t>According to the Committees Mission Statement from April 2009 they are an</w:t>
      </w:r>
      <w:r w:rsidR="00CE6743">
        <w:rPr>
          <w:rFonts w:ascii="Times New Roman" w:hAnsi="Times New Roman" w:cs="Times New Roman"/>
          <w:lang w:val="en-GB"/>
        </w:rPr>
        <w:t>…</w:t>
      </w:r>
    </w:p>
    <w:p w14:paraId="1022002B" w14:textId="77777777" w:rsidR="00CE6743" w:rsidRDefault="00CE6743" w:rsidP="00BF1A52">
      <w:pPr>
        <w:spacing w:line="360" w:lineRule="auto"/>
        <w:jc w:val="both"/>
        <w:rPr>
          <w:rFonts w:ascii="Times New Roman" w:hAnsi="Times New Roman" w:cs="Times New Roman"/>
          <w:lang w:val="en-GB"/>
        </w:rPr>
      </w:pPr>
    </w:p>
    <w:p w14:paraId="036D2AF2" w14:textId="77777777" w:rsidR="00CE6743" w:rsidRDefault="00CE6166" w:rsidP="00BF1A52">
      <w:pPr>
        <w:spacing w:line="360" w:lineRule="auto"/>
        <w:jc w:val="both"/>
        <w:rPr>
          <w:rFonts w:ascii="Times New Roman" w:hAnsi="Times New Roman" w:cs="Times New Roman"/>
          <w:lang w:val="en-GB"/>
        </w:rPr>
      </w:pPr>
      <w:r w:rsidRPr="005D43BB">
        <w:rPr>
          <w:rFonts w:ascii="Times New Roman" w:hAnsi="Times New Roman" w:cs="Times New Roman"/>
          <w:i/>
          <w:lang w:val="en-GB"/>
        </w:rPr>
        <w:t>“</w:t>
      </w:r>
      <w:proofErr w:type="gramStart"/>
      <w:r w:rsidRPr="005D43BB">
        <w:rPr>
          <w:rFonts w:ascii="Times New Roman" w:hAnsi="Times New Roman" w:cs="Times New Roman"/>
          <w:i/>
          <w:lang w:val="en-GB"/>
        </w:rPr>
        <w:t>assembly</w:t>
      </w:r>
      <w:proofErr w:type="gramEnd"/>
      <w:r w:rsidRPr="005D43BB">
        <w:rPr>
          <w:rFonts w:ascii="Times New Roman" w:hAnsi="Times New Roman" w:cs="Times New Roman"/>
          <w:i/>
          <w:lang w:val="en-GB"/>
        </w:rPr>
        <w:t xml:space="preserve"> of holders of a regional or local electoral mandate serving the cause of European integration”</w:t>
      </w:r>
      <w:r w:rsidRPr="005D43BB">
        <w:rPr>
          <w:rFonts w:ascii="Times New Roman" w:hAnsi="Times New Roman" w:cs="Times New Roman"/>
          <w:lang w:val="en-GB"/>
        </w:rPr>
        <w:t xml:space="preserve"> with the mission </w:t>
      </w:r>
      <w:r w:rsidRPr="005D43BB">
        <w:rPr>
          <w:rFonts w:ascii="Times New Roman" w:hAnsi="Times New Roman" w:cs="Times New Roman"/>
          <w:i/>
          <w:lang w:val="en-GB"/>
        </w:rPr>
        <w:t xml:space="preserve">”to involve regional and local authorities in </w:t>
      </w:r>
      <w:r w:rsidRPr="005D43BB">
        <w:rPr>
          <w:rFonts w:ascii="Times New Roman" w:hAnsi="Times New Roman" w:cs="Times New Roman"/>
          <w:i/>
          <w:lang w:val="en-GB"/>
        </w:rPr>
        <w:lastRenderedPageBreak/>
        <w:t>the European decision-making process and thus to encourage greater participation from our fellow citizens”</w:t>
      </w:r>
      <w:r w:rsidRPr="005D43BB">
        <w:rPr>
          <w:rStyle w:val="FootnoteReference"/>
          <w:rFonts w:cs="Times New Roman"/>
          <w:i/>
          <w:lang w:val="en-GB"/>
        </w:rPr>
        <w:footnoteReference w:id="63"/>
      </w:r>
      <w:r w:rsidRPr="005D43BB">
        <w:rPr>
          <w:rFonts w:ascii="Times New Roman" w:hAnsi="Times New Roman" w:cs="Times New Roman"/>
          <w:lang w:val="en-GB"/>
        </w:rPr>
        <w:t>.</w:t>
      </w:r>
    </w:p>
    <w:p w14:paraId="6D25ECE7" w14:textId="77777777" w:rsidR="00CE6743" w:rsidRDefault="00CE6743" w:rsidP="00BF1A52">
      <w:pPr>
        <w:spacing w:line="360" w:lineRule="auto"/>
        <w:jc w:val="both"/>
        <w:rPr>
          <w:rFonts w:ascii="Times New Roman" w:hAnsi="Times New Roman" w:cs="Times New Roman"/>
          <w:lang w:val="en-GB"/>
        </w:rPr>
      </w:pPr>
    </w:p>
    <w:p w14:paraId="6C51BC6C" w14:textId="5F0565F9" w:rsidR="00CE6166" w:rsidRPr="005D43BB" w:rsidRDefault="00CE6166" w:rsidP="00BF1A52">
      <w:pPr>
        <w:spacing w:line="360" w:lineRule="auto"/>
        <w:jc w:val="both"/>
        <w:rPr>
          <w:rFonts w:ascii="Times New Roman" w:hAnsi="Times New Roman" w:cs="Times New Roman"/>
          <w:lang w:val="en-GB"/>
        </w:rPr>
      </w:pPr>
      <w:r w:rsidRPr="005D43BB">
        <w:rPr>
          <w:rFonts w:ascii="Times New Roman" w:hAnsi="Times New Roman" w:cs="Times New Roman"/>
          <w:lang w:val="en-GB"/>
        </w:rPr>
        <w:t>This task is met by close working ties with the European Commission, the European Parliament, the Council of the European Union and diverse authorities in the member states, in order to promote multilevel governance. The Committees work consists of voting on political recommendations and participation in the preparation of legislations, drawn from the experience and expertise from the authorities that most often are responsible for implementing legislation, the local and regional authorities. Furthermore the Committee sees itself as the guardian of the principles of subsidiarity and proportionality and is, as mentioned above, able to appeal to the Court of Justice of the European Union if they see the observance of those principles threatened.</w:t>
      </w:r>
      <w:r w:rsidRPr="005D43BB">
        <w:rPr>
          <w:rStyle w:val="FootnoteReference"/>
          <w:rFonts w:cs="Times New Roman"/>
          <w:lang w:val="en-GB"/>
        </w:rPr>
        <w:footnoteReference w:id="64"/>
      </w:r>
    </w:p>
    <w:p w14:paraId="16B66C27" w14:textId="77777777" w:rsidR="00CE6166" w:rsidRPr="005D43BB" w:rsidRDefault="00CE6166" w:rsidP="00BF1A52">
      <w:pPr>
        <w:spacing w:line="360" w:lineRule="auto"/>
        <w:jc w:val="both"/>
        <w:rPr>
          <w:rFonts w:ascii="Times New Roman" w:hAnsi="Times New Roman" w:cs="Times New Roman"/>
          <w:lang w:val="en-GB"/>
        </w:rPr>
      </w:pPr>
      <w:r w:rsidRPr="005D43BB">
        <w:rPr>
          <w:rFonts w:ascii="Times New Roman" w:hAnsi="Times New Roman" w:cs="Times New Roman"/>
          <w:lang w:val="en-GB"/>
        </w:rPr>
        <w:t>Those principles define the boundaries for the European Unions legislative work and will briefly be presented below, since they outline the fold of power of the EU and the regional governments respectively.</w:t>
      </w:r>
      <w:r w:rsidRPr="005D43BB">
        <w:rPr>
          <w:rFonts w:ascii="Times New Roman" w:hAnsi="Times New Roman" w:cs="Times New Roman"/>
          <w:lang w:val="en-GB"/>
        </w:rPr>
        <w:tab/>
        <w:t xml:space="preserve"> </w:t>
      </w:r>
      <w:r w:rsidRPr="005D43BB">
        <w:rPr>
          <w:rFonts w:ascii="Times New Roman" w:hAnsi="Times New Roman" w:cs="Times New Roman"/>
          <w:lang w:val="en-GB"/>
        </w:rPr>
        <w:br/>
      </w:r>
      <w:r w:rsidRPr="005D43BB">
        <w:rPr>
          <w:rFonts w:ascii="Times New Roman" w:hAnsi="Times New Roman" w:cs="Times New Roman"/>
          <w:b/>
          <w:lang w:val="en-GB"/>
        </w:rPr>
        <w:t xml:space="preserve">Subsidarity: </w:t>
      </w:r>
      <w:r w:rsidRPr="005D43BB">
        <w:rPr>
          <w:rFonts w:ascii="Times New Roman" w:hAnsi="Times New Roman" w:cs="Times New Roman"/>
          <w:lang w:val="en-GB"/>
        </w:rPr>
        <w:t>The principle of subsidiarity, as defined in Article 5 of the Treaty on European Union, ensures that decisions are made as close to the citizens as possible and that constant checks are made to make sure, that actions on EU level are within its limits, so that the possibilities for policy making on local and regional level are utilized to the fullest. It warrants that decisions on EU level only are made in case it’s more effective than on local, regional or national level, unless, of course, the decisions fall within the EU’s exclusive competences. Since the Treaty of Lisbon’s entry into force, the principle of subsidiarity is required to be respected in every legislative acts and national parliaments are enabled to object, with the consequence of for example amendment or withdrawal of the legislation.</w:t>
      </w:r>
      <w:r w:rsidRPr="005D43BB">
        <w:rPr>
          <w:rStyle w:val="FootnoteReference"/>
          <w:rFonts w:cs="Times New Roman"/>
          <w:lang w:val="en-GB"/>
        </w:rPr>
        <w:footnoteReference w:id="65"/>
      </w:r>
      <w:r w:rsidRPr="005D43BB">
        <w:rPr>
          <w:rFonts w:ascii="Times New Roman" w:hAnsi="Times New Roman" w:cs="Times New Roman"/>
          <w:lang w:val="en-GB"/>
        </w:rPr>
        <w:t xml:space="preserve"> </w:t>
      </w:r>
    </w:p>
    <w:p w14:paraId="6F5FE3D0" w14:textId="77777777" w:rsidR="00CE6166" w:rsidRPr="005D43BB" w:rsidRDefault="00CE6166" w:rsidP="00BF1A52">
      <w:pPr>
        <w:spacing w:line="360" w:lineRule="auto"/>
        <w:jc w:val="both"/>
        <w:rPr>
          <w:rFonts w:ascii="Times New Roman" w:hAnsi="Times New Roman" w:cs="Times New Roman"/>
          <w:lang w:val="en-GB"/>
        </w:rPr>
      </w:pPr>
      <w:r w:rsidRPr="005D43BB">
        <w:rPr>
          <w:rFonts w:ascii="Times New Roman" w:hAnsi="Times New Roman" w:cs="Times New Roman"/>
          <w:b/>
          <w:lang w:val="en-GB"/>
        </w:rPr>
        <w:t>Proportionality:</w:t>
      </w:r>
      <w:r w:rsidRPr="005D43BB">
        <w:rPr>
          <w:rFonts w:ascii="Times New Roman" w:hAnsi="Times New Roman" w:cs="Times New Roman"/>
          <w:lang w:val="en-GB"/>
        </w:rPr>
        <w:t xml:space="preserve"> As the principle of subsidiarity, the principle of proportionality regulates the bounds of power of the European Union. Basically it sets action and goals in proportion, which means that actions taken by European institutions shall be limited to what is necessary in order to achieve the objectives of the Treaties. The </w:t>
      </w:r>
      <w:r w:rsidRPr="005D43BB">
        <w:rPr>
          <w:rFonts w:ascii="Times New Roman" w:hAnsi="Times New Roman" w:cs="Times New Roman"/>
          <w:lang w:val="en-GB"/>
        </w:rPr>
        <w:lastRenderedPageBreak/>
        <w:t>principle of proportionality is as well defined in article 5 of the Treaty on European Union.</w:t>
      </w:r>
      <w:r w:rsidRPr="005D43BB">
        <w:rPr>
          <w:rStyle w:val="FootnoteReference"/>
          <w:rFonts w:cs="Times New Roman"/>
          <w:lang w:val="en-GB"/>
        </w:rPr>
        <w:footnoteReference w:id="66"/>
      </w:r>
    </w:p>
    <w:p w14:paraId="4CB3A5FC" w14:textId="77777777" w:rsidR="00CE6166" w:rsidRDefault="00CE6166" w:rsidP="00BF1A52">
      <w:pPr>
        <w:spacing w:line="360" w:lineRule="auto"/>
        <w:jc w:val="both"/>
        <w:rPr>
          <w:rFonts w:ascii="Times New Roman" w:hAnsi="Times New Roman" w:cs="Times New Roman"/>
          <w:lang w:val="en-GB"/>
        </w:rPr>
      </w:pPr>
      <w:r w:rsidRPr="005D43BB">
        <w:rPr>
          <w:rFonts w:ascii="Times New Roman" w:hAnsi="Times New Roman" w:cs="Times New Roman"/>
          <w:lang w:val="en-GB"/>
        </w:rPr>
        <w:t xml:space="preserve">In both cases, where the principles are breached, the Committee can address the Court of Justice of the European Union directly. </w:t>
      </w:r>
    </w:p>
    <w:p w14:paraId="22F3A577" w14:textId="77777777" w:rsidR="00CE6166" w:rsidRDefault="00CE6166"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As for the structure of the Committee of the Regions, it is divided into three working areas. A president elected for a 30-month period serves as head of the Committee, he guides the work, oversees plenary assemblies and serves as the Committees representative. In case he or she isn’t able to participate in meetings or perform his duties in general, a vice-president, who as well is elected for a period of 30 month, represents him or her. </w:t>
      </w:r>
      <w:r>
        <w:rPr>
          <w:rFonts w:ascii="Times New Roman" w:hAnsi="Times New Roman" w:cs="Times New Roman"/>
          <w:lang w:val="en-GB"/>
        </w:rPr>
        <w:tab/>
      </w:r>
      <w:r>
        <w:rPr>
          <w:rFonts w:ascii="Times New Roman" w:hAnsi="Times New Roman" w:cs="Times New Roman"/>
          <w:lang w:val="en-GB"/>
        </w:rPr>
        <w:br/>
        <w:t xml:space="preserve">The ruling body of the Committee compromises of the Bureau, in general it meets seven times a year to draft the Committees policy programme and to instruct the administration. The Bureau consists of 63 members, the president, the first vice-president and 28 vice-presidents, representing each member state. Furthermore the </w:t>
      </w:r>
      <w:r w:rsidRPr="00382FF5">
        <w:rPr>
          <w:rFonts w:ascii="Times New Roman" w:hAnsi="Times New Roman" w:cs="Times New Roman"/>
          <w:lang w:val="en-GB"/>
        </w:rPr>
        <w:t xml:space="preserve">presidents of the five political parties represented are participating, as well as 28 other members from the member states. </w:t>
      </w:r>
    </w:p>
    <w:p w14:paraId="781F95CD" w14:textId="77777777" w:rsidR="00CE6166" w:rsidRPr="00E32213" w:rsidRDefault="00CE6166" w:rsidP="00BF1A52">
      <w:pPr>
        <w:spacing w:line="360" w:lineRule="auto"/>
        <w:jc w:val="both"/>
        <w:rPr>
          <w:rFonts w:ascii="Times New Roman" w:hAnsi="Times New Roman" w:cs="Times New Roman"/>
          <w:lang w:val="en-GB"/>
        </w:rPr>
      </w:pPr>
      <w:r w:rsidRPr="00382FF5">
        <w:rPr>
          <w:rFonts w:ascii="Times New Roman" w:hAnsi="Times New Roman" w:cs="Times New Roman"/>
          <w:lang w:val="en-GB"/>
        </w:rPr>
        <w:t>In the Plenary Assembly, which consists of the 353 members of the Committee of the Regions, opinions and resolutions are discussed and adopted during six meetings a year, often accompanied by representatives of the Commission and the EU-presidency.</w:t>
      </w:r>
      <w:r>
        <w:rPr>
          <w:rStyle w:val="FootnoteReference"/>
          <w:rFonts w:cs="Times New Roman"/>
          <w:lang w:val="en-GB"/>
        </w:rPr>
        <w:footnoteReference w:id="67"/>
      </w:r>
      <w:r w:rsidRPr="00382FF5">
        <w:rPr>
          <w:rFonts w:ascii="Times New Roman" w:hAnsi="Times New Roman" w:cs="Times New Roman"/>
          <w:lang w:val="en-GB"/>
        </w:rPr>
        <w:t xml:space="preserve"> As mentioned further above the Committee members have to be local or regional representatives, who got their mandate through election or in another way can be held accountable to the local authorities they are representing. In the case of Denmark we talk about 9 representatives and an equal number of alternates. Three are representing the Danish regions and six are chosen from the municipalities. The only legal basis for the nomin</w:t>
      </w:r>
      <w:r>
        <w:rPr>
          <w:rFonts w:ascii="Times New Roman" w:hAnsi="Times New Roman" w:cs="Times New Roman"/>
          <w:lang w:val="en-GB"/>
        </w:rPr>
        <w:t>ation of the representatives is</w:t>
      </w:r>
      <w:r w:rsidRPr="00382FF5">
        <w:rPr>
          <w:rFonts w:ascii="Times New Roman" w:hAnsi="Times New Roman" w:cs="Times New Roman"/>
          <w:lang w:val="en-GB"/>
        </w:rPr>
        <w:t xml:space="preserve"> laid down</w:t>
      </w:r>
      <w:r>
        <w:rPr>
          <w:rFonts w:ascii="Times New Roman" w:hAnsi="Times New Roman" w:cs="Times New Roman"/>
          <w:lang w:val="en-GB"/>
        </w:rPr>
        <w:t xml:space="preserve"> in article 305 (ex 263)</w:t>
      </w:r>
      <w:r w:rsidRPr="00382FF5">
        <w:rPr>
          <w:rFonts w:ascii="Times New Roman" w:hAnsi="Times New Roman" w:cs="Times New Roman"/>
          <w:lang w:val="en-GB"/>
        </w:rPr>
        <w:t xml:space="preserve"> of </w:t>
      </w:r>
      <w:r>
        <w:rPr>
          <w:rFonts w:ascii="Times New Roman" w:hAnsi="Times New Roman" w:cs="Times New Roman"/>
          <w:lang w:val="en-GB"/>
        </w:rPr>
        <w:t>the “</w:t>
      </w:r>
      <w:r w:rsidRPr="00382FF5">
        <w:rPr>
          <w:rFonts w:ascii="Times New Roman" w:hAnsi="Times New Roman" w:cs="Times New Roman"/>
          <w:lang w:val="en-GB"/>
        </w:rPr>
        <w:t xml:space="preserve">Treaty </w:t>
      </w:r>
      <w:r>
        <w:rPr>
          <w:rFonts w:ascii="Times New Roman" w:hAnsi="Times New Roman" w:cs="Times New Roman"/>
          <w:lang w:val="en-GB"/>
        </w:rPr>
        <w:t xml:space="preserve">on the Functioning of the European Union”, which in says that </w:t>
      </w:r>
      <w:r w:rsidRPr="00E32213">
        <w:rPr>
          <w:rFonts w:ascii="Times New Roman" w:hAnsi="Times New Roman" w:cs="Times New Roman"/>
          <w:i/>
          <w:lang w:val="en-GB"/>
        </w:rPr>
        <w:t>“</w:t>
      </w:r>
      <w:r w:rsidRPr="00E32213">
        <w:rPr>
          <w:rFonts w:ascii="Times New Roman" w:hAnsi="Times New Roman" w:cs="Times New Roman"/>
          <w:i/>
          <w:lang w:val="en-US"/>
        </w:rPr>
        <w:t>The Council shall adopt the list of members and alternate members drawn up in accordance with the proposals made by each Member State”</w:t>
      </w:r>
      <w:r w:rsidRPr="00E32213">
        <w:rPr>
          <w:rFonts w:ascii="Times New Roman" w:hAnsi="Times New Roman" w:cs="Times New Roman"/>
          <w:lang w:val="en-US"/>
        </w:rPr>
        <w:t>.</w:t>
      </w:r>
      <w:r>
        <w:rPr>
          <w:rStyle w:val="FootnoteReference"/>
          <w:rFonts w:cs="Times New Roman"/>
          <w:lang w:val="en-US"/>
        </w:rPr>
        <w:footnoteReference w:id="68"/>
      </w:r>
      <w:r>
        <w:rPr>
          <w:rFonts w:ascii="Times New Roman" w:hAnsi="Times New Roman" w:cs="Times New Roman"/>
          <w:lang w:val="en-US"/>
        </w:rPr>
        <w:t xml:space="preserve"> </w:t>
      </w:r>
      <w:r>
        <w:rPr>
          <w:rFonts w:ascii="Times New Roman" w:hAnsi="Times New Roman" w:cs="Times New Roman"/>
          <w:lang w:val="en-GB"/>
        </w:rPr>
        <w:t xml:space="preserve">The procedure of the nomination can vary from country to country, depending on the political system and </w:t>
      </w:r>
      <w:r>
        <w:rPr>
          <w:rFonts w:ascii="Times New Roman" w:hAnsi="Times New Roman" w:cs="Times New Roman"/>
          <w:lang w:val="en-GB"/>
        </w:rPr>
        <w:lastRenderedPageBreak/>
        <w:t>traditions. In Denmark the Danish Ministry of Foreign Affairs asks the Association of Danish Regions, the Association of Danish Local Authorities and the city of Copenhagen and Frederiksberg, to create a list of four, four and one candidate respectively and an equal number of alternates. These lists are then submitted to the Danish government, which takes the decision to submit the full list to the European Commission, which appoints the Commission of the Regions members. The aim is an equal number of men and woman and every Danish member and alternate have to be directly elected representatives, whose term of office is terminated if they loose their national mandate.</w:t>
      </w:r>
      <w:r>
        <w:rPr>
          <w:rStyle w:val="FootnoteReference"/>
          <w:rFonts w:cs="Times New Roman"/>
          <w:lang w:val="en-GB"/>
        </w:rPr>
        <w:footnoteReference w:id="69"/>
      </w:r>
    </w:p>
    <w:p w14:paraId="6EC2D5ED" w14:textId="77777777" w:rsidR="00CE6166" w:rsidRPr="00C719F5" w:rsidRDefault="00CE6166" w:rsidP="00BF1A52">
      <w:pPr>
        <w:spacing w:line="360" w:lineRule="auto"/>
        <w:jc w:val="both"/>
        <w:rPr>
          <w:rFonts w:ascii="Times New Roman" w:hAnsi="Times New Roman" w:cs="Times New Roman"/>
          <w:color w:val="000000" w:themeColor="text1"/>
          <w:lang w:val="en-GB"/>
        </w:rPr>
      </w:pPr>
      <w:r w:rsidRPr="00382FF5">
        <w:rPr>
          <w:rFonts w:ascii="Times New Roman" w:hAnsi="Times New Roman" w:cs="Times New Roman"/>
          <w:lang w:val="en-GB"/>
        </w:rPr>
        <w:t>Further down, at the base the Committee, six commissions specialize in different areas to create the foundation for the Committees work</w:t>
      </w:r>
      <w:r>
        <w:rPr>
          <w:rFonts w:ascii="Times New Roman" w:hAnsi="Times New Roman" w:cs="Times New Roman"/>
          <w:lang w:val="en-GB"/>
        </w:rPr>
        <w:t xml:space="preserve">. </w:t>
      </w:r>
      <w:r w:rsidRPr="007224FA">
        <w:rPr>
          <w:rFonts w:ascii="Times New Roman" w:hAnsi="Times New Roman" w:cs="Times New Roman"/>
          <w:i/>
          <w:lang w:val="en-GB"/>
        </w:rPr>
        <w:t>Territorial cohesion policy</w:t>
      </w:r>
      <w:r>
        <w:rPr>
          <w:rFonts w:ascii="Times New Roman" w:hAnsi="Times New Roman" w:cs="Times New Roman"/>
          <w:lang w:val="en-GB"/>
        </w:rPr>
        <w:t xml:space="preserve"> - </w:t>
      </w:r>
      <w:r w:rsidRPr="007224FA">
        <w:rPr>
          <w:rFonts w:ascii="Times New Roman" w:hAnsi="Times New Roman" w:cs="Times New Roman"/>
          <w:b/>
          <w:i/>
          <w:lang w:val="en-GB"/>
        </w:rPr>
        <w:t>economic and social policy</w:t>
      </w:r>
      <w:r>
        <w:rPr>
          <w:rFonts w:ascii="Times New Roman" w:hAnsi="Times New Roman" w:cs="Times New Roman"/>
          <w:lang w:val="en-GB"/>
        </w:rPr>
        <w:t xml:space="preserve"> - </w:t>
      </w:r>
      <w:r>
        <w:rPr>
          <w:rFonts w:ascii="Times New Roman" w:hAnsi="Times New Roman" w:cs="Times New Roman"/>
          <w:i/>
          <w:lang w:val="en-GB"/>
        </w:rPr>
        <w:t>natural resources -</w:t>
      </w:r>
      <w:r w:rsidRPr="007224FA">
        <w:rPr>
          <w:rFonts w:ascii="Times New Roman" w:hAnsi="Times New Roman" w:cs="Times New Roman"/>
          <w:i/>
          <w:lang w:val="en-GB"/>
        </w:rPr>
        <w:t xml:space="preserve"> environment, climate change and energy</w:t>
      </w:r>
      <w:r>
        <w:rPr>
          <w:rFonts w:ascii="Times New Roman" w:hAnsi="Times New Roman" w:cs="Times New Roman"/>
          <w:lang w:val="en-GB"/>
        </w:rPr>
        <w:t xml:space="preserve"> - </w:t>
      </w:r>
      <w:r w:rsidRPr="007224FA">
        <w:rPr>
          <w:rFonts w:ascii="Times New Roman" w:hAnsi="Times New Roman" w:cs="Times New Roman"/>
          <w:i/>
          <w:lang w:val="en-GB"/>
        </w:rPr>
        <w:t>culture, education and research</w:t>
      </w:r>
      <w:r>
        <w:rPr>
          <w:rFonts w:ascii="Times New Roman" w:hAnsi="Times New Roman" w:cs="Times New Roman"/>
          <w:lang w:val="en-GB"/>
        </w:rPr>
        <w:t xml:space="preserve"> - </w:t>
      </w:r>
      <w:r w:rsidRPr="007224FA">
        <w:rPr>
          <w:rFonts w:ascii="Times New Roman" w:hAnsi="Times New Roman" w:cs="Times New Roman"/>
          <w:i/>
          <w:lang w:val="en-GB"/>
        </w:rPr>
        <w:t xml:space="preserve">citizenship, governance, institutional and </w:t>
      </w:r>
      <w:r w:rsidRPr="00C719F5">
        <w:rPr>
          <w:rFonts w:ascii="Times New Roman" w:hAnsi="Times New Roman" w:cs="Times New Roman"/>
          <w:i/>
          <w:color w:val="000000" w:themeColor="text1"/>
          <w:lang w:val="en-GB"/>
        </w:rPr>
        <w:t>external affairs</w:t>
      </w:r>
      <w:r w:rsidRPr="00C719F5">
        <w:rPr>
          <w:rFonts w:ascii="Times New Roman" w:hAnsi="Times New Roman" w:cs="Times New Roman"/>
          <w:color w:val="000000" w:themeColor="text1"/>
          <w:lang w:val="en-GB"/>
        </w:rPr>
        <w:t>.</w:t>
      </w:r>
      <w:r w:rsidRPr="00C719F5">
        <w:rPr>
          <w:rStyle w:val="FootnoteReference"/>
          <w:rFonts w:cs="Times New Roman"/>
          <w:color w:val="000000" w:themeColor="text1"/>
          <w:lang w:val="en-GB"/>
        </w:rPr>
        <w:footnoteReference w:id="70"/>
      </w:r>
      <w:r w:rsidRPr="00C719F5">
        <w:rPr>
          <w:rFonts w:ascii="Times New Roman" w:hAnsi="Times New Roman" w:cs="Times New Roman"/>
          <w:color w:val="000000" w:themeColor="text1"/>
          <w:lang w:val="en-GB"/>
        </w:rPr>
        <w:t xml:space="preserve"> </w:t>
      </w:r>
    </w:p>
    <w:p w14:paraId="4395DA10" w14:textId="77777777" w:rsidR="00CE6166" w:rsidRPr="00C719F5" w:rsidRDefault="00CE6166" w:rsidP="00BF1A52">
      <w:pPr>
        <w:spacing w:line="360" w:lineRule="auto"/>
        <w:jc w:val="both"/>
        <w:rPr>
          <w:rFonts w:ascii="Times New Roman" w:hAnsi="Times New Roman" w:cs="Times New Roman"/>
          <w:b/>
          <w:color w:val="000000" w:themeColor="text1"/>
          <w:sz w:val="30"/>
          <w:szCs w:val="30"/>
          <w:lang w:val="en-GB"/>
        </w:rPr>
      </w:pPr>
      <w:r w:rsidRPr="00C719F5">
        <w:rPr>
          <w:rFonts w:ascii="Times New Roman" w:hAnsi="Times New Roman" w:cs="Times New Roman"/>
          <w:color w:val="000000" w:themeColor="text1"/>
          <w:lang w:val="en-GB"/>
        </w:rPr>
        <w:t xml:space="preserve">The Commission for Economic Policy (ECON) is responsible for questions related to the internal market, among others. </w:t>
      </w:r>
    </w:p>
    <w:p w14:paraId="66DB601E" w14:textId="77777777" w:rsidR="00CE6166" w:rsidRPr="005D43BB" w:rsidRDefault="00CE6166" w:rsidP="00BF1A52">
      <w:pPr>
        <w:spacing w:line="360" w:lineRule="auto"/>
        <w:jc w:val="both"/>
        <w:rPr>
          <w:rFonts w:ascii="Times New Roman" w:hAnsi="Times New Roman" w:cs="Times New Roman"/>
          <w:lang w:val="en-GB"/>
        </w:rPr>
      </w:pPr>
    </w:p>
    <w:p w14:paraId="0903439B" w14:textId="7336642E" w:rsidR="00CE6166" w:rsidRPr="005D43BB" w:rsidRDefault="00CE6166" w:rsidP="00BF1A52">
      <w:pPr>
        <w:pStyle w:val="Heading2"/>
        <w:spacing w:line="360" w:lineRule="auto"/>
        <w:jc w:val="both"/>
        <w:rPr>
          <w:rFonts w:ascii="Times New Roman" w:hAnsi="Times New Roman" w:cs="Times New Roman"/>
          <w:lang w:val="en-GB"/>
        </w:rPr>
      </w:pPr>
      <w:bookmarkStart w:id="23" w:name="_Toc289250856"/>
      <w:r>
        <w:rPr>
          <w:rFonts w:ascii="Times New Roman" w:hAnsi="Times New Roman" w:cs="Times New Roman"/>
          <w:lang w:val="en-GB"/>
        </w:rPr>
        <w:t>5.3</w:t>
      </w:r>
      <w:r w:rsidRPr="005D43BB">
        <w:rPr>
          <w:rFonts w:ascii="Times New Roman" w:hAnsi="Times New Roman" w:cs="Times New Roman"/>
          <w:lang w:val="en-GB"/>
        </w:rPr>
        <w:t xml:space="preserve"> EU parliamentarians</w:t>
      </w:r>
      <w:bookmarkEnd w:id="23"/>
      <w:r w:rsidRPr="005D43BB">
        <w:rPr>
          <w:rFonts w:ascii="Times New Roman" w:hAnsi="Times New Roman" w:cs="Times New Roman"/>
          <w:lang w:val="en-GB"/>
        </w:rPr>
        <w:t xml:space="preserve"> </w:t>
      </w:r>
    </w:p>
    <w:p w14:paraId="5D454994" w14:textId="77777777" w:rsidR="00CE6166" w:rsidRDefault="00CE6166"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The European Parliament is, as already mentioned, made up by 751 members, who represent the 28 member states, roughly by their size of population. Since 1979 Members of Parliament have been elected by direct universal suffrage for </w:t>
      </w:r>
      <w:proofErr w:type="gramStart"/>
      <w:r>
        <w:rPr>
          <w:rFonts w:ascii="Times New Roman" w:hAnsi="Times New Roman" w:cs="Times New Roman"/>
          <w:lang w:val="en-GB"/>
        </w:rPr>
        <w:t>five year</w:t>
      </w:r>
      <w:proofErr w:type="gramEnd"/>
      <w:r>
        <w:rPr>
          <w:rFonts w:ascii="Times New Roman" w:hAnsi="Times New Roman" w:cs="Times New Roman"/>
          <w:lang w:val="en-GB"/>
        </w:rPr>
        <w:t xml:space="preserve"> periods at a time. How these elections take place are up to the individual member states, but the general democratic ground rules have to be followed, such as the equality of sexes and a secret ballot. The proportion of men and women in the parliament has overtime changed, so that for now around one third of the MEP’s are women. Most of their time the MEPs spend in Brussels where they attend meetings of the parliamentary committees and diverse political groups. 12 plenary sittings a year they also have to attend in Strasbourg in addition to take time for their constituencies. </w:t>
      </w:r>
    </w:p>
    <w:p w14:paraId="46249C6A" w14:textId="77777777" w:rsidR="00CE6166" w:rsidRDefault="00CE6166" w:rsidP="00BF1A52">
      <w:pPr>
        <w:spacing w:line="360" w:lineRule="auto"/>
        <w:jc w:val="both"/>
        <w:rPr>
          <w:rFonts w:ascii="Times New Roman" w:hAnsi="Times New Roman" w:cs="Times New Roman"/>
          <w:lang w:val="en-GB"/>
        </w:rPr>
      </w:pPr>
      <w:r>
        <w:rPr>
          <w:rFonts w:ascii="Times New Roman" w:hAnsi="Times New Roman" w:cs="Times New Roman"/>
          <w:lang w:val="en-GB"/>
        </w:rPr>
        <w:lastRenderedPageBreak/>
        <w:t>Although they are voted as representatives of their constituencies, the political blocks in the Parliament aren’t decided by national affiliation, but political affinity.</w:t>
      </w:r>
    </w:p>
    <w:p w14:paraId="0AD99375" w14:textId="05916CB2" w:rsidR="00CE6166" w:rsidRPr="005D43BB" w:rsidRDefault="00CE6166" w:rsidP="00BF1A52">
      <w:pPr>
        <w:spacing w:line="360" w:lineRule="auto"/>
        <w:jc w:val="both"/>
        <w:rPr>
          <w:rFonts w:ascii="Times New Roman" w:hAnsi="Times New Roman" w:cs="Times New Roman"/>
          <w:lang w:val="en-GB"/>
        </w:rPr>
      </w:pPr>
      <w:r>
        <w:rPr>
          <w:rFonts w:ascii="Times New Roman" w:hAnsi="Times New Roman" w:cs="Times New Roman"/>
          <w:lang w:val="en-GB"/>
        </w:rPr>
        <w:t>To be eligible for election a coming MEP has in general only to fulfil the requirements of being citizen of a EU country and to be 21 years of age.</w:t>
      </w:r>
      <w:r>
        <w:rPr>
          <w:rStyle w:val="FootnoteReference"/>
          <w:rFonts w:cs="Times New Roman"/>
          <w:lang w:val="en-GB"/>
        </w:rPr>
        <w:footnoteReference w:id="71"/>
      </w:r>
    </w:p>
    <w:p w14:paraId="2E38352F" w14:textId="1F851247" w:rsidR="00B15379" w:rsidRPr="005D43BB" w:rsidRDefault="00CE6166" w:rsidP="00BF1A52">
      <w:pPr>
        <w:pStyle w:val="Heading1"/>
        <w:spacing w:line="360" w:lineRule="auto"/>
        <w:jc w:val="both"/>
        <w:rPr>
          <w:rFonts w:ascii="Times New Roman" w:hAnsi="Times New Roman" w:cs="Times New Roman"/>
          <w:lang w:val="en-GB"/>
        </w:rPr>
      </w:pPr>
      <w:bookmarkStart w:id="24" w:name="_Toc289250857"/>
      <w:r>
        <w:rPr>
          <w:rFonts w:ascii="Times New Roman" w:hAnsi="Times New Roman" w:cs="Times New Roman"/>
          <w:lang w:val="en-GB"/>
        </w:rPr>
        <w:t>6</w:t>
      </w:r>
      <w:r w:rsidR="00B15379" w:rsidRPr="005D43BB">
        <w:rPr>
          <w:rFonts w:ascii="Times New Roman" w:hAnsi="Times New Roman" w:cs="Times New Roman"/>
          <w:lang w:val="en-GB"/>
        </w:rPr>
        <w:t>.0 EU policymaking</w:t>
      </w:r>
      <w:bookmarkEnd w:id="24"/>
    </w:p>
    <w:p w14:paraId="281753C4" w14:textId="3E8AD58F" w:rsidR="00F87596" w:rsidRPr="005D43BB" w:rsidRDefault="00AC0CAE"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The aim of this chapter is to draw an overview of the policy-making process within the EU in general and to connect it with the theory of the policy cycle. EU institutions will be presented and added into a visualized diagram of the Policy-Cycle in order to prepare for the later analysis of the Public Procurement Directive case. </w:t>
      </w:r>
    </w:p>
    <w:p w14:paraId="58819092" w14:textId="55498559" w:rsidR="00F87596" w:rsidRPr="005D43BB" w:rsidRDefault="00CE6166" w:rsidP="00BF1A52">
      <w:pPr>
        <w:pStyle w:val="Heading2"/>
        <w:spacing w:line="360" w:lineRule="auto"/>
        <w:jc w:val="both"/>
        <w:rPr>
          <w:rFonts w:ascii="Times New Roman" w:hAnsi="Times New Roman" w:cs="Times New Roman"/>
          <w:lang w:val="en-GB"/>
        </w:rPr>
      </w:pPr>
      <w:bookmarkStart w:id="25" w:name="_Toc289250858"/>
      <w:r>
        <w:rPr>
          <w:rFonts w:ascii="Times New Roman" w:hAnsi="Times New Roman" w:cs="Times New Roman"/>
          <w:lang w:val="en-GB"/>
        </w:rPr>
        <w:t>6</w:t>
      </w:r>
      <w:r w:rsidR="00626274" w:rsidRPr="005D43BB">
        <w:rPr>
          <w:rFonts w:ascii="Times New Roman" w:hAnsi="Times New Roman" w:cs="Times New Roman"/>
          <w:lang w:val="en-GB"/>
        </w:rPr>
        <w:t xml:space="preserve">.1 </w:t>
      </w:r>
      <w:r w:rsidR="00F87596" w:rsidRPr="005D43BB">
        <w:rPr>
          <w:rFonts w:ascii="Times New Roman" w:hAnsi="Times New Roman" w:cs="Times New Roman"/>
          <w:lang w:val="en-GB"/>
        </w:rPr>
        <w:t>EU Institutions</w:t>
      </w:r>
      <w:bookmarkEnd w:id="25"/>
    </w:p>
    <w:p w14:paraId="34E7DA99" w14:textId="6F813620" w:rsidR="00F87596" w:rsidRPr="005D43BB" w:rsidRDefault="00B75A58" w:rsidP="00BF1A52">
      <w:pPr>
        <w:spacing w:line="360" w:lineRule="auto"/>
        <w:jc w:val="both"/>
        <w:rPr>
          <w:rFonts w:ascii="Times New Roman" w:hAnsi="Times New Roman" w:cs="Times New Roman"/>
          <w:lang w:val="en-GB"/>
        </w:rPr>
      </w:pPr>
      <w:r w:rsidRPr="005D43BB">
        <w:rPr>
          <w:rFonts w:ascii="Times New Roman" w:hAnsi="Times New Roman" w:cs="Times New Roman"/>
          <w:lang w:val="en-GB"/>
        </w:rPr>
        <w:t xml:space="preserve">Before a review of the actual policymaking process within the EU, the major EU institutions will be briefly presented below. This is done to ensure that further down in this project no confusion will occur regarding responsibilities and powers of the different institutions. </w:t>
      </w:r>
    </w:p>
    <w:p w14:paraId="3DB9FA52" w14:textId="53757A8E" w:rsidR="00F87596" w:rsidRPr="005D43BB" w:rsidRDefault="00CE6166" w:rsidP="00BF1A52">
      <w:pPr>
        <w:pStyle w:val="Heading3"/>
        <w:spacing w:line="360" w:lineRule="auto"/>
        <w:jc w:val="both"/>
        <w:rPr>
          <w:rFonts w:ascii="Times New Roman" w:hAnsi="Times New Roman" w:cs="Times New Roman"/>
          <w:lang w:val="en-GB"/>
        </w:rPr>
      </w:pPr>
      <w:bookmarkStart w:id="26" w:name="_Toc289250859"/>
      <w:r>
        <w:rPr>
          <w:rFonts w:ascii="Times New Roman" w:hAnsi="Times New Roman" w:cs="Times New Roman"/>
          <w:lang w:val="en-GB"/>
        </w:rPr>
        <w:t>6</w:t>
      </w:r>
      <w:r w:rsidR="00626274" w:rsidRPr="005D43BB">
        <w:rPr>
          <w:rFonts w:ascii="Times New Roman" w:hAnsi="Times New Roman" w:cs="Times New Roman"/>
          <w:lang w:val="en-GB"/>
        </w:rPr>
        <w:t xml:space="preserve">.1.1 </w:t>
      </w:r>
      <w:r w:rsidR="00F87596" w:rsidRPr="005D43BB">
        <w:rPr>
          <w:rFonts w:ascii="Times New Roman" w:hAnsi="Times New Roman" w:cs="Times New Roman"/>
          <w:lang w:val="en-GB"/>
        </w:rPr>
        <w:t>The European Commission</w:t>
      </w:r>
      <w:bookmarkEnd w:id="26"/>
    </w:p>
    <w:p w14:paraId="22C4F45B" w14:textId="59CAD5F8" w:rsidR="00F87596" w:rsidRPr="005D43BB" w:rsidRDefault="00F87596" w:rsidP="00BF1A52">
      <w:pPr>
        <w:spacing w:line="360" w:lineRule="auto"/>
        <w:jc w:val="both"/>
        <w:rPr>
          <w:rFonts w:ascii="Times New Roman" w:hAnsi="Times New Roman" w:cs="Times New Roman"/>
          <w:lang w:val="en-GB"/>
        </w:rPr>
      </w:pPr>
      <w:r w:rsidRPr="005D43BB">
        <w:rPr>
          <w:rFonts w:ascii="Times New Roman" w:hAnsi="Times New Roman" w:cs="Times New Roman"/>
          <w:lang w:val="en-GB"/>
        </w:rPr>
        <w:t>The European Commission was created to represent the EU’s general interests; hence its key responsibility is to ensure that defined treaty aims are realized. In order to do so the Commission is able to act fully independent and only have obligations to the “EU”. This makes it a very important actor in the process of policymaking where it is represented at every stage of the legislative process and holds a formal monopoly on legislative initiative. It is said that the Commission propose and the Council dispose.</w:t>
      </w:r>
      <w:r w:rsidR="005B3FC1" w:rsidRPr="005D43BB">
        <w:rPr>
          <w:rStyle w:val="FootnoteReference"/>
          <w:rFonts w:cs="Times New Roman"/>
          <w:lang w:val="en-GB"/>
        </w:rPr>
        <w:footnoteReference w:id="72"/>
      </w:r>
      <w:r w:rsidRPr="005D43BB">
        <w:rPr>
          <w:rFonts w:ascii="Times New Roman" w:hAnsi="Times New Roman" w:cs="Times New Roman"/>
          <w:lang w:val="en-GB"/>
        </w:rPr>
        <w:t xml:space="preserve"> Furthermore the Commission has the power to actively take actions against the Council or member states in case it sees obligations violated or not met. Last but not least the Commission also is responsible for representing the EU in the negotiation of bilateral agreements.</w:t>
      </w:r>
      <w:r w:rsidR="005B3FC1" w:rsidRPr="005D43BB">
        <w:rPr>
          <w:rStyle w:val="FootnoteReference"/>
          <w:rFonts w:cs="Times New Roman"/>
          <w:lang w:val="en-GB"/>
        </w:rPr>
        <w:footnoteReference w:id="73"/>
      </w:r>
      <w:r w:rsidR="004717DC">
        <w:rPr>
          <w:rFonts w:ascii="Times New Roman" w:hAnsi="Times New Roman" w:cs="Times New Roman"/>
          <w:lang w:val="en-GB"/>
        </w:rPr>
        <w:t xml:space="preserve"> On a daily</w:t>
      </w:r>
      <w:r w:rsidRPr="005D43BB">
        <w:rPr>
          <w:rFonts w:ascii="Times New Roman" w:hAnsi="Times New Roman" w:cs="Times New Roman"/>
          <w:lang w:val="en-GB"/>
        </w:rPr>
        <w:t xml:space="preserve"> basis it can be seen as the government of the EU.</w:t>
      </w:r>
    </w:p>
    <w:p w14:paraId="78DF155B" w14:textId="51A980AD" w:rsidR="00F87596" w:rsidRPr="005D43BB" w:rsidRDefault="00F87596" w:rsidP="00BF1A52">
      <w:pPr>
        <w:spacing w:line="360" w:lineRule="auto"/>
        <w:jc w:val="both"/>
        <w:rPr>
          <w:rFonts w:ascii="Times New Roman" w:hAnsi="Times New Roman" w:cs="Times New Roman"/>
          <w:lang w:val="en-GB"/>
        </w:rPr>
      </w:pPr>
      <w:r w:rsidRPr="005D43BB">
        <w:rPr>
          <w:rFonts w:ascii="Times New Roman" w:hAnsi="Times New Roman" w:cs="Times New Roman"/>
          <w:lang w:val="en-GB"/>
        </w:rPr>
        <w:t xml:space="preserve">The Commission consists of 28 commissioners one from each member state, since the Commissions work though is to guard the EU treaties and to deepen integration, those commission shall not be seen as national representatives of their home countries. The </w:t>
      </w:r>
      <w:r w:rsidRPr="005D43BB">
        <w:rPr>
          <w:rFonts w:ascii="Times New Roman" w:hAnsi="Times New Roman" w:cs="Times New Roman"/>
          <w:lang w:val="en-GB"/>
        </w:rPr>
        <w:lastRenderedPageBreak/>
        <w:t>president of the European Commission is elected by the Council, with which the president in cooperation will appoint the other 27 commissioners, who in the end all have to be approved by the European Parliament.</w:t>
      </w:r>
      <w:r w:rsidR="005B3FC1" w:rsidRPr="005D43BB">
        <w:rPr>
          <w:rStyle w:val="FootnoteReference"/>
          <w:rFonts w:cs="Times New Roman"/>
          <w:lang w:val="en-GB"/>
        </w:rPr>
        <w:footnoteReference w:id="74"/>
      </w:r>
      <w:r w:rsidRPr="005D43BB">
        <w:rPr>
          <w:rFonts w:ascii="Times New Roman" w:hAnsi="Times New Roman" w:cs="Times New Roman"/>
          <w:lang w:val="en-GB"/>
        </w:rPr>
        <w:t xml:space="preserve"> Each of the Commissioners </w:t>
      </w:r>
      <w:proofErr w:type="gramStart"/>
      <w:r w:rsidRPr="005D43BB">
        <w:rPr>
          <w:rFonts w:ascii="Times New Roman" w:hAnsi="Times New Roman" w:cs="Times New Roman"/>
          <w:lang w:val="en-GB"/>
        </w:rPr>
        <w:t>are</w:t>
      </w:r>
      <w:proofErr w:type="gramEnd"/>
      <w:r w:rsidRPr="005D43BB">
        <w:rPr>
          <w:rFonts w:ascii="Times New Roman" w:hAnsi="Times New Roman" w:cs="Times New Roman"/>
          <w:lang w:val="en-GB"/>
        </w:rPr>
        <w:t xml:space="preserve"> assisted by their own cabinet. When talking about the European Commission both the Colleague, consisting of the 28 commissioners and the different working groups and specialised departments of the Commission are meant. </w:t>
      </w:r>
    </w:p>
    <w:p w14:paraId="21433D25" w14:textId="77777777" w:rsidR="00F87596" w:rsidRPr="005D43BB" w:rsidRDefault="00F87596" w:rsidP="00BF1A52">
      <w:pPr>
        <w:spacing w:line="360" w:lineRule="auto"/>
        <w:jc w:val="both"/>
        <w:rPr>
          <w:rFonts w:ascii="Times New Roman" w:hAnsi="Times New Roman" w:cs="Times New Roman"/>
          <w:lang w:val="en-GB"/>
        </w:rPr>
      </w:pPr>
    </w:p>
    <w:p w14:paraId="2B8D7C4D" w14:textId="51C60211" w:rsidR="00F87596" w:rsidRPr="005D43BB" w:rsidRDefault="00CE6166" w:rsidP="00BF1A52">
      <w:pPr>
        <w:pStyle w:val="Heading3"/>
        <w:spacing w:line="360" w:lineRule="auto"/>
        <w:jc w:val="both"/>
        <w:rPr>
          <w:rFonts w:ascii="Times New Roman" w:hAnsi="Times New Roman" w:cs="Times New Roman"/>
          <w:lang w:val="en-GB"/>
        </w:rPr>
      </w:pPr>
      <w:bookmarkStart w:id="27" w:name="_Toc289250860"/>
      <w:r>
        <w:rPr>
          <w:rFonts w:ascii="Times New Roman" w:hAnsi="Times New Roman" w:cs="Times New Roman"/>
          <w:lang w:val="en-GB"/>
        </w:rPr>
        <w:t>6</w:t>
      </w:r>
      <w:r w:rsidR="00626274" w:rsidRPr="005D43BB">
        <w:rPr>
          <w:rFonts w:ascii="Times New Roman" w:hAnsi="Times New Roman" w:cs="Times New Roman"/>
          <w:lang w:val="en-GB"/>
        </w:rPr>
        <w:t xml:space="preserve">.1.2 </w:t>
      </w:r>
      <w:r w:rsidR="00F87596" w:rsidRPr="005D43BB">
        <w:rPr>
          <w:rFonts w:ascii="Times New Roman" w:hAnsi="Times New Roman" w:cs="Times New Roman"/>
          <w:lang w:val="en-GB"/>
        </w:rPr>
        <w:t>The Council of Ministers and the European Council</w:t>
      </w:r>
      <w:bookmarkEnd w:id="27"/>
    </w:p>
    <w:p w14:paraId="6DE650DD" w14:textId="60DB950B" w:rsidR="00F87596" w:rsidRPr="005D43BB" w:rsidRDefault="00B27F8C" w:rsidP="00BF1A52">
      <w:pPr>
        <w:spacing w:line="360" w:lineRule="auto"/>
        <w:jc w:val="both"/>
        <w:rPr>
          <w:rFonts w:ascii="Times New Roman" w:hAnsi="Times New Roman" w:cs="Times New Roman"/>
          <w:lang w:val="en-GB"/>
        </w:rPr>
      </w:pPr>
      <w:r w:rsidRPr="005D43BB">
        <w:rPr>
          <w:rFonts w:ascii="Times New Roman" w:hAnsi="Times New Roman" w:cs="Times New Roman"/>
          <w:lang w:val="en-GB"/>
        </w:rPr>
        <w:t>The Council of ministers originates in the early stages of the EU and was the “Special Council” during the European Coal and Ste</w:t>
      </w:r>
      <w:r w:rsidR="00B75A58" w:rsidRPr="005D43BB">
        <w:rPr>
          <w:rFonts w:ascii="Times New Roman" w:hAnsi="Times New Roman" w:cs="Times New Roman"/>
          <w:lang w:val="en-GB"/>
        </w:rPr>
        <w:t xml:space="preserve">al Community. It wasn’t until the mid 1970’s that it was agreed upon for the Council to meet at least three times a year, which promoted it to the political most authoritative institution of the European Community. </w:t>
      </w:r>
      <w:r w:rsidR="009114D6" w:rsidRPr="005D43BB">
        <w:rPr>
          <w:rFonts w:ascii="Times New Roman" w:hAnsi="Times New Roman" w:cs="Times New Roman"/>
          <w:lang w:val="en-GB"/>
        </w:rPr>
        <w:br/>
        <w:t>The Council of Ministe</w:t>
      </w:r>
      <w:r w:rsidR="00335E9B" w:rsidRPr="005D43BB">
        <w:rPr>
          <w:rFonts w:ascii="Times New Roman" w:hAnsi="Times New Roman" w:cs="Times New Roman"/>
          <w:lang w:val="en-GB"/>
        </w:rPr>
        <w:t>rs is today a decision-</w:t>
      </w:r>
      <w:r w:rsidR="009114D6" w:rsidRPr="005D43BB">
        <w:rPr>
          <w:rFonts w:ascii="Times New Roman" w:hAnsi="Times New Roman" w:cs="Times New Roman"/>
          <w:lang w:val="en-GB"/>
        </w:rPr>
        <w:t>making forum, where the Commissions proposals are discussed, as well as negotiations between the member states take place. Its responsibilities lie within economic and monetary cooperation as well the juridical. Together with the European Parliament it can make decisions through a qualified majority voting</w:t>
      </w:r>
      <w:r w:rsidR="00B86E46" w:rsidRPr="005D43BB">
        <w:rPr>
          <w:rStyle w:val="FootnoteReference"/>
          <w:rFonts w:cs="Times New Roman"/>
          <w:lang w:val="en-GB"/>
        </w:rPr>
        <w:footnoteReference w:id="75"/>
      </w:r>
      <w:r w:rsidR="009114D6" w:rsidRPr="005D43BB">
        <w:rPr>
          <w:rFonts w:ascii="Times New Roman" w:hAnsi="Times New Roman" w:cs="Times New Roman"/>
          <w:lang w:val="en-GB"/>
        </w:rPr>
        <w:t>. Since the Lisbon Treaties entry into force</w:t>
      </w:r>
      <w:r w:rsidR="00335E9B" w:rsidRPr="005D43BB">
        <w:rPr>
          <w:rFonts w:ascii="Times New Roman" w:hAnsi="Times New Roman" w:cs="Times New Roman"/>
          <w:lang w:val="en-GB"/>
        </w:rPr>
        <w:t xml:space="preserve"> the Council defines the EU’s political directions and goals, as well as treaty reforms. </w:t>
      </w:r>
      <w:r w:rsidR="00335E9B" w:rsidRPr="005D43BB">
        <w:rPr>
          <w:rFonts w:ascii="Times New Roman" w:hAnsi="Times New Roman" w:cs="Times New Roman"/>
          <w:lang w:val="en-GB"/>
        </w:rPr>
        <w:tab/>
      </w:r>
      <w:r w:rsidR="00335E9B" w:rsidRPr="005D43BB">
        <w:rPr>
          <w:rFonts w:ascii="Times New Roman" w:hAnsi="Times New Roman" w:cs="Times New Roman"/>
          <w:lang w:val="en-GB"/>
        </w:rPr>
        <w:br/>
        <w:t xml:space="preserve">The Council of Ministers is composed of </w:t>
      </w:r>
      <w:r w:rsidR="0062491B" w:rsidRPr="005D43BB">
        <w:rPr>
          <w:rFonts w:ascii="Times New Roman" w:hAnsi="Times New Roman" w:cs="Times New Roman"/>
          <w:lang w:val="en-GB"/>
        </w:rPr>
        <w:t xml:space="preserve">heads of states and governments assisted by their respective foreign </w:t>
      </w:r>
      <w:r w:rsidR="006C7087" w:rsidRPr="005D43BB">
        <w:rPr>
          <w:rFonts w:ascii="Times New Roman" w:hAnsi="Times New Roman" w:cs="Times New Roman"/>
          <w:lang w:val="en-GB"/>
        </w:rPr>
        <w:t>ministers</w:t>
      </w:r>
      <w:r w:rsidR="00FC6525" w:rsidRPr="005D43BB">
        <w:rPr>
          <w:rStyle w:val="FootnoteReference"/>
          <w:rFonts w:cs="Times New Roman"/>
          <w:lang w:val="en-GB"/>
        </w:rPr>
        <w:footnoteReference w:id="76"/>
      </w:r>
      <w:r w:rsidR="006C7087" w:rsidRPr="005D43BB">
        <w:rPr>
          <w:rFonts w:ascii="Times New Roman" w:hAnsi="Times New Roman" w:cs="Times New Roman"/>
          <w:lang w:val="en-GB"/>
        </w:rPr>
        <w:t>;</w:t>
      </w:r>
      <w:r w:rsidR="0062491B" w:rsidRPr="005D43BB">
        <w:rPr>
          <w:rFonts w:ascii="Times New Roman" w:hAnsi="Times New Roman" w:cs="Times New Roman"/>
          <w:lang w:val="en-GB"/>
        </w:rPr>
        <w:t xml:space="preserve"> they stand atop of a </w:t>
      </w:r>
      <w:r w:rsidR="006C7087" w:rsidRPr="005D43BB">
        <w:rPr>
          <w:rFonts w:ascii="Times New Roman" w:hAnsi="Times New Roman" w:cs="Times New Roman"/>
          <w:lang w:val="en-GB"/>
        </w:rPr>
        <w:t>pyramidal structure over the, among others, the Committee of Permanent Representatives, who prepare the ministers meetings.</w:t>
      </w:r>
      <w:r w:rsidR="00FC6525" w:rsidRPr="005D43BB">
        <w:rPr>
          <w:rStyle w:val="FootnoteReference"/>
          <w:rFonts w:cs="Times New Roman"/>
          <w:lang w:val="en-GB"/>
        </w:rPr>
        <w:footnoteReference w:id="77"/>
      </w:r>
      <w:r w:rsidR="006C7087" w:rsidRPr="005D43BB">
        <w:rPr>
          <w:rFonts w:ascii="Times New Roman" w:hAnsi="Times New Roman" w:cs="Times New Roman"/>
          <w:lang w:val="en-GB"/>
        </w:rPr>
        <w:t xml:space="preserve"> </w:t>
      </w:r>
    </w:p>
    <w:p w14:paraId="37B925A6" w14:textId="77777777" w:rsidR="00F87596" w:rsidRPr="005D43BB" w:rsidRDefault="00F87596" w:rsidP="00BF1A52">
      <w:pPr>
        <w:spacing w:line="360" w:lineRule="auto"/>
        <w:jc w:val="both"/>
        <w:rPr>
          <w:rFonts w:ascii="Times New Roman" w:hAnsi="Times New Roman" w:cs="Times New Roman"/>
          <w:lang w:val="en-GB"/>
        </w:rPr>
      </w:pPr>
    </w:p>
    <w:p w14:paraId="54E6126B" w14:textId="1B6D431C" w:rsidR="00F87596" w:rsidRPr="005D43BB" w:rsidRDefault="00CE6166" w:rsidP="00BF1A52">
      <w:pPr>
        <w:pStyle w:val="Heading3"/>
        <w:spacing w:line="360" w:lineRule="auto"/>
        <w:jc w:val="both"/>
        <w:rPr>
          <w:rFonts w:ascii="Times New Roman" w:hAnsi="Times New Roman" w:cs="Times New Roman"/>
          <w:lang w:val="en-GB"/>
        </w:rPr>
      </w:pPr>
      <w:bookmarkStart w:id="28" w:name="_Toc289250861"/>
      <w:r>
        <w:rPr>
          <w:rFonts w:ascii="Times New Roman" w:hAnsi="Times New Roman" w:cs="Times New Roman"/>
          <w:lang w:val="en-GB"/>
        </w:rPr>
        <w:t>6</w:t>
      </w:r>
      <w:r w:rsidR="00626274" w:rsidRPr="005D43BB">
        <w:rPr>
          <w:rFonts w:ascii="Times New Roman" w:hAnsi="Times New Roman" w:cs="Times New Roman"/>
          <w:lang w:val="en-GB"/>
        </w:rPr>
        <w:t xml:space="preserve">.1.3 </w:t>
      </w:r>
      <w:r w:rsidR="00F87596" w:rsidRPr="005D43BB">
        <w:rPr>
          <w:rFonts w:ascii="Times New Roman" w:hAnsi="Times New Roman" w:cs="Times New Roman"/>
          <w:lang w:val="en-GB"/>
        </w:rPr>
        <w:t>The European Parliament</w:t>
      </w:r>
      <w:bookmarkEnd w:id="28"/>
    </w:p>
    <w:p w14:paraId="195D66CB" w14:textId="5F50969B" w:rsidR="00F87596" w:rsidRPr="005D43BB" w:rsidRDefault="00F22047" w:rsidP="00BF1A52">
      <w:pPr>
        <w:spacing w:line="360" w:lineRule="auto"/>
        <w:jc w:val="both"/>
        <w:rPr>
          <w:rFonts w:ascii="Times New Roman" w:hAnsi="Times New Roman" w:cs="Times New Roman"/>
          <w:lang w:val="en-GB"/>
        </w:rPr>
      </w:pPr>
      <w:r w:rsidRPr="005D43BB">
        <w:rPr>
          <w:rFonts w:ascii="Times New Roman" w:hAnsi="Times New Roman" w:cs="Times New Roman"/>
          <w:lang w:val="en-GB"/>
        </w:rPr>
        <w:t xml:space="preserve">The first elections for the European Parliament were held back in </w:t>
      </w:r>
      <w:r w:rsidR="00611CD6" w:rsidRPr="005D43BB">
        <w:rPr>
          <w:rFonts w:ascii="Times New Roman" w:hAnsi="Times New Roman" w:cs="Times New Roman"/>
          <w:lang w:val="en-GB"/>
        </w:rPr>
        <w:t xml:space="preserve">1979, when the Parliament itself still hadn’t any law making power and it still only was a common assembly to check upon the High Authority. Over time, with new treaties, the Parliaments role was strengthened, which became necessary to compensate for restrictions on member states direct influence on EU work. The Single European Act </w:t>
      </w:r>
      <w:r w:rsidR="00611CD6" w:rsidRPr="005D43BB">
        <w:rPr>
          <w:rFonts w:ascii="Times New Roman" w:hAnsi="Times New Roman" w:cs="Times New Roman"/>
          <w:lang w:val="en-GB"/>
        </w:rPr>
        <w:lastRenderedPageBreak/>
        <w:t>was big leap forward and today the Parliament is not</w:t>
      </w:r>
      <w:r w:rsidR="000E5732" w:rsidRPr="005D43BB">
        <w:rPr>
          <w:rFonts w:ascii="Times New Roman" w:hAnsi="Times New Roman" w:cs="Times New Roman"/>
          <w:lang w:val="en-GB"/>
        </w:rPr>
        <w:t xml:space="preserve"> only</w:t>
      </w:r>
      <w:r w:rsidR="00611CD6" w:rsidRPr="005D43BB">
        <w:rPr>
          <w:rFonts w:ascii="Times New Roman" w:hAnsi="Times New Roman" w:cs="Times New Roman"/>
          <w:lang w:val="en-GB"/>
        </w:rPr>
        <w:t xml:space="preserve"> equipped with budgetary power but also has a last saying in the composition of the European Commission and can even dismiss the Commission through a 2/3 majority</w:t>
      </w:r>
      <w:r w:rsidR="000E5732" w:rsidRPr="005D43BB">
        <w:rPr>
          <w:rFonts w:ascii="Times New Roman" w:hAnsi="Times New Roman" w:cs="Times New Roman"/>
          <w:lang w:val="en-GB"/>
        </w:rPr>
        <w:t xml:space="preserve"> voting</w:t>
      </w:r>
      <w:r w:rsidR="00611CD6" w:rsidRPr="005D43BB">
        <w:rPr>
          <w:rFonts w:ascii="Times New Roman" w:hAnsi="Times New Roman" w:cs="Times New Roman"/>
          <w:lang w:val="en-GB"/>
        </w:rPr>
        <w:t xml:space="preserve">. It as well has to approve the Councils agreements on external policy. </w:t>
      </w:r>
      <w:r w:rsidR="000E5732" w:rsidRPr="005D43BB">
        <w:rPr>
          <w:rFonts w:ascii="Times New Roman" w:hAnsi="Times New Roman" w:cs="Times New Roman"/>
          <w:lang w:val="en-GB"/>
        </w:rPr>
        <w:tab/>
      </w:r>
      <w:r w:rsidR="000E5732" w:rsidRPr="005D43BB">
        <w:rPr>
          <w:rFonts w:ascii="Times New Roman" w:hAnsi="Times New Roman" w:cs="Times New Roman"/>
          <w:lang w:val="en-GB"/>
        </w:rPr>
        <w:br/>
        <w:t>As of 2014 the Par</w:t>
      </w:r>
      <w:r w:rsidR="00FC6525" w:rsidRPr="005D43BB">
        <w:rPr>
          <w:rFonts w:ascii="Times New Roman" w:hAnsi="Times New Roman" w:cs="Times New Roman"/>
          <w:lang w:val="en-GB"/>
        </w:rPr>
        <w:t>liament has 751 elected members, roughly distributed according to the member states populations</w:t>
      </w:r>
      <w:r w:rsidR="00FC6525" w:rsidRPr="005D43BB">
        <w:rPr>
          <w:rStyle w:val="FootnoteReference"/>
          <w:rFonts w:cs="Times New Roman"/>
          <w:lang w:val="en-GB"/>
        </w:rPr>
        <w:footnoteReference w:id="78"/>
      </w:r>
      <w:r w:rsidR="00FC6525" w:rsidRPr="005D43BB">
        <w:rPr>
          <w:rFonts w:ascii="Times New Roman" w:hAnsi="Times New Roman" w:cs="Times New Roman"/>
          <w:lang w:val="en-GB"/>
        </w:rPr>
        <w:t xml:space="preserve">, </w:t>
      </w:r>
      <w:r w:rsidR="00A3593D" w:rsidRPr="005D43BB">
        <w:rPr>
          <w:rFonts w:ascii="Times New Roman" w:hAnsi="Times New Roman" w:cs="Times New Roman"/>
          <w:lang w:val="en-GB"/>
        </w:rPr>
        <w:t>and since</w:t>
      </w:r>
      <w:r w:rsidR="006B1027">
        <w:rPr>
          <w:rFonts w:ascii="Times New Roman" w:hAnsi="Times New Roman" w:cs="Times New Roman"/>
          <w:lang w:val="en-GB"/>
        </w:rPr>
        <w:t xml:space="preserve"> the</w:t>
      </w:r>
      <w:r w:rsidR="00A3593D" w:rsidRPr="005D43BB">
        <w:rPr>
          <w:rFonts w:ascii="Times New Roman" w:hAnsi="Times New Roman" w:cs="Times New Roman"/>
          <w:lang w:val="en-GB"/>
        </w:rPr>
        <w:t xml:space="preserve"> Amsterdam Treaty entered into force 1999 it works as a second chamber in most areas alongside the Commission. </w:t>
      </w:r>
    </w:p>
    <w:p w14:paraId="2F3D3E02" w14:textId="77777777" w:rsidR="00F87596" w:rsidRPr="005D43BB" w:rsidRDefault="00F87596" w:rsidP="00BF1A52">
      <w:pPr>
        <w:spacing w:line="360" w:lineRule="auto"/>
        <w:jc w:val="both"/>
        <w:rPr>
          <w:rFonts w:ascii="Times New Roman" w:hAnsi="Times New Roman" w:cs="Times New Roman"/>
          <w:lang w:val="en-GB"/>
        </w:rPr>
      </w:pPr>
    </w:p>
    <w:p w14:paraId="5B809869" w14:textId="246A6840" w:rsidR="00F87596" w:rsidRPr="005D43BB" w:rsidRDefault="00CE6166" w:rsidP="00BF1A52">
      <w:pPr>
        <w:pStyle w:val="Heading3"/>
        <w:spacing w:line="360" w:lineRule="auto"/>
        <w:jc w:val="both"/>
        <w:rPr>
          <w:rFonts w:ascii="Times New Roman" w:hAnsi="Times New Roman" w:cs="Times New Roman"/>
          <w:lang w:val="en-GB"/>
        </w:rPr>
      </w:pPr>
      <w:bookmarkStart w:id="29" w:name="_Toc289250862"/>
      <w:r>
        <w:rPr>
          <w:rFonts w:ascii="Times New Roman" w:hAnsi="Times New Roman" w:cs="Times New Roman"/>
          <w:lang w:val="en-GB"/>
        </w:rPr>
        <w:t>6</w:t>
      </w:r>
      <w:r w:rsidR="00626274" w:rsidRPr="005D43BB">
        <w:rPr>
          <w:rFonts w:ascii="Times New Roman" w:hAnsi="Times New Roman" w:cs="Times New Roman"/>
          <w:lang w:val="en-GB"/>
        </w:rPr>
        <w:t xml:space="preserve">.1.4 </w:t>
      </w:r>
      <w:r w:rsidR="00F87596" w:rsidRPr="005D43BB">
        <w:rPr>
          <w:rFonts w:ascii="Times New Roman" w:hAnsi="Times New Roman" w:cs="Times New Roman"/>
          <w:lang w:val="en-GB"/>
        </w:rPr>
        <w:t>The European Court of Justice</w:t>
      </w:r>
      <w:bookmarkEnd w:id="29"/>
    </w:p>
    <w:p w14:paraId="21F53F13" w14:textId="71CE1F38" w:rsidR="00F87596" w:rsidRPr="005D43BB" w:rsidRDefault="00EA640E" w:rsidP="00BF1A52">
      <w:pPr>
        <w:spacing w:line="360" w:lineRule="auto"/>
        <w:jc w:val="both"/>
        <w:rPr>
          <w:rFonts w:ascii="Times New Roman" w:hAnsi="Times New Roman" w:cs="Times New Roman"/>
          <w:lang w:val="en-GB"/>
        </w:rPr>
      </w:pPr>
      <w:r w:rsidRPr="005D43BB">
        <w:rPr>
          <w:rFonts w:ascii="Times New Roman" w:hAnsi="Times New Roman" w:cs="Times New Roman"/>
          <w:lang w:val="en-GB"/>
        </w:rPr>
        <w:t xml:space="preserve">The European Court of Justice was created </w:t>
      </w:r>
      <w:r w:rsidR="006C5A93" w:rsidRPr="005D43BB">
        <w:rPr>
          <w:rFonts w:ascii="Times New Roman" w:hAnsi="Times New Roman" w:cs="Times New Roman"/>
          <w:lang w:val="en-GB"/>
        </w:rPr>
        <w:t xml:space="preserve">with the Rome Treaty and serves today mainly as an institution for the review of the legality of actions taken by the EU, as well as an observer of the rightful implementation of laws and directives within the member states. </w:t>
      </w:r>
      <w:r w:rsidR="00462B6B" w:rsidRPr="005D43BB">
        <w:rPr>
          <w:rFonts w:ascii="Times New Roman" w:hAnsi="Times New Roman" w:cs="Times New Roman"/>
          <w:lang w:val="en-GB"/>
        </w:rPr>
        <w:t xml:space="preserve">Furthermore member states can appeal to the European Court of Justice and ask for an interpretation of a specific </w:t>
      </w:r>
      <w:r w:rsidR="007F4878" w:rsidRPr="005D43BB">
        <w:rPr>
          <w:rFonts w:ascii="Times New Roman" w:hAnsi="Times New Roman" w:cs="Times New Roman"/>
          <w:lang w:val="en-GB"/>
        </w:rPr>
        <w:t>act</w:t>
      </w:r>
      <w:r w:rsidR="00FA07DA" w:rsidRPr="005D43BB">
        <w:rPr>
          <w:rFonts w:ascii="Times New Roman" w:hAnsi="Times New Roman" w:cs="Times New Roman"/>
          <w:lang w:val="en-GB"/>
        </w:rPr>
        <w:t>.</w:t>
      </w:r>
      <w:r w:rsidR="005B3FC1" w:rsidRPr="005D43BB">
        <w:rPr>
          <w:rStyle w:val="FootnoteReference"/>
          <w:rFonts w:cs="Times New Roman"/>
          <w:lang w:val="en-GB"/>
        </w:rPr>
        <w:footnoteReference w:id="79"/>
      </w:r>
      <w:r w:rsidR="00FA07DA" w:rsidRPr="005D43BB">
        <w:rPr>
          <w:rFonts w:ascii="Times New Roman" w:hAnsi="Times New Roman" w:cs="Times New Roman"/>
          <w:lang w:val="en-GB"/>
        </w:rPr>
        <w:tab/>
      </w:r>
      <w:r w:rsidR="00FA07DA" w:rsidRPr="005D43BB">
        <w:rPr>
          <w:rFonts w:ascii="Times New Roman" w:hAnsi="Times New Roman" w:cs="Times New Roman"/>
          <w:lang w:val="en-GB"/>
        </w:rPr>
        <w:br/>
        <w:t xml:space="preserve">As it is with the Commission there is one Judge of each member state represented in the European Court of Justice. </w:t>
      </w:r>
      <w:r w:rsidR="004C6155" w:rsidRPr="005D43BB">
        <w:rPr>
          <w:rFonts w:ascii="Times New Roman" w:hAnsi="Times New Roman" w:cs="Times New Roman"/>
          <w:lang w:val="en-GB"/>
        </w:rPr>
        <w:t>Every country can appoint their own judge but the judge has to be ratified by all other member states and, as it is written in the treaties, the judge has to be chosen from legal expert with undoubting independence. The judges are in office for a six-year renewable period.</w:t>
      </w:r>
      <w:r w:rsidR="008741D7" w:rsidRPr="005D43BB">
        <w:rPr>
          <w:rStyle w:val="FootnoteReference"/>
          <w:rFonts w:cs="Times New Roman"/>
          <w:lang w:val="en-GB"/>
        </w:rPr>
        <w:footnoteReference w:id="80"/>
      </w:r>
      <w:r w:rsidR="004C6155" w:rsidRPr="005D43BB">
        <w:rPr>
          <w:rFonts w:ascii="Times New Roman" w:hAnsi="Times New Roman" w:cs="Times New Roman"/>
          <w:lang w:val="en-GB"/>
        </w:rPr>
        <w:t xml:space="preserve"> </w:t>
      </w:r>
      <w:r w:rsidR="00FA07DA" w:rsidRPr="005D43BB">
        <w:rPr>
          <w:rFonts w:ascii="Times New Roman" w:hAnsi="Times New Roman" w:cs="Times New Roman"/>
          <w:lang w:val="en-GB"/>
        </w:rPr>
        <w:t>In addition there are eight advocates general, to work</w:t>
      </w:r>
      <w:r w:rsidR="004C6155" w:rsidRPr="005D43BB">
        <w:rPr>
          <w:rFonts w:ascii="Times New Roman" w:hAnsi="Times New Roman" w:cs="Times New Roman"/>
          <w:lang w:val="en-GB"/>
        </w:rPr>
        <w:t xml:space="preserve"> on the different cases with the</w:t>
      </w:r>
      <w:r w:rsidR="00FA07DA" w:rsidRPr="005D43BB">
        <w:rPr>
          <w:rFonts w:ascii="Times New Roman" w:hAnsi="Times New Roman" w:cs="Times New Roman"/>
          <w:lang w:val="en-GB"/>
        </w:rPr>
        <w:t xml:space="preserve"> judges and who are able to articulate a first </w:t>
      </w:r>
      <w:r w:rsidR="004C6155" w:rsidRPr="005D43BB">
        <w:rPr>
          <w:rFonts w:ascii="Times New Roman" w:hAnsi="Times New Roman" w:cs="Times New Roman"/>
          <w:lang w:val="en-GB"/>
        </w:rPr>
        <w:t>non-binding</w:t>
      </w:r>
      <w:r w:rsidR="00FA07DA" w:rsidRPr="005D43BB">
        <w:rPr>
          <w:rFonts w:ascii="Times New Roman" w:hAnsi="Times New Roman" w:cs="Times New Roman"/>
          <w:lang w:val="en-GB"/>
        </w:rPr>
        <w:t xml:space="preserve"> opinion. A president is voted for three years at a time, which can be renewed</w:t>
      </w:r>
      <w:r w:rsidR="00060DD8" w:rsidRPr="005D43BB">
        <w:rPr>
          <w:rFonts w:ascii="Times New Roman" w:hAnsi="Times New Roman" w:cs="Times New Roman"/>
          <w:lang w:val="en-GB"/>
        </w:rPr>
        <w:t>.</w:t>
      </w:r>
      <w:r w:rsidR="00060DD8" w:rsidRPr="005D43BB">
        <w:rPr>
          <w:rStyle w:val="FootnoteReference"/>
          <w:rFonts w:cs="Times New Roman"/>
          <w:lang w:val="en-GB"/>
        </w:rPr>
        <w:footnoteReference w:id="81"/>
      </w:r>
    </w:p>
    <w:p w14:paraId="7A696BF9" w14:textId="77777777" w:rsidR="008258AF" w:rsidRPr="005D43BB" w:rsidRDefault="008258AF" w:rsidP="00BF1A52">
      <w:pPr>
        <w:spacing w:line="360" w:lineRule="auto"/>
        <w:jc w:val="both"/>
        <w:rPr>
          <w:rFonts w:ascii="Times New Roman" w:hAnsi="Times New Roman" w:cs="Times New Roman"/>
          <w:lang w:val="en-GB"/>
        </w:rPr>
      </w:pPr>
    </w:p>
    <w:p w14:paraId="39455177" w14:textId="04FABCE9" w:rsidR="00626274" w:rsidRPr="005D43BB" w:rsidRDefault="00CE6166" w:rsidP="00E92AC1">
      <w:pPr>
        <w:pStyle w:val="Heading2"/>
        <w:spacing w:line="360" w:lineRule="auto"/>
        <w:jc w:val="both"/>
        <w:rPr>
          <w:rFonts w:ascii="Times New Roman" w:hAnsi="Times New Roman" w:cs="Times New Roman"/>
          <w:lang w:val="en-GB"/>
        </w:rPr>
      </w:pPr>
      <w:bookmarkStart w:id="30" w:name="_Toc289250863"/>
      <w:r>
        <w:rPr>
          <w:rFonts w:ascii="Times New Roman" w:hAnsi="Times New Roman" w:cs="Times New Roman"/>
          <w:lang w:val="en-GB"/>
        </w:rPr>
        <w:t>6</w:t>
      </w:r>
      <w:r w:rsidR="008258AF" w:rsidRPr="005D43BB">
        <w:rPr>
          <w:rFonts w:ascii="Times New Roman" w:hAnsi="Times New Roman" w:cs="Times New Roman"/>
          <w:lang w:val="en-GB"/>
        </w:rPr>
        <w:t>.2 The policy-cycle within the EU</w:t>
      </w:r>
      <w:bookmarkEnd w:id="30"/>
    </w:p>
    <w:p w14:paraId="3683FDD5" w14:textId="00AD9BB7" w:rsidR="00BD0E45" w:rsidRDefault="00563E32" w:rsidP="00E92AC1">
      <w:pPr>
        <w:pStyle w:val="Caption"/>
        <w:spacing w:line="360" w:lineRule="auto"/>
        <w:jc w:val="both"/>
      </w:pPr>
      <w:r w:rsidRPr="00E92AC1">
        <w:rPr>
          <w:rFonts w:ascii="Times New Roman" w:hAnsi="Times New Roman" w:cs="Times New Roman"/>
          <w:b w:val="0"/>
          <w:bCs w:val="0"/>
          <w:color w:val="auto"/>
          <w:sz w:val="24"/>
          <w:szCs w:val="24"/>
          <w:lang w:val="en-GB"/>
        </w:rPr>
        <w:t xml:space="preserve">In the following segment the idea is to paint a picture of how the policy-cycle works within the EU, the previous defined actors will be placed in a diagram and the legislative process described in detail. </w:t>
      </w:r>
      <w:r w:rsidR="00F73BAB" w:rsidRPr="00E92AC1">
        <w:rPr>
          <w:rFonts w:ascii="Times New Roman" w:hAnsi="Times New Roman" w:cs="Times New Roman"/>
          <w:b w:val="0"/>
          <w:bCs w:val="0"/>
          <w:color w:val="auto"/>
          <w:sz w:val="24"/>
          <w:szCs w:val="24"/>
          <w:lang w:val="en-GB"/>
        </w:rPr>
        <w:t>Since different areas of legislation demand different procedures and involve different actors, it will, as previously, be focused on</w:t>
      </w:r>
      <w:r w:rsidR="00F73BAB">
        <w:rPr>
          <w:rFonts w:ascii="Times New Roman" w:hAnsi="Times New Roman" w:cs="Times New Roman"/>
          <w:lang w:val="en-GB"/>
        </w:rPr>
        <w:t xml:space="preserve"> </w:t>
      </w:r>
      <w:r w:rsidR="00BD0E45" w:rsidRPr="004717DC">
        <w:rPr>
          <w:rFonts w:ascii="Times New Roman" w:hAnsi="Times New Roman" w:cs="Times New Roman"/>
          <w:noProof/>
          <w:lang w:val="en-US"/>
        </w:rPr>
        <w:lastRenderedPageBreak/>
        <w:drawing>
          <wp:inline distT="0" distB="0" distL="0" distR="0" wp14:anchorId="1EEAAEBF" wp14:editId="2C3EA902">
            <wp:extent cx="5252720" cy="635381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00BD0E45" w:rsidRPr="00BD0E45">
        <w:t xml:space="preserve"> </w:t>
      </w:r>
      <w:r w:rsidR="00BD0E45">
        <w:t xml:space="preserve">Figure </w:t>
      </w:r>
      <w:fldSimple w:instr=" SEQ Figure \* ARABIC ">
        <w:r w:rsidR="000932D8">
          <w:rPr>
            <w:noProof/>
          </w:rPr>
          <w:t>2</w:t>
        </w:r>
      </w:fldSimple>
      <w:r w:rsidR="00BD0E45">
        <w:t xml:space="preserve"> - Decision-making</w:t>
      </w:r>
    </w:p>
    <w:p w14:paraId="5AAD8C4C" w14:textId="1E43824E" w:rsidR="004D4CCA" w:rsidRDefault="00F73BAB" w:rsidP="004D4CCA">
      <w:pPr>
        <w:keepNext/>
        <w:spacing w:line="360" w:lineRule="auto"/>
        <w:jc w:val="both"/>
      </w:pPr>
      <w:proofErr w:type="gramStart"/>
      <w:r>
        <w:rPr>
          <w:rFonts w:ascii="Times New Roman" w:hAnsi="Times New Roman" w:cs="Times New Roman"/>
          <w:lang w:val="en-GB"/>
        </w:rPr>
        <w:t>the</w:t>
      </w:r>
      <w:proofErr w:type="gramEnd"/>
      <w:r>
        <w:rPr>
          <w:rFonts w:ascii="Times New Roman" w:hAnsi="Times New Roman" w:cs="Times New Roman"/>
          <w:lang w:val="en-GB"/>
        </w:rPr>
        <w:t xml:space="preserve"> case of the Procurement Directive. </w:t>
      </w:r>
      <w:r w:rsidR="00563E32">
        <w:rPr>
          <w:rFonts w:ascii="Times New Roman" w:hAnsi="Times New Roman" w:cs="Times New Roman"/>
          <w:lang w:val="en-GB"/>
        </w:rPr>
        <w:t xml:space="preserve">To begin with it is necessary to state, that there </w:t>
      </w:r>
    </w:p>
    <w:p w14:paraId="2E428223" w14:textId="0C48A9FA" w:rsidR="00CE6166" w:rsidRDefault="00563E32" w:rsidP="00BF1A52">
      <w:pPr>
        <w:spacing w:line="360" w:lineRule="auto"/>
        <w:jc w:val="both"/>
        <w:rPr>
          <w:rFonts w:ascii="Times New Roman" w:hAnsi="Times New Roman" w:cs="Times New Roman"/>
          <w:lang w:val="en-GB"/>
        </w:rPr>
      </w:pPr>
      <w:proofErr w:type="gramStart"/>
      <w:r>
        <w:rPr>
          <w:rFonts w:ascii="Times New Roman" w:hAnsi="Times New Roman" w:cs="Times New Roman"/>
          <w:lang w:val="en-GB"/>
        </w:rPr>
        <w:t>are</w:t>
      </w:r>
      <w:proofErr w:type="gramEnd"/>
      <w:r>
        <w:rPr>
          <w:rFonts w:ascii="Times New Roman" w:hAnsi="Times New Roman" w:cs="Times New Roman"/>
          <w:lang w:val="en-GB"/>
        </w:rPr>
        <w:t xml:space="preserve"> two different kinds of EU decision-making processes, the “</w:t>
      </w:r>
      <w:r w:rsidRPr="00563E32">
        <w:rPr>
          <w:rFonts w:ascii="Times New Roman" w:hAnsi="Times New Roman" w:cs="Times New Roman"/>
          <w:i/>
          <w:lang w:val="en-GB"/>
        </w:rPr>
        <w:t>ordinary legislative procedure</w:t>
      </w:r>
      <w:r>
        <w:rPr>
          <w:rFonts w:ascii="Times New Roman" w:hAnsi="Times New Roman" w:cs="Times New Roman"/>
          <w:lang w:val="en-GB"/>
        </w:rPr>
        <w:t>” and the “</w:t>
      </w:r>
      <w:r w:rsidRPr="00563E32">
        <w:rPr>
          <w:rFonts w:ascii="Times New Roman" w:hAnsi="Times New Roman" w:cs="Times New Roman"/>
          <w:i/>
          <w:lang w:val="en-GB"/>
        </w:rPr>
        <w:t>special legislative procedure</w:t>
      </w:r>
      <w:r>
        <w:rPr>
          <w:rFonts w:ascii="Times New Roman" w:hAnsi="Times New Roman" w:cs="Times New Roman"/>
          <w:lang w:val="en-GB"/>
        </w:rPr>
        <w:t>”. In the case of this project, only the ordinary legislative procedure is of interest, since it is used to agree legislation concerning the</w:t>
      </w:r>
      <w:r w:rsidR="00C64E47">
        <w:rPr>
          <w:rFonts w:ascii="Times New Roman" w:hAnsi="Times New Roman" w:cs="Times New Roman"/>
          <w:lang w:val="en-GB"/>
        </w:rPr>
        <w:t xml:space="preserve"> European</w:t>
      </w:r>
      <w:r>
        <w:rPr>
          <w:rFonts w:ascii="Times New Roman" w:hAnsi="Times New Roman" w:cs="Times New Roman"/>
          <w:lang w:val="en-GB"/>
        </w:rPr>
        <w:t xml:space="preserve"> internal market</w:t>
      </w:r>
      <w:r w:rsidR="00267B4D">
        <w:rPr>
          <w:rFonts w:ascii="Times New Roman" w:hAnsi="Times New Roman" w:cs="Times New Roman"/>
          <w:lang w:val="en-GB"/>
        </w:rPr>
        <w:t xml:space="preserve"> in far the most cases.</w:t>
      </w:r>
      <w:r w:rsidR="00E37381">
        <w:rPr>
          <w:rStyle w:val="FootnoteReference"/>
          <w:rFonts w:cs="Times New Roman"/>
          <w:lang w:val="en-GB"/>
        </w:rPr>
        <w:footnoteReference w:id="82"/>
      </w:r>
      <w:r w:rsidR="00267B4D">
        <w:rPr>
          <w:rFonts w:ascii="Times New Roman" w:hAnsi="Times New Roman" w:cs="Times New Roman"/>
          <w:lang w:val="en-GB"/>
        </w:rPr>
        <w:t xml:space="preserve"> </w:t>
      </w:r>
    </w:p>
    <w:p w14:paraId="0AAA6249" w14:textId="27EAAB2C" w:rsidR="0016755F" w:rsidRDefault="0016755F" w:rsidP="00BF1A52">
      <w:pPr>
        <w:spacing w:line="360" w:lineRule="auto"/>
        <w:jc w:val="both"/>
        <w:rPr>
          <w:rFonts w:ascii="Times New Roman" w:hAnsi="Times New Roman" w:cs="Times New Roman"/>
          <w:lang w:val="en-GB"/>
        </w:rPr>
      </w:pPr>
      <w:r>
        <w:rPr>
          <w:rFonts w:ascii="Times New Roman" w:hAnsi="Times New Roman" w:cs="Times New Roman"/>
          <w:lang w:val="en-GB"/>
        </w:rPr>
        <w:lastRenderedPageBreak/>
        <w:t xml:space="preserve">Before any official legislative procedure </w:t>
      </w:r>
      <w:r w:rsidR="00F73BAB">
        <w:rPr>
          <w:rFonts w:ascii="Times New Roman" w:hAnsi="Times New Roman" w:cs="Times New Roman"/>
          <w:lang w:val="en-GB"/>
        </w:rPr>
        <w:t xml:space="preserve">for any case </w:t>
      </w:r>
      <w:r>
        <w:rPr>
          <w:rFonts w:ascii="Times New Roman" w:hAnsi="Times New Roman" w:cs="Times New Roman"/>
          <w:lang w:val="en-GB"/>
        </w:rPr>
        <w:t xml:space="preserve">is </w:t>
      </w:r>
      <w:r w:rsidR="00F73BAB">
        <w:rPr>
          <w:rFonts w:ascii="Times New Roman" w:hAnsi="Times New Roman" w:cs="Times New Roman"/>
          <w:lang w:val="en-GB"/>
        </w:rPr>
        <w:t>initiated there probably already has been going on a lot of lobbying for the future proposal, as described in the theory chapter. The most important actors for interest groups are throughout the whole process the European Parliament and, in case</w:t>
      </w:r>
      <w:r w:rsidR="00FE39F2">
        <w:rPr>
          <w:rFonts w:ascii="Times New Roman" w:hAnsi="Times New Roman" w:cs="Times New Roman"/>
          <w:lang w:val="en-GB"/>
        </w:rPr>
        <w:t>s concerning local governments</w:t>
      </w:r>
      <w:r w:rsidR="00F73BAB">
        <w:rPr>
          <w:rFonts w:ascii="Times New Roman" w:hAnsi="Times New Roman" w:cs="Times New Roman"/>
          <w:lang w:val="en-GB"/>
        </w:rPr>
        <w:t>, the Committee of the Regions</w:t>
      </w:r>
      <w:r w:rsidR="0072361D">
        <w:rPr>
          <w:rFonts w:ascii="Times New Roman" w:hAnsi="Times New Roman" w:cs="Times New Roman"/>
          <w:lang w:val="en-GB"/>
        </w:rPr>
        <w:t>.</w:t>
      </w:r>
      <w:r w:rsidR="00FE39F2">
        <w:rPr>
          <w:rStyle w:val="FootnoteReference"/>
          <w:rFonts w:cs="Times New Roman"/>
          <w:lang w:val="en-GB"/>
        </w:rPr>
        <w:footnoteReference w:id="83"/>
      </w:r>
      <w:r w:rsidR="00FE39F2">
        <w:rPr>
          <w:rFonts w:ascii="Times New Roman" w:hAnsi="Times New Roman" w:cs="Times New Roman"/>
          <w:lang w:val="en-GB"/>
        </w:rPr>
        <w:t xml:space="preserve"> Both formal and informal meetings between representatives of interest groups and members of Parliament, Commission and Committees are the backbone of lobbying a cause in Brussels and the earlier this process starts, the higher the chances are that interest groups wishes are met with success. </w:t>
      </w:r>
      <w:r w:rsidR="0020621A">
        <w:rPr>
          <w:rFonts w:ascii="Times New Roman" w:hAnsi="Times New Roman" w:cs="Times New Roman"/>
          <w:lang w:val="en-GB"/>
        </w:rPr>
        <w:t>Convincing members of Parliament, the Committee of the Regions or the Commission that there is a need for a certain legislation or amendments, can help initiate</w:t>
      </w:r>
      <w:r w:rsidR="000932D8">
        <w:rPr>
          <w:rFonts w:ascii="Times New Roman" w:hAnsi="Times New Roman" w:cs="Times New Roman"/>
          <w:lang w:val="en-GB"/>
        </w:rPr>
        <w:t xml:space="preserve"> the whole legislative procedure.</w:t>
      </w:r>
      <w:r w:rsidR="0020621A">
        <w:rPr>
          <w:rStyle w:val="FootnoteReference"/>
          <w:rFonts w:cs="Times New Roman"/>
          <w:lang w:val="en-GB"/>
        </w:rPr>
        <w:footnoteReference w:id="84"/>
      </w:r>
    </w:p>
    <w:p w14:paraId="66A24301" w14:textId="410FB9F1" w:rsidR="007E346A" w:rsidRPr="000932D8" w:rsidRDefault="0020621A" w:rsidP="000932D8">
      <w:pPr>
        <w:pStyle w:val="Caption"/>
        <w:spacing w:line="360" w:lineRule="auto"/>
        <w:jc w:val="both"/>
        <w:rPr>
          <w:rFonts w:ascii="Times New Roman" w:hAnsi="Times New Roman" w:cs="Times New Roman"/>
          <w:lang w:val="en-GB"/>
        </w:rPr>
      </w:pPr>
      <w:r w:rsidRPr="00F061ED">
        <w:rPr>
          <w:rFonts w:ascii="Times New Roman" w:hAnsi="Times New Roman" w:cs="Times New Roman"/>
          <w:b w:val="0"/>
          <w:bCs w:val="0"/>
          <w:color w:val="auto"/>
          <w:sz w:val="24"/>
          <w:szCs w:val="24"/>
          <w:lang w:val="en-GB"/>
        </w:rPr>
        <w:t>As</w:t>
      </w:r>
      <w:r w:rsidR="00267B4D" w:rsidRPr="00F061ED">
        <w:rPr>
          <w:rFonts w:ascii="Times New Roman" w:hAnsi="Times New Roman" w:cs="Times New Roman"/>
          <w:b w:val="0"/>
          <w:bCs w:val="0"/>
          <w:color w:val="auto"/>
          <w:sz w:val="24"/>
          <w:szCs w:val="24"/>
          <w:lang w:val="en-GB"/>
        </w:rPr>
        <w:t xml:space="preserve"> said</w:t>
      </w:r>
      <w:r w:rsidRPr="00F061ED">
        <w:rPr>
          <w:rFonts w:ascii="Times New Roman" w:hAnsi="Times New Roman" w:cs="Times New Roman"/>
          <w:b w:val="0"/>
          <w:bCs w:val="0"/>
          <w:color w:val="auto"/>
          <w:sz w:val="24"/>
          <w:szCs w:val="24"/>
          <w:lang w:val="en-GB"/>
        </w:rPr>
        <w:t xml:space="preserve"> above</w:t>
      </w:r>
      <w:r w:rsidR="00267B4D" w:rsidRPr="00F061ED">
        <w:rPr>
          <w:rFonts w:ascii="Times New Roman" w:hAnsi="Times New Roman" w:cs="Times New Roman"/>
          <w:b w:val="0"/>
          <w:bCs w:val="0"/>
          <w:color w:val="auto"/>
          <w:sz w:val="24"/>
          <w:szCs w:val="24"/>
          <w:lang w:val="en-GB"/>
        </w:rPr>
        <w:t xml:space="preserve">, </w:t>
      </w:r>
      <w:r w:rsidRPr="00F061ED">
        <w:rPr>
          <w:rFonts w:ascii="Times New Roman" w:hAnsi="Times New Roman" w:cs="Times New Roman"/>
          <w:b w:val="0"/>
          <w:bCs w:val="0"/>
          <w:color w:val="auto"/>
          <w:sz w:val="24"/>
          <w:szCs w:val="24"/>
          <w:lang w:val="en-GB"/>
        </w:rPr>
        <w:t xml:space="preserve">the ordinary legislative procedure is </w:t>
      </w:r>
      <w:r w:rsidR="00267B4D" w:rsidRPr="00F061ED">
        <w:rPr>
          <w:rFonts w:ascii="Times New Roman" w:hAnsi="Times New Roman" w:cs="Times New Roman"/>
          <w:b w:val="0"/>
          <w:bCs w:val="0"/>
          <w:color w:val="auto"/>
          <w:sz w:val="24"/>
          <w:szCs w:val="24"/>
          <w:lang w:val="en-GB"/>
        </w:rPr>
        <w:t>the main procedure for passing legislation</w:t>
      </w:r>
      <w:r w:rsidR="0083792C" w:rsidRPr="00F061ED">
        <w:rPr>
          <w:rFonts w:ascii="Times New Roman" w:hAnsi="Times New Roman" w:cs="Times New Roman"/>
          <w:b w:val="0"/>
          <w:bCs w:val="0"/>
          <w:color w:val="auto"/>
          <w:sz w:val="24"/>
          <w:szCs w:val="24"/>
          <w:lang w:val="en-GB"/>
        </w:rPr>
        <w:t xml:space="preserve"> and not only for internal market related matters. The ordinary legislative procedure, previously known as co-decision, was introduced with the treaty of Maastricht (1992) and strengthened the role of the Parliament treme</w:t>
      </w:r>
      <w:r w:rsidR="00BA0D78" w:rsidRPr="00F061ED">
        <w:rPr>
          <w:rFonts w:ascii="Times New Roman" w:hAnsi="Times New Roman" w:cs="Times New Roman"/>
          <w:b w:val="0"/>
          <w:bCs w:val="0"/>
          <w:color w:val="auto"/>
          <w:sz w:val="24"/>
          <w:szCs w:val="24"/>
          <w:lang w:val="en-GB"/>
        </w:rPr>
        <w:t xml:space="preserve">ndously. In </w:t>
      </w:r>
      <w:r w:rsidR="004D4CCA" w:rsidRPr="00F061ED">
        <w:rPr>
          <w:rFonts w:ascii="Times New Roman" w:hAnsi="Times New Roman" w:cs="Times New Roman"/>
          <w:b w:val="0"/>
          <w:bCs w:val="0"/>
          <w:color w:val="auto"/>
          <w:sz w:val="24"/>
          <w:szCs w:val="24"/>
          <w:lang w:val="en-GB"/>
        </w:rPr>
        <w:t>this</w:t>
      </w:r>
      <w:r w:rsidR="004D4CCA" w:rsidRPr="004D4CCA">
        <w:rPr>
          <w:rFonts w:ascii="Times New Roman" w:hAnsi="Times New Roman" w:cs="Times New Roman"/>
          <w:b w:val="0"/>
          <w:bCs w:val="0"/>
          <w:color w:val="auto"/>
          <w:sz w:val="24"/>
          <w:szCs w:val="24"/>
          <w:lang w:val="en-GB"/>
        </w:rPr>
        <w:t xml:space="preserve"> procedure</w:t>
      </w:r>
      <w:r w:rsidR="00BA0D78" w:rsidRPr="004D4CCA">
        <w:rPr>
          <w:rFonts w:ascii="Times New Roman" w:hAnsi="Times New Roman" w:cs="Times New Roman"/>
          <w:b w:val="0"/>
          <w:bCs w:val="0"/>
          <w:color w:val="auto"/>
          <w:sz w:val="24"/>
          <w:szCs w:val="24"/>
          <w:lang w:val="en-GB"/>
        </w:rPr>
        <w:t>, before any proposal by</w:t>
      </w:r>
      <w:r w:rsidR="0083792C" w:rsidRPr="004D4CCA">
        <w:rPr>
          <w:rFonts w:ascii="Times New Roman" w:hAnsi="Times New Roman" w:cs="Times New Roman"/>
          <w:b w:val="0"/>
          <w:bCs w:val="0"/>
          <w:color w:val="auto"/>
          <w:sz w:val="24"/>
          <w:szCs w:val="24"/>
          <w:lang w:val="en-GB"/>
        </w:rPr>
        <w:t xml:space="preserve"> the commission can become law, both the Parliament a</w:t>
      </w:r>
      <w:r w:rsidR="00BA0D78" w:rsidRPr="004D4CCA">
        <w:rPr>
          <w:rFonts w:ascii="Times New Roman" w:hAnsi="Times New Roman" w:cs="Times New Roman"/>
          <w:b w:val="0"/>
          <w:bCs w:val="0"/>
          <w:color w:val="auto"/>
          <w:sz w:val="24"/>
          <w:szCs w:val="24"/>
          <w:lang w:val="en-GB"/>
        </w:rPr>
        <w:t>nd the Council have to agree. The following treaties of Amsterdam, Nice and Lisbon all strengthened the role of the Parliament and widened the areas where the ordinary</w:t>
      </w:r>
      <w:r w:rsidR="009333CC" w:rsidRPr="004D4CCA">
        <w:rPr>
          <w:rFonts w:ascii="Times New Roman" w:hAnsi="Times New Roman" w:cs="Times New Roman"/>
          <w:b w:val="0"/>
          <w:bCs w:val="0"/>
          <w:color w:val="auto"/>
          <w:sz w:val="24"/>
          <w:szCs w:val="24"/>
          <w:lang w:val="en-GB"/>
        </w:rPr>
        <w:t xml:space="preserve"> legislative procedure applies</w:t>
      </w:r>
      <w:r w:rsidR="009333CC">
        <w:rPr>
          <w:rFonts w:ascii="Times New Roman" w:hAnsi="Times New Roman" w:cs="Times New Roman"/>
          <w:lang w:val="en-GB"/>
        </w:rPr>
        <w:t>.</w:t>
      </w:r>
      <w:r w:rsidR="00E37381">
        <w:rPr>
          <w:rStyle w:val="FootnoteReference"/>
          <w:rFonts w:cs="Times New Roman"/>
          <w:lang w:val="en-GB"/>
        </w:rPr>
        <w:footnoteReference w:id="85"/>
      </w:r>
      <w:r w:rsidR="004D4CCA">
        <w:rPr>
          <w:rFonts w:ascii="Times New Roman" w:hAnsi="Times New Roman" w:cs="Times New Roman"/>
          <w:b w:val="0"/>
          <w:bCs w:val="0"/>
          <w:color w:val="auto"/>
          <w:sz w:val="24"/>
          <w:szCs w:val="24"/>
          <w:lang w:val="en-GB"/>
        </w:rPr>
        <w:t xml:space="preserve"> </w:t>
      </w:r>
      <w:r w:rsidR="009333CC" w:rsidRPr="00E90C89">
        <w:rPr>
          <w:rFonts w:ascii="Times New Roman" w:hAnsi="Times New Roman" w:cs="Times New Roman"/>
          <w:b w:val="0"/>
          <w:bCs w:val="0"/>
          <w:color w:val="auto"/>
          <w:sz w:val="24"/>
          <w:szCs w:val="24"/>
          <w:lang w:val="en-GB"/>
        </w:rPr>
        <w:t>While the Parliament nowadays is equally important as the Council, the sole right to initiate legislation still belongs to the Commission, which is responsible for drafting legislative proposals. Various interest groups and other European institutions thoug</w:t>
      </w:r>
      <w:r w:rsidR="00F100ED" w:rsidRPr="00E90C89">
        <w:rPr>
          <w:rFonts w:ascii="Times New Roman" w:hAnsi="Times New Roman" w:cs="Times New Roman"/>
          <w:b w:val="0"/>
          <w:bCs w:val="0"/>
          <w:color w:val="auto"/>
          <w:sz w:val="24"/>
          <w:szCs w:val="24"/>
          <w:lang w:val="en-GB"/>
        </w:rPr>
        <w:t>h can influence the Commission.</w:t>
      </w:r>
      <w:r w:rsidR="009333CC" w:rsidRPr="00E90C89">
        <w:rPr>
          <w:rFonts w:ascii="Times New Roman" w:hAnsi="Times New Roman" w:cs="Times New Roman"/>
          <w:b w:val="0"/>
          <w:bCs w:val="0"/>
          <w:color w:val="auto"/>
          <w:sz w:val="24"/>
          <w:szCs w:val="24"/>
          <w:lang w:val="en-GB"/>
        </w:rPr>
        <w:t xml:space="preserve"> This is illustrated in the top of “figure 2” below</w:t>
      </w:r>
      <w:r w:rsidR="00F100ED" w:rsidRPr="00E90C89">
        <w:rPr>
          <w:rFonts w:ascii="Times New Roman" w:hAnsi="Times New Roman" w:cs="Times New Roman"/>
          <w:b w:val="0"/>
          <w:bCs w:val="0"/>
          <w:color w:val="auto"/>
          <w:sz w:val="24"/>
          <w:szCs w:val="24"/>
          <w:lang w:val="en-GB"/>
        </w:rPr>
        <w:t xml:space="preserve">, Parliament and Council may ask the Commission to submit a proposal and in a few cases other institutions like the Central Bank, publics initiatives or </w:t>
      </w:r>
      <w:r w:rsidR="00F100ED" w:rsidRPr="00E47433">
        <w:rPr>
          <w:rFonts w:ascii="Times New Roman" w:hAnsi="Times New Roman" w:cs="Times New Roman"/>
          <w:b w:val="0"/>
          <w:bCs w:val="0"/>
          <w:color w:val="auto"/>
          <w:sz w:val="24"/>
          <w:szCs w:val="24"/>
          <w:lang w:val="en-GB"/>
        </w:rPr>
        <w:t>the European</w:t>
      </w:r>
      <w:r w:rsidR="00F100ED" w:rsidRPr="00E47433">
        <w:rPr>
          <w:rFonts w:ascii="Times New Roman" w:hAnsi="Times New Roman" w:cs="Times New Roman"/>
          <w:b w:val="0"/>
          <w:color w:val="auto"/>
          <w:sz w:val="24"/>
          <w:szCs w:val="24"/>
          <w:lang w:val="en-GB"/>
        </w:rPr>
        <w:t xml:space="preserve"> Court</w:t>
      </w:r>
      <w:r w:rsidR="00F100ED">
        <w:rPr>
          <w:rFonts w:ascii="Times New Roman" w:hAnsi="Times New Roman" w:cs="Times New Roman"/>
          <w:lang w:val="en-GB"/>
        </w:rPr>
        <w:t xml:space="preserve"> </w:t>
      </w:r>
      <w:r w:rsidR="00F100ED" w:rsidRPr="00F061ED">
        <w:rPr>
          <w:rFonts w:ascii="Times New Roman" w:hAnsi="Times New Roman" w:cs="Times New Roman"/>
          <w:b w:val="0"/>
          <w:color w:val="auto"/>
          <w:sz w:val="24"/>
          <w:szCs w:val="24"/>
          <w:lang w:val="en-GB"/>
        </w:rPr>
        <w:t>of Justice might do the same.</w:t>
      </w:r>
      <w:r w:rsidR="0048256B" w:rsidRPr="00F061ED">
        <w:rPr>
          <w:rStyle w:val="FootnoteReference"/>
          <w:rFonts w:cs="Times New Roman"/>
          <w:b w:val="0"/>
          <w:color w:val="auto"/>
          <w:sz w:val="24"/>
          <w:szCs w:val="24"/>
          <w:lang w:val="en-GB"/>
        </w:rPr>
        <w:footnoteReference w:id="86"/>
      </w:r>
      <w:r w:rsidR="00F100ED" w:rsidRPr="00F061ED">
        <w:rPr>
          <w:rFonts w:ascii="Times New Roman" w:hAnsi="Times New Roman" w:cs="Times New Roman"/>
          <w:b w:val="0"/>
          <w:color w:val="auto"/>
          <w:sz w:val="24"/>
          <w:szCs w:val="24"/>
          <w:lang w:val="en-GB"/>
        </w:rPr>
        <w:t xml:space="preserve"> The commission is also likely to ask other relevant institutions for advice on their own. When it is decided that a certain topic need</w:t>
      </w:r>
      <w:r w:rsidRPr="00F061ED">
        <w:rPr>
          <w:rFonts w:ascii="Times New Roman" w:hAnsi="Times New Roman" w:cs="Times New Roman"/>
          <w:b w:val="0"/>
          <w:color w:val="auto"/>
          <w:sz w:val="24"/>
          <w:szCs w:val="24"/>
          <w:lang w:val="en-GB"/>
        </w:rPr>
        <w:t>s</w:t>
      </w:r>
      <w:r w:rsidR="00F100ED" w:rsidRPr="00F061ED">
        <w:rPr>
          <w:rFonts w:ascii="Times New Roman" w:hAnsi="Times New Roman" w:cs="Times New Roman"/>
          <w:b w:val="0"/>
          <w:color w:val="auto"/>
          <w:sz w:val="24"/>
          <w:szCs w:val="24"/>
          <w:lang w:val="en-GB"/>
        </w:rPr>
        <w:t xml:space="preserve"> legislation the Commission usually will publish a “Green”- or “White”-paper, where the Green Paper is a loose collection of </w:t>
      </w:r>
      <w:r w:rsidR="00F100ED" w:rsidRPr="00F061ED">
        <w:rPr>
          <w:rFonts w:ascii="Times New Roman" w:hAnsi="Times New Roman" w:cs="Times New Roman"/>
          <w:b w:val="0"/>
          <w:color w:val="auto"/>
          <w:sz w:val="24"/>
          <w:szCs w:val="24"/>
          <w:lang w:val="en-GB"/>
        </w:rPr>
        <w:lastRenderedPageBreak/>
        <w:t>thou</w:t>
      </w:r>
      <w:r w:rsidRPr="00F061ED">
        <w:rPr>
          <w:rFonts w:ascii="Times New Roman" w:hAnsi="Times New Roman" w:cs="Times New Roman"/>
          <w:b w:val="0"/>
          <w:color w:val="auto"/>
          <w:sz w:val="24"/>
          <w:szCs w:val="24"/>
          <w:lang w:val="en-GB"/>
        </w:rPr>
        <w:t>ghts on a certain topic and is a call</w:t>
      </w:r>
      <w:r w:rsidR="00F100ED" w:rsidRPr="00F061ED">
        <w:rPr>
          <w:rFonts w:ascii="Times New Roman" w:hAnsi="Times New Roman" w:cs="Times New Roman"/>
          <w:b w:val="0"/>
          <w:color w:val="auto"/>
          <w:sz w:val="24"/>
          <w:szCs w:val="24"/>
          <w:lang w:val="en-GB"/>
        </w:rPr>
        <w:t xml:space="preserve"> for the opinion of ot</w:t>
      </w:r>
      <w:r w:rsidR="0048256B" w:rsidRPr="00F061ED">
        <w:rPr>
          <w:rFonts w:ascii="Times New Roman" w:hAnsi="Times New Roman" w:cs="Times New Roman"/>
          <w:b w:val="0"/>
          <w:color w:val="auto"/>
          <w:sz w:val="24"/>
          <w:szCs w:val="24"/>
          <w:lang w:val="en-GB"/>
        </w:rPr>
        <w:t xml:space="preserve">her parties. A White Paper is </w:t>
      </w:r>
      <w:r w:rsidR="00F100ED" w:rsidRPr="00F061ED">
        <w:rPr>
          <w:rFonts w:ascii="Times New Roman" w:hAnsi="Times New Roman" w:cs="Times New Roman"/>
          <w:b w:val="0"/>
          <w:color w:val="auto"/>
          <w:sz w:val="24"/>
          <w:szCs w:val="24"/>
          <w:lang w:val="en-GB"/>
        </w:rPr>
        <w:t xml:space="preserve">more detailed </w:t>
      </w:r>
      <w:r w:rsidR="0048256B" w:rsidRPr="00F061ED">
        <w:rPr>
          <w:rFonts w:ascii="Times New Roman" w:hAnsi="Times New Roman" w:cs="Times New Roman"/>
          <w:b w:val="0"/>
          <w:color w:val="auto"/>
          <w:sz w:val="24"/>
          <w:szCs w:val="24"/>
          <w:lang w:val="en-GB"/>
        </w:rPr>
        <w:t>and contains concrete policy proposals. In this initial start, during the consultations, it is possible for other European bodies, national states and interest organizations to influence the drafting of the Commissions proposal. The next step will be for the Commission to send its drafted legislative proposal to the Parliament, the Council, to the Unions member states and if relevant to the Committee of the Regions and the Economic and Social Committee. Member states have the possibility to object to a legislation proposal if they see it breaching the principle of subsidiarity.</w:t>
      </w:r>
      <w:r w:rsidR="00EB0002">
        <w:rPr>
          <w:rStyle w:val="FootnoteReference"/>
          <w:rFonts w:cs="Times New Roman"/>
          <w:lang w:val="en-GB"/>
        </w:rPr>
        <w:footnoteReference w:id="87"/>
      </w:r>
      <w:r w:rsidR="0048256B">
        <w:rPr>
          <w:rFonts w:ascii="Times New Roman" w:hAnsi="Times New Roman" w:cs="Times New Roman"/>
          <w:lang w:val="en-GB"/>
        </w:rPr>
        <w:t xml:space="preserve"> </w:t>
      </w:r>
      <w:r w:rsidR="000932D8">
        <w:rPr>
          <w:rFonts w:ascii="Times New Roman" w:hAnsi="Times New Roman" w:cs="Times New Roman"/>
          <w:lang w:val="en-GB"/>
        </w:rPr>
        <w:tab/>
      </w:r>
      <w:r w:rsidR="000932D8">
        <w:rPr>
          <w:rFonts w:ascii="Times New Roman" w:hAnsi="Times New Roman" w:cs="Times New Roman"/>
          <w:lang w:val="en-GB"/>
        </w:rPr>
        <w:br/>
      </w:r>
      <w:r w:rsidR="00E37381" w:rsidRPr="000932D8">
        <w:rPr>
          <w:rFonts w:ascii="Times New Roman" w:hAnsi="Times New Roman" w:cs="Times New Roman"/>
          <w:b w:val="0"/>
          <w:color w:val="auto"/>
          <w:sz w:val="24"/>
          <w:szCs w:val="24"/>
          <w:lang w:val="en-GB"/>
        </w:rPr>
        <w:t>In accordance with the Treaty on the Functioning of the European Union the Committee of the Regions and the Economic and Social Committee is supposed to be consulted by the Parliament, the Council or the Commission, where the treaties provide the possibility and where those institutions feel it appropriate. Both Committess, then will come up and provide the concerning institution with their “opinion” on the matter.</w:t>
      </w:r>
      <w:r w:rsidR="007B3630" w:rsidRPr="000932D8">
        <w:rPr>
          <w:rStyle w:val="FootnoteReference"/>
          <w:rFonts w:cs="Times New Roman"/>
          <w:b w:val="0"/>
          <w:color w:val="auto"/>
          <w:sz w:val="24"/>
          <w:szCs w:val="24"/>
          <w:lang w:val="en-GB"/>
        </w:rPr>
        <w:footnoteReference w:id="88"/>
      </w:r>
      <w:r w:rsidR="00E37381" w:rsidRPr="000932D8">
        <w:rPr>
          <w:rFonts w:ascii="Times New Roman" w:hAnsi="Times New Roman" w:cs="Times New Roman"/>
          <w:b w:val="0"/>
          <w:color w:val="auto"/>
          <w:sz w:val="24"/>
          <w:szCs w:val="24"/>
          <w:lang w:val="en-GB"/>
        </w:rPr>
        <w:t xml:space="preserve"> Although this r</w:t>
      </w:r>
      <w:r w:rsidR="007B3630" w:rsidRPr="000932D8">
        <w:rPr>
          <w:rFonts w:ascii="Times New Roman" w:hAnsi="Times New Roman" w:cs="Times New Roman"/>
          <w:b w:val="0"/>
          <w:color w:val="auto"/>
          <w:sz w:val="24"/>
          <w:szCs w:val="24"/>
          <w:lang w:val="en-GB"/>
        </w:rPr>
        <w:t>ule is formulated in a very vague</w:t>
      </w:r>
      <w:r w:rsidR="00E37381" w:rsidRPr="000932D8">
        <w:rPr>
          <w:rFonts w:ascii="Times New Roman" w:hAnsi="Times New Roman" w:cs="Times New Roman"/>
          <w:b w:val="0"/>
          <w:color w:val="auto"/>
          <w:sz w:val="24"/>
          <w:szCs w:val="24"/>
          <w:lang w:val="en-GB"/>
        </w:rPr>
        <w:t xml:space="preserve"> way, it seems to work fine in reality</w:t>
      </w:r>
      <w:r w:rsidR="000932D8">
        <w:rPr>
          <w:rFonts w:ascii="Times New Roman" w:hAnsi="Times New Roman" w:cs="Times New Roman"/>
          <w:b w:val="0"/>
          <w:color w:val="auto"/>
          <w:sz w:val="24"/>
          <w:szCs w:val="24"/>
          <w:lang w:val="en-GB"/>
        </w:rPr>
        <w:t>.</w:t>
      </w:r>
    </w:p>
    <w:p w14:paraId="7621B04C" w14:textId="4FED29A9" w:rsidR="00671D13" w:rsidRDefault="00671D13"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When the Commission </w:t>
      </w:r>
      <w:r w:rsidR="005B4CA5">
        <w:rPr>
          <w:rFonts w:ascii="Times New Roman" w:hAnsi="Times New Roman" w:cs="Times New Roman"/>
          <w:lang w:val="en-GB"/>
        </w:rPr>
        <w:t xml:space="preserve">has prepared their legislative proposal it goes to European Parliament for its first reading. The responsible Committee will develop a position on the Commissions proposal, based on their own expertise and a discussion of possible amendments that can be submitted by any member of the European Parliament. The altered proposal will then be debated by the whole parliament in plenary session and accepted or rejected by a simple majority voting. </w:t>
      </w:r>
      <w:r w:rsidR="001E736B">
        <w:rPr>
          <w:rFonts w:ascii="Times New Roman" w:hAnsi="Times New Roman" w:cs="Times New Roman"/>
          <w:lang w:val="en-GB"/>
        </w:rPr>
        <w:t>While it is unlikely, a proposal can also be passed by the parliament without any amendments. The Commission will, in case they deem it favourable, incorporate some or all amendments made by the parliament into a new proposal, which then is send to the Council for their first hearing.</w:t>
      </w:r>
      <w:r w:rsidR="00B33020">
        <w:rPr>
          <w:rStyle w:val="FootnoteReference"/>
          <w:rFonts w:cs="Times New Roman"/>
          <w:lang w:val="en-GB"/>
        </w:rPr>
        <w:footnoteReference w:id="89"/>
      </w:r>
      <w:r w:rsidR="001E736B">
        <w:rPr>
          <w:rFonts w:ascii="Times New Roman" w:hAnsi="Times New Roman" w:cs="Times New Roman"/>
          <w:lang w:val="en-GB"/>
        </w:rPr>
        <w:t xml:space="preserve"> </w:t>
      </w:r>
    </w:p>
    <w:p w14:paraId="24778405" w14:textId="4C58BFA7" w:rsidR="00B33020" w:rsidRDefault="001E736B" w:rsidP="00BF1A52">
      <w:pPr>
        <w:spacing w:line="360" w:lineRule="auto"/>
        <w:jc w:val="both"/>
        <w:rPr>
          <w:rFonts w:ascii="Times New Roman" w:hAnsi="Times New Roman" w:cs="Times New Roman"/>
          <w:lang w:val="en-GB"/>
        </w:rPr>
      </w:pPr>
      <w:r>
        <w:rPr>
          <w:rFonts w:ascii="Times New Roman" w:hAnsi="Times New Roman" w:cs="Times New Roman"/>
          <w:lang w:val="en-GB"/>
        </w:rPr>
        <w:t>At this point will interest groups already have had multiple chances to lobby their cause to both the parliament, the Committee of the Regions and to members o</w:t>
      </w:r>
      <w:r w:rsidR="003B6E4C">
        <w:rPr>
          <w:rFonts w:ascii="Times New Roman" w:hAnsi="Times New Roman" w:cs="Times New Roman"/>
          <w:lang w:val="en-GB"/>
        </w:rPr>
        <w:t xml:space="preserve">f the </w:t>
      </w:r>
      <w:proofErr w:type="gramStart"/>
      <w:r w:rsidR="003B6E4C">
        <w:rPr>
          <w:rFonts w:ascii="Times New Roman" w:hAnsi="Times New Roman" w:cs="Times New Roman"/>
          <w:lang w:val="en-GB"/>
        </w:rPr>
        <w:t>Commission.</w:t>
      </w:r>
      <w:proofErr w:type="gramEnd"/>
      <w:r w:rsidR="003B6E4C">
        <w:rPr>
          <w:rFonts w:ascii="Times New Roman" w:hAnsi="Times New Roman" w:cs="Times New Roman"/>
          <w:lang w:val="en-GB"/>
        </w:rPr>
        <w:t xml:space="preserve"> As mentioned their work</w:t>
      </w:r>
      <w:r>
        <w:rPr>
          <w:rFonts w:ascii="Times New Roman" w:hAnsi="Times New Roman" w:cs="Times New Roman"/>
          <w:lang w:val="en-GB"/>
        </w:rPr>
        <w:t xml:space="preserve"> even begin</w:t>
      </w:r>
      <w:r w:rsidR="003B6E4C">
        <w:rPr>
          <w:rFonts w:ascii="Times New Roman" w:hAnsi="Times New Roman" w:cs="Times New Roman"/>
          <w:lang w:val="en-GB"/>
        </w:rPr>
        <w:t>s</w:t>
      </w:r>
      <w:r>
        <w:rPr>
          <w:rFonts w:ascii="Times New Roman" w:hAnsi="Times New Roman" w:cs="Times New Roman"/>
          <w:lang w:val="en-GB"/>
        </w:rPr>
        <w:t xml:space="preserve"> before the Commission is drafting an actual proposal</w:t>
      </w:r>
      <w:r w:rsidR="00B33020">
        <w:rPr>
          <w:rFonts w:ascii="Times New Roman" w:hAnsi="Times New Roman" w:cs="Times New Roman"/>
          <w:lang w:val="en-GB"/>
        </w:rPr>
        <w:t>.</w:t>
      </w:r>
      <w:r>
        <w:rPr>
          <w:rFonts w:ascii="Times New Roman" w:hAnsi="Times New Roman" w:cs="Times New Roman"/>
          <w:lang w:val="en-GB"/>
        </w:rPr>
        <w:t xml:space="preserve"> As</w:t>
      </w:r>
      <w:r w:rsidR="00B33020">
        <w:rPr>
          <w:rFonts w:ascii="Times New Roman" w:hAnsi="Times New Roman" w:cs="Times New Roman"/>
          <w:lang w:val="en-GB"/>
        </w:rPr>
        <w:t xml:space="preserve"> it is illustrated</w:t>
      </w:r>
      <w:r>
        <w:rPr>
          <w:rFonts w:ascii="Times New Roman" w:hAnsi="Times New Roman" w:cs="Times New Roman"/>
          <w:lang w:val="en-GB"/>
        </w:rPr>
        <w:t xml:space="preserve"> in the above figure, lobbyists are in close contact to members of Parliament and the Committee of the Regions. Their work </w:t>
      </w:r>
      <w:r w:rsidR="00F71104">
        <w:rPr>
          <w:rFonts w:ascii="Times New Roman" w:hAnsi="Times New Roman" w:cs="Times New Roman"/>
          <w:lang w:val="en-GB"/>
        </w:rPr>
        <w:lastRenderedPageBreak/>
        <w:t>consists, of course, of bringing forth their ideas to the people who are actively in charge in the actual decision making process, but as a side product they also serve as an important link between the diverse actors</w:t>
      </w:r>
      <w:r w:rsidR="00D56A69">
        <w:rPr>
          <w:rFonts w:ascii="Times New Roman" w:hAnsi="Times New Roman" w:cs="Times New Roman"/>
          <w:lang w:val="en-GB"/>
        </w:rPr>
        <w:t>.</w:t>
      </w:r>
      <w:r w:rsidR="00B33020">
        <w:rPr>
          <w:rStyle w:val="FootnoteReference"/>
          <w:rFonts w:cs="Times New Roman"/>
          <w:lang w:val="en-GB"/>
        </w:rPr>
        <w:footnoteReference w:id="90"/>
      </w:r>
      <w:r w:rsidR="00F71104">
        <w:rPr>
          <w:rFonts w:ascii="Times New Roman" w:hAnsi="Times New Roman" w:cs="Times New Roman"/>
          <w:lang w:val="en-GB"/>
        </w:rPr>
        <w:t xml:space="preserve"> </w:t>
      </w:r>
    </w:p>
    <w:p w14:paraId="226DB48A" w14:textId="5D2BE430" w:rsidR="001E736B" w:rsidRDefault="00B33020"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In the first </w:t>
      </w:r>
      <w:r w:rsidR="00A90C00">
        <w:rPr>
          <w:rFonts w:ascii="Times New Roman" w:hAnsi="Times New Roman" w:cs="Times New Roman"/>
          <w:lang w:val="en-GB"/>
        </w:rPr>
        <w:t>reading of the C</w:t>
      </w:r>
      <w:r w:rsidR="00206451">
        <w:rPr>
          <w:rFonts w:ascii="Times New Roman" w:hAnsi="Times New Roman" w:cs="Times New Roman"/>
          <w:lang w:val="en-GB"/>
        </w:rPr>
        <w:t>ouncil the Commissions amended proposal will be at first considered</w:t>
      </w:r>
      <w:r w:rsidR="00F71104">
        <w:rPr>
          <w:rFonts w:ascii="Times New Roman" w:hAnsi="Times New Roman" w:cs="Times New Roman"/>
          <w:lang w:val="en-GB"/>
        </w:rPr>
        <w:t xml:space="preserve"> </w:t>
      </w:r>
      <w:r w:rsidR="00206451">
        <w:rPr>
          <w:rFonts w:ascii="Times New Roman" w:hAnsi="Times New Roman" w:cs="Times New Roman"/>
          <w:lang w:val="en-GB"/>
        </w:rPr>
        <w:t xml:space="preserve">in working groups for there after to come up in a sectoral Council meeting, where a official decision on the proposal is made. Here the Council either accepts the proposal </w:t>
      </w:r>
      <w:r w:rsidR="00A90C00">
        <w:rPr>
          <w:rFonts w:ascii="Times New Roman" w:hAnsi="Times New Roman" w:cs="Times New Roman"/>
          <w:lang w:val="en-GB"/>
        </w:rPr>
        <w:t>and it gets</w:t>
      </w:r>
      <w:r w:rsidR="00206451">
        <w:rPr>
          <w:rFonts w:ascii="Times New Roman" w:hAnsi="Times New Roman" w:cs="Times New Roman"/>
          <w:lang w:val="en-GB"/>
        </w:rPr>
        <w:t xml:space="preserve"> adopted or it dismisses the proposal and adopts a common position. On average it will take the Council 15 month to adopt a common position in which it sets out their opinion on the Commissions proposal and the amendments proposed by the Parliament. In reply to such a possible common position the Commission will prepare a communication in which it summarizes their respective view on the Councils position. All documents are then forwarded to the European Parliament for their second reading.</w:t>
      </w:r>
      <w:r w:rsidR="00A90C00">
        <w:rPr>
          <w:rFonts w:ascii="Times New Roman" w:hAnsi="Times New Roman" w:cs="Times New Roman"/>
          <w:lang w:val="en-GB"/>
        </w:rPr>
        <w:t xml:space="preserve"> In case the Council decides to pass the proposal without further changes, it has to do so by a qualified majority voting.</w:t>
      </w:r>
      <w:r w:rsidR="00206451">
        <w:rPr>
          <w:rStyle w:val="FootnoteReference"/>
          <w:rFonts w:cs="Times New Roman"/>
          <w:lang w:val="en-GB"/>
        </w:rPr>
        <w:footnoteReference w:id="91"/>
      </w:r>
    </w:p>
    <w:p w14:paraId="4A0AB3F2" w14:textId="7560EFD4" w:rsidR="009B28EA" w:rsidRPr="007E346A" w:rsidRDefault="009B28EA"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Basically the procedure now starts a new, except for the difference that both the Parliament and the Council in this second round of readings have a time limit of three month to take the legislation forward. If the Parliament misses this deadline, it enables the Council to adopt the proposal on the basis of their common position. </w:t>
      </w:r>
      <w:r w:rsidR="00A90C00">
        <w:rPr>
          <w:rFonts w:ascii="Times New Roman" w:hAnsi="Times New Roman" w:cs="Times New Roman"/>
          <w:lang w:val="en-GB"/>
        </w:rPr>
        <w:t>If the parliament choses to propose possible amendments to the Councils common position, it has to be passed by a simple majority. If the Parliament choses to put the common position by the Council up for voting, it has to be passed with and absolute majority or else it will result in the proposals termination.</w:t>
      </w:r>
      <w:r w:rsidR="00A90C00">
        <w:rPr>
          <w:rStyle w:val="FootnoteReference"/>
          <w:rFonts w:cs="Times New Roman"/>
          <w:lang w:val="en-GB"/>
        </w:rPr>
        <w:footnoteReference w:id="92"/>
      </w:r>
      <w:r w:rsidR="00A90C00">
        <w:rPr>
          <w:rFonts w:ascii="Times New Roman" w:hAnsi="Times New Roman" w:cs="Times New Roman"/>
          <w:lang w:val="en-GB"/>
        </w:rPr>
        <w:t xml:space="preserve"> </w:t>
      </w:r>
      <w:r w:rsidR="00FC28DE">
        <w:rPr>
          <w:rFonts w:ascii="Times New Roman" w:hAnsi="Times New Roman" w:cs="Times New Roman"/>
          <w:lang w:val="en-GB"/>
        </w:rPr>
        <w:t>Once more the proposal will get a reading at the Council, which has the options to either pass it or reject it. In case it gets rejected there is one last possibility to carry on the process to possible positive ending, which is through the presidents of the Parliament and Council convening a conciliation committee.</w:t>
      </w:r>
      <w:r w:rsidR="00FC28DE">
        <w:rPr>
          <w:rStyle w:val="FootnoteReference"/>
          <w:rFonts w:cs="Times New Roman"/>
          <w:lang w:val="en-GB"/>
        </w:rPr>
        <w:footnoteReference w:id="93"/>
      </w:r>
      <w:r w:rsidR="00FC28DE">
        <w:rPr>
          <w:rFonts w:ascii="Times New Roman" w:hAnsi="Times New Roman" w:cs="Times New Roman"/>
          <w:lang w:val="en-GB"/>
        </w:rPr>
        <w:t xml:space="preserve"> Since most proposals by now already have been passed or dismissed, there is no need to go into detail with this committee, also because it is irrelevant for this project. </w:t>
      </w:r>
    </w:p>
    <w:p w14:paraId="1C198D22" w14:textId="2EF420FC" w:rsidR="008258AF" w:rsidRDefault="008258AF" w:rsidP="00BF1A52">
      <w:pPr>
        <w:pStyle w:val="Heading1"/>
        <w:spacing w:line="360" w:lineRule="auto"/>
        <w:jc w:val="both"/>
        <w:rPr>
          <w:rFonts w:ascii="Times New Roman" w:hAnsi="Times New Roman" w:cs="Times New Roman"/>
          <w:lang w:val="en-GB"/>
        </w:rPr>
      </w:pPr>
      <w:bookmarkStart w:id="31" w:name="_Toc289250864"/>
      <w:r w:rsidRPr="005D43BB">
        <w:rPr>
          <w:rFonts w:ascii="Times New Roman" w:hAnsi="Times New Roman" w:cs="Times New Roman"/>
          <w:lang w:val="en-GB"/>
        </w:rPr>
        <w:lastRenderedPageBreak/>
        <w:t xml:space="preserve">7.0 </w:t>
      </w:r>
      <w:r w:rsidR="007E346A">
        <w:rPr>
          <w:rFonts w:ascii="Times New Roman" w:hAnsi="Times New Roman" w:cs="Times New Roman"/>
          <w:lang w:val="en-GB"/>
        </w:rPr>
        <w:t>Altering the EU procurement directive</w:t>
      </w:r>
      <w:r w:rsidR="00651C95" w:rsidRPr="005D43BB">
        <w:rPr>
          <w:rFonts w:ascii="Times New Roman" w:hAnsi="Times New Roman" w:cs="Times New Roman"/>
          <w:lang w:val="en-GB"/>
        </w:rPr>
        <w:t xml:space="preserve"> - a case study</w:t>
      </w:r>
      <w:bookmarkEnd w:id="31"/>
    </w:p>
    <w:p w14:paraId="7578B789" w14:textId="791F963A" w:rsidR="005B7296" w:rsidRPr="00F226E1" w:rsidRDefault="005B7296" w:rsidP="00BF1A52">
      <w:pPr>
        <w:spacing w:line="360" w:lineRule="auto"/>
        <w:jc w:val="both"/>
        <w:rPr>
          <w:rFonts w:ascii="Times New Roman" w:hAnsi="Times New Roman" w:cs="Times New Roman"/>
          <w:lang w:val="en-GB"/>
        </w:rPr>
      </w:pPr>
      <w:r w:rsidRPr="00F226E1">
        <w:rPr>
          <w:rFonts w:ascii="Times New Roman" w:hAnsi="Times New Roman" w:cs="Times New Roman"/>
          <w:lang w:val="en-GB"/>
        </w:rPr>
        <w:t xml:space="preserve">The </w:t>
      </w:r>
      <w:proofErr w:type="gramStart"/>
      <w:r w:rsidRPr="00F226E1">
        <w:rPr>
          <w:rFonts w:ascii="Times New Roman" w:hAnsi="Times New Roman" w:cs="Times New Roman"/>
          <w:lang w:val="en-GB"/>
        </w:rPr>
        <w:t>basis of the European</w:t>
      </w:r>
      <w:r>
        <w:rPr>
          <w:rFonts w:ascii="Times New Roman" w:hAnsi="Times New Roman" w:cs="Times New Roman"/>
          <w:lang w:val="en-GB"/>
        </w:rPr>
        <w:t xml:space="preserve"> Public Procurement Directive are</w:t>
      </w:r>
      <w:proofErr w:type="gramEnd"/>
      <w:r w:rsidRPr="00F226E1">
        <w:rPr>
          <w:rFonts w:ascii="Times New Roman" w:hAnsi="Times New Roman" w:cs="Times New Roman"/>
          <w:lang w:val="en-GB"/>
        </w:rPr>
        <w:t xml:space="preserve"> the provisions of the </w:t>
      </w:r>
      <w:r>
        <w:rPr>
          <w:rFonts w:ascii="Times New Roman" w:hAnsi="Times New Roman" w:cs="Times New Roman"/>
          <w:lang w:val="en-GB"/>
        </w:rPr>
        <w:t>“</w:t>
      </w:r>
      <w:r w:rsidRPr="00F226E1">
        <w:rPr>
          <w:rFonts w:ascii="Times New Roman" w:hAnsi="Times New Roman" w:cs="Times New Roman"/>
          <w:lang w:val="en-GB"/>
        </w:rPr>
        <w:t>Treaty on European Union</w:t>
      </w:r>
      <w:r>
        <w:rPr>
          <w:rFonts w:ascii="Times New Roman" w:hAnsi="Times New Roman" w:cs="Times New Roman"/>
          <w:lang w:val="en-GB"/>
        </w:rPr>
        <w:t>”</w:t>
      </w:r>
      <w:r w:rsidRPr="00F226E1">
        <w:rPr>
          <w:rFonts w:ascii="Times New Roman" w:hAnsi="Times New Roman" w:cs="Times New Roman"/>
          <w:lang w:val="en-GB"/>
        </w:rPr>
        <w:t xml:space="preserve"> </w:t>
      </w:r>
      <w:r>
        <w:rPr>
          <w:rFonts w:ascii="Times New Roman" w:hAnsi="Times New Roman" w:cs="Times New Roman"/>
          <w:lang w:val="en-GB"/>
        </w:rPr>
        <w:t xml:space="preserve">(1992) </w:t>
      </w:r>
      <w:r w:rsidRPr="00F226E1">
        <w:rPr>
          <w:rFonts w:ascii="Times New Roman" w:hAnsi="Times New Roman" w:cs="Times New Roman"/>
          <w:lang w:val="en-GB"/>
        </w:rPr>
        <w:t xml:space="preserve">and the </w:t>
      </w:r>
      <w:r>
        <w:rPr>
          <w:rFonts w:ascii="Times New Roman" w:hAnsi="Times New Roman" w:cs="Times New Roman"/>
          <w:lang w:val="en-GB"/>
        </w:rPr>
        <w:t>“</w:t>
      </w:r>
      <w:r w:rsidRPr="00F226E1">
        <w:rPr>
          <w:rFonts w:ascii="Times New Roman" w:hAnsi="Times New Roman" w:cs="Times New Roman"/>
          <w:lang w:val="en-GB"/>
        </w:rPr>
        <w:t>Treaty on the Functioning of the European Union</w:t>
      </w:r>
      <w:r>
        <w:rPr>
          <w:rFonts w:ascii="Times New Roman" w:hAnsi="Times New Roman" w:cs="Times New Roman"/>
          <w:lang w:val="en-GB"/>
        </w:rPr>
        <w:t xml:space="preserve"> (1958)</w:t>
      </w:r>
      <w:r w:rsidRPr="00F226E1">
        <w:rPr>
          <w:rFonts w:ascii="Times New Roman" w:hAnsi="Times New Roman" w:cs="Times New Roman"/>
          <w:lang w:val="en-GB"/>
        </w:rPr>
        <w:t xml:space="preserve"> that prohibit barriers to intra Union trade. </w:t>
      </w:r>
      <w:r>
        <w:rPr>
          <w:rFonts w:ascii="Times New Roman" w:hAnsi="Times New Roman" w:cs="Times New Roman"/>
          <w:lang w:val="en-GB"/>
        </w:rPr>
        <w:t xml:space="preserve">The first programmes to tackle public procurement in Europe were adopted </w:t>
      </w:r>
      <w:proofErr w:type="gramStart"/>
      <w:r>
        <w:rPr>
          <w:rFonts w:ascii="Times New Roman" w:hAnsi="Times New Roman" w:cs="Times New Roman"/>
          <w:lang w:val="en-GB"/>
        </w:rPr>
        <w:t>in  1962</w:t>
      </w:r>
      <w:proofErr w:type="gramEnd"/>
      <w:r>
        <w:rPr>
          <w:rFonts w:ascii="Times New Roman" w:hAnsi="Times New Roman" w:cs="Times New Roman"/>
          <w:lang w:val="en-GB"/>
        </w:rPr>
        <w:t xml:space="preserve"> and regulations have increased since the signing of the “General Agreement on Tariffs and Trade (GATT) in 1979 and especially since the “Single European Act” in 1986. With the official completition of the single market project in 1992, the directives on procurement were complete and have since been modified several times. In 2004 the system was simplified by bundling the Directives into two groups, Utility Directive and Public Sector Directive, and in 2014 it was amended once more. The process of the last amendment is of interest to this project and will be described in more detail below. The second part of this chapter consists of the results from the interviews conducted with </w:t>
      </w:r>
      <w:r w:rsidR="001E21A7">
        <w:rPr>
          <w:rFonts w:ascii="Times New Roman" w:hAnsi="Times New Roman" w:cs="Times New Roman"/>
          <w:lang w:val="en-GB"/>
        </w:rPr>
        <w:t>officials</w:t>
      </w:r>
      <w:r>
        <w:rPr>
          <w:rFonts w:ascii="Times New Roman" w:hAnsi="Times New Roman" w:cs="Times New Roman"/>
          <w:lang w:val="en-GB"/>
        </w:rPr>
        <w:t xml:space="preserve"> from Kommunernes Landsforenings and Danske Regioners offices in Brussels. </w:t>
      </w:r>
    </w:p>
    <w:p w14:paraId="5282803B" w14:textId="77777777" w:rsidR="00F54A23" w:rsidRPr="00F54A23" w:rsidRDefault="00F54A23" w:rsidP="00BF1A52">
      <w:pPr>
        <w:spacing w:line="360" w:lineRule="auto"/>
        <w:rPr>
          <w:lang w:val="en-GB"/>
        </w:rPr>
      </w:pPr>
    </w:p>
    <w:p w14:paraId="1AF84DF7" w14:textId="302EC69C" w:rsidR="00F54A23" w:rsidRPr="00F226E1" w:rsidRDefault="00F54A23" w:rsidP="00BF1A52">
      <w:pPr>
        <w:pStyle w:val="Heading2"/>
        <w:spacing w:line="360" w:lineRule="auto"/>
        <w:jc w:val="both"/>
        <w:rPr>
          <w:rFonts w:ascii="Times New Roman" w:hAnsi="Times New Roman" w:cs="Times New Roman"/>
          <w:lang w:val="en-GB"/>
        </w:rPr>
      </w:pPr>
      <w:bookmarkStart w:id="32" w:name="_Toc289250865"/>
      <w:r w:rsidRPr="00F226E1">
        <w:rPr>
          <w:rFonts w:ascii="Times New Roman" w:hAnsi="Times New Roman" w:cs="Times New Roman"/>
          <w:lang w:val="en-GB"/>
        </w:rPr>
        <w:t>7.1 EU procurement directive – a timeline</w:t>
      </w:r>
      <w:bookmarkEnd w:id="32"/>
    </w:p>
    <w:p w14:paraId="79446E74" w14:textId="3DCED78D" w:rsidR="00F54A23" w:rsidRPr="006D2A74" w:rsidRDefault="006D2A74" w:rsidP="00BF1A52">
      <w:pPr>
        <w:spacing w:line="360" w:lineRule="auto"/>
        <w:jc w:val="both"/>
        <w:rPr>
          <w:rFonts w:ascii="Times New Roman" w:hAnsi="Times New Roman" w:cs="Times New Roman"/>
          <w:lang w:val="en-GB"/>
        </w:rPr>
      </w:pPr>
      <w:r>
        <w:rPr>
          <w:rFonts w:ascii="Times New Roman" w:hAnsi="Times New Roman" w:cs="Times New Roman"/>
          <w:lang w:val="en-GB"/>
        </w:rPr>
        <w:t>Below there is a timeline that</w:t>
      </w:r>
      <w:r w:rsidRPr="006D2A74">
        <w:rPr>
          <w:rFonts w:ascii="Times New Roman" w:hAnsi="Times New Roman" w:cs="Times New Roman"/>
          <w:lang w:val="en-GB"/>
        </w:rPr>
        <w:t xml:space="preserve"> incorporates the main events after the Commission published their proposal on public procurement in the end of 2011. Every step will shortly be described and summarized in accordance with the respective opinion reports, press releases and position papers. </w:t>
      </w:r>
    </w:p>
    <w:p w14:paraId="4BE48D11" w14:textId="7C93FA4F" w:rsidR="00A738C4" w:rsidRDefault="00A738C4" w:rsidP="00BF1A52">
      <w:pPr>
        <w:spacing w:line="360" w:lineRule="auto"/>
        <w:rPr>
          <w:lang w:val="en-GB"/>
        </w:rPr>
      </w:pPr>
      <w:r>
        <w:rPr>
          <w:noProof/>
          <w:lang w:val="en-US"/>
        </w:rPr>
        <w:drawing>
          <wp:inline distT="0" distB="0" distL="0" distR="0" wp14:anchorId="53F69D5D" wp14:editId="6EB4AF4C">
            <wp:extent cx="5252720" cy="804757"/>
            <wp:effectExtent l="50800" t="0" r="3048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14E4409" w14:textId="744187D5" w:rsidR="00F54A23" w:rsidRDefault="00A738C4" w:rsidP="00BF1A52">
      <w:pPr>
        <w:spacing w:line="360" w:lineRule="auto"/>
        <w:rPr>
          <w:lang w:val="en-GB"/>
        </w:rPr>
      </w:pPr>
      <w:r>
        <w:rPr>
          <w:noProof/>
          <w:lang w:val="en-US"/>
        </w:rPr>
        <w:drawing>
          <wp:inline distT="0" distB="0" distL="0" distR="0" wp14:anchorId="1104DAA3" wp14:editId="1748350D">
            <wp:extent cx="5252720" cy="800523"/>
            <wp:effectExtent l="50800" t="0" r="5588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10C3E2D7" w14:textId="4DC4F676" w:rsidR="00045091" w:rsidRDefault="006D2A74" w:rsidP="00BF1A52">
      <w:pPr>
        <w:spacing w:line="360" w:lineRule="auto"/>
        <w:jc w:val="both"/>
        <w:rPr>
          <w:rFonts w:ascii="Times New Roman" w:hAnsi="Times New Roman" w:cs="Times New Roman"/>
          <w:lang w:val="en-GB"/>
        </w:rPr>
      </w:pPr>
      <w:r>
        <w:rPr>
          <w:rFonts w:ascii="Times New Roman" w:hAnsi="Times New Roman" w:cs="Times New Roman"/>
          <w:lang w:val="en-GB"/>
        </w:rPr>
        <w:t>The European Commission published their proposal on the 20</w:t>
      </w:r>
      <w:r w:rsidRPr="006D2A74">
        <w:rPr>
          <w:rFonts w:ascii="Times New Roman" w:hAnsi="Times New Roman" w:cs="Times New Roman"/>
          <w:vertAlign w:val="superscript"/>
          <w:lang w:val="en-GB"/>
        </w:rPr>
        <w:t>th</w:t>
      </w:r>
      <w:r>
        <w:rPr>
          <w:rFonts w:ascii="Times New Roman" w:hAnsi="Times New Roman" w:cs="Times New Roman"/>
          <w:lang w:val="en-GB"/>
        </w:rPr>
        <w:t xml:space="preserve"> of December 2011 and officially transmitted it to the Council and the Parliament the following day. </w:t>
      </w:r>
      <w:r w:rsidR="00045091">
        <w:rPr>
          <w:rFonts w:ascii="Times New Roman" w:hAnsi="Times New Roman" w:cs="Times New Roman"/>
          <w:lang w:val="en-GB"/>
        </w:rPr>
        <w:t>While the thresholds in some areas were altered</w:t>
      </w:r>
      <w:r w:rsidR="000B48B3">
        <w:rPr>
          <w:rFonts w:ascii="Times New Roman" w:hAnsi="Times New Roman" w:cs="Times New Roman"/>
          <w:lang w:val="en-GB"/>
        </w:rPr>
        <w:t>,</w:t>
      </w:r>
      <w:r w:rsidR="00045091">
        <w:rPr>
          <w:rFonts w:ascii="Times New Roman" w:hAnsi="Times New Roman" w:cs="Times New Roman"/>
          <w:lang w:val="en-GB"/>
        </w:rPr>
        <w:t xml:space="preserve"> they stayed the same in the majority of cases. So it says: </w:t>
      </w:r>
    </w:p>
    <w:p w14:paraId="06F88DF8" w14:textId="7F18F23F" w:rsidR="00045091" w:rsidRPr="00045091" w:rsidRDefault="000B48B3" w:rsidP="00BF1A52">
      <w:pPr>
        <w:spacing w:line="360" w:lineRule="auto"/>
        <w:jc w:val="both"/>
        <w:rPr>
          <w:rFonts w:ascii="Times New Roman" w:hAnsi="Times New Roman" w:cs="Times New Roman"/>
          <w:i/>
          <w:lang w:val="en-GB"/>
        </w:rPr>
      </w:pPr>
      <w:r>
        <w:rPr>
          <w:rFonts w:ascii="Times New Roman" w:hAnsi="Times New Roman" w:cs="Times New Roman"/>
          <w:i/>
          <w:color w:val="343434"/>
          <w:lang w:val="en-US"/>
        </w:rPr>
        <w:lastRenderedPageBreak/>
        <w:t>“</w:t>
      </w:r>
      <w:r w:rsidR="00045091" w:rsidRPr="00045091">
        <w:rPr>
          <w:rFonts w:ascii="Times New Roman" w:hAnsi="Times New Roman" w:cs="Times New Roman"/>
          <w:i/>
          <w:color w:val="343434"/>
          <w:lang w:val="en-US"/>
        </w:rPr>
        <w:t>EUR 200 000 for public supply and service contracts awarded by sub-central contracting authorities and design contests organised by such authorities.</w:t>
      </w:r>
      <w:r>
        <w:rPr>
          <w:rFonts w:ascii="Times New Roman" w:hAnsi="Times New Roman" w:cs="Times New Roman"/>
          <w:i/>
          <w:color w:val="343434"/>
          <w:lang w:val="en-US"/>
        </w:rPr>
        <w:t>”</w:t>
      </w:r>
    </w:p>
    <w:p w14:paraId="58579437" w14:textId="7C96BA47" w:rsidR="00045091" w:rsidRPr="002949F0" w:rsidRDefault="00045091" w:rsidP="00BF1A52">
      <w:pPr>
        <w:spacing w:line="360" w:lineRule="auto"/>
        <w:jc w:val="both"/>
        <w:rPr>
          <w:rFonts w:ascii="Times New Roman" w:hAnsi="Times New Roman" w:cs="Times New Roman"/>
          <w:lang w:val="en-GB"/>
        </w:rPr>
      </w:pPr>
      <w:r>
        <w:rPr>
          <w:rFonts w:ascii="Times New Roman" w:hAnsi="Times New Roman" w:cs="Times New Roman"/>
          <w:lang w:val="en-GB"/>
        </w:rPr>
        <w:t>The Commissions proposal was immediately discussed by the Council</w:t>
      </w:r>
      <w:r w:rsidR="00375E32">
        <w:rPr>
          <w:rFonts w:ascii="Times New Roman" w:hAnsi="Times New Roman" w:cs="Times New Roman"/>
          <w:lang w:val="en-GB"/>
        </w:rPr>
        <w:t xml:space="preserve"> under Danish leadership</w:t>
      </w:r>
      <w:r>
        <w:rPr>
          <w:rFonts w:ascii="Times New Roman" w:hAnsi="Times New Roman" w:cs="Times New Roman"/>
          <w:lang w:val="en-GB"/>
        </w:rPr>
        <w:t>, which already took it up in their 3147</w:t>
      </w:r>
      <w:r w:rsidRPr="00045091">
        <w:rPr>
          <w:rFonts w:ascii="Times New Roman" w:hAnsi="Times New Roman" w:cs="Times New Roman"/>
          <w:vertAlign w:val="superscript"/>
          <w:lang w:val="en-GB"/>
        </w:rPr>
        <w:t>th</w:t>
      </w:r>
      <w:r>
        <w:rPr>
          <w:rFonts w:ascii="Times New Roman" w:hAnsi="Times New Roman" w:cs="Times New Roman"/>
          <w:lang w:val="en-GB"/>
        </w:rPr>
        <w:t xml:space="preserve"> meeting on February 20</w:t>
      </w:r>
      <w:r w:rsidRPr="00045091">
        <w:rPr>
          <w:rFonts w:ascii="Times New Roman" w:hAnsi="Times New Roman" w:cs="Times New Roman"/>
          <w:vertAlign w:val="superscript"/>
          <w:lang w:val="en-GB"/>
        </w:rPr>
        <w:t>th</w:t>
      </w:r>
      <w:r>
        <w:rPr>
          <w:rFonts w:ascii="Times New Roman" w:hAnsi="Times New Roman" w:cs="Times New Roman"/>
          <w:lang w:val="en-GB"/>
        </w:rPr>
        <w:t xml:space="preserve"> 2012. </w:t>
      </w:r>
      <w:r w:rsidR="00F34CC6">
        <w:rPr>
          <w:rFonts w:ascii="Times New Roman" w:hAnsi="Times New Roman" w:cs="Times New Roman"/>
          <w:lang w:val="en-GB"/>
        </w:rPr>
        <w:t xml:space="preserve">In their first ministerial debate the main focus was on the </w:t>
      </w:r>
      <w:r w:rsidR="000B48B3">
        <w:rPr>
          <w:rFonts w:ascii="Times New Roman" w:hAnsi="Times New Roman" w:cs="Times New Roman"/>
          <w:lang w:val="en-GB"/>
        </w:rPr>
        <w:t>“</w:t>
      </w:r>
      <w:r w:rsidR="00F34CC6" w:rsidRPr="00F34CC6">
        <w:rPr>
          <w:rFonts w:ascii="Times New Roman" w:hAnsi="Times New Roman" w:cs="Times New Roman"/>
          <w:i/>
          <w:lang w:val="en-GB"/>
        </w:rPr>
        <w:t>flexibility that should apply in the use of competitive procedures with negotiation</w:t>
      </w:r>
      <w:r w:rsidR="00F34CC6">
        <w:rPr>
          <w:rFonts w:ascii="Times New Roman" w:hAnsi="Times New Roman" w:cs="Times New Roman"/>
          <w:lang w:val="en-GB"/>
        </w:rPr>
        <w:t>.</w:t>
      </w:r>
      <w:r w:rsidR="000B48B3">
        <w:rPr>
          <w:rFonts w:ascii="Times New Roman" w:hAnsi="Times New Roman" w:cs="Times New Roman"/>
          <w:lang w:val="en-GB"/>
        </w:rPr>
        <w:t>”</w:t>
      </w:r>
      <w:r w:rsidR="00F34CC6">
        <w:rPr>
          <w:rStyle w:val="FootnoteReference"/>
          <w:rFonts w:cs="Times New Roman"/>
          <w:lang w:val="en-GB"/>
        </w:rPr>
        <w:footnoteReference w:id="94"/>
      </w:r>
      <w:r w:rsidR="00F34CC6">
        <w:rPr>
          <w:rFonts w:ascii="Times New Roman" w:hAnsi="Times New Roman" w:cs="Times New Roman"/>
          <w:lang w:val="en-GB"/>
        </w:rPr>
        <w:t xml:space="preserve"> Further debates in the Council w</w:t>
      </w:r>
      <w:r w:rsidR="00F34CC6" w:rsidRPr="002949F0">
        <w:rPr>
          <w:rFonts w:ascii="Times New Roman" w:hAnsi="Times New Roman" w:cs="Times New Roman"/>
          <w:lang w:val="en-GB"/>
        </w:rPr>
        <w:t>ere held May 30</w:t>
      </w:r>
      <w:r w:rsidR="00F34CC6" w:rsidRPr="002949F0">
        <w:rPr>
          <w:rFonts w:ascii="Times New Roman" w:hAnsi="Times New Roman" w:cs="Times New Roman"/>
          <w:vertAlign w:val="superscript"/>
          <w:lang w:val="en-GB"/>
        </w:rPr>
        <w:t>th</w:t>
      </w:r>
      <w:r w:rsidR="00F34CC6" w:rsidRPr="002949F0">
        <w:rPr>
          <w:rFonts w:ascii="Times New Roman" w:hAnsi="Times New Roman" w:cs="Times New Roman"/>
          <w:lang w:val="en-GB"/>
        </w:rPr>
        <w:t xml:space="preserve"> and December 10</w:t>
      </w:r>
      <w:r w:rsidR="00F34CC6" w:rsidRPr="002949F0">
        <w:rPr>
          <w:rFonts w:ascii="Times New Roman" w:hAnsi="Times New Roman" w:cs="Times New Roman"/>
          <w:vertAlign w:val="superscript"/>
          <w:lang w:val="en-GB"/>
        </w:rPr>
        <w:t>th</w:t>
      </w:r>
      <w:r w:rsidR="00F34CC6" w:rsidRPr="002949F0">
        <w:rPr>
          <w:rFonts w:ascii="Times New Roman" w:hAnsi="Times New Roman" w:cs="Times New Roman"/>
          <w:lang w:val="en-GB"/>
        </w:rPr>
        <w:t xml:space="preserve"> 2012</w:t>
      </w:r>
      <w:r w:rsidR="00704B9E" w:rsidRPr="002949F0">
        <w:rPr>
          <w:rFonts w:ascii="Times New Roman" w:hAnsi="Times New Roman" w:cs="Times New Roman"/>
          <w:lang w:val="en-GB"/>
        </w:rPr>
        <w:t>, with focus on electronic systems in public procurement and governance monitoring</w:t>
      </w:r>
      <w:r w:rsidR="00704B9E" w:rsidRPr="002949F0">
        <w:rPr>
          <w:rStyle w:val="FootnoteReference"/>
          <w:rFonts w:cs="Times New Roman"/>
          <w:lang w:val="en-GB"/>
        </w:rPr>
        <w:footnoteReference w:id="95"/>
      </w:r>
      <w:r w:rsidR="00704B9E" w:rsidRPr="002949F0">
        <w:rPr>
          <w:rFonts w:ascii="Times New Roman" w:hAnsi="Times New Roman" w:cs="Times New Roman"/>
          <w:lang w:val="en-GB"/>
        </w:rPr>
        <w:t xml:space="preserve"> and a draft directive on public procurement respectively.</w:t>
      </w:r>
      <w:r w:rsidR="00704B9E" w:rsidRPr="002949F0">
        <w:rPr>
          <w:rStyle w:val="FootnoteReference"/>
          <w:rFonts w:cs="Times New Roman"/>
          <w:lang w:val="en-GB"/>
        </w:rPr>
        <w:footnoteReference w:id="96"/>
      </w:r>
      <w:r w:rsidR="00704B9E" w:rsidRPr="002949F0">
        <w:rPr>
          <w:rFonts w:ascii="Times New Roman" w:hAnsi="Times New Roman" w:cs="Times New Roman"/>
          <w:lang w:val="en-GB"/>
        </w:rPr>
        <w:t xml:space="preserve"> </w:t>
      </w:r>
    </w:p>
    <w:p w14:paraId="307D65B5" w14:textId="208DE8C1" w:rsidR="007E751D" w:rsidRPr="002949F0" w:rsidRDefault="007E751D" w:rsidP="00BF1A52">
      <w:pPr>
        <w:spacing w:line="360" w:lineRule="auto"/>
        <w:jc w:val="both"/>
        <w:rPr>
          <w:rFonts w:ascii="Times New Roman" w:hAnsi="Times New Roman" w:cs="Times New Roman"/>
          <w:lang w:val="en-GB"/>
        </w:rPr>
      </w:pPr>
      <w:r w:rsidRPr="002949F0">
        <w:rPr>
          <w:rFonts w:ascii="Times New Roman" w:hAnsi="Times New Roman" w:cs="Times New Roman"/>
          <w:lang w:val="en-GB"/>
        </w:rPr>
        <w:t xml:space="preserve">The Commissions proposal was addressed for optional consultation with the Committee of the Regions and for mandatory consultations with the European Economic and Social Committee. </w:t>
      </w:r>
      <w:r w:rsidRPr="002949F0">
        <w:rPr>
          <w:rStyle w:val="FootnoteReference"/>
          <w:rFonts w:cs="Times New Roman"/>
          <w:lang w:val="en-GB"/>
        </w:rPr>
        <w:footnoteReference w:id="97"/>
      </w:r>
    </w:p>
    <w:p w14:paraId="0CC40DF1" w14:textId="69CCAA09" w:rsidR="00045091" w:rsidRPr="002949F0" w:rsidRDefault="007E751D" w:rsidP="00BF1A52">
      <w:pPr>
        <w:spacing w:line="360" w:lineRule="auto"/>
        <w:jc w:val="both"/>
        <w:rPr>
          <w:rFonts w:ascii="Times New Roman" w:hAnsi="Times New Roman" w:cs="Times New Roman"/>
          <w:lang w:val="en-GB"/>
        </w:rPr>
      </w:pPr>
      <w:r w:rsidRPr="002949F0">
        <w:rPr>
          <w:rFonts w:ascii="Times New Roman" w:hAnsi="Times New Roman" w:cs="Times New Roman"/>
          <w:lang w:val="en-GB"/>
        </w:rPr>
        <w:t>The European Economic and Social Committee were the first of those two to take the topic u</w:t>
      </w:r>
      <w:r w:rsidR="00B6606B" w:rsidRPr="002949F0">
        <w:rPr>
          <w:rFonts w:ascii="Times New Roman" w:hAnsi="Times New Roman" w:cs="Times New Roman"/>
          <w:lang w:val="en-GB"/>
        </w:rPr>
        <w:t>p for debate and released their opinion on April 26</w:t>
      </w:r>
      <w:r w:rsidR="00B6606B" w:rsidRPr="002949F0">
        <w:rPr>
          <w:rFonts w:ascii="Times New Roman" w:hAnsi="Times New Roman" w:cs="Times New Roman"/>
          <w:vertAlign w:val="superscript"/>
          <w:lang w:val="en-GB"/>
        </w:rPr>
        <w:t>th</w:t>
      </w:r>
      <w:r w:rsidR="00B6606B" w:rsidRPr="002949F0">
        <w:rPr>
          <w:rFonts w:ascii="Times New Roman" w:hAnsi="Times New Roman" w:cs="Times New Roman"/>
          <w:lang w:val="en-GB"/>
        </w:rPr>
        <w:t xml:space="preserve"> 2012. In regard to the threshold, which for the Danish local governments were a main concern, the EESC widely agreed with the Commissions proposal and considered:</w:t>
      </w:r>
    </w:p>
    <w:p w14:paraId="0F5FD074" w14:textId="59DEA74C" w:rsidR="00B6606B" w:rsidRPr="002949F0" w:rsidRDefault="000B48B3" w:rsidP="00BF1A52">
      <w:pPr>
        <w:spacing w:line="360" w:lineRule="auto"/>
        <w:jc w:val="both"/>
        <w:rPr>
          <w:rFonts w:ascii="Times New Roman" w:hAnsi="Times New Roman" w:cs="Times New Roman"/>
          <w:lang w:val="en-GB"/>
        </w:rPr>
      </w:pPr>
      <w:r>
        <w:rPr>
          <w:rFonts w:ascii="Times New Roman" w:hAnsi="Times New Roman" w:cs="Times New Roman"/>
          <w:i/>
          <w:lang w:val="en-GB"/>
        </w:rPr>
        <w:t>“…</w:t>
      </w:r>
      <w:proofErr w:type="gramStart"/>
      <w:r w:rsidR="00B6606B" w:rsidRPr="002949F0">
        <w:rPr>
          <w:rFonts w:ascii="Times New Roman" w:hAnsi="Times New Roman" w:cs="Times New Roman"/>
          <w:i/>
          <w:lang w:val="en-GB"/>
        </w:rPr>
        <w:t>the</w:t>
      </w:r>
      <w:proofErr w:type="gramEnd"/>
      <w:r w:rsidR="00B6606B" w:rsidRPr="002949F0">
        <w:rPr>
          <w:rFonts w:ascii="Times New Roman" w:hAnsi="Times New Roman" w:cs="Times New Roman"/>
          <w:i/>
          <w:lang w:val="en-GB"/>
        </w:rPr>
        <w:t xml:space="preserve"> threshold for the application of both directives laid down in Articles 4 and 12 of the proposals to be appropriate.</w:t>
      </w:r>
      <w:r>
        <w:rPr>
          <w:rFonts w:ascii="Times New Roman" w:hAnsi="Times New Roman" w:cs="Times New Roman"/>
          <w:i/>
          <w:lang w:val="en-GB"/>
        </w:rPr>
        <w:t>”</w:t>
      </w:r>
      <w:r w:rsidR="00B6606B" w:rsidRPr="002949F0">
        <w:rPr>
          <w:rStyle w:val="FootnoteReference"/>
          <w:rFonts w:cs="Times New Roman"/>
          <w:i/>
          <w:lang w:val="en-GB"/>
        </w:rPr>
        <w:footnoteReference w:id="98"/>
      </w:r>
    </w:p>
    <w:p w14:paraId="6AB86A04" w14:textId="138BB12F" w:rsidR="007F7666" w:rsidRPr="002949F0" w:rsidRDefault="007F7666" w:rsidP="00BF1A52">
      <w:pPr>
        <w:spacing w:line="360" w:lineRule="auto"/>
        <w:jc w:val="both"/>
        <w:rPr>
          <w:rFonts w:ascii="Times New Roman" w:hAnsi="Times New Roman" w:cs="Times New Roman"/>
          <w:lang w:val="en-GB"/>
        </w:rPr>
      </w:pPr>
      <w:r w:rsidRPr="002949F0">
        <w:rPr>
          <w:rFonts w:ascii="Times New Roman" w:hAnsi="Times New Roman" w:cs="Times New Roman"/>
          <w:lang w:val="en-GB"/>
        </w:rPr>
        <w:t>The Committee of the Regions followed on October 9</w:t>
      </w:r>
      <w:r w:rsidRPr="002949F0">
        <w:rPr>
          <w:rFonts w:ascii="Times New Roman" w:hAnsi="Times New Roman" w:cs="Times New Roman"/>
          <w:vertAlign w:val="superscript"/>
          <w:lang w:val="en-GB"/>
        </w:rPr>
        <w:t>th</w:t>
      </w:r>
      <w:r w:rsidRPr="002949F0">
        <w:rPr>
          <w:rFonts w:ascii="Times New Roman" w:hAnsi="Times New Roman" w:cs="Times New Roman"/>
          <w:lang w:val="en-GB"/>
        </w:rPr>
        <w:t xml:space="preserve"> with </w:t>
      </w:r>
      <w:r w:rsidR="002949F0" w:rsidRPr="002949F0">
        <w:rPr>
          <w:rFonts w:ascii="Times New Roman" w:hAnsi="Times New Roman" w:cs="Times New Roman"/>
          <w:lang w:val="en-GB"/>
        </w:rPr>
        <w:t xml:space="preserve">their </w:t>
      </w:r>
      <w:r w:rsidRPr="002949F0">
        <w:rPr>
          <w:rFonts w:ascii="Times New Roman" w:hAnsi="Times New Roman" w:cs="Times New Roman"/>
          <w:lang w:val="en-GB"/>
        </w:rPr>
        <w:t xml:space="preserve">opinion </w:t>
      </w:r>
      <w:r w:rsidR="002949F0" w:rsidRPr="002949F0">
        <w:rPr>
          <w:rFonts w:ascii="Times New Roman" w:hAnsi="Times New Roman" w:cs="Times New Roman"/>
          <w:lang w:val="en-GB"/>
        </w:rPr>
        <w:t xml:space="preserve">and came to a totally different conclusion on the current and proposed thresholds. </w:t>
      </w:r>
    </w:p>
    <w:p w14:paraId="23C05928" w14:textId="77777777" w:rsidR="002949F0" w:rsidRDefault="002949F0" w:rsidP="00BF1A52">
      <w:pPr>
        <w:spacing w:line="360" w:lineRule="auto"/>
        <w:jc w:val="both"/>
        <w:rPr>
          <w:rFonts w:ascii="EUAlbertina" w:hAnsi="EUAlbertina" w:cs="EUAlbertina"/>
          <w:color w:val="000000"/>
          <w:lang w:val="en-GB"/>
        </w:rPr>
      </w:pPr>
    </w:p>
    <w:p w14:paraId="1C31029D" w14:textId="6CB7066B" w:rsidR="002949F0" w:rsidRDefault="000B48B3" w:rsidP="00BF1A52">
      <w:pPr>
        <w:spacing w:line="360" w:lineRule="auto"/>
        <w:jc w:val="both"/>
        <w:rPr>
          <w:rFonts w:ascii="Times New Roman" w:hAnsi="Times New Roman" w:cs="Times New Roman"/>
          <w:i/>
          <w:color w:val="000000"/>
          <w:lang w:val="en-GB"/>
        </w:rPr>
      </w:pPr>
      <w:r>
        <w:rPr>
          <w:rFonts w:ascii="Times New Roman" w:hAnsi="Times New Roman" w:cs="Times New Roman"/>
          <w:i/>
          <w:color w:val="000000"/>
          <w:lang w:val="en-GB"/>
        </w:rPr>
        <w:t>“</w:t>
      </w:r>
      <w:r w:rsidR="002949F0" w:rsidRPr="002949F0">
        <w:rPr>
          <w:rFonts w:ascii="Times New Roman" w:hAnsi="Times New Roman" w:cs="Times New Roman"/>
          <w:i/>
          <w:color w:val="000000"/>
          <w:lang w:val="en-GB"/>
        </w:rPr>
        <w:t>The Commission is asked to significantly increase the thresholds for procurement. Given that a minuscule percentage of public procurement is cross-border, and in view of the administrative burden the regulatory framework creates for authorities and suppliers, the thresholds do not need to be as low as they are.</w:t>
      </w:r>
      <w:r>
        <w:rPr>
          <w:rFonts w:ascii="Times New Roman" w:hAnsi="Times New Roman" w:cs="Times New Roman"/>
          <w:i/>
          <w:color w:val="000000"/>
          <w:lang w:val="en-GB"/>
        </w:rPr>
        <w:t>”</w:t>
      </w:r>
      <w:r w:rsidR="002949F0">
        <w:rPr>
          <w:rStyle w:val="FootnoteReference"/>
          <w:rFonts w:cs="Times New Roman"/>
          <w:i/>
          <w:lang w:val="en-GB"/>
        </w:rPr>
        <w:footnoteReference w:id="99"/>
      </w:r>
    </w:p>
    <w:p w14:paraId="7A664D7B" w14:textId="77777777" w:rsidR="002949F0" w:rsidRDefault="002949F0" w:rsidP="00BF1A52">
      <w:pPr>
        <w:spacing w:line="360" w:lineRule="auto"/>
        <w:jc w:val="both"/>
        <w:rPr>
          <w:rFonts w:ascii="Times New Roman" w:hAnsi="Times New Roman" w:cs="Times New Roman"/>
          <w:color w:val="000000"/>
          <w:lang w:val="en-GB"/>
        </w:rPr>
      </w:pPr>
    </w:p>
    <w:p w14:paraId="41B75F1F" w14:textId="3275959E" w:rsidR="002949F0" w:rsidRPr="002949F0" w:rsidRDefault="002949F0" w:rsidP="00BF1A52">
      <w:pPr>
        <w:spacing w:line="360" w:lineRule="auto"/>
        <w:jc w:val="both"/>
        <w:rPr>
          <w:rFonts w:ascii="Times New Roman" w:hAnsi="Times New Roman" w:cs="Times New Roman"/>
          <w:color w:val="000000"/>
          <w:lang w:val="en-GB"/>
        </w:rPr>
      </w:pPr>
      <w:r>
        <w:rPr>
          <w:rFonts w:ascii="Times New Roman" w:hAnsi="Times New Roman" w:cs="Times New Roman"/>
          <w:color w:val="000000"/>
          <w:lang w:val="en-GB"/>
        </w:rPr>
        <w:t>And e</w:t>
      </w:r>
      <w:r w:rsidR="000B48B3">
        <w:rPr>
          <w:rFonts w:ascii="Times New Roman" w:hAnsi="Times New Roman" w:cs="Times New Roman"/>
          <w:color w:val="000000"/>
          <w:lang w:val="en-GB"/>
        </w:rPr>
        <w:t>ven at this stage suggested to ope</w:t>
      </w:r>
      <w:r>
        <w:rPr>
          <w:rFonts w:ascii="Times New Roman" w:hAnsi="Times New Roman" w:cs="Times New Roman"/>
          <w:color w:val="000000"/>
          <w:lang w:val="en-GB"/>
        </w:rPr>
        <w:t>n up on the Agreement in Government Procurement (GPA) and to renegotiate a significant in</w:t>
      </w:r>
      <w:r w:rsidR="00375154">
        <w:rPr>
          <w:rFonts w:ascii="Times New Roman" w:hAnsi="Times New Roman" w:cs="Times New Roman"/>
          <w:color w:val="000000"/>
          <w:lang w:val="en-GB"/>
        </w:rPr>
        <w:t>crease of</w:t>
      </w:r>
      <w:r>
        <w:rPr>
          <w:rFonts w:ascii="Times New Roman" w:hAnsi="Times New Roman" w:cs="Times New Roman"/>
          <w:color w:val="000000"/>
          <w:lang w:val="en-GB"/>
        </w:rPr>
        <w:t xml:space="preserve"> the thresholds. </w:t>
      </w:r>
      <w:r w:rsidR="00375154">
        <w:rPr>
          <w:rFonts w:ascii="Times New Roman" w:hAnsi="Times New Roman" w:cs="Times New Roman"/>
          <w:color w:val="000000"/>
          <w:lang w:val="en-GB"/>
        </w:rPr>
        <w:t>The CoR suggestion was to raise the threshold from 200.000 Euro to 1.000.000 Euro.</w:t>
      </w:r>
      <w:r w:rsidR="00375154">
        <w:rPr>
          <w:rStyle w:val="FootnoteReference"/>
          <w:rFonts w:cs="Times New Roman"/>
          <w:lang w:val="en-GB"/>
        </w:rPr>
        <w:footnoteReference w:id="100"/>
      </w:r>
    </w:p>
    <w:p w14:paraId="3B067FBE" w14:textId="77777777" w:rsidR="008E3958" w:rsidRDefault="00BF04B0" w:rsidP="00BF1A52">
      <w:pPr>
        <w:spacing w:line="360" w:lineRule="auto"/>
        <w:jc w:val="both"/>
        <w:rPr>
          <w:rFonts w:ascii="Times New Roman" w:hAnsi="Times New Roman" w:cs="Times New Roman"/>
          <w:lang w:val="en-GB"/>
        </w:rPr>
      </w:pPr>
      <w:r w:rsidRPr="002949F0">
        <w:rPr>
          <w:rFonts w:ascii="Times New Roman" w:hAnsi="Times New Roman" w:cs="Times New Roman"/>
          <w:lang w:val="en-GB"/>
        </w:rPr>
        <w:t>On January 15</w:t>
      </w:r>
      <w:r w:rsidRPr="002949F0">
        <w:rPr>
          <w:rFonts w:ascii="Times New Roman" w:hAnsi="Times New Roman" w:cs="Times New Roman"/>
          <w:vertAlign w:val="superscript"/>
          <w:lang w:val="en-GB"/>
        </w:rPr>
        <w:t>th</w:t>
      </w:r>
      <w:r w:rsidRPr="002949F0">
        <w:rPr>
          <w:rFonts w:ascii="Times New Roman" w:hAnsi="Times New Roman" w:cs="Times New Roman"/>
          <w:lang w:val="en-GB"/>
        </w:rPr>
        <w:t xml:space="preserve"> 2014 the European Parliament con</w:t>
      </w:r>
      <w:r w:rsidR="00D816EF" w:rsidRPr="002949F0">
        <w:rPr>
          <w:rFonts w:ascii="Times New Roman" w:hAnsi="Times New Roman" w:cs="Times New Roman"/>
          <w:lang w:val="en-GB"/>
        </w:rPr>
        <w:t xml:space="preserve">cluded upon </w:t>
      </w:r>
      <w:r w:rsidR="00D816EF" w:rsidRPr="00D816EF">
        <w:rPr>
          <w:rFonts w:ascii="Times New Roman" w:hAnsi="Times New Roman" w:cs="Times New Roman"/>
          <w:lang w:val="en-GB"/>
        </w:rPr>
        <w:t xml:space="preserve">their first reading, in regard to the thresholds in the Procurement Directive </w:t>
      </w:r>
      <w:r w:rsidRPr="00D816EF">
        <w:rPr>
          <w:rFonts w:ascii="Times New Roman" w:hAnsi="Times New Roman" w:cs="Times New Roman"/>
          <w:lang w:val="en-GB"/>
        </w:rPr>
        <w:t>that</w:t>
      </w:r>
      <w:r w:rsidR="00D816EF" w:rsidRPr="00D816EF">
        <w:rPr>
          <w:rFonts w:ascii="Times New Roman" w:hAnsi="Times New Roman" w:cs="Times New Roman"/>
          <w:lang w:val="en-GB"/>
        </w:rPr>
        <w:t>:</w:t>
      </w:r>
    </w:p>
    <w:p w14:paraId="21E7694F" w14:textId="74902E7E" w:rsidR="00BF04B0" w:rsidRPr="008E3958" w:rsidRDefault="00D816EF" w:rsidP="00BF1A52">
      <w:pPr>
        <w:spacing w:line="360" w:lineRule="auto"/>
        <w:jc w:val="both"/>
        <w:rPr>
          <w:rFonts w:ascii="Times New Roman" w:hAnsi="Times New Roman" w:cs="Times New Roman"/>
          <w:lang w:val="en-GB"/>
        </w:rPr>
      </w:pPr>
      <w:r>
        <w:rPr>
          <w:rFonts w:ascii="Times New Roman" w:hAnsi="Times New Roman" w:cs="Times New Roman"/>
          <w:i/>
          <w:lang w:val="en-US"/>
        </w:rPr>
        <w:t>“</w:t>
      </w:r>
      <w:r w:rsidR="00BF04B0" w:rsidRPr="00D816EF">
        <w:rPr>
          <w:rFonts w:ascii="Times New Roman" w:hAnsi="Times New Roman" w:cs="Times New Roman"/>
          <w:i/>
          <w:lang w:val="en-US"/>
        </w:rPr>
        <w:t>The GPA applies to contracts above certain thresholds, set in the GPA and expressed</w:t>
      </w:r>
      <w:r>
        <w:rPr>
          <w:rFonts w:ascii="Times New Roman" w:hAnsi="Times New Roman" w:cs="Times New Roman"/>
          <w:i/>
          <w:lang w:val="en-US"/>
        </w:rPr>
        <w:t xml:space="preserve"> </w:t>
      </w:r>
      <w:r w:rsidR="00BF04B0" w:rsidRPr="00D816EF">
        <w:rPr>
          <w:rFonts w:ascii="Times New Roman" w:hAnsi="Times New Roman" w:cs="Times New Roman"/>
          <w:i/>
          <w:lang w:val="en-US"/>
        </w:rPr>
        <w:t>as special drawing rights.</w:t>
      </w:r>
      <w:r>
        <w:rPr>
          <w:rFonts w:ascii="Times New Roman" w:hAnsi="Times New Roman" w:cs="Times New Roman"/>
          <w:i/>
          <w:lang w:val="en-US"/>
        </w:rPr>
        <w:t>”</w:t>
      </w:r>
      <w:r w:rsidR="00BF04B0" w:rsidRPr="00D816EF">
        <w:rPr>
          <w:rFonts w:ascii="Times New Roman" w:hAnsi="Times New Roman" w:cs="Times New Roman"/>
          <w:i/>
          <w:lang w:val="en-US"/>
        </w:rPr>
        <w:t xml:space="preserve"> </w:t>
      </w:r>
    </w:p>
    <w:p w14:paraId="36310951" w14:textId="1C463CC4" w:rsidR="00D816EF" w:rsidRPr="00D816EF" w:rsidRDefault="00D816EF" w:rsidP="00BF1A52">
      <w:pPr>
        <w:widowControl w:val="0"/>
        <w:autoSpaceDE w:val="0"/>
        <w:autoSpaceDN w:val="0"/>
        <w:adjustRightInd w:val="0"/>
        <w:spacing w:line="360" w:lineRule="auto"/>
        <w:jc w:val="both"/>
        <w:rPr>
          <w:rFonts w:ascii="Times New Roman" w:hAnsi="Times New Roman" w:cs="Times New Roman"/>
          <w:lang w:val="en-US"/>
        </w:rPr>
      </w:pPr>
      <w:r w:rsidRPr="00D816EF">
        <w:rPr>
          <w:rFonts w:ascii="Times New Roman" w:hAnsi="Times New Roman" w:cs="Times New Roman"/>
          <w:lang w:val="en-US"/>
        </w:rPr>
        <w:t>The threshold in the European Public Procurement Directive should according to the Parliaments position be adjusted over time so they correspond to the Euro equivalent. Apart from that the Parliament concluded that:</w:t>
      </w:r>
    </w:p>
    <w:p w14:paraId="45BFCE6C" w14:textId="42D60CF8" w:rsidR="00BF04B0" w:rsidRPr="00D816EF" w:rsidRDefault="00D816EF" w:rsidP="00BF1A52">
      <w:pPr>
        <w:widowControl w:val="0"/>
        <w:autoSpaceDE w:val="0"/>
        <w:autoSpaceDN w:val="0"/>
        <w:adjustRightInd w:val="0"/>
        <w:spacing w:line="360" w:lineRule="auto"/>
        <w:jc w:val="both"/>
        <w:rPr>
          <w:rFonts w:ascii="Times New Roman" w:hAnsi="Times New Roman" w:cs="Times New Roman"/>
          <w:i/>
          <w:lang w:val="en-US"/>
        </w:rPr>
      </w:pPr>
      <w:r w:rsidRPr="00D816EF">
        <w:rPr>
          <w:rFonts w:ascii="Times New Roman" w:hAnsi="Times New Roman" w:cs="Times New Roman"/>
          <w:i/>
          <w:lang w:val="en-US"/>
        </w:rPr>
        <w:t>“</w:t>
      </w:r>
      <w:r w:rsidR="00BF04B0" w:rsidRPr="00D816EF">
        <w:rPr>
          <w:rFonts w:ascii="Times New Roman" w:hAnsi="Times New Roman" w:cs="Times New Roman"/>
          <w:i/>
          <w:lang w:val="en-US"/>
        </w:rPr>
        <w:t>Apart from these periodic mathematical adjustments, an increase in the thresholds</w:t>
      </w:r>
    </w:p>
    <w:p w14:paraId="6A5ECD17" w14:textId="58F6E11A" w:rsidR="00BF04B0" w:rsidRPr="00D816EF" w:rsidRDefault="00BF04B0" w:rsidP="00BF1A52">
      <w:pPr>
        <w:spacing w:line="360" w:lineRule="auto"/>
        <w:jc w:val="both"/>
        <w:rPr>
          <w:rFonts w:ascii="Times New Roman" w:hAnsi="Times New Roman" w:cs="Times New Roman"/>
          <w:lang w:val="en-US"/>
        </w:rPr>
      </w:pPr>
      <w:proofErr w:type="gramStart"/>
      <w:r w:rsidRPr="00D816EF">
        <w:rPr>
          <w:rFonts w:ascii="Times New Roman" w:hAnsi="Times New Roman" w:cs="Times New Roman"/>
          <w:i/>
          <w:lang w:val="en-US"/>
        </w:rPr>
        <w:t>set</w:t>
      </w:r>
      <w:proofErr w:type="gramEnd"/>
      <w:r w:rsidRPr="00D816EF">
        <w:rPr>
          <w:rFonts w:ascii="Times New Roman" w:hAnsi="Times New Roman" w:cs="Times New Roman"/>
          <w:i/>
          <w:lang w:val="en-US"/>
        </w:rPr>
        <w:t xml:space="preserve"> in the GPA should be explored during the next round of negotiations thereof.</w:t>
      </w:r>
      <w:r w:rsidR="00D816EF" w:rsidRPr="00D816EF">
        <w:rPr>
          <w:rFonts w:ascii="Times New Roman" w:hAnsi="Times New Roman" w:cs="Times New Roman"/>
          <w:i/>
          <w:lang w:val="en-US"/>
        </w:rPr>
        <w:t>”</w:t>
      </w:r>
      <w:r w:rsidR="00D816EF">
        <w:rPr>
          <w:rStyle w:val="FootnoteReference"/>
          <w:rFonts w:cs="Times New Roman"/>
          <w:i/>
          <w:lang w:val="en-US"/>
        </w:rPr>
        <w:footnoteReference w:id="101"/>
      </w:r>
    </w:p>
    <w:p w14:paraId="7F2158C2" w14:textId="2FF0F46B" w:rsidR="008E3958" w:rsidRPr="00BF04B0" w:rsidRDefault="008E3958" w:rsidP="00BF1A52">
      <w:pPr>
        <w:spacing w:line="360" w:lineRule="auto"/>
        <w:jc w:val="both"/>
        <w:rPr>
          <w:rFonts w:ascii="Times New Roman" w:hAnsi="Times New Roman" w:cs="Times New Roman"/>
          <w:lang w:val="en-GB"/>
        </w:rPr>
      </w:pPr>
      <w:r>
        <w:rPr>
          <w:rFonts w:ascii="Times New Roman" w:hAnsi="Times New Roman" w:cs="Times New Roman"/>
          <w:lang w:val="en-GB"/>
        </w:rPr>
        <w:t>Without further alterations the Council accepted the Parliaments position on February 11</w:t>
      </w:r>
      <w:r w:rsidRPr="008E3958">
        <w:rPr>
          <w:rFonts w:ascii="Times New Roman" w:hAnsi="Times New Roman" w:cs="Times New Roman"/>
          <w:vertAlign w:val="superscript"/>
          <w:lang w:val="en-GB"/>
        </w:rPr>
        <w:t>th</w:t>
      </w:r>
      <w:r>
        <w:rPr>
          <w:rFonts w:ascii="Times New Roman" w:hAnsi="Times New Roman" w:cs="Times New Roman"/>
          <w:lang w:val="en-GB"/>
        </w:rPr>
        <w:t xml:space="preserve"> 2014 and the </w:t>
      </w:r>
      <w:r w:rsidR="003F0171">
        <w:rPr>
          <w:rFonts w:ascii="Times New Roman" w:hAnsi="Times New Roman" w:cs="Times New Roman"/>
          <w:lang w:val="en-GB"/>
        </w:rPr>
        <w:t>altered Procurement Directive was signed by the President of the Council and the President of the Parliament on February 26</w:t>
      </w:r>
      <w:r w:rsidR="003F0171" w:rsidRPr="003F0171">
        <w:rPr>
          <w:rFonts w:ascii="Times New Roman" w:hAnsi="Times New Roman" w:cs="Times New Roman"/>
          <w:vertAlign w:val="superscript"/>
          <w:lang w:val="en-GB"/>
        </w:rPr>
        <w:t>th</w:t>
      </w:r>
      <w:r w:rsidR="003F0171">
        <w:rPr>
          <w:rFonts w:ascii="Times New Roman" w:hAnsi="Times New Roman" w:cs="Times New Roman"/>
          <w:lang w:val="en-GB"/>
        </w:rPr>
        <w:t xml:space="preserve"> 2014 and by that enacted.</w:t>
      </w:r>
      <w:r w:rsidR="003F0171">
        <w:rPr>
          <w:rStyle w:val="FootnoteReference"/>
          <w:rFonts w:cs="Times New Roman"/>
          <w:lang w:val="en-GB"/>
        </w:rPr>
        <w:footnoteReference w:id="102"/>
      </w:r>
      <w:r w:rsidR="003F0171">
        <w:rPr>
          <w:rFonts w:ascii="Times New Roman" w:hAnsi="Times New Roman" w:cs="Times New Roman"/>
          <w:lang w:val="en-GB"/>
        </w:rPr>
        <w:t xml:space="preserve"> </w:t>
      </w:r>
    </w:p>
    <w:p w14:paraId="6FB2F0EA" w14:textId="4294FCB0" w:rsidR="00F54A23" w:rsidRPr="0072361D" w:rsidRDefault="00F54A23" w:rsidP="00BF1A52">
      <w:pPr>
        <w:pStyle w:val="Heading2"/>
        <w:spacing w:line="360" w:lineRule="auto"/>
        <w:rPr>
          <w:rFonts w:ascii="Times New Roman" w:hAnsi="Times New Roman" w:cs="Times New Roman"/>
          <w:lang w:val="en-GB"/>
        </w:rPr>
      </w:pPr>
      <w:bookmarkStart w:id="33" w:name="_Toc289250866"/>
      <w:r w:rsidRPr="0072361D">
        <w:rPr>
          <w:rFonts w:ascii="Times New Roman" w:hAnsi="Times New Roman" w:cs="Times New Roman"/>
          <w:lang w:val="en-GB"/>
        </w:rPr>
        <w:t>7.2 Lobbying the European procurement directive</w:t>
      </w:r>
      <w:bookmarkEnd w:id="33"/>
    </w:p>
    <w:p w14:paraId="262E7E6D" w14:textId="48DF7168" w:rsidR="00651C95" w:rsidRDefault="0065206E" w:rsidP="00BF1A52">
      <w:pPr>
        <w:spacing w:line="360" w:lineRule="auto"/>
        <w:jc w:val="both"/>
        <w:rPr>
          <w:rFonts w:ascii="Times New Roman" w:hAnsi="Times New Roman" w:cs="Times New Roman"/>
          <w:lang w:val="en-GB"/>
        </w:rPr>
      </w:pPr>
      <w:r w:rsidRPr="0072361D">
        <w:rPr>
          <w:rFonts w:ascii="Times New Roman" w:hAnsi="Times New Roman" w:cs="Times New Roman"/>
          <w:lang w:val="en-GB"/>
        </w:rPr>
        <w:t>This section mainly is based on the interviews conducted with Kommunernes Landsforenings and Danske Regioners representatives in Brussel</w:t>
      </w:r>
      <w:r w:rsidR="00A93F96">
        <w:rPr>
          <w:rFonts w:ascii="Times New Roman" w:hAnsi="Times New Roman" w:cs="Times New Roman"/>
          <w:lang w:val="en-GB"/>
        </w:rPr>
        <w:t>s</w:t>
      </w:r>
      <w:r w:rsidRPr="0072361D">
        <w:rPr>
          <w:rFonts w:ascii="Times New Roman" w:hAnsi="Times New Roman" w:cs="Times New Roman"/>
          <w:lang w:val="en-GB"/>
        </w:rPr>
        <w:t>. They have followed the case of the European Procurement Directive</w:t>
      </w:r>
      <w:r w:rsidR="00A93F96">
        <w:rPr>
          <w:rFonts w:ascii="Times New Roman" w:hAnsi="Times New Roman" w:cs="Times New Roman"/>
          <w:lang w:val="en-GB"/>
        </w:rPr>
        <w:t xml:space="preserve"> closely</w:t>
      </w:r>
      <w:r w:rsidRPr="0072361D">
        <w:rPr>
          <w:rFonts w:ascii="Times New Roman" w:hAnsi="Times New Roman" w:cs="Times New Roman"/>
          <w:lang w:val="en-GB"/>
        </w:rPr>
        <w:t xml:space="preserve"> over the course of several ye</w:t>
      </w:r>
      <w:r w:rsidR="0072361D" w:rsidRPr="0072361D">
        <w:rPr>
          <w:rFonts w:ascii="Times New Roman" w:hAnsi="Times New Roman" w:cs="Times New Roman"/>
          <w:lang w:val="en-GB"/>
        </w:rPr>
        <w:t xml:space="preserve">ars and are responsible for those two organizations lobby work in Brussels. </w:t>
      </w:r>
    </w:p>
    <w:p w14:paraId="3F0E7281" w14:textId="07AE7192" w:rsidR="00A93F96" w:rsidRDefault="00A93F96" w:rsidP="00BF1A52">
      <w:pPr>
        <w:spacing w:line="360" w:lineRule="auto"/>
        <w:jc w:val="both"/>
        <w:rPr>
          <w:rFonts w:ascii="Times New Roman" w:hAnsi="Times New Roman" w:cs="Times New Roman"/>
          <w:lang w:val="en-GB"/>
        </w:rPr>
      </w:pPr>
      <w:r>
        <w:rPr>
          <w:rFonts w:ascii="Times New Roman" w:hAnsi="Times New Roman" w:cs="Times New Roman"/>
          <w:lang w:val="en-GB"/>
        </w:rPr>
        <w:t>As with many cases the regions and municipalities began their lobby work long before there was an actual proposal by the Commission. In case of the European Procurement Directiv</w:t>
      </w:r>
      <w:r w:rsidR="00EA576F">
        <w:rPr>
          <w:rFonts w:ascii="Times New Roman" w:hAnsi="Times New Roman" w:cs="Times New Roman"/>
          <w:lang w:val="en-GB"/>
        </w:rPr>
        <w:t>e this was possible because the</w:t>
      </w:r>
      <w:r>
        <w:rPr>
          <w:rFonts w:ascii="Times New Roman" w:hAnsi="Times New Roman" w:cs="Times New Roman"/>
          <w:lang w:val="en-GB"/>
        </w:rPr>
        <w:t>r</w:t>
      </w:r>
      <w:r w:rsidR="00EA576F">
        <w:rPr>
          <w:rFonts w:ascii="Times New Roman" w:hAnsi="Times New Roman" w:cs="Times New Roman"/>
          <w:lang w:val="en-GB"/>
        </w:rPr>
        <w:t>e</w:t>
      </w:r>
      <w:r>
        <w:rPr>
          <w:rFonts w:ascii="Times New Roman" w:hAnsi="Times New Roman" w:cs="Times New Roman"/>
          <w:lang w:val="en-GB"/>
        </w:rPr>
        <w:t xml:space="preserve"> was a general awareness that this case would come up for revision eventually at one point.</w:t>
      </w:r>
      <w:r>
        <w:rPr>
          <w:rStyle w:val="FootnoteReference"/>
          <w:rFonts w:cs="Times New Roman"/>
          <w:lang w:val="en-GB"/>
        </w:rPr>
        <w:footnoteReference w:id="103"/>
      </w:r>
      <w:r>
        <w:rPr>
          <w:rFonts w:ascii="Times New Roman" w:hAnsi="Times New Roman" w:cs="Times New Roman"/>
          <w:lang w:val="en-GB"/>
        </w:rPr>
        <w:t xml:space="preserve"> </w:t>
      </w:r>
      <w:r w:rsidR="007A6D66">
        <w:rPr>
          <w:rFonts w:ascii="Times New Roman" w:hAnsi="Times New Roman" w:cs="Times New Roman"/>
          <w:lang w:val="en-GB"/>
        </w:rPr>
        <w:t xml:space="preserve">In general the agenda for their Brussels offices are set by their respective organization back in Copenhagen, where the board gives their representatives in Brussels a mandate to lobby certain cases. While it in this case, as said, was possible to get a head start, they usually have </w:t>
      </w:r>
      <w:r w:rsidR="007A6D66">
        <w:rPr>
          <w:rFonts w:ascii="Times New Roman" w:hAnsi="Times New Roman" w:cs="Times New Roman"/>
          <w:lang w:val="en-GB"/>
        </w:rPr>
        <w:lastRenderedPageBreak/>
        <w:t xml:space="preserve">to rely on the Commissions </w:t>
      </w:r>
      <w:r w:rsidR="00600FBE">
        <w:rPr>
          <w:rFonts w:ascii="Times New Roman" w:hAnsi="Times New Roman" w:cs="Times New Roman"/>
          <w:lang w:val="en-GB"/>
        </w:rPr>
        <w:t xml:space="preserve">Work Program to be able to set a rough agenda for the coming year. </w:t>
      </w:r>
      <w:r w:rsidR="00C75C51">
        <w:rPr>
          <w:rFonts w:ascii="Times New Roman" w:hAnsi="Times New Roman" w:cs="Times New Roman"/>
          <w:lang w:val="en-GB"/>
        </w:rPr>
        <w:t>And since their have to deal with limited resources, the amount of work is limited to about four cases being dealt with simultaneously.</w:t>
      </w:r>
      <w:r w:rsidR="00600FBE">
        <w:rPr>
          <w:rStyle w:val="FootnoteReference"/>
          <w:rFonts w:cs="Times New Roman"/>
          <w:lang w:val="en-GB"/>
        </w:rPr>
        <w:footnoteReference w:id="104"/>
      </w:r>
      <w:r w:rsidR="00600FBE">
        <w:rPr>
          <w:rFonts w:ascii="Times New Roman" w:hAnsi="Times New Roman" w:cs="Times New Roman"/>
          <w:lang w:val="en-GB"/>
        </w:rPr>
        <w:t xml:space="preserve"> </w:t>
      </w:r>
      <w:r w:rsidR="00C75C51">
        <w:rPr>
          <w:rFonts w:ascii="Times New Roman" w:hAnsi="Times New Roman" w:cs="Times New Roman"/>
          <w:lang w:val="en-GB"/>
        </w:rPr>
        <w:t>The sizes of the offices maintained by Kommunernes Landsforening and Danske Regioner in Brussels are quite small, consisting of only two and one consultant</w:t>
      </w:r>
      <w:r w:rsidR="00BD448B">
        <w:rPr>
          <w:rFonts w:ascii="Times New Roman" w:hAnsi="Times New Roman" w:cs="Times New Roman"/>
          <w:lang w:val="en-GB"/>
        </w:rPr>
        <w:t>s</w:t>
      </w:r>
      <w:r w:rsidR="00C75C51">
        <w:rPr>
          <w:rFonts w:ascii="Times New Roman" w:hAnsi="Times New Roman" w:cs="Times New Roman"/>
          <w:lang w:val="en-GB"/>
        </w:rPr>
        <w:t xml:space="preserve"> respectively, aided by a secretary and interns. Those offices </w:t>
      </w:r>
      <w:r w:rsidR="00BD448B">
        <w:rPr>
          <w:rFonts w:ascii="Times New Roman" w:hAnsi="Times New Roman" w:cs="Times New Roman"/>
          <w:lang w:val="en-GB"/>
        </w:rPr>
        <w:t xml:space="preserve">though </w:t>
      </w:r>
      <w:r w:rsidR="00C75C51">
        <w:rPr>
          <w:rFonts w:ascii="Times New Roman" w:hAnsi="Times New Roman" w:cs="Times New Roman"/>
          <w:lang w:val="en-GB"/>
        </w:rPr>
        <w:t xml:space="preserve">are integrated parts of the </w:t>
      </w:r>
      <w:r w:rsidR="00BD448B">
        <w:rPr>
          <w:rFonts w:ascii="Times New Roman" w:hAnsi="Times New Roman" w:cs="Times New Roman"/>
          <w:lang w:val="en-GB"/>
        </w:rPr>
        <w:t xml:space="preserve">main offices in Copenhagen and </w:t>
      </w:r>
      <w:r w:rsidR="00C75C51">
        <w:rPr>
          <w:rFonts w:ascii="Times New Roman" w:hAnsi="Times New Roman" w:cs="Times New Roman"/>
          <w:lang w:val="en-GB"/>
        </w:rPr>
        <w:t xml:space="preserve">by that also have access to a bigger staff of experts and lawyers who specialized in European Law, who </w:t>
      </w:r>
      <w:r w:rsidR="00BD448B">
        <w:rPr>
          <w:rFonts w:ascii="Times New Roman" w:hAnsi="Times New Roman" w:cs="Times New Roman"/>
          <w:lang w:val="en-GB"/>
        </w:rPr>
        <w:t>develop reports and collect data and information on various cases. For Kommunernes Landsforening thtat means around 28 lawyers who work in the department of “Law and EU”.</w:t>
      </w:r>
      <w:r w:rsidR="00BD448B">
        <w:rPr>
          <w:rStyle w:val="FootnoteReference"/>
          <w:rFonts w:cs="Times New Roman"/>
          <w:lang w:val="en-GB"/>
        </w:rPr>
        <w:footnoteReference w:id="105"/>
      </w:r>
      <w:r w:rsidR="00BD448B">
        <w:rPr>
          <w:rFonts w:ascii="Times New Roman" w:hAnsi="Times New Roman" w:cs="Times New Roman"/>
          <w:lang w:val="en-GB"/>
        </w:rPr>
        <w:t xml:space="preserve"> </w:t>
      </w:r>
    </w:p>
    <w:p w14:paraId="43150B09" w14:textId="01FC774C" w:rsidR="0057333F" w:rsidRDefault="00BD448B"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In the case of the European </w:t>
      </w:r>
      <w:r w:rsidR="008716F8">
        <w:rPr>
          <w:rFonts w:ascii="Times New Roman" w:hAnsi="Times New Roman" w:cs="Times New Roman"/>
          <w:lang w:val="en-GB"/>
        </w:rPr>
        <w:t>Procurement Directive, since both the municipalities and the regions had the same goal, their work</w:t>
      </w:r>
      <w:r w:rsidR="000A7113">
        <w:rPr>
          <w:rFonts w:ascii="Times New Roman" w:hAnsi="Times New Roman" w:cs="Times New Roman"/>
          <w:lang w:val="en-GB"/>
        </w:rPr>
        <w:t xml:space="preserve"> relation</w:t>
      </w:r>
      <w:r w:rsidR="008716F8">
        <w:rPr>
          <w:rFonts w:ascii="Times New Roman" w:hAnsi="Times New Roman" w:cs="Times New Roman"/>
          <w:lang w:val="en-GB"/>
        </w:rPr>
        <w:t xml:space="preserve"> was close and coordinated, bundling their competences. While they had separated their offices in 1993</w:t>
      </w:r>
      <w:r w:rsidR="008716F8">
        <w:rPr>
          <w:rStyle w:val="FootnoteReference"/>
          <w:rFonts w:cs="Times New Roman"/>
          <w:lang w:val="en-GB"/>
        </w:rPr>
        <w:footnoteReference w:id="106"/>
      </w:r>
      <w:r w:rsidR="008716F8">
        <w:rPr>
          <w:rFonts w:ascii="Times New Roman" w:hAnsi="Times New Roman" w:cs="Times New Roman"/>
          <w:lang w:val="en-GB"/>
        </w:rPr>
        <w:t xml:space="preserve">, they still work closely together on key </w:t>
      </w:r>
      <w:proofErr w:type="gramStart"/>
      <w:r w:rsidR="008716F8">
        <w:rPr>
          <w:rFonts w:ascii="Times New Roman" w:hAnsi="Times New Roman" w:cs="Times New Roman"/>
          <w:lang w:val="en-GB"/>
        </w:rPr>
        <w:t>cases, which is</w:t>
      </w:r>
      <w:proofErr w:type="gramEnd"/>
      <w:r w:rsidR="008716F8">
        <w:rPr>
          <w:rFonts w:ascii="Times New Roman" w:hAnsi="Times New Roman" w:cs="Times New Roman"/>
          <w:lang w:val="en-GB"/>
        </w:rPr>
        <w:t xml:space="preserve"> eased by the fact, that they both have their offices in the same building, along with other regional representations on the same floor level. </w:t>
      </w:r>
      <w:r w:rsidR="005062E1">
        <w:rPr>
          <w:rFonts w:ascii="Times New Roman" w:hAnsi="Times New Roman" w:cs="Times New Roman"/>
          <w:lang w:val="en-GB"/>
        </w:rPr>
        <w:t>As important as a close relationship between Danske Regioner and Kommunernes Landsforening is, cooperation across country boarders is essential. Much of this cooperation is coordinated through CEMR through which both Danish representations had initial meetings with Commission representatives about the Procurement Directive.</w:t>
      </w:r>
      <w:r w:rsidR="005062E1">
        <w:rPr>
          <w:rStyle w:val="FootnoteReference"/>
          <w:rFonts w:cs="Times New Roman"/>
          <w:lang w:val="en-GB"/>
        </w:rPr>
        <w:footnoteReference w:id="107"/>
      </w:r>
      <w:r w:rsidR="005062E1">
        <w:rPr>
          <w:rFonts w:ascii="Times New Roman" w:hAnsi="Times New Roman" w:cs="Times New Roman"/>
          <w:lang w:val="en-GB"/>
        </w:rPr>
        <w:t xml:space="preserve"> Much of the work</w:t>
      </w:r>
      <w:r w:rsidR="000A7113">
        <w:rPr>
          <w:rFonts w:ascii="Times New Roman" w:hAnsi="Times New Roman" w:cs="Times New Roman"/>
          <w:lang w:val="en-GB"/>
        </w:rPr>
        <w:t xml:space="preserve"> is to maintain a good network,</w:t>
      </w:r>
      <w:r w:rsidR="005062E1">
        <w:rPr>
          <w:rFonts w:ascii="Times New Roman" w:hAnsi="Times New Roman" w:cs="Times New Roman"/>
          <w:lang w:val="en-GB"/>
        </w:rPr>
        <w:t xml:space="preserve"> while i</w:t>
      </w:r>
      <w:r w:rsidR="009E1FE0">
        <w:rPr>
          <w:rFonts w:ascii="Times New Roman" w:hAnsi="Times New Roman" w:cs="Times New Roman"/>
          <w:lang w:val="en-GB"/>
        </w:rPr>
        <w:t xml:space="preserve">t is fairly easy to get </w:t>
      </w:r>
      <w:r w:rsidR="00996B9A">
        <w:rPr>
          <w:rFonts w:ascii="Times New Roman" w:hAnsi="Times New Roman" w:cs="Times New Roman"/>
          <w:lang w:val="en-GB"/>
        </w:rPr>
        <w:t xml:space="preserve">a meeting with a Member of the European Parliament, Danish local governments can’t pull on a case alone. </w:t>
      </w:r>
      <w:r w:rsidR="009E1FE0">
        <w:rPr>
          <w:rFonts w:ascii="Times New Roman" w:hAnsi="Times New Roman" w:cs="Times New Roman"/>
          <w:lang w:val="en-GB"/>
        </w:rPr>
        <w:t xml:space="preserve">It </w:t>
      </w:r>
      <w:r w:rsidR="00996B9A">
        <w:rPr>
          <w:rFonts w:ascii="Times New Roman" w:hAnsi="Times New Roman" w:cs="Times New Roman"/>
          <w:lang w:val="en-GB"/>
        </w:rPr>
        <w:t>always</w:t>
      </w:r>
      <w:r w:rsidR="009E1FE0">
        <w:rPr>
          <w:rFonts w:ascii="Times New Roman" w:hAnsi="Times New Roman" w:cs="Times New Roman"/>
          <w:lang w:val="en-GB"/>
        </w:rPr>
        <w:t xml:space="preserve"> has</w:t>
      </w:r>
      <w:r w:rsidR="00996B9A">
        <w:rPr>
          <w:rFonts w:ascii="Times New Roman" w:hAnsi="Times New Roman" w:cs="Times New Roman"/>
          <w:lang w:val="en-GB"/>
        </w:rPr>
        <w:t xml:space="preserve"> to be remembered, that European Law is made with the aim to affect the European Union as </w:t>
      </w:r>
      <w:r w:rsidR="000A7113">
        <w:rPr>
          <w:rFonts w:ascii="Times New Roman" w:hAnsi="Times New Roman" w:cs="Times New Roman"/>
          <w:lang w:val="en-GB"/>
        </w:rPr>
        <w:t xml:space="preserve">a </w:t>
      </w:r>
      <w:r w:rsidR="00996B9A">
        <w:rPr>
          <w:rFonts w:ascii="Times New Roman" w:hAnsi="Times New Roman" w:cs="Times New Roman"/>
          <w:lang w:val="en-GB"/>
        </w:rPr>
        <w:t>whole, so single states and interest organizations wont get the Commissions or Parliaments attention for long. The broader the alliance the more likely it is to get heard by the right people.</w:t>
      </w:r>
      <w:r w:rsidR="00996B9A">
        <w:rPr>
          <w:rStyle w:val="FootnoteReference"/>
          <w:rFonts w:cs="Times New Roman"/>
          <w:lang w:val="en-GB"/>
        </w:rPr>
        <w:footnoteReference w:id="108"/>
      </w:r>
      <w:r w:rsidR="009E1FE0">
        <w:rPr>
          <w:rFonts w:ascii="Times New Roman" w:hAnsi="Times New Roman" w:cs="Times New Roman"/>
          <w:lang w:val="en-GB"/>
        </w:rPr>
        <w:t xml:space="preserve"> </w:t>
      </w:r>
    </w:p>
    <w:p w14:paraId="0C099751" w14:textId="47936E70" w:rsidR="00BD448B" w:rsidRDefault="0057333F" w:rsidP="00BF1A52">
      <w:pPr>
        <w:spacing w:line="360" w:lineRule="auto"/>
        <w:jc w:val="both"/>
        <w:rPr>
          <w:rFonts w:ascii="Times New Roman" w:hAnsi="Times New Roman" w:cs="Times New Roman"/>
          <w:lang w:val="en-GB"/>
        </w:rPr>
      </w:pPr>
      <w:r>
        <w:rPr>
          <w:rFonts w:ascii="Times New Roman" w:hAnsi="Times New Roman" w:cs="Times New Roman"/>
          <w:lang w:val="en-GB"/>
        </w:rPr>
        <w:t>When talking about alliance</w:t>
      </w:r>
      <w:r w:rsidR="00090B5B">
        <w:rPr>
          <w:rFonts w:ascii="Times New Roman" w:hAnsi="Times New Roman" w:cs="Times New Roman"/>
          <w:lang w:val="en-GB"/>
        </w:rPr>
        <w:t xml:space="preserve">s, it can’t be said, that there is a special Scandinavian alliance. While there in the field of labour market is a close relationship with other Scandinavian countries, due to their shared economic model, one can see a wide variety of countries working together under the umbrella of CMRE. When speaking </w:t>
      </w:r>
      <w:r w:rsidR="00090B5B">
        <w:rPr>
          <w:rFonts w:ascii="Times New Roman" w:hAnsi="Times New Roman" w:cs="Times New Roman"/>
          <w:lang w:val="en-GB"/>
        </w:rPr>
        <w:lastRenderedPageBreak/>
        <w:t>general, it can though be observed, that the Nordic countries, the UK, Germany and some eastern countries, are the o</w:t>
      </w:r>
      <w:r w:rsidR="005335F1">
        <w:rPr>
          <w:rFonts w:ascii="Times New Roman" w:hAnsi="Times New Roman" w:cs="Times New Roman"/>
          <w:lang w:val="en-GB"/>
        </w:rPr>
        <w:t>nes most active in CMRE.</w:t>
      </w:r>
      <w:r w:rsidR="005335F1" w:rsidRPr="005335F1">
        <w:rPr>
          <w:rStyle w:val="FootnoteReference"/>
          <w:rFonts w:cs="Times New Roman"/>
          <w:lang w:val="en-GB"/>
        </w:rPr>
        <w:t xml:space="preserve"> </w:t>
      </w:r>
      <w:r w:rsidR="005335F1">
        <w:rPr>
          <w:rStyle w:val="FootnoteReference"/>
          <w:rFonts w:cs="Times New Roman"/>
          <w:lang w:val="en-GB"/>
        </w:rPr>
        <w:footnoteReference w:id="109"/>
      </w:r>
      <w:r w:rsidR="005335F1">
        <w:rPr>
          <w:rFonts w:ascii="Times New Roman" w:hAnsi="Times New Roman" w:cs="Times New Roman"/>
          <w:lang w:val="en-GB"/>
        </w:rPr>
        <w:t xml:space="preserve">  One thing one always has to remember is</w:t>
      </w:r>
      <w:proofErr w:type="gramStart"/>
      <w:r w:rsidR="005335F1">
        <w:rPr>
          <w:rFonts w:ascii="Times New Roman" w:hAnsi="Times New Roman" w:cs="Times New Roman"/>
          <w:lang w:val="en-GB"/>
        </w:rPr>
        <w:t>,</w:t>
      </w:r>
      <w:proofErr w:type="gramEnd"/>
      <w:r w:rsidR="005335F1">
        <w:rPr>
          <w:rFonts w:ascii="Times New Roman" w:hAnsi="Times New Roman" w:cs="Times New Roman"/>
          <w:lang w:val="en-GB"/>
        </w:rPr>
        <w:t xml:space="preserve"> that Europe is about the best result for everybody and that not every country special need can be met. If Danske Regioner and Kommunernes Landsforening want to have success, it isn’t enough to know what they want and why they want it, they also need to know where other countries stand and why.</w:t>
      </w:r>
      <w:r w:rsidR="002A6F98">
        <w:rPr>
          <w:rStyle w:val="FootnoteReference"/>
          <w:rFonts w:cs="Times New Roman"/>
          <w:lang w:val="en-GB"/>
        </w:rPr>
        <w:footnoteReference w:id="110"/>
      </w:r>
      <w:r w:rsidR="005335F1">
        <w:rPr>
          <w:rFonts w:ascii="Times New Roman" w:hAnsi="Times New Roman" w:cs="Times New Roman"/>
          <w:lang w:val="en-GB"/>
        </w:rPr>
        <w:t xml:space="preserve"> When forging alliances and lobbying the idea of changing the Procurement Directive, the Danish representatives ran into, seen with Danish eyes, rather odd problem. There was a hard time agreeing with the Baltic countries on how the Procurement Directive had </w:t>
      </w:r>
      <w:r w:rsidR="002A6F98">
        <w:rPr>
          <w:rFonts w:ascii="Times New Roman" w:hAnsi="Times New Roman" w:cs="Times New Roman"/>
          <w:lang w:val="en-GB"/>
        </w:rPr>
        <w:t xml:space="preserve">to </w:t>
      </w:r>
      <w:r w:rsidR="005335F1">
        <w:rPr>
          <w:rFonts w:ascii="Times New Roman" w:hAnsi="Times New Roman" w:cs="Times New Roman"/>
          <w:lang w:val="en-GB"/>
        </w:rPr>
        <w:t>be changed. While Denmark as desc</w:t>
      </w:r>
      <w:r w:rsidR="002A6F98">
        <w:rPr>
          <w:rFonts w:ascii="Times New Roman" w:hAnsi="Times New Roman" w:cs="Times New Roman"/>
          <w:lang w:val="en-GB"/>
        </w:rPr>
        <w:t xml:space="preserve">ribed above all, wanted to raise the threshold for when something would have to fall under European procurement, the Baltic countries would have liked to lower the bar to zero, so all public procurement would need to be European. Seen from Denmark that seemed very odd and irrational, but what the Danish side, to begin with, wasn’t aware </w:t>
      </w:r>
      <w:proofErr w:type="gramStart"/>
      <w:r w:rsidR="002A6F98">
        <w:rPr>
          <w:rFonts w:ascii="Times New Roman" w:hAnsi="Times New Roman" w:cs="Times New Roman"/>
          <w:lang w:val="en-GB"/>
        </w:rPr>
        <w:t>of</w:t>
      </w:r>
      <w:proofErr w:type="gramEnd"/>
      <w:r w:rsidR="002A6F98">
        <w:rPr>
          <w:rFonts w:ascii="Times New Roman" w:hAnsi="Times New Roman" w:cs="Times New Roman"/>
          <w:lang w:val="en-GB"/>
        </w:rPr>
        <w:t xml:space="preserve"> was, that there were no national laws on public procurement in the Baltic countries. The Baltic countries representative’s fears were that a higher threshold would increase corruption in these countries. And as the Danish side learned it wasn’t only the Baltic countries that had this problem but also a few other</w:t>
      </w:r>
      <w:r w:rsidR="0078433C">
        <w:rPr>
          <w:rFonts w:ascii="Times New Roman" w:hAnsi="Times New Roman" w:cs="Times New Roman"/>
          <w:lang w:val="en-GB"/>
        </w:rPr>
        <w:t>,</w:t>
      </w:r>
      <w:r w:rsidR="002A6F98">
        <w:rPr>
          <w:rStyle w:val="FootnoteReference"/>
          <w:rFonts w:cs="Times New Roman"/>
          <w:lang w:val="en-GB"/>
        </w:rPr>
        <w:footnoteReference w:id="111"/>
      </w:r>
      <w:r w:rsidR="0078433C">
        <w:rPr>
          <w:rFonts w:ascii="Times New Roman" w:hAnsi="Times New Roman" w:cs="Times New Roman"/>
          <w:lang w:val="en-GB"/>
        </w:rPr>
        <w:t xml:space="preserve"> the </w:t>
      </w:r>
      <w:r w:rsidR="00B65571">
        <w:rPr>
          <w:rFonts w:ascii="Times New Roman" w:hAnsi="Times New Roman" w:cs="Times New Roman"/>
          <w:lang w:val="en-GB"/>
        </w:rPr>
        <w:t xml:space="preserve">response </w:t>
      </w:r>
      <w:proofErr w:type="gramStart"/>
      <w:r w:rsidR="00B65571">
        <w:rPr>
          <w:rFonts w:ascii="Times New Roman" w:hAnsi="Times New Roman" w:cs="Times New Roman"/>
          <w:lang w:val="en-GB"/>
        </w:rPr>
        <w:t>was  to</w:t>
      </w:r>
      <w:proofErr w:type="gramEnd"/>
      <w:r w:rsidR="00B65571">
        <w:rPr>
          <w:rFonts w:ascii="Times New Roman" w:hAnsi="Times New Roman" w:cs="Times New Roman"/>
          <w:lang w:val="en-GB"/>
        </w:rPr>
        <w:t xml:space="preserve"> lobby the idea that every country should have mandatory procurement law</w:t>
      </w:r>
      <w:r w:rsidR="0078433C">
        <w:rPr>
          <w:rFonts w:ascii="Times New Roman" w:hAnsi="Times New Roman" w:cs="Times New Roman"/>
          <w:lang w:val="en-GB"/>
        </w:rPr>
        <w:t>s</w:t>
      </w:r>
      <w:r w:rsidR="00B65571">
        <w:rPr>
          <w:rFonts w:ascii="Times New Roman" w:hAnsi="Times New Roman" w:cs="Times New Roman"/>
          <w:lang w:val="en-GB"/>
        </w:rPr>
        <w:t xml:space="preserve"> by its own. While the idea to begin with was met positive, it lost momentum after a few weeks and died out.</w:t>
      </w:r>
      <w:r w:rsidR="00B65571">
        <w:rPr>
          <w:rStyle w:val="FootnoteReference"/>
          <w:rFonts w:cs="Times New Roman"/>
          <w:lang w:val="en-GB"/>
        </w:rPr>
        <w:footnoteReference w:id="112"/>
      </w:r>
    </w:p>
    <w:p w14:paraId="445460BD" w14:textId="6390D9EB" w:rsidR="00BA171F" w:rsidRDefault="00BA171F"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Another moment during the lobbying process </w:t>
      </w:r>
      <w:r w:rsidR="003D5893">
        <w:rPr>
          <w:rFonts w:ascii="Times New Roman" w:hAnsi="Times New Roman" w:cs="Times New Roman"/>
          <w:lang w:val="en-GB"/>
        </w:rPr>
        <w:t xml:space="preserve">where the Danish side was </w:t>
      </w:r>
      <w:proofErr w:type="gramStart"/>
      <w:r w:rsidR="003D5893">
        <w:rPr>
          <w:rFonts w:ascii="Times New Roman" w:hAnsi="Times New Roman" w:cs="Times New Roman"/>
          <w:lang w:val="en-GB"/>
        </w:rPr>
        <w:t>surprise</w:t>
      </w:r>
      <w:r w:rsidR="00527966">
        <w:rPr>
          <w:rFonts w:ascii="Times New Roman" w:hAnsi="Times New Roman" w:cs="Times New Roman"/>
          <w:lang w:val="en-GB"/>
        </w:rPr>
        <w:t>d,</w:t>
      </w:r>
      <w:proofErr w:type="gramEnd"/>
      <w:r w:rsidR="00527966">
        <w:rPr>
          <w:rFonts w:ascii="Times New Roman" w:hAnsi="Times New Roman" w:cs="Times New Roman"/>
          <w:lang w:val="en-GB"/>
        </w:rPr>
        <w:t xml:space="preserve"> was when they found out </w:t>
      </w:r>
      <w:r w:rsidR="003D5893">
        <w:rPr>
          <w:rFonts w:ascii="Times New Roman" w:hAnsi="Times New Roman" w:cs="Times New Roman"/>
          <w:lang w:val="en-GB"/>
        </w:rPr>
        <w:t xml:space="preserve">that the threshold </w:t>
      </w:r>
      <w:r w:rsidR="00527966">
        <w:rPr>
          <w:rFonts w:ascii="Times New Roman" w:hAnsi="Times New Roman" w:cs="Times New Roman"/>
          <w:lang w:val="en-GB"/>
        </w:rPr>
        <w:t xml:space="preserve">they wanted to raise, had just been fixed by the </w:t>
      </w:r>
      <w:r w:rsidR="00C402E9">
        <w:rPr>
          <w:rFonts w:ascii="Times New Roman" w:hAnsi="Times New Roman" w:cs="Times New Roman"/>
          <w:lang w:val="en-GB"/>
        </w:rPr>
        <w:t>signing of an international agreement.</w:t>
      </w:r>
      <w:r w:rsidR="00527966">
        <w:rPr>
          <w:rFonts w:ascii="Times New Roman" w:hAnsi="Times New Roman" w:cs="Times New Roman"/>
          <w:lang w:val="en-GB"/>
        </w:rPr>
        <w:t xml:space="preserve">  Just prior to when the Commission was </w:t>
      </w:r>
      <w:r w:rsidR="001C73CC">
        <w:rPr>
          <w:rFonts w:ascii="Times New Roman" w:hAnsi="Times New Roman" w:cs="Times New Roman"/>
          <w:lang w:val="en-GB"/>
        </w:rPr>
        <w:t xml:space="preserve">about </w:t>
      </w:r>
      <w:r w:rsidR="00527966">
        <w:rPr>
          <w:rFonts w:ascii="Times New Roman" w:hAnsi="Times New Roman" w:cs="Times New Roman"/>
          <w:lang w:val="en-GB"/>
        </w:rPr>
        <w:t xml:space="preserve">to release their </w:t>
      </w:r>
      <w:r w:rsidR="00C402E9">
        <w:rPr>
          <w:rFonts w:ascii="Times New Roman" w:hAnsi="Times New Roman" w:cs="Times New Roman"/>
          <w:lang w:val="en-GB"/>
        </w:rPr>
        <w:t>revision pr</w:t>
      </w:r>
      <w:r w:rsidR="001C73CC">
        <w:rPr>
          <w:rFonts w:ascii="Times New Roman" w:hAnsi="Times New Roman" w:cs="Times New Roman"/>
          <w:lang w:val="en-GB"/>
        </w:rPr>
        <w:t>oposal on the</w:t>
      </w:r>
      <w:r w:rsidR="00C402E9">
        <w:rPr>
          <w:rFonts w:ascii="Times New Roman" w:hAnsi="Times New Roman" w:cs="Times New Roman"/>
          <w:lang w:val="en-GB"/>
        </w:rPr>
        <w:t xml:space="preserve"> </w:t>
      </w:r>
      <w:r w:rsidR="001C73CC">
        <w:rPr>
          <w:rFonts w:ascii="Times New Roman" w:hAnsi="Times New Roman" w:cs="Times New Roman"/>
          <w:lang w:val="en-GB"/>
        </w:rPr>
        <w:t xml:space="preserve">Procurement Directive, </w:t>
      </w:r>
      <w:r w:rsidR="00C402E9">
        <w:rPr>
          <w:rFonts w:ascii="Times New Roman" w:hAnsi="Times New Roman" w:cs="Times New Roman"/>
          <w:lang w:val="en-GB"/>
        </w:rPr>
        <w:t>the Agreement on Government Procurement (GPA) was altered and passed by the Commission.</w:t>
      </w:r>
      <w:r w:rsidR="000050A3">
        <w:rPr>
          <w:rFonts w:ascii="Times New Roman" w:hAnsi="Times New Roman" w:cs="Times New Roman"/>
          <w:lang w:val="en-GB"/>
        </w:rPr>
        <w:t xml:space="preserve"> In this agreement the threshold</w:t>
      </w:r>
      <w:r w:rsidR="00C402E9">
        <w:rPr>
          <w:rFonts w:ascii="Times New Roman" w:hAnsi="Times New Roman" w:cs="Times New Roman"/>
          <w:lang w:val="en-GB"/>
        </w:rPr>
        <w:t xml:space="preserve"> for Procurement within </w:t>
      </w:r>
      <w:r w:rsidR="000050A3">
        <w:rPr>
          <w:rFonts w:ascii="Times New Roman" w:hAnsi="Times New Roman" w:cs="Times New Roman"/>
          <w:lang w:val="en-GB"/>
        </w:rPr>
        <w:t xml:space="preserve">the EU was defined and later changing of this threshold would have demanded the alteration of the international agreement GPA. </w:t>
      </w:r>
      <w:r w:rsidR="00FD74DF">
        <w:rPr>
          <w:rFonts w:ascii="Times New Roman" w:hAnsi="Times New Roman" w:cs="Times New Roman"/>
          <w:lang w:val="en-GB"/>
        </w:rPr>
        <w:t>So with that Danish regions and municipalities biggest wish, was buried.</w:t>
      </w:r>
      <w:r w:rsidR="00D606AF">
        <w:rPr>
          <w:rStyle w:val="FootnoteReference"/>
          <w:rFonts w:cs="Times New Roman"/>
          <w:lang w:val="en-GB"/>
        </w:rPr>
        <w:footnoteReference w:id="113"/>
      </w:r>
    </w:p>
    <w:p w14:paraId="5D8F97EB" w14:textId="0B864A02" w:rsidR="00BD448B" w:rsidRDefault="00BD448B" w:rsidP="00BF1A52">
      <w:pPr>
        <w:spacing w:line="360" w:lineRule="auto"/>
        <w:jc w:val="both"/>
        <w:rPr>
          <w:rFonts w:ascii="Times New Roman" w:hAnsi="Times New Roman" w:cs="Times New Roman"/>
          <w:lang w:val="en-GB"/>
        </w:rPr>
      </w:pPr>
      <w:r>
        <w:rPr>
          <w:rFonts w:ascii="Times New Roman" w:hAnsi="Times New Roman" w:cs="Times New Roman"/>
          <w:lang w:val="en-GB"/>
        </w:rPr>
        <w:lastRenderedPageBreak/>
        <w:t>As mentioned the Brussels offices have a big back-up team back in Copen</w:t>
      </w:r>
      <w:r w:rsidR="009E1FE0">
        <w:rPr>
          <w:rFonts w:ascii="Times New Roman" w:hAnsi="Times New Roman" w:cs="Times New Roman"/>
          <w:lang w:val="en-GB"/>
        </w:rPr>
        <w:t>hagen, which is responsible</w:t>
      </w:r>
      <w:r>
        <w:rPr>
          <w:rFonts w:ascii="Times New Roman" w:hAnsi="Times New Roman" w:cs="Times New Roman"/>
          <w:lang w:val="en-GB"/>
        </w:rPr>
        <w:t xml:space="preserve"> develop reports, newslett</w:t>
      </w:r>
      <w:r w:rsidR="009E1FE0">
        <w:rPr>
          <w:rFonts w:ascii="Times New Roman" w:hAnsi="Times New Roman" w:cs="Times New Roman"/>
          <w:lang w:val="en-GB"/>
        </w:rPr>
        <w:t>ers and statements. Momentum is Kommunernes Landsforenings newsletter, and their newsletter on the Procurement Directive got a lot of attention, both in politics and the media. The information gathered and processed by Kommunernes Landsforening was copied by a variety of media outlets and was very helpful in directing th</w:t>
      </w:r>
      <w:r w:rsidR="00221901">
        <w:rPr>
          <w:rFonts w:ascii="Times New Roman" w:hAnsi="Times New Roman" w:cs="Times New Roman"/>
          <w:lang w:val="en-GB"/>
        </w:rPr>
        <w:t>e public debate. In this case it made very well sense to use the media, since the core information concerning the Directive was easily rel</w:t>
      </w:r>
      <w:r w:rsidR="0057333F">
        <w:rPr>
          <w:rFonts w:ascii="Times New Roman" w:hAnsi="Times New Roman" w:cs="Times New Roman"/>
          <w:lang w:val="en-GB"/>
        </w:rPr>
        <w:t>atable and could be expressed</w:t>
      </w:r>
      <w:r w:rsidR="00221901">
        <w:rPr>
          <w:rFonts w:ascii="Times New Roman" w:hAnsi="Times New Roman" w:cs="Times New Roman"/>
          <w:lang w:val="en-GB"/>
        </w:rPr>
        <w:t xml:space="preserve"> with a few charts and significant numbers. In other cases, where the issue is more complicated and abstract, it can be best not to incorporate the media in this way, because the uncertainty</w:t>
      </w:r>
      <w:r w:rsidR="00AC1602">
        <w:rPr>
          <w:rFonts w:ascii="Times New Roman" w:hAnsi="Times New Roman" w:cs="Times New Roman"/>
          <w:lang w:val="en-GB"/>
        </w:rPr>
        <w:t xml:space="preserve"> and vagueness can leave room for a lot of interpretation, which can easily backfire.</w:t>
      </w:r>
      <w:r w:rsidR="00221901">
        <w:rPr>
          <w:rStyle w:val="FootnoteReference"/>
          <w:rFonts w:cs="Times New Roman"/>
          <w:lang w:val="en-GB"/>
        </w:rPr>
        <w:footnoteReference w:id="114"/>
      </w:r>
      <w:r w:rsidR="009E1FE0">
        <w:rPr>
          <w:rFonts w:ascii="Times New Roman" w:hAnsi="Times New Roman" w:cs="Times New Roman"/>
          <w:lang w:val="en-GB"/>
        </w:rPr>
        <w:t xml:space="preserve"> </w:t>
      </w:r>
      <w:r w:rsidR="00D606AF">
        <w:rPr>
          <w:rFonts w:ascii="Times New Roman" w:hAnsi="Times New Roman" w:cs="Times New Roman"/>
          <w:lang w:val="en-GB"/>
        </w:rPr>
        <w:t>When possible though, can the media be used to put political pressure on the responsible people. By giving the press certain information and lobby their cause, Kommunernes Landsforening and Danske Regioner wanted to pressure the, at the time Danish, chairman of the European Council to take an official</w:t>
      </w:r>
      <w:r w:rsidR="003D16AB">
        <w:rPr>
          <w:rFonts w:ascii="Times New Roman" w:hAnsi="Times New Roman" w:cs="Times New Roman"/>
          <w:lang w:val="en-GB"/>
        </w:rPr>
        <w:t xml:space="preserve"> opinion</w:t>
      </w:r>
      <w:r w:rsidR="00D606AF">
        <w:rPr>
          <w:rFonts w:ascii="Times New Roman" w:hAnsi="Times New Roman" w:cs="Times New Roman"/>
          <w:lang w:val="en-GB"/>
        </w:rPr>
        <w:t xml:space="preserve"> on the threshold specifically</w:t>
      </w:r>
      <w:r w:rsidR="003D16AB">
        <w:rPr>
          <w:rFonts w:ascii="Times New Roman" w:hAnsi="Times New Roman" w:cs="Times New Roman"/>
          <w:lang w:val="en-GB"/>
        </w:rPr>
        <w:t xml:space="preserve">. </w:t>
      </w:r>
      <w:r w:rsidR="00616656">
        <w:rPr>
          <w:rFonts w:ascii="Times New Roman" w:hAnsi="Times New Roman" w:cs="Times New Roman"/>
          <w:lang w:val="en-GB"/>
        </w:rPr>
        <w:t>This ne</w:t>
      </w:r>
      <w:r w:rsidR="00DA012F">
        <w:rPr>
          <w:rFonts w:ascii="Times New Roman" w:hAnsi="Times New Roman" w:cs="Times New Roman"/>
          <w:lang w:val="en-GB"/>
        </w:rPr>
        <w:t>ver happened also due to the, at first sight, counterintuitive condition of Danish presidency. While it might seem that holding the presidency would mean shaping the agenda and pushing through in</w:t>
      </w:r>
      <w:r w:rsidR="001B7D0E">
        <w:rPr>
          <w:rFonts w:ascii="Times New Roman" w:hAnsi="Times New Roman" w:cs="Times New Roman"/>
          <w:lang w:val="en-GB"/>
        </w:rPr>
        <w:t>terests, it in reality contains the role of being the mediator, who’s main role is to guide towards a consensus. Thu</w:t>
      </w:r>
      <w:r w:rsidR="001503EC">
        <w:rPr>
          <w:rFonts w:ascii="Times New Roman" w:hAnsi="Times New Roman" w:cs="Times New Roman"/>
          <w:lang w:val="en-GB"/>
        </w:rPr>
        <w:t>s it actually limits the chairman’s</w:t>
      </w:r>
      <w:r w:rsidR="001B7D0E">
        <w:rPr>
          <w:rFonts w:ascii="Times New Roman" w:hAnsi="Times New Roman" w:cs="Times New Roman"/>
          <w:lang w:val="en-GB"/>
        </w:rPr>
        <w:t xml:space="preserve"> possibility to polarise and make demands.</w:t>
      </w:r>
      <w:r w:rsidR="001503EC">
        <w:rPr>
          <w:rStyle w:val="FootnoteReference"/>
          <w:rFonts w:cs="Times New Roman"/>
          <w:lang w:val="en-GB"/>
        </w:rPr>
        <w:footnoteReference w:id="115"/>
      </w:r>
      <w:r w:rsidR="001B7D0E">
        <w:rPr>
          <w:rFonts w:ascii="Times New Roman" w:hAnsi="Times New Roman" w:cs="Times New Roman"/>
          <w:lang w:val="en-GB"/>
        </w:rPr>
        <w:t xml:space="preserve"> </w:t>
      </w:r>
    </w:p>
    <w:p w14:paraId="39D1D5C4" w14:textId="4328FD37" w:rsidR="001503EC" w:rsidRDefault="00C14258"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The local governments </w:t>
      </w:r>
      <w:r w:rsidR="000837D5">
        <w:rPr>
          <w:rFonts w:ascii="Times New Roman" w:hAnsi="Times New Roman" w:cs="Times New Roman"/>
          <w:lang w:val="en-GB"/>
        </w:rPr>
        <w:t>lobby work</w:t>
      </w:r>
      <w:r>
        <w:rPr>
          <w:rFonts w:ascii="Times New Roman" w:hAnsi="Times New Roman" w:cs="Times New Roman"/>
          <w:lang w:val="en-GB"/>
        </w:rPr>
        <w:t xml:space="preserve"> stands on two legs. On the one hand they are able to freely set up meetings with Members of Parliament and other EU-officials and on the other hand they are also represented in the Committee of the Regions. The CoR plays a key role in many cases, even though it in it self doesn’t have any political power. It’s work consists of giving professional opinions on matters related to local governments, either by its own initiative or because the Commission or the Parliament asks for advice.</w:t>
      </w:r>
      <w:r w:rsidR="00F87B6F">
        <w:rPr>
          <w:rStyle w:val="FootnoteReference"/>
          <w:rFonts w:cs="Times New Roman"/>
          <w:lang w:val="en-GB"/>
        </w:rPr>
        <w:footnoteReference w:id="116"/>
      </w:r>
      <w:r>
        <w:rPr>
          <w:rFonts w:ascii="Times New Roman" w:hAnsi="Times New Roman" w:cs="Times New Roman"/>
          <w:lang w:val="en-GB"/>
        </w:rPr>
        <w:t xml:space="preserve"> Danske Regioners and Kommunernes Landsforenings office support the Danish representatives in the CoR and take part in meetings. </w:t>
      </w:r>
      <w:r w:rsidR="000837D5">
        <w:rPr>
          <w:rFonts w:ascii="Times New Roman" w:hAnsi="Times New Roman" w:cs="Times New Roman"/>
          <w:lang w:val="en-GB"/>
        </w:rPr>
        <w:t xml:space="preserve">If the Danish delegation manages to unite the CoR behind </w:t>
      </w:r>
      <w:proofErr w:type="gramStart"/>
      <w:r w:rsidR="000837D5">
        <w:rPr>
          <w:rFonts w:ascii="Times New Roman" w:hAnsi="Times New Roman" w:cs="Times New Roman"/>
          <w:lang w:val="en-GB"/>
        </w:rPr>
        <w:t>a</w:t>
      </w:r>
      <w:proofErr w:type="gramEnd"/>
      <w:r w:rsidR="000837D5">
        <w:rPr>
          <w:rFonts w:ascii="Times New Roman" w:hAnsi="Times New Roman" w:cs="Times New Roman"/>
          <w:lang w:val="en-GB"/>
        </w:rPr>
        <w:t xml:space="preserve"> initiative, it gives the cause a lot more weight and the more weight the people behind have, the higher um in the </w:t>
      </w:r>
      <w:r w:rsidR="000837D5">
        <w:rPr>
          <w:rFonts w:ascii="Times New Roman" w:hAnsi="Times New Roman" w:cs="Times New Roman"/>
          <w:lang w:val="en-GB"/>
        </w:rPr>
        <w:lastRenderedPageBreak/>
        <w:t>European hierarchy it will be possible to get heard.</w:t>
      </w:r>
      <w:r w:rsidR="00A40371">
        <w:rPr>
          <w:rStyle w:val="FootnoteReference"/>
          <w:rFonts w:cs="Times New Roman"/>
          <w:lang w:val="en-GB"/>
        </w:rPr>
        <w:footnoteReference w:id="117"/>
      </w:r>
      <w:r w:rsidR="000837D5">
        <w:rPr>
          <w:rFonts w:ascii="Times New Roman" w:hAnsi="Times New Roman" w:cs="Times New Roman"/>
          <w:lang w:val="en-GB"/>
        </w:rPr>
        <w:t xml:space="preserve"> After the CoR has taken a position and moved on to other topics it’s the local governments representat</w:t>
      </w:r>
      <w:r w:rsidR="00EF37AD">
        <w:rPr>
          <w:rFonts w:ascii="Times New Roman" w:hAnsi="Times New Roman" w:cs="Times New Roman"/>
          <w:lang w:val="en-GB"/>
        </w:rPr>
        <w:t>ions task to follow up on those</w:t>
      </w:r>
      <w:r w:rsidR="000837D5">
        <w:rPr>
          <w:rFonts w:ascii="Times New Roman" w:hAnsi="Times New Roman" w:cs="Times New Roman"/>
          <w:lang w:val="en-GB"/>
        </w:rPr>
        <w:t xml:space="preserve"> and see them through.</w:t>
      </w:r>
      <w:r w:rsidR="00F87B6F">
        <w:rPr>
          <w:rStyle w:val="FootnoteReference"/>
          <w:rFonts w:cs="Times New Roman"/>
          <w:lang w:val="en-GB"/>
        </w:rPr>
        <w:footnoteReference w:id="118"/>
      </w:r>
      <w:r w:rsidR="000837D5">
        <w:rPr>
          <w:rFonts w:ascii="Times New Roman" w:hAnsi="Times New Roman" w:cs="Times New Roman"/>
          <w:lang w:val="en-GB"/>
        </w:rPr>
        <w:t xml:space="preserve"> In the case of the Procurement Directive, one of the first moves by Kommunernes Landsforening and Danske Regioner was to approach their delegation in the CoR and together with both a Social Dem</w:t>
      </w:r>
      <w:r w:rsidR="006E17AA">
        <w:rPr>
          <w:rFonts w:ascii="Times New Roman" w:hAnsi="Times New Roman" w:cs="Times New Roman"/>
          <w:lang w:val="en-GB"/>
        </w:rPr>
        <w:t>ocrat and a Conservative to set up meetings with Members of Parliament. This served in two ways, firstly it weight heavier and secondly it showed the Parliamentarians that this wasn’t a question of ideology but practicality, and that there was a real need for change.</w:t>
      </w:r>
      <w:r w:rsidR="00F87B6F">
        <w:rPr>
          <w:rStyle w:val="FootnoteReference"/>
          <w:rFonts w:cs="Times New Roman"/>
          <w:lang w:val="en-GB"/>
        </w:rPr>
        <w:footnoteReference w:id="119"/>
      </w:r>
      <w:r w:rsidR="006E17AA">
        <w:rPr>
          <w:rFonts w:ascii="Times New Roman" w:hAnsi="Times New Roman" w:cs="Times New Roman"/>
          <w:lang w:val="en-GB"/>
        </w:rPr>
        <w:t xml:space="preserve"> Usually the Danish representations will contact the Danish Members of Parliament before going to other countries. This is due to it being easier to build up a good relationship </w:t>
      </w:r>
      <w:r w:rsidR="00C73A3E">
        <w:rPr>
          <w:rFonts w:ascii="Times New Roman" w:hAnsi="Times New Roman" w:cs="Times New Roman"/>
          <w:lang w:val="en-GB"/>
        </w:rPr>
        <w:t xml:space="preserve">to your own Parliamentarians and the fact that they have good access to the other Members through their network in CEMR. Using this network saves time and resources and gives good results for all parts. When necessary tough, also foreign Parliamentarians </w:t>
      </w:r>
      <w:r w:rsidR="00676AA4">
        <w:rPr>
          <w:rFonts w:ascii="Times New Roman" w:hAnsi="Times New Roman" w:cs="Times New Roman"/>
          <w:lang w:val="en-GB"/>
        </w:rPr>
        <w:t>can</w:t>
      </w:r>
      <w:r w:rsidR="00C73A3E">
        <w:rPr>
          <w:rFonts w:ascii="Times New Roman" w:hAnsi="Times New Roman" w:cs="Times New Roman"/>
          <w:lang w:val="en-GB"/>
        </w:rPr>
        <w:t xml:space="preserve"> be contacted directly.</w:t>
      </w:r>
      <w:r w:rsidR="00F87B6F">
        <w:rPr>
          <w:rStyle w:val="FootnoteReference"/>
          <w:rFonts w:cs="Times New Roman"/>
          <w:lang w:val="en-GB"/>
        </w:rPr>
        <w:footnoteReference w:id="120"/>
      </w:r>
      <w:r w:rsidR="00C73A3E">
        <w:rPr>
          <w:rFonts w:ascii="Times New Roman" w:hAnsi="Times New Roman" w:cs="Times New Roman"/>
          <w:lang w:val="en-GB"/>
        </w:rPr>
        <w:t xml:space="preserve"> </w:t>
      </w:r>
    </w:p>
    <w:p w14:paraId="6D1B20E2" w14:textId="01C6D478" w:rsidR="00676AA4" w:rsidRDefault="00676AA4"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All in all it must be said that Kommunernes Landsforenings and Danske Regioners main work consists of their work within the CoR and their independent lobbying of the European Parliament. </w:t>
      </w:r>
      <w:r w:rsidR="00292400">
        <w:rPr>
          <w:rFonts w:ascii="Times New Roman" w:hAnsi="Times New Roman" w:cs="Times New Roman"/>
          <w:lang w:val="en-GB"/>
        </w:rPr>
        <w:t xml:space="preserve">While the working process with the Commission is good and they need the input to create legislation most parts can agree on, the main partners are the national states and not the subnational organizations. </w:t>
      </w:r>
      <w:r w:rsidR="001603FB">
        <w:rPr>
          <w:rFonts w:ascii="Times New Roman" w:hAnsi="Times New Roman" w:cs="Times New Roman"/>
          <w:lang w:val="en-GB"/>
        </w:rPr>
        <w:t>As is it th</w:t>
      </w:r>
      <w:r w:rsidR="00106430">
        <w:rPr>
          <w:rFonts w:ascii="Times New Roman" w:hAnsi="Times New Roman" w:cs="Times New Roman"/>
          <w:lang w:val="en-GB"/>
        </w:rPr>
        <w:t>e case with the Council and in addition it is hard to follow what the Council actually is up to. While documents are available online, the exact document reference is necessary to access them.</w:t>
      </w:r>
      <w:r w:rsidR="00F87B6F">
        <w:rPr>
          <w:rStyle w:val="FootnoteReference"/>
          <w:rFonts w:cs="Times New Roman"/>
          <w:lang w:val="en-GB"/>
        </w:rPr>
        <w:footnoteReference w:id="121"/>
      </w:r>
    </w:p>
    <w:p w14:paraId="377E67F6" w14:textId="6A65459A" w:rsidR="00292400" w:rsidRDefault="00292400"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In the case of the Procurement Directive Danske Regioner and Kommunernes Landsforening actually found a rather unusual partner to lobby their case. They teamed up with Dansk Industri and together signed an official appeal to the Danish government. </w:t>
      </w:r>
      <w:r w:rsidR="00DD27D1">
        <w:rPr>
          <w:rFonts w:ascii="Times New Roman" w:hAnsi="Times New Roman" w:cs="Times New Roman"/>
          <w:lang w:val="en-GB"/>
        </w:rPr>
        <w:t>It doesn’t happen to often that public and private actors work togeth</w:t>
      </w:r>
      <w:r w:rsidR="00375A5E">
        <w:rPr>
          <w:rFonts w:ascii="Times New Roman" w:hAnsi="Times New Roman" w:cs="Times New Roman"/>
          <w:lang w:val="en-GB"/>
        </w:rPr>
        <w:t>er to achieve a common goal, but</w:t>
      </w:r>
      <w:r w:rsidR="00DD27D1">
        <w:rPr>
          <w:rFonts w:ascii="Times New Roman" w:hAnsi="Times New Roman" w:cs="Times New Roman"/>
          <w:lang w:val="en-GB"/>
        </w:rPr>
        <w:t xml:space="preserve"> this gave their appeal even more weight.</w:t>
      </w:r>
      <w:r w:rsidR="002D195D">
        <w:rPr>
          <w:rStyle w:val="FootnoteReference"/>
          <w:rFonts w:cs="Times New Roman"/>
          <w:lang w:val="en-GB"/>
        </w:rPr>
        <w:footnoteReference w:id="122"/>
      </w:r>
      <w:r w:rsidR="00DD27D1">
        <w:rPr>
          <w:rFonts w:ascii="Times New Roman" w:hAnsi="Times New Roman" w:cs="Times New Roman"/>
          <w:lang w:val="en-GB"/>
        </w:rPr>
        <w:t xml:space="preserve"> </w:t>
      </w:r>
    </w:p>
    <w:p w14:paraId="15336458" w14:textId="79DAC5F4" w:rsidR="00375A5E" w:rsidRDefault="00375A5E"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Even after the Lisbon treaty lobbyism on national level still plays a role to a certain extent. Altough lobbyism in Brussels costs </w:t>
      </w:r>
      <w:proofErr w:type="gramStart"/>
      <w:r>
        <w:rPr>
          <w:rFonts w:ascii="Times New Roman" w:hAnsi="Times New Roman" w:cs="Times New Roman"/>
          <w:lang w:val="en-GB"/>
        </w:rPr>
        <w:t>a</w:t>
      </w:r>
      <w:proofErr w:type="gramEnd"/>
      <w:r>
        <w:rPr>
          <w:rFonts w:ascii="Times New Roman" w:hAnsi="Times New Roman" w:cs="Times New Roman"/>
          <w:lang w:val="en-GB"/>
        </w:rPr>
        <w:t xml:space="preserve"> organization a lot of resources, it is still </w:t>
      </w:r>
      <w:r>
        <w:rPr>
          <w:rFonts w:ascii="Times New Roman" w:hAnsi="Times New Roman" w:cs="Times New Roman"/>
          <w:lang w:val="en-GB"/>
        </w:rPr>
        <w:lastRenderedPageBreak/>
        <w:t xml:space="preserve">important, since the national actors in many case are too slow and act to late. The Danish </w:t>
      </w:r>
      <w:proofErr w:type="gramStart"/>
      <w:r>
        <w:rPr>
          <w:rFonts w:ascii="Times New Roman" w:hAnsi="Times New Roman" w:cs="Times New Roman"/>
          <w:lang w:val="en-GB"/>
        </w:rPr>
        <w:t>governments</w:t>
      </w:r>
      <w:proofErr w:type="gramEnd"/>
      <w:r>
        <w:rPr>
          <w:rFonts w:ascii="Times New Roman" w:hAnsi="Times New Roman" w:cs="Times New Roman"/>
          <w:lang w:val="en-GB"/>
        </w:rPr>
        <w:t xml:space="preserve"> Europaudvalg works with issues connected to the EU, but often steps in too late, when it is hard to influence the </w:t>
      </w:r>
      <w:r w:rsidR="008C13C9">
        <w:rPr>
          <w:rFonts w:ascii="Times New Roman" w:hAnsi="Times New Roman" w:cs="Times New Roman"/>
          <w:lang w:val="en-GB"/>
        </w:rPr>
        <w:t>on-going</w:t>
      </w:r>
      <w:r>
        <w:rPr>
          <w:rFonts w:ascii="Times New Roman" w:hAnsi="Times New Roman" w:cs="Times New Roman"/>
          <w:lang w:val="en-GB"/>
        </w:rPr>
        <w:t xml:space="preserve"> process.</w:t>
      </w:r>
      <w:r w:rsidR="002D195D" w:rsidRPr="002D195D">
        <w:rPr>
          <w:rStyle w:val="FootnoteReference"/>
          <w:rFonts w:cs="Times New Roman"/>
          <w:lang w:val="en-GB"/>
        </w:rPr>
        <w:t xml:space="preserve"> </w:t>
      </w:r>
      <w:r w:rsidR="002D195D">
        <w:rPr>
          <w:rStyle w:val="FootnoteReference"/>
          <w:rFonts w:cs="Times New Roman"/>
          <w:lang w:val="en-GB"/>
        </w:rPr>
        <w:footnoteReference w:id="123"/>
      </w:r>
      <w:r>
        <w:rPr>
          <w:rFonts w:ascii="Times New Roman" w:hAnsi="Times New Roman" w:cs="Times New Roman"/>
          <w:lang w:val="en-GB"/>
        </w:rPr>
        <w:t xml:space="preserve"> </w:t>
      </w:r>
      <w:r w:rsidR="009749DE">
        <w:rPr>
          <w:rFonts w:ascii="Times New Roman" w:hAnsi="Times New Roman" w:cs="Times New Roman"/>
          <w:lang w:val="en-GB"/>
        </w:rPr>
        <w:t xml:space="preserve">And while the Danish government in many cases agrees with the regions and municipalities, there also have been occasions where there have been large divergences in their interests. As an example one can mention the last </w:t>
      </w:r>
      <w:r w:rsidR="0009120B">
        <w:rPr>
          <w:rFonts w:ascii="Times New Roman" w:hAnsi="Times New Roman" w:cs="Times New Roman"/>
          <w:lang w:val="en-GB"/>
        </w:rPr>
        <w:t xml:space="preserve">EU Budget negotiations. Here the Danish government was in favour of a discount for the Danish state, if at the same time they would give up on some money from the EU’s structural fund. Lower expenses for the state and lower investments for the regions and municipalities, there wasn’t a consensus between the state and the local </w:t>
      </w:r>
      <w:r w:rsidR="000B48B3">
        <w:rPr>
          <w:rFonts w:ascii="Times New Roman" w:hAnsi="Times New Roman" w:cs="Times New Roman"/>
          <w:lang w:val="en-GB"/>
        </w:rPr>
        <w:t>govern</w:t>
      </w:r>
      <w:r w:rsidR="002D195D">
        <w:rPr>
          <w:rFonts w:ascii="Times New Roman" w:hAnsi="Times New Roman" w:cs="Times New Roman"/>
          <w:lang w:val="en-GB"/>
        </w:rPr>
        <w:t>m</w:t>
      </w:r>
      <w:r w:rsidR="0009120B">
        <w:rPr>
          <w:rFonts w:ascii="Times New Roman" w:hAnsi="Times New Roman" w:cs="Times New Roman"/>
          <w:lang w:val="en-GB"/>
        </w:rPr>
        <w:t>ents in that case.</w:t>
      </w:r>
      <w:r w:rsidR="002D195D">
        <w:rPr>
          <w:rStyle w:val="FootnoteReference"/>
          <w:rFonts w:cs="Times New Roman"/>
          <w:lang w:val="en-GB"/>
        </w:rPr>
        <w:footnoteReference w:id="124"/>
      </w:r>
      <w:r w:rsidR="0009120B">
        <w:rPr>
          <w:rFonts w:ascii="Times New Roman" w:hAnsi="Times New Roman" w:cs="Times New Roman"/>
          <w:lang w:val="en-GB"/>
        </w:rPr>
        <w:t xml:space="preserve"> So individual lo</w:t>
      </w:r>
      <w:r w:rsidR="001603FB">
        <w:rPr>
          <w:rFonts w:ascii="Times New Roman" w:hAnsi="Times New Roman" w:cs="Times New Roman"/>
          <w:lang w:val="en-GB"/>
        </w:rPr>
        <w:t>bbying in Brussels is essential, because the regions and municipalities can’t rely solely on the state and one can’t underestimate the value of up close and in person working relationships with the people in charge in Brussels.</w:t>
      </w:r>
      <w:r w:rsidR="008C13C9">
        <w:rPr>
          <w:rStyle w:val="FootnoteReference"/>
          <w:rFonts w:cs="Times New Roman"/>
          <w:lang w:val="en-GB"/>
        </w:rPr>
        <w:footnoteReference w:id="125"/>
      </w:r>
    </w:p>
    <w:p w14:paraId="6B4CFFD9" w14:textId="77777777" w:rsidR="00651C95" w:rsidRPr="005D43BB" w:rsidRDefault="00651C95" w:rsidP="00BF1A52">
      <w:pPr>
        <w:spacing w:line="360" w:lineRule="auto"/>
        <w:jc w:val="both"/>
        <w:rPr>
          <w:rFonts w:ascii="Times New Roman" w:hAnsi="Times New Roman" w:cs="Times New Roman"/>
          <w:lang w:val="en-GB"/>
        </w:rPr>
      </w:pPr>
    </w:p>
    <w:p w14:paraId="1489F14B" w14:textId="4576E23C" w:rsidR="00651C95" w:rsidRPr="005D43BB" w:rsidRDefault="00651C95" w:rsidP="00BF1A52">
      <w:pPr>
        <w:pStyle w:val="Heading1"/>
        <w:spacing w:line="360" w:lineRule="auto"/>
        <w:jc w:val="both"/>
        <w:rPr>
          <w:rFonts w:ascii="Times New Roman" w:hAnsi="Times New Roman" w:cs="Times New Roman"/>
          <w:lang w:val="en-GB"/>
        </w:rPr>
      </w:pPr>
      <w:bookmarkStart w:id="34" w:name="_Toc289250867"/>
      <w:r w:rsidRPr="005D43BB">
        <w:rPr>
          <w:rFonts w:ascii="Times New Roman" w:hAnsi="Times New Roman" w:cs="Times New Roman"/>
          <w:lang w:val="en-GB"/>
        </w:rPr>
        <w:t>8.0 Analysis</w:t>
      </w:r>
      <w:bookmarkEnd w:id="34"/>
    </w:p>
    <w:p w14:paraId="0AFA7569" w14:textId="4DE75805" w:rsidR="00651C95" w:rsidRDefault="007F0DC8"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The European Public Procurement Directive </w:t>
      </w:r>
      <w:r w:rsidR="00E14974">
        <w:rPr>
          <w:rFonts w:ascii="Times New Roman" w:hAnsi="Times New Roman" w:cs="Times New Roman"/>
          <w:lang w:val="en-GB"/>
        </w:rPr>
        <w:t>is, as the name suggests, aimed at public institutions on national and subnational level</w:t>
      </w:r>
      <w:r w:rsidR="001E7125">
        <w:rPr>
          <w:rFonts w:ascii="Times New Roman" w:hAnsi="Times New Roman" w:cs="Times New Roman"/>
          <w:lang w:val="en-GB"/>
        </w:rPr>
        <w:t xml:space="preserve">. </w:t>
      </w:r>
      <w:r w:rsidR="00E14974">
        <w:rPr>
          <w:rFonts w:ascii="Times New Roman" w:hAnsi="Times New Roman" w:cs="Times New Roman"/>
          <w:lang w:val="en-GB"/>
        </w:rPr>
        <w:t xml:space="preserve">Regulations in the field of procurement have existed for a long time now and have been revised several times with the aim to simplify the law and make it more </w:t>
      </w:r>
      <w:r w:rsidR="00E14974" w:rsidRPr="00C435D7">
        <w:rPr>
          <w:rFonts w:ascii="Times New Roman" w:hAnsi="Times New Roman" w:cs="Times New Roman"/>
          <w:lang w:val="en-GB"/>
        </w:rPr>
        <w:t>applicable</w:t>
      </w:r>
      <w:r w:rsidR="001E7125" w:rsidRPr="00C435D7">
        <w:rPr>
          <w:rFonts w:ascii="Times New Roman" w:hAnsi="Times New Roman" w:cs="Times New Roman"/>
          <w:lang w:val="en-GB"/>
        </w:rPr>
        <w:t>.</w:t>
      </w:r>
      <w:r w:rsidR="001E7125" w:rsidRPr="00C435D7">
        <w:rPr>
          <w:rStyle w:val="FootnoteReference"/>
          <w:rFonts w:cs="Times New Roman"/>
          <w:color w:val="auto"/>
          <w:lang w:val="en-GB"/>
        </w:rPr>
        <w:footnoteReference w:id="126"/>
      </w:r>
      <w:r w:rsidR="00F747B6" w:rsidRPr="00C435D7">
        <w:rPr>
          <w:rFonts w:ascii="Times New Roman" w:hAnsi="Times New Roman" w:cs="Times New Roman"/>
          <w:lang w:val="en-GB"/>
        </w:rPr>
        <w:t xml:space="preserve"> </w:t>
      </w:r>
      <w:r w:rsidR="00E14974" w:rsidRPr="00C435D7">
        <w:rPr>
          <w:rFonts w:ascii="Times New Roman" w:hAnsi="Times New Roman" w:cs="Times New Roman"/>
          <w:lang w:val="en-GB"/>
        </w:rPr>
        <w:t>So when looking at the policy cycle, one ca</w:t>
      </w:r>
      <w:r w:rsidR="00A70F53" w:rsidRPr="00C435D7">
        <w:rPr>
          <w:rFonts w:ascii="Times New Roman" w:hAnsi="Times New Roman" w:cs="Times New Roman"/>
          <w:lang w:val="en-GB"/>
        </w:rPr>
        <w:t>n conclude that the process</w:t>
      </w:r>
      <w:r w:rsidR="00C435D7" w:rsidRPr="00C435D7">
        <w:rPr>
          <w:rFonts w:ascii="Times New Roman" w:hAnsi="Times New Roman" w:cs="Times New Roman"/>
          <w:lang w:val="en-GB"/>
        </w:rPr>
        <w:t xml:space="preserve"> of revision</w:t>
      </w:r>
      <w:r w:rsidR="00A70F53" w:rsidRPr="00C435D7">
        <w:rPr>
          <w:rFonts w:ascii="Times New Roman" w:hAnsi="Times New Roman" w:cs="Times New Roman"/>
          <w:lang w:val="en-GB"/>
        </w:rPr>
        <w:t xml:space="preserve"> </w:t>
      </w:r>
      <w:r w:rsidR="00C435D7" w:rsidRPr="00C435D7">
        <w:rPr>
          <w:rFonts w:ascii="Times New Roman" w:hAnsi="Times New Roman" w:cs="Times New Roman"/>
          <w:lang w:val="en-GB"/>
        </w:rPr>
        <w:t>has been made</w:t>
      </w:r>
      <w:r w:rsidR="00E14974" w:rsidRPr="00C435D7">
        <w:rPr>
          <w:rFonts w:ascii="Times New Roman" w:hAnsi="Times New Roman" w:cs="Times New Roman"/>
          <w:lang w:val="en-GB"/>
        </w:rPr>
        <w:t xml:space="preserve"> several times over time, which means that revision and problem identification are basically the same</w:t>
      </w:r>
      <w:r w:rsidR="00F77F7C" w:rsidRPr="00C435D7">
        <w:rPr>
          <w:rFonts w:ascii="Times New Roman" w:hAnsi="Times New Roman" w:cs="Times New Roman"/>
          <w:lang w:val="en-GB"/>
        </w:rPr>
        <w:t xml:space="preserve"> and exchangeable</w:t>
      </w:r>
      <w:r w:rsidR="00E14974" w:rsidRPr="00C435D7">
        <w:rPr>
          <w:rFonts w:ascii="Times New Roman" w:hAnsi="Times New Roman" w:cs="Times New Roman"/>
          <w:lang w:val="en-GB"/>
        </w:rPr>
        <w:t>. Before the last alteration of the directive</w:t>
      </w:r>
      <w:r w:rsidR="00F360BA" w:rsidRPr="00C435D7">
        <w:rPr>
          <w:rFonts w:ascii="Times New Roman" w:hAnsi="Times New Roman" w:cs="Times New Roman"/>
          <w:lang w:val="en-GB"/>
        </w:rPr>
        <w:t>,</w:t>
      </w:r>
      <w:r w:rsidR="00E14974">
        <w:rPr>
          <w:rFonts w:ascii="Times New Roman" w:hAnsi="Times New Roman" w:cs="Times New Roman"/>
          <w:lang w:val="en-GB"/>
        </w:rPr>
        <w:t xml:space="preserve"> local governments have been highly unsatisfied with some of the restrictions</w:t>
      </w:r>
      <w:r w:rsidR="00142EAC">
        <w:rPr>
          <w:rFonts w:ascii="Times New Roman" w:hAnsi="Times New Roman" w:cs="Times New Roman"/>
          <w:lang w:val="en-GB"/>
        </w:rPr>
        <w:t xml:space="preserve"> that were put on them. They saw the procurement directive to be cost-ineffective, with a low number of actual offers from other European countries and high costs. As a solution </w:t>
      </w:r>
      <w:r w:rsidR="00D361AF">
        <w:rPr>
          <w:rFonts w:ascii="Times New Roman" w:hAnsi="Times New Roman" w:cs="Times New Roman"/>
          <w:lang w:val="en-GB"/>
        </w:rPr>
        <w:t>for</w:t>
      </w:r>
      <w:r w:rsidR="00142EAC">
        <w:rPr>
          <w:rFonts w:ascii="Times New Roman" w:hAnsi="Times New Roman" w:cs="Times New Roman"/>
          <w:lang w:val="en-GB"/>
        </w:rPr>
        <w:t xml:space="preserve"> this problem, it was desired to have a higher threshold and through that to lower the number of EU procurements. As this problem was identified, Kommunernes Landsforening and Danske Regioner put the case on </w:t>
      </w:r>
      <w:r w:rsidR="00373661">
        <w:rPr>
          <w:rFonts w:ascii="Times New Roman" w:hAnsi="Times New Roman" w:cs="Times New Roman"/>
          <w:lang w:val="en-GB"/>
        </w:rPr>
        <w:t>their political agenda. Since the directive</w:t>
      </w:r>
      <w:r w:rsidR="00142EAC">
        <w:rPr>
          <w:rFonts w:ascii="Times New Roman" w:hAnsi="Times New Roman" w:cs="Times New Roman"/>
          <w:lang w:val="en-GB"/>
        </w:rPr>
        <w:t xml:space="preserve"> </w:t>
      </w:r>
      <w:proofErr w:type="gramStart"/>
      <w:r w:rsidR="00142EAC">
        <w:rPr>
          <w:rFonts w:ascii="Times New Roman" w:hAnsi="Times New Roman" w:cs="Times New Roman"/>
          <w:lang w:val="en-GB"/>
        </w:rPr>
        <w:t xml:space="preserve">was bound </w:t>
      </w:r>
      <w:r w:rsidR="00142EAC">
        <w:rPr>
          <w:rFonts w:ascii="Times New Roman" w:hAnsi="Times New Roman" w:cs="Times New Roman"/>
          <w:lang w:val="en-GB"/>
        </w:rPr>
        <w:lastRenderedPageBreak/>
        <w:t>to be renegotiated</w:t>
      </w:r>
      <w:proofErr w:type="gramEnd"/>
      <w:r w:rsidR="00142EAC">
        <w:rPr>
          <w:rFonts w:ascii="Times New Roman" w:hAnsi="Times New Roman" w:cs="Times New Roman"/>
          <w:lang w:val="en-GB"/>
        </w:rPr>
        <w:t xml:space="preserve"> at one point, the </w:t>
      </w:r>
      <w:r w:rsidR="00142EAC" w:rsidRPr="001E7125">
        <w:rPr>
          <w:rFonts w:ascii="Times New Roman" w:hAnsi="Times New Roman" w:cs="Times New Roman"/>
          <w:lang w:val="en-GB"/>
        </w:rPr>
        <w:t>risk they took by allocating resour</w:t>
      </w:r>
      <w:r w:rsidR="0042188A" w:rsidRPr="001E7125">
        <w:rPr>
          <w:rFonts w:ascii="Times New Roman" w:hAnsi="Times New Roman" w:cs="Times New Roman"/>
          <w:lang w:val="en-GB"/>
        </w:rPr>
        <w:t>ces to this case was comprehensible</w:t>
      </w:r>
      <w:r w:rsidR="00142EAC">
        <w:rPr>
          <w:rFonts w:ascii="Times New Roman" w:hAnsi="Times New Roman" w:cs="Times New Roman"/>
          <w:lang w:val="en-GB"/>
        </w:rPr>
        <w:t>. The board</w:t>
      </w:r>
      <w:r w:rsidR="00373661">
        <w:rPr>
          <w:rFonts w:ascii="Times New Roman" w:hAnsi="Times New Roman" w:cs="Times New Roman"/>
          <w:lang w:val="en-GB"/>
        </w:rPr>
        <w:t>s</w:t>
      </w:r>
      <w:r w:rsidR="00142EAC">
        <w:rPr>
          <w:rFonts w:ascii="Times New Roman" w:hAnsi="Times New Roman" w:cs="Times New Roman"/>
          <w:lang w:val="en-GB"/>
        </w:rPr>
        <w:t xml:space="preserve"> of these local</w:t>
      </w:r>
      <w:r w:rsidR="00373661">
        <w:rPr>
          <w:rFonts w:ascii="Times New Roman" w:hAnsi="Times New Roman" w:cs="Times New Roman"/>
          <w:lang w:val="en-GB"/>
        </w:rPr>
        <w:t xml:space="preserve"> government organizations put lobbying of the Procurement Directive</w:t>
      </w:r>
      <w:r w:rsidR="00142EAC">
        <w:rPr>
          <w:rFonts w:ascii="Times New Roman" w:hAnsi="Times New Roman" w:cs="Times New Roman"/>
          <w:lang w:val="en-GB"/>
        </w:rPr>
        <w:t xml:space="preserve"> officially on the agenda and gave by that their consultants in Brussels a mandate to promote the cause.</w:t>
      </w:r>
      <w:r w:rsidR="00C435D7">
        <w:rPr>
          <w:rStyle w:val="FootnoteReference"/>
          <w:rFonts w:cs="Times New Roman"/>
          <w:lang w:val="en-GB"/>
        </w:rPr>
        <w:footnoteReference w:id="127"/>
      </w:r>
      <w:r w:rsidR="00142EAC">
        <w:rPr>
          <w:rFonts w:ascii="Times New Roman" w:hAnsi="Times New Roman" w:cs="Times New Roman"/>
          <w:lang w:val="en-GB"/>
        </w:rPr>
        <w:t xml:space="preserve">  </w:t>
      </w:r>
      <w:r w:rsidR="00FA6791">
        <w:rPr>
          <w:rFonts w:ascii="Times New Roman" w:hAnsi="Times New Roman" w:cs="Times New Roman"/>
          <w:lang w:val="en-GB"/>
        </w:rPr>
        <w:t xml:space="preserve">Since the case was easy to express in numbers and charts, </w:t>
      </w:r>
      <w:r w:rsidR="00CB1F32">
        <w:rPr>
          <w:rFonts w:ascii="Times New Roman" w:hAnsi="Times New Roman" w:cs="Times New Roman"/>
          <w:lang w:val="en-GB"/>
        </w:rPr>
        <w:t>media and other public actors both in Denmark and in Brussels quickly picked up releases through their newsletter</w:t>
      </w:r>
      <w:r w:rsidR="0087593A">
        <w:rPr>
          <w:rFonts w:ascii="Times New Roman" w:hAnsi="Times New Roman" w:cs="Times New Roman"/>
          <w:lang w:val="en-GB"/>
        </w:rPr>
        <w:t>. The Commission itself put it officially on their agenda and released their proposal on December 20</w:t>
      </w:r>
      <w:r w:rsidR="0087593A" w:rsidRPr="0087593A">
        <w:rPr>
          <w:rFonts w:ascii="Times New Roman" w:hAnsi="Times New Roman" w:cs="Times New Roman"/>
          <w:vertAlign w:val="superscript"/>
          <w:lang w:val="en-GB"/>
        </w:rPr>
        <w:t>th</w:t>
      </w:r>
      <w:r w:rsidR="0087593A">
        <w:rPr>
          <w:rFonts w:ascii="Times New Roman" w:hAnsi="Times New Roman" w:cs="Times New Roman"/>
          <w:lang w:val="en-GB"/>
        </w:rPr>
        <w:t xml:space="preserve"> 2011</w:t>
      </w:r>
      <w:r w:rsidR="00373661">
        <w:rPr>
          <w:rFonts w:ascii="Times New Roman" w:hAnsi="Times New Roman" w:cs="Times New Roman"/>
          <w:lang w:val="en-GB"/>
        </w:rPr>
        <w:t>,</w:t>
      </w:r>
      <w:r w:rsidR="0087593A">
        <w:rPr>
          <w:rFonts w:ascii="Times New Roman" w:hAnsi="Times New Roman" w:cs="Times New Roman"/>
          <w:lang w:val="en-GB"/>
        </w:rPr>
        <w:t xml:space="preserve"> through which it started the next phase in the policy cycle, the policy formulation. </w:t>
      </w:r>
      <w:r w:rsidR="00FF2EA1">
        <w:rPr>
          <w:rFonts w:ascii="Times New Roman" w:hAnsi="Times New Roman" w:cs="Times New Roman"/>
          <w:lang w:val="en-GB"/>
        </w:rPr>
        <w:t>Although the process of policy-making officially only starts with a proposal by the Commission, much work has already been done and much of the coming course has already been set.</w:t>
      </w:r>
    </w:p>
    <w:p w14:paraId="01FAC7C7" w14:textId="4EA7D8F1" w:rsidR="0087593A" w:rsidRDefault="0087593A" w:rsidP="00BF1A52">
      <w:pPr>
        <w:spacing w:line="360" w:lineRule="auto"/>
        <w:jc w:val="both"/>
        <w:rPr>
          <w:rFonts w:ascii="Times New Roman" w:hAnsi="Times New Roman" w:cs="Times New Roman"/>
          <w:lang w:val="en-GB"/>
        </w:rPr>
      </w:pPr>
      <w:r>
        <w:rPr>
          <w:rFonts w:ascii="Times New Roman" w:hAnsi="Times New Roman" w:cs="Times New Roman"/>
          <w:lang w:val="en-GB"/>
        </w:rPr>
        <w:t>An</w:t>
      </w:r>
      <w:r w:rsidR="00FF2EA1">
        <w:rPr>
          <w:rFonts w:ascii="Times New Roman" w:hAnsi="Times New Roman" w:cs="Times New Roman"/>
          <w:lang w:val="en-GB"/>
        </w:rPr>
        <w:t xml:space="preserve"> </w:t>
      </w:r>
      <w:r>
        <w:rPr>
          <w:rFonts w:ascii="Times New Roman" w:hAnsi="Times New Roman" w:cs="Times New Roman"/>
          <w:lang w:val="en-GB"/>
        </w:rPr>
        <w:t xml:space="preserve">assumption was made, that a central administration only to a certain level </w:t>
      </w:r>
      <w:r w:rsidR="00050DB1">
        <w:rPr>
          <w:rFonts w:ascii="Times New Roman" w:hAnsi="Times New Roman" w:cs="Times New Roman"/>
          <w:lang w:val="en-GB"/>
        </w:rPr>
        <w:t>could</w:t>
      </w:r>
      <w:r>
        <w:rPr>
          <w:rFonts w:ascii="Times New Roman" w:hAnsi="Times New Roman" w:cs="Times New Roman"/>
          <w:lang w:val="en-GB"/>
        </w:rPr>
        <w:t xml:space="preserve"> cope with legis</w:t>
      </w:r>
      <w:r w:rsidR="00050DB1">
        <w:rPr>
          <w:rFonts w:ascii="Times New Roman" w:hAnsi="Times New Roman" w:cs="Times New Roman"/>
          <w:lang w:val="en-GB"/>
        </w:rPr>
        <w:t xml:space="preserve">lation efficiently. The more complex the matter is, especially when interdepartmental, the higher is the risk of an unsatisfying result. Within the EU there are several actors to ensure that the </w:t>
      </w:r>
      <w:r w:rsidR="00035D92">
        <w:rPr>
          <w:rFonts w:ascii="Times New Roman" w:hAnsi="Times New Roman" w:cs="Times New Roman"/>
          <w:lang w:val="en-GB"/>
        </w:rPr>
        <w:t xml:space="preserve">necessary information are passed to the actor responsible of making a decision. The Committee of the Regions is officially optional to consult by the Parliament and Commission, but </w:t>
      </w:r>
      <w:r w:rsidR="00B5477F">
        <w:rPr>
          <w:rFonts w:ascii="Times New Roman" w:hAnsi="Times New Roman" w:cs="Times New Roman"/>
          <w:lang w:val="en-GB"/>
        </w:rPr>
        <w:t>is effectively</w:t>
      </w:r>
      <w:r w:rsidR="00035D92">
        <w:rPr>
          <w:rFonts w:ascii="Times New Roman" w:hAnsi="Times New Roman" w:cs="Times New Roman"/>
          <w:lang w:val="en-GB"/>
        </w:rPr>
        <w:t xml:space="preserve"> involved in most cases concerning regional matters. The European Economic and Social Committee has to be consulted</w:t>
      </w:r>
      <w:r w:rsidR="00485ED7">
        <w:rPr>
          <w:rFonts w:ascii="Times New Roman" w:hAnsi="Times New Roman" w:cs="Times New Roman"/>
          <w:lang w:val="en-GB"/>
        </w:rPr>
        <w:t xml:space="preserve"> if relevant, as in the case of public procurement,</w:t>
      </w:r>
      <w:r w:rsidR="00035D92">
        <w:rPr>
          <w:rFonts w:ascii="Times New Roman" w:hAnsi="Times New Roman" w:cs="Times New Roman"/>
          <w:lang w:val="en-GB"/>
        </w:rPr>
        <w:t xml:space="preserve"> and </w:t>
      </w:r>
      <w:r w:rsidR="00485ED7">
        <w:rPr>
          <w:rFonts w:ascii="Times New Roman" w:hAnsi="Times New Roman" w:cs="Times New Roman"/>
          <w:lang w:val="en-GB"/>
        </w:rPr>
        <w:t xml:space="preserve">then </w:t>
      </w:r>
      <w:r w:rsidR="00035D92">
        <w:rPr>
          <w:rFonts w:ascii="Times New Roman" w:hAnsi="Times New Roman" w:cs="Times New Roman"/>
          <w:lang w:val="en-GB"/>
        </w:rPr>
        <w:t>there a</w:t>
      </w:r>
      <w:r w:rsidR="00B5477F">
        <w:rPr>
          <w:rFonts w:ascii="Times New Roman" w:hAnsi="Times New Roman" w:cs="Times New Roman"/>
          <w:lang w:val="en-GB"/>
        </w:rPr>
        <w:t>re</w:t>
      </w:r>
      <w:r w:rsidR="00035D92">
        <w:rPr>
          <w:rFonts w:ascii="Times New Roman" w:hAnsi="Times New Roman" w:cs="Times New Roman"/>
          <w:lang w:val="en-GB"/>
        </w:rPr>
        <w:t xml:space="preserve"> lobby groups and interest organizations</w:t>
      </w:r>
      <w:r w:rsidR="00485ED7">
        <w:rPr>
          <w:rFonts w:ascii="Times New Roman" w:hAnsi="Times New Roman" w:cs="Times New Roman"/>
          <w:lang w:val="en-GB"/>
        </w:rPr>
        <w:t>, as for example Kommunernes Landsforening and Danske Regioner</w:t>
      </w:r>
      <w:r w:rsidR="00035D92">
        <w:rPr>
          <w:rFonts w:ascii="Times New Roman" w:hAnsi="Times New Roman" w:cs="Times New Roman"/>
          <w:lang w:val="en-GB"/>
        </w:rPr>
        <w:t xml:space="preserve"> who</w:t>
      </w:r>
      <w:r w:rsidR="00F77F7C">
        <w:rPr>
          <w:rFonts w:ascii="Times New Roman" w:hAnsi="Times New Roman" w:cs="Times New Roman"/>
          <w:lang w:val="en-GB"/>
        </w:rPr>
        <w:t xml:space="preserve"> also</w:t>
      </w:r>
      <w:r w:rsidR="00035D92">
        <w:rPr>
          <w:rFonts w:ascii="Times New Roman" w:hAnsi="Times New Roman" w:cs="Times New Roman"/>
          <w:lang w:val="en-GB"/>
        </w:rPr>
        <w:t xml:space="preserve"> help</w:t>
      </w:r>
      <w:r w:rsidR="00485ED7">
        <w:rPr>
          <w:rFonts w:ascii="Times New Roman" w:hAnsi="Times New Roman" w:cs="Times New Roman"/>
          <w:lang w:val="en-GB"/>
        </w:rPr>
        <w:t xml:space="preserve"> to connect these actors. In the bargaining process</w:t>
      </w:r>
      <w:r w:rsidR="000A630A">
        <w:rPr>
          <w:rFonts w:ascii="Times New Roman" w:hAnsi="Times New Roman" w:cs="Times New Roman"/>
          <w:lang w:val="en-GB"/>
        </w:rPr>
        <w:t>,</w:t>
      </w:r>
      <w:r w:rsidR="00485ED7">
        <w:rPr>
          <w:rFonts w:ascii="Times New Roman" w:hAnsi="Times New Roman" w:cs="Times New Roman"/>
          <w:lang w:val="en-GB"/>
        </w:rPr>
        <w:t xml:space="preserve"> participants will most likely act out of</w:t>
      </w:r>
      <w:r w:rsidR="00373661">
        <w:rPr>
          <w:rFonts w:ascii="Times New Roman" w:hAnsi="Times New Roman" w:cs="Times New Roman"/>
          <w:lang w:val="en-GB"/>
        </w:rPr>
        <w:t xml:space="preserve"> a simple cost benefit analysis</w:t>
      </w:r>
      <w:r w:rsidR="00FF2EA1">
        <w:rPr>
          <w:rFonts w:ascii="Times New Roman" w:hAnsi="Times New Roman" w:cs="Times New Roman"/>
          <w:lang w:val="en-GB"/>
        </w:rPr>
        <w:t xml:space="preserve">. </w:t>
      </w:r>
      <w:r w:rsidR="002960FD">
        <w:rPr>
          <w:rFonts w:ascii="Times New Roman" w:hAnsi="Times New Roman" w:cs="Times New Roman"/>
          <w:lang w:val="en-GB"/>
        </w:rPr>
        <w:t xml:space="preserve">For instance, </w:t>
      </w:r>
      <w:r w:rsidR="00FF2EA1">
        <w:rPr>
          <w:rFonts w:ascii="Times New Roman" w:hAnsi="Times New Roman" w:cs="Times New Roman"/>
          <w:lang w:val="en-GB"/>
        </w:rPr>
        <w:t>i</w:t>
      </w:r>
      <w:r w:rsidR="00485ED7">
        <w:rPr>
          <w:rFonts w:ascii="Times New Roman" w:hAnsi="Times New Roman" w:cs="Times New Roman"/>
          <w:lang w:val="en-GB"/>
        </w:rPr>
        <w:t xml:space="preserve">n the case of public procurement, Danish local governments valued a possible raised threshold higher than anything else and were ready to give up on other demands on their agenda, if only this </w:t>
      </w:r>
      <w:r w:rsidR="00D1782E">
        <w:rPr>
          <w:rFonts w:ascii="Times New Roman" w:hAnsi="Times New Roman" w:cs="Times New Roman"/>
          <w:lang w:val="en-GB"/>
        </w:rPr>
        <w:t>bar would have been raised to ideally 1.000.000 Euro.</w:t>
      </w:r>
      <w:r w:rsidR="00FF2EA1">
        <w:rPr>
          <w:rStyle w:val="FootnoteReference"/>
          <w:rFonts w:cs="Times New Roman"/>
          <w:lang w:val="en-GB"/>
        </w:rPr>
        <w:footnoteReference w:id="128"/>
      </w:r>
      <w:r w:rsidR="00D1782E">
        <w:rPr>
          <w:rFonts w:ascii="Times New Roman" w:hAnsi="Times New Roman" w:cs="Times New Roman"/>
          <w:lang w:val="en-GB"/>
        </w:rPr>
        <w:t xml:space="preserve"> At one point though, limitations became clear, </w:t>
      </w:r>
      <w:r w:rsidR="00F747B6">
        <w:rPr>
          <w:rFonts w:ascii="Times New Roman" w:hAnsi="Times New Roman" w:cs="Times New Roman"/>
          <w:lang w:val="en-GB"/>
        </w:rPr>
        <w:t>as the actors realized that</w:t>
      </w:r>
      <w:r w:rsidR="00D1782E">
        <w:rPr>
          <w:rFonts w:ascii="Times New Roman" w:hAnsi="Times New Roman" w:cs="Times New Roman"/>
          <w:lang w:val="en-GB"/>
        </w:rPr>
        <w:t xml:space="preserve"> the threshold already </w:t>
      </w:r>
      <w:r w:rsidR="00F747B6">
        <w:rPr>
          <w:rFonts w:ascii="Times New Roman" w:hAnsi="Times New Roman" w:cs="Times New Roman"/>
          <w:lang w:val="en-GB"/>
        </w:rPr>
        <w:t xml:space="preserve">was </w:t>
      </w:r>
      <w:r w:rsidR="00D1782E">
        <w:rPr>
          <w:rFonts w:ascii="Times New Roman" w:hAnsi="Times New Roman" w:cs="Times New Roman"/>
          <w:lang w:val="en-GB"/>
        </w:rPr>
        <w:t xml:space="preserve">incorporated into the Agreement in Government Procurement. </w:t>
      </w:r>
      <w:r w:rsidR="00E03B3F">
        <w:rPr>
          <w:rFonts w:ascii="Times New Roman" w:hAnsi="Times New Roman" w:cs="Times New Roman"/>
          <w:lang w:val="en-GB"/>
        </w:rPr>
        <w:t xml:space="preserve">Unlikely to change that agreement anytime soon, the demand was dropped for the most part. Also because countries with no national procurement law were reluctant to the idea and both changing an international </w:t>
      </w:r>
      <w:r w:rsidR="00E03B3F">
        <w:rPr>
          <w:rFonts w:ascii="Times New Roman" w:hAnsi="Times New Roman" w:cs="Times New Roman"/>
          <w:lang w:val="en-GB"/>
        </w:rPr>
        <w:lastRenderedPageBreak/>
        <w:t>agreement and implementing national law, takes a lot of time and resources.</w:t>
      </w:r>
      <w:r w:rsidR="00002514">
        <w:rPr>
          <w:rStyle w:val="FootnoteReference"/>
          <w:rFonts w:cs="Times New Roman"/>
          <w:lang w:val="en-GB"/>
        </w:rPr>
        <w:footnoteReference w:id="129"/>
      </w:r>
      <w:r w:rsidR="00E03B3F">
        <w:rPr>
          <w:rFonts w:ascii="Times New Roman" w:hAnsi="Times New Roman" w:cs="Times New Roman"/>
          <w:lang w:val="en-GB"/>
        </w:rPr>
        <w:t xml:space="preserve"> Furthermore, compromises are important when making legislation in the EU, particularly when it </w:t>
      </w:r>
      <w:r w:rsidR="003779E5">
        <w:rPr>
          <w:rFonts w:ascii="Times New Roman" w:hAnsi="Times New Roman" w:cs="Times New Roman"/>
          <w:lang w:val="en-GB"/>
        </w:rPr>
        <w:t xml:space="preserve">comes to </w:t>
      </w:r>
      <w:r w:rsidR="00E03B3F">
        <w:rPr>
          <w:rFonts w:ascii="Times New Roman" w:hAnsi="Times New Roman" w:cs="Times New Roman"/>
          <w:lang w:val="en-GB"/>
        </w:rPr>
        <w:t xml:space="preserve">laws or directives, which are </w:t>
      </w:r>
      <w:r w:rsidR="003779E5">
        <w:rPr>
          <w:rFonts w:ascii="Times New Roman" w:hAnsi="Times New Roman" w:cs="Times New Roman"/>
          <w:lang w:val="en-GB"/>
        </w:rPr>
        <w:t xml:space="preserve">strictly </w:t>
      </w:r>
      <w:r w:rsidR="00E03B3F">
        <w:rPr>
          <w:rFonts w:ascii="Times New Roman" w:hAnsi="Times New Roman" w:cs="Times New Roman"/>
          <w:lang w:val="en-GB"/>
        </w:rPr>
        <w:t xml:space="preserve">defined and </w:t>
      </w:r>
      <w:proofErr w:type="gramStart"/>
      <w:r w:rsidR="003779E5">
        <w:rPr>
          <w:rFonts w:ascii="Times New Roman" w:hAnsi="Times New Roman" w:cs="Times New Roman"/>
          <w:lang w:val="en-GB"/>
        </w:rPr>
        <w:t>expected to</w:t>
      </w:r>
      <w:r w:rsidR="00E03B3F">
        <w:rPr>
          <w:rFonts w:ascii="Times New Roman" w:hAnsi="Times New Roman" w:cs="Times New Roman"/>
          <w:lang w:val="en-GB"/>
        </w:rPr>
        <w:t xml:space="preserve"> be followed</w:t>
      </w:r>
      <w:proofErr w:type="gramEnd"/>
      <w:r w:rsidR="00E03B3F">
        <w:rPr>
          <w:rFonts w:ascii="Times New Roman" w:hAnsi="Times New Roman" w:cs="Times New Roman"/>
          <w:lang w:val="en-GB"/>
        </w:rPr>
        <w:t>, as it is the case with the procurement directive.</w:t>
      </w:r>
      <w:r w:rsidR="00002514">
        <w:rPr>
          <w:rFonts w:ascii="Times New Roman" w:hAnsi="Times New Roman" w:cs="Times New Roman"/>
          <w:lang w:val="en-GB"/>
        </w:rPr>
        <w:t xml:space="preserve"> Since local </w:t>
      </w:r>
      <w:r w:rsidR="00002514" w:rsidRPr="00002514">
        <w:rPr>
          <w:rFonts w:ascii="Times New Roman" w:hAnsi="Times New Roman" w:cs="Times New Roman"/>
          <w:lang w:val="en-GB"/>
        </w:rPr>
        <w:t>governments don’t possess any official political power by themselves and thus only can recommend and lobby a certain position. All official legislative institutions</w:t>
      </w:r>
      <w:r w:rsidR="00973C88" w:rsidRPr="00002514">
        <w:rPr>
          <w:rFonts w:ascii="Times New Roman" w:hAnsi="Times New Roman" w:cs="Times New Roman"/>
          <w:lang w:val="en-GB"/>
        </w:rPr>
        <w:t xml:space="preserve"> have to agree and nobody has to feel like the looser. So after all the negotiations the directive was signed and enacted</w:t>
      </w:r>
      <w:r w:rsidR="00002514" w:rsidRPr="00002514">
        <w:rPr>
          <w:rFonts w:ascii="Times New Roman" w:hAnsi="Times New Roman" w:cs="Times New Roman"/>
          <w:lang w:val="en-GB"/>
        </w:rPr>
        <w:t xml:space="preserve">. </w:t>
      </w:r>
      <w:r w:rsidR="00973C88" w:rsidRPr="00002514">
        <w:rPr>
          <w:rFonts w:ascii="Times New Roman" w:hAnsi="Times New Roman" w:cs="Times New Roman"/>
          <w:lang w:val="en-GB"/>
        </w:rPr>
        <w:t>As</w:t>
      </w:r>
      <w:r w:rsidR="00973C88">
        <w:rPr>
          <w:rFonts w:ascii="Times New Roman" w:hAnsi="Times New Roman" w:cs="Times New Roman"/>
          <w:lang w:val="en-GB"/>
        </w:rPr>
        <w:t xml:space="preserve"> said a directive is precisely formulated and binding for the member states, although the shaping of implementation on national level, is up to the local authorities. </w:t>
      </w:r>
      <w:r w:rsidR="007337E8">
        <w:rPr>
          <w:rFonts w:ascii="Times New Roman" w:hAnsi="Times New Roman" w:cs="Times New Roman"/>
          <w:lang w:val="en-GB"/>
        </w:rPr>
        <w:t>Though</w:t>
      </w:r>
      <w:r w:rsidR="00973C88">
        <w:rPr>
          <w:rFonts w:ascii="Times New Roman" w:hAnsi="Times New Roman" w:cs="Times New Roman"/>
          <w:lang w:val="en-GB"/>
        </w:rPr>
        <w:t xml:space="preserve"> enacted</w:t>
      </w:r>
      <w:r w:rsidR="00B5477F">
        <w:rPr>
          <w:rFonts w:ascii="Times New Roman" w:hAnsi="Times New Roman" w:cs="Times New Roman"/>
          <w:lang w:val="en-GB"/>
        </w:rPr>
        <w:t>,</w:t>
      </w:r>
      <w:r w:rsidR="00973C88">
        <w:rPr>
          <w:rFonts w:ascii="Times New Roman" w:hAnsi="Times New Roman" w:cs="Times New Roman"/>
          <w:lang w:val="en-GB"/>
        </w:rPr>
        <w:t xml:space="preserve"> the European Parliament, already during the phase of </w:t>
      </w:r>
      <w:r w:rsidR="007337E8">
        <w:rPr>
          <w:rFonts w:ascii="Times New Roman" w:hAnsi="Times New Roman" w:cs="Times New Roman"/>
          <w:lang w:val="en-GB"/>
        </w:rPr>
        <w:t>policy formulation</w:t>
      </w:r>
      <w:r w:rsidR="00B5477F">
        <w:rPr>
          <w:rFonts w:ascii="Times New Roman" w:hAnsi="Times New Roman" w:cs="Times New Roman"/>
          <w:lang w:val="en-GB"/>
        </w:rPr>
        <w:t>,</w:t>
      </w:r>
      <w:r w:rsidR="007337E8">
        <w:rPr>
          <w:rFonts w:ascii="Times New Roman" w:hAnsi="Times New Roman" w:cs="Times New Roman"/>
          <w:lang w:val="en-GB"/>
        </w:rPr>
        <w:t xml:space="preserve"> opened up for the next revision of the directive by suggesting that the threshold in the GPA should be renegotiated at the next possible occasion, and through that to open up for the possibility to revise the European Procurement Directive.</w:t>
      </w:r>
      <w:r w:rsidR="00002514">
        <w:rPr>
          <w:rStyle w:val="FootnoteReference"/>
          <w:rFonts w:cs="Times New Roman"/>
          <w:lang w:val="en-GB"/>
        </w:rPr>
        <w:footnoteReference w:id="130"/>
      </w:r>
      <w:r w:rsidR="007337E8">
        <w:rPr>
          <w:rFonts w:ascii="Times New Roman" w:hAnsi="Times New Roman" w:cs="Times New Roman"/>
          <w:lang w:val="en-GB"/>
        </w:rPr>
        <w:t xml:space="preserve"> </w:t>
      </w:r>
    </w:p>
    <w:p w14:paraId="5367AF45" w14:textId="4086847F" w:rsidR="00A34308" w:rsidRDefault="007A5BC0" w:rsidP="00BF1A52">
      <w:pPr>
        <w:spacing w:line="360" w:lineRule="auto"/>
        <w:jc w:val="both"/>
        <w:rPr>
          <w:rFonts w:ascii="Times New Roman" w:hAnsi="Times New Roman" w:cs="Times New Roman"/>
          <w:lang w:val="en-GB"/>
        </w:rPr>
      </w:pPr>
      <w:r>
        <w:rPr>
          <w:rFonts w:ascii="Times New Roman" w:hAnsi="Times New Roman" w:cs="Times New Roman"/>
          <w:lang w:val="en-GB"/>
        </w:rPr>
        <w:t>As mentioned</w:t>
      </w:r>
      <w:r w:rsidR="003779E5">
        <w:rPr>
          <w:rFonts w:ascii="Times New Roman" w:hAnsi="Times New Roman" w:cs="Times New Roman"/>
          <w:lang w:val="en-GB"/>
        </w:rPr>
        <w:t>,</w:t>
      </w:r>
      <w:r>
        <w:rPr>
          <w:rFonts w:ascii="Times New Roman" w:hAnsi="Times New Roman" w:cs="Times New Roman"/>
          <w:lang w:val="en-GB"/>
        </w:rPr>
        <w:t xml:space="preserve"> there is an assumption that centralized governments aren’t t</w:t>
      </w:r>
      <w:r w:rsidR="00373661">
        <w:rPr>
          <w:rFonts w:ascii="Times New Roman" w:hAnsi="Times New Roman" w:cs="Times New Roman"/>
          <w:lang w:val="en-GB"/>
        </w:rPr>
        <w:t>he most efficient governments. O</w:t>
      </w:r>
      <w:r>
        <w:rPr>
          <w:rFonts w:ascii="Times New Roman" w:hAnsi="Times New Roman" w:cs="Times New Roman"/>
          <w:lang w:val="en-GB"/>
        </w:rPr>
        <w:t>ver the last decades though</w:t>
      </w:r>
      <w:r w:rsidR="003779E5">
        <w:rPr>
          <w:rFonts w:ascii="Times New Roman" w:hAnsi="Times New Roman" w:cs="Times New Roman"/>
          <w:lang w:val="en-GB"/>
        </w:rPr>
        <w:t>,</w:t>
      </w:r>
      <w:r>
        <w:rPr>
          <w:rFonts w:ascii="Times New Roman" w:hAnsi="Times New Roman" w:cs="Times New Roman"/>
          <w:lang w:val="en-GB"/>
        </w:rPr>
        <w:t xml:space="preserve"> decentralization has occurred</w:t>
      </w:r>
      <w:r w:rsidR="002D389E">
        <w:rPr>
          <w:rFonts w:ascii="Times New Roman" w:hAnsi="Times New Roman" w:cs="Times New Roman"/>
          <w:lang w:val="en-GB"/>
        </w:rPr>
        <w:t xml:space="preserve"> in many European countries, as it has in the EU. Latest since the treaty of Lisbon it can be observed that the structure of the European Union more resembles a supranational government</w:t>
      </w:r>
      <w:r w:rsidR="00627A75">
        <w:rPr>
          <w:rFonts w:ascii="Times New Roman" w:hAnsi="Times New Roman" w:cs="Times New Roman"/>
          <w:lang w:val="en-GB"/>
        </w:rPr>
        <w:t>,</w:t>
      </w:r>
      <w:r w:rsidR="002D389E">
        <w:rPr>
          <w:rFonts w:ascii="Times New Roman" w:hAnsi="Times New Roman" w:cs="Times New Roman"/>
          <w:lang w:val="en-GB"/>
        </w:rPr>
        <w:t xml:space="preserve"> whi</w:t>
      </w:r>
      <w:r w:rsidR="00373661">
        <w:rPr>
          <w:rFonts w:ascii="Times New Roman" w:hAnsi="Times New Roman" w:cs="Times New Roman"/>
          <w:lang w:val="en-GB"/>
        </w:rPr>
        <w:t>le at the same time</w:t>
      </w:r>
      <w:r w:rsidR="002D389E">
        <w:rPr>
          <w:rFonts w:ascii="Times New Roman" w:hAnsi="Times New Roman" w:cs="Times New Roman"/>
          <w:lang w:val="en-GB"/>
        </w:rPr>
        <w:t xml:space="preserve"> subnational authorities </w:t>
      </w:r>
      <w:r w:rsidR="00373661">
        <w:rPr>
          <w:rFonts w:ascii="Times New Roman" w:hAnsi="Times New Roman" w:cs="Times New Roman"/>
          <w:lang w:val="en-GB"/>
        </w:rPr>
        <w:t>were</w:t>
      </w:r>
      <w:r w:rsidR="002D389E">
        <w:rPr>
          <w:rFonts w:ascii="Times New Roman" w:hAnsi="Times New Roman" w:cs="Times New Roman"/>
          <w:lang w:val="en-GB"/>
        </w:rPr>
        <w:t xml:space="preserve"> promoted</w:t>
      </w:r>
      <w:r w:rsidR="00373661">
        <w:rPr>
          <w:rFonts w:ascii="Times New Roman" w:hAnsi="Times New Roman" w:cs="Times New Roman"/>
          <w:lang w:val="en-GB"/>
        </w:rPr>
        <w:t xml:space="preserve"> and strengthened</w:t>
      </w:r>
      <w:r w:rsidR="002D389E">
        <w:rPr>
          <w:rFonts w:ascii="Times New Roman" w:hAnsi="Times New Roman" w:cs="Times New Roman"/>
          <w:lang w:val="en-GB"/>
        </w:rPr>
        <w:t>. In addition the private, corporate and governmental interest organizations</w:t>
      </w:r>
      <w:r w:rsidR="00373661">
        <w:rPr>
          <w:rFonts w:ascii="Times New Roman" w:hAnsi="Times New Roman" w:cs="Times New Roman"/>
          <w:lang w:val="en-GB"/>
        </w:rPr>
        <w:t xml:space="preserve"> have added another dimension to</w:t>
      </w:r>
      <w:r w:rsidR="002D389E">
        <w:rPr>
          <w:rFonts w:ascii="Times New Roman" w:hAnsi="Times New Roman" w:cs="Times New Roman"/>
          <w:lang w:val="en-GB"/>
        </w:rPr>
        <w:t xml:space="preserve"> governance</w:t>
      </w:r>
      <w:r w:rsidR="002D389E" w:rsidRPr="00851BE0">
        <w:rPr>
          <w:rFonts w:ascii="Times New Roman" w:hAnsi="Times New Roman" w:cs="Times New Roman"/>
          <w:lang w:val="en-GB"/>
        </w:rPr>
        <w:t>. It can be argued that this change</w:t>
      </w:r>
      <w:r w:rsidR="0032751A" w:rsidRPr="00851BE0">
        <w:rPr>
          <w:rFonts w:ascii="Times New Roman" w:hAnsi="Times New Roman" w:cs="Times New Roman"/>
          <w:lang w:val="en-GB"/>
        </w:rPr>
        <w:t xml:space="preserve"> to multi-level governance, away from the focus on the Commission</w:t>
      </w:r>
      <w:r w:rsidR="00B01881" w:rsidRPr="00851BE0">
        <w:rPr>
          <w:rFonts w:ascii="Times New Roman" w:hAnsi="Times New Roman" w:cs="Times New Roman"/>
          <w:lang w:val="en-GB"/>
        </w:rPr>
        <w:t xml:space="preserve"> and Council, helped to lower</w:t>
      </w:r>
      <w:r w:rsidR="0032751A" w:rsidRPr="00851BE0">
        <w:rPr>
          <w:rFonts w:ascii="Times New Roman" w:hAnsi="Times New Roman" w:cs="Times New Roman"/>
          <w:lang w:val="en-GB"/>
        </w:rPr>
        <w:t xml:space="preserve"> the European Unions democratic deficit, both through strengthening the European Parliament, but also by giving lobbyist from every area a better access to the institutions and by that getting heard</w:t>
      </w:r>
      <w:r w:rsidR="00851BE0" w:rsidRPr="00851BE0">
        <w:rPr>
          <w:rFonts w:ascii="Times New Roman" w:hAnsi="Times New Roman" w:cs="Times New Roman"/>
          <w:lang w:val="en-GB"/>
        </w:rPr>
        <w:t>.</w:t>
      </w:r>
      <w:r w:rsidR="00B774FC" w:rsidRPr="00851BE0">
        <w:rPr>
          <w:rStyle w:val="FootnoteReference"/>
          <w:rFonts w:cs="Times New Roman"/>
          <w:lang w:val="en-GB"/>
        </w:rPr>
        <w:footnoteReference w:id="131"/>
      </w:r>
      <w:r w:rsidR="0032751A">
        <w:rPr>
          <w:rFonts w:ascii="Times New Roman" w:hAnsi="Times New Roman" w:cs="Times New Roman"/>
          <w:lang w:val="en-GB"/>
        </w:rPr>
        <w:t xml:space="preserve"> </w:t>
      </w:r>
      <w:r w:rsidR="00373661">
        <w:rPr>
          <w:rFonts w:ascii="Times New Roman" w:hAnsi="Times New Roman" w:cs="Times New Roman"/>
          <w:lang w:val="en-GB"/>
        </w:rPr>
        <w:t>This wouldn’t even be possible if t</w:t>
      </w:r>
      <w:r w:rsidR="00B774FC">
        <w:rPr>
          <w:rFonts w:ascii="Times New Roman" w:hAnsi="Times New Roman" w:cs="Times New Roman"/>
          <w:lang w:val="en-GB"/>
        </w:rPr>
        <w:t xml:space="preserve">he </w:t>
      </w:r>
      <w:r w:rsidR="00373661">
        <w:rPr>
          <w:rFonts w:ascii="Times New Roman" w:hAnsi="Times New Roman" w:cs="Times New Roman"/>
          <w:lang w:val="en-GB"/>
        </w:rPr>
        <w:t>ordinary legislative procedure wouldn’t have become</w:t>
      </w:r>
      <w:r w:rsidR="00B774FC">
        <w:rPr>
          <w:rFonts w:ascii="Times New Roman" w:hAnsi="Times New Roman" w:cs="Times New Roman"/>
          <w:lang w:val="en-GB"/>
        </w:rPr>
        <w:t xml:space="preserve"> the by far most used pro</w:t>
      </w:r>
      <w:r w:rsidR="00373661">
        <w:rPr>
          <w:rFonts w:ascii="Times New Roman" w:hAnsi="Times New Roman" w:cs="Times New Roman"/>
          <w:lang w:val="en-GB"/>
        </w:rPr>
        <w:t>cedure to adopt legislation. It lifted</w:t>
      </w:r>
      <w:r w:rsidR="00B774FC">
        <w:rPr>
          <w:rFonts w:ascii="Times New Roman" w:hAnsi="Times New Roman" w:cs="Times New Roman"/>
          <w:lang w:val="en-GB"/>
        </w:rPr>
        <w:t xml:space="preserve"> </w:t>
      </w:r>
      <w:r w:rsidR="00373661">
        <w:rPr>
          <w:rFonts w:ascii="Times New Roman" w:hAnsi="Times New Roman" w:cs="Times New Roman"/>
          <w:lang w:val="en-GB"/>
        </w:rPr>
        <w:t>the idea of subsidiarity to another level, by giving it an actual chance</w:t>
      </w:r>
      <w:r w:rsidR="00B774FC">
        <w:rPr>
          <w:rFonts w:ascii="Times New Roman" w:hAnsi="Times New Roman" w:cs="Times New Roman"/>
          <w:lang w:val="en-GB"/>
        </w:rPr>
        <w:t xml:space="preserve">. </w:t>
      </w:r>
      <w:r w:rsidR="00373661">
        <w:rPr>
          <w:rFonts w:ascii="Times New Roman" w:hAnsi="Times New Roman" w:cs="Times New Roman"/>
          <w:lang w:val="en-GB"/>
        </w:rPr>
        <w:t>No</w:t>
      </w:r>
      <w:r w:rsidR="00A34308">
        <w:rPr>
          <w:rFonts w:ascii="Times New Roman" w:hAnsi="Times New Roman" w:cs="Times New Roman"/>
          <w:lang w:val="en-GB"/>
        </w:rPr>
        <w:t>t only do</w:t>
      </w:r>
      <w:r w:rsidR="00D6704C">
        <w:rPr>
          <w:rFonts w:ascii="Times New Roman" w:hAnsi="Times New Roman" w:cs="Times New Roman"/>
          <w:lang w:val="en-GB"/>
        </w:rPr>
        <w:t xml:space="preserve"> the </w:t>
      </w:r>
      <w:r w:rsidR="00A34308">
        <w:rPr>
          <w:rFonts w:ascii="Times New Roman" w:hAnsi="Times New Roman" w:cs="Times New Roman"/>
          <w:lang w:val="en-GB"/>
        </w:rPr>
        <w:t>people’s</w:t>
      </w:r>
      <w:r w:rsidR="00D6704C">
        <w:rPr>
          <w:rFonts w:ascii="Times New Roman" w:hAnsi="Times New Roman" w:cs="Times New Roman"/>
          <w:lang w:val="en-GB"/>
        </w:rPr>
        <w:t xml:space="preserve"> votes in the European Parliament elections</w:t>
      </w:r>
      <w:r w:rsidR="00A34308">
        <w:rPr>
          <w:rFonts w:ascii="Times New Roman" w:hAnsi="Times New Roman" w:cs="Times New Roman"/>
          <w:lang w:val="en-GB"/>
        </w:rPr>
        <w:t xml:space="preserve"> actually represent political power, but the shift away from member </w:t>
      </w:r>
      <w:r w:rsidR="00A34308" w:rsidRPr="00851BE0">
        <w:rPr>
          <w:rFonts w:ascii="Times New Roman" w:hAnsi="Times New Roman" w:cs="Times New Roman"/>
          <w:lang w:val="en-GB"/>
        </w:rPr>
        <w:t xml:space="preserve">states to supranational institutions gave lobbyist easier access to those in </w:t>
      </w:r>
      <w:r w:rsidR="00A34308" w:rsidRPr="00851BE0">
        <w:rPr>
          <w:rFonts w:ascii="Times New Roman" w:hAnsi="Times New Roman" w:cs="Times New Roman"/>
          <w:lang w:val="en-GB"/>
        </w:rPr>
        <w:lastRenderedPageBreak/>
        <w:t>charge of making decisions</w:t>
      </w:r>
      <w:r w:rsidR="00FF0202" w:rsidRPr="00851BE0">
        <w:rPr>
          <w:rFonts w:ascii="Times New Roman" w:hAnsi="Times New Roman" w:cs="Times New Roman"/>
          <w:lang w:val="en-GB"/>
        </w:rPr>
        <w:t xml:space="preserve"> and made their work more effective</w:t>
      </w:r>
      <w:r w:rsidR="00A34308" w:rsidRPr="00851BE0">
        <w:rPr>
          <w:rFonts w:ascii="Times New Roman" w:hAnsi="Times New Roman" w:cs="Times New Roman"/>
          <w:lang w:val="en-GB"/>
        </w:rPr>
        <w:t xml:space="preserve">. </w:t>
      </w:r>
      <w:r w:rsidR="00FF0202" w:rsidRPr="00851BE0">
        <w:rPr>
          <w:rFonts w:ascii="Times New Roman" w:hAnsi="Times New Roman" w:cs="Times New Roman"/>
          <w:lang w:val="en-GB"/>
        </w:rPr>
        <w:t>Three main institutions, the Commission, responsible to guard the European treaties, the Parliament, democratically elected and with cross boarder parties rather then national fractions and the Council</w:t>
      </w:r>
      <w:r w:rsidR="00C6711A" w:rsidRPr="00851BE0">
        <w:rPr>
          <w:rFonts w:ascii="Times New Roman" w:hAnsi="Times New Roman" w:cs="Times New Roman"/>
          <w:lang w:val="en-GB"/>
        </w:rPr>
        <w:t xml:space="preserve"> composed of</w:t>
      </w:r>
      <w:r w:rsidR="00FF0202" w:rsidRPr="00851BE0">
        <w:rPr>
          <w:rFonts w:ascii="Times New Roman" w:hAnsi="Times New Roman" w:cs="Times New Roman"/>
          <w:lang w:val="en-GB"/>
        </w:rPr>
        <w:t xml:space="preserve"> </w:t>
      </w:r>
      <w:r w:rsidR="00C6711A" w:rsidRPr="00851BE0">
        <w:rPr>
          <w:rFonts w:ascii="Times New Roman" w:hAnsi="Times New Roman" w:cs="Times New Roman"/>
          <w:lang w:val="en-GB"/>
        </w:rPr>
        <w:t>national representatives</w:t>
      </w:r>
      <w:r w:rsidR="00851BE0" w:rsidRPr="00851BE0">
        <w:rPr>
          <w:rFonts w:ascii="Times New Roman" w:hAnsi="Times New Roman" w:cs="Times New Roman"/>
          <w:lang w:val="en-GB"/>
        </w:rPr>
        <w:t xml:space="preserve"> are know enganged in the making of most legislation.</w:t>
      </w:r>
      <w:r w:rsidR="00C6711A">
        <w:rPr>
          <w:rFonts w:ascii="Times New Roman" w:hAnsi="Times New Roman" w:cs="Times New Roman"/>
          <w:lang w:val="en-GB"/>
        </w:rPr>
        <w:t xml:space="preserve"> </w:t>
      </w:r>
      <w:r w:rsidR="000E099B">
        <w:rPr>
          <w:rFonts w:ascii="Times New Roman" w:hAnsi="Times New Roman" w:cs="Times New Roman"/>
          <w:lang w:val="en-GB"/>
        </w:rPr>
        <w:t>The conclusion was that</w:t>
      </w:r>
      <w:r w:rsidR="002960FD">
        <w:rPr>
          <w:rFonts w:ascii="Times New Roman" w:hAnsi="Times New Roman" w:cs="Times New Roman"/>
          <w:lang w:val="en-GB"/>
        </w:rPr>
        <w:t xml:space="preserve"> q</w:t>
      </w:r>
      <w:r w:rsidR="00C6711A">
        <w:rPr>
          <w:rFonts w:ascii="Times New Roman" w:hAnsi="Times New Roman" w:cs="Times New Roman"/>
          <w:lang w:val="en-GB"/>
        </w:rPr>
        <w:t xml:space="preserve">ualified majority voting added that no single country any longer could block proposals in the Council. Lobbyists </w:t>
      </w:r>
      <w:r w:rsidR="000E099B">
        <w:rPr>
          <w:rFonts w:ascii="Times New Roman" w:hAnsi="Times New Roman" w:cs="Times New Roman"/>
          <w:lang w:val="en-GB"/>
        </w:rPr>
        <w:t xml:space="preserve">could </w:t>
      </w:r>
      <w:r w:rsidR="00C6711A">
        <w:rPr>
          <w:rFonts w:ascii="Times New Roman" w:hAnsi="Times New Roman" w:cs="Times New Roman"/>
          <w:lang w:val="en-GB"/>
        </w:rPr>
        <w:t>now lobby one cause from many angles with possible positive outcome</w:t>
      </w:r>
      <w:r w:rsidR="000E099B">
        <w:rPr>
          <w:rFonts w:ascii="Times New Roman" w:hAnsi="Times New Roman" w:cs="Times New Roman"/>
          <w:lang w:val="en-GB"/>
        </w:rPr>
        <w:t xml:space="preserve"> </w:t>
      </w:r>
    </w:p>
    <w:p w14:paraId="3AD5F80D" w14:textId="326AEDE5" w:rsidR="00B5477F" w:rsidRDefault="00F77F7C" w:rsidP="00BF1A52">
      <w:pPr>
        <w:spacing w:line="360" w:lineRule="auto"/>
        <w:jc w:val="both"/>
        <w:rPr>
          <w:rFonts w:ascii="Times New Roman" w:hAnsi="Times New Roman" w:cs="Times New Roman"/>
          <w:lang w:val="en-GB"/>
        </w:rPr>
      </w:pPr>
      <w:r>
        <w:rPr>
          <w:rFonts w:ascii="Times New Roman" w:hAnsi="Times New Roman" w:cs="Times New Roman"/>
          <w:lang w:val="en-GB"/>
        </w:rPr>
        <w:t>The idea of making politics as close to the end user wouldn’t even be possible without interest groups, since the EU body is rather small and administrative, with limited resources. There is a need for lobbyists to gather information</w:t>
      </w:r>
      <w:r w:rsidR="00B168BE">
        <w:rPr>
          <w:rFonts w:ascii="Times New Roman" w:hAnsi="Times New Roman" w:cs="Times New Roman"/>
          <w:lang w:val="en-GB"/>
        </w:rPr>
        <w:t xml:space="preserve"> and transmit the </w:t>
      </w:r>
      <w:r w:rsidR="00C84871">
        <w:rPr>
          <w:rFonts w:ascii="Times New Roman" w:hAnsi="Times New Roman" w:cs="Times New Roman"/>
          <w:lang w:val="en-GB"/>
        </w:rPr>
        <w:t xml:space="preserve">practical </w:t>
      </w:r>
      <w:r w:rsidR="00B168BE">
        <w:rPr>
          <w:rFonts w:ascii="Times New Roman" w:hAnsi="Times New Roman" w:cs="Times New Roman"/>
          <w:lang w:val="en-GB"/>
        </w:rPr>
        <w:t>needs from those actors who are responsible to implement the legislation, as for example</w:t>
      </w:r>
      <w:r w:rsidR="00C84871">
        <w:rPr>
          <w:rFonts w:ascii="Times New Roman" w:hAnsi="Times New Roman" w:cs="Times New Roman"/>
          <w:lang w:val="en-GB"/>
        </w:rPr>
        <w:t xml:space="preserve"> local governments.</w:t>
      </w:r>
      <w:r w:rsidR="00C84871">
        <w:rPr>
          <w:rStyle w:val="FootnoteReference"/>
          <w:rFonts w:cs="Times New Roman"/>
          <w:lang w:val="en-GB"/>
        </w:rPr>
        <w:footnoteReference w:id="132"/>
      </w:r>
    </w:p>
    <w:p w14:paraId="42C1CE86" w14:textId="02C06806" w:rsidR="009F4405" w:rsidRDefault="009F4405"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Though lobbyism in Brussels is important on both sides, and the Parliaments role has been strengthened, lobbying EU proposals on national level still plays a role, if only a limited. A fundamental problem is, that </w:t>
      </w:r>
      <w:r w:rsidR="00D361AF">
        <w:rPr>
          <w:rFonts w:ascii="Times New Roman" w:hAnsi="Times New Roman" w:cs="Times New Roman"/>
          <w:lang w:val="en-GB"/>
        </w:rPr>
        <w:t>member states governments in many cases are too slow to react when it comes to lobby EU legislation and that member states governments not necessarily agree with local governments in all cases</w:t>
      </w:r>
      <w:r w:rsidR="00851BE0">
        <w:rPr>
          <w:rFonts w:ascii="Times New Roman" w:hAnsi="Times New Roman" w:cs="Times New Roman"/>
          <w:lang w:val="en-GB"/>
        </w:rPr>
        <w:t>.</w:t>
      </w:r>
      <w:r w:rsidR="00851BE0">
        <w:rPr>
          <w:rStyle w:val="FootnoteReference"/>
          <w:rFonts w:cs="Times New Roman"/>
          <w:lang w:val="en-GB"/>
        </w:rPr>
        <w:footnoteReference w:id="133"/>
      </w:r>
      <w:r w:rsidR="00851BE0">
        <w:rPr>
          <w:rFonts w:ascii="Times New Roman" w:hAnsi="Times New Roman" w:cs="Times New Roman"/>
          <w:lang w:val="en-GB"/>
        </w:rPr>
        <w:t xml:space="preserve"> </w:t>
      </w:r>
      <w:r w:rsidR="00D361AF">
        <w:rPr>
          <w:rFonts w:ascii="Times New Roman" w:hAnsi="Times New Roman" w:cs="Times New Roman"/>
          <w:lang w:val="en-GB"/>
        </w:rPr>
        <w:t xml:space="preserve">In the case of </w:t>
      </w:r>
      <w:r w:rsidR="00D361AF" w:rsidRPr="00851BE0">
        <w:rPr>
          <w:rFonts w:ascii="Times New Roman" w:hAnsi="Times New Roman" w:cs="Times New Roman"/>
          <w:lang w:val="en-GB"/>
        </w:rPr>
        <w:t>the European Procurement Directive, there</w:t>
      </w:r>
      <w:r w:rsidR="00D361AF">
        <w:rPr>
          <w:rFonts w:ascii="Times New Roman" w:hAnsi="Times New Roman" w:cs="Times New Roman"/>
          <w:lang w:val="en-GB"/>
        </w:rPr>
        <w:t xml:space="preserve"> was though a general agreement on the need for changes, even if that didn’t give the Danish local governments any advantages.</w:t>
      </w:r>
      <w:r w:rsidR="00341E37">
        <w:rPr>
          <w:rStyle w:val="FootnoteReference"/>
          <w:rFonts w:cs="Times New Roman"/>
          <w:lang w:val="en-GB"/>
        </w:rPr>
        <w:footnoteReference w:id="134"/>
      </w:r>
      <w:r w:rsidR="00D361AF">
        <w:rPr>
          <w:rFonts w:ascii="Times New Roman" w:hAnsi="Times New Roman" w:cs="Times New Roman"/>
          <w:lang w:val="en-GB"/>
        </w:rPr>
        <w:t xml:space="preserve"> </w:t>
      </w:r>
    </w:p>
    <w:p w14:paraId="1CAE71B5" w14:textId="278E5021" w:rsidR="00651C95" w:rsidRDefault="00C6711A"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When looking </w:t>
      </w:r>
      <w:r w:rsidR="00B01881">
        <w:rPr>
          <w:rFonts w:ascii="Times New Roman" w:hAnsi="Times New Roman" w:cs="Times New Roman"/>
          <w:lang w:val="en-GB"/>
        </w:rPr>
        <w:t>closer</w:t>
      </w:r>
      <w:r>
        <w:rPr>
          <w:rFonts w:ascii="Times New Roman" w:hAnsi="Times New Roman" w:cs="Times New Roman"/>
          <w:lang w:val="en-GB"/>
        </w:rPr>
        <w:t xml:space="preserve"> at the lobbying process of the procurement directive it becomes clear that</w:t>
      </w:r>
      <w:r w:rsidR="00B01881">
        <w:rPr>
          <w:rFonts w:ascii="Times New Roman" w:hAnsi="Times New Roman" w:cs="Times New Roman"/>
          <w:lang w:val="en-GB"/>
        </w:rPr>
        <w:t xml:space="preserve"> the</w:t>
      </w:r>
      <w:r>
        <w:rPr>
          <w:rFonts w:ascii="Times New Roman" w:hAnsi="Times New Roman" w:cs="Times New Roman"/>
          <w:lang w:val="en-GB"/>
        </w:rPr>
        <w:t xml:space="preserve"> multi-level governance structures of the European Union </w:t>
      </w:r>
      <w:r w:rsidR="00B01881">
        <w:rPr>
          <w:rFonts w:ascii="Times New Roman" w:hAnsi="Times New Roman" w:cs="Times New Roman"/>
          <w:lang w:val="en-GB"/>
        </w:rPr>
        <w:t xml:space="preserve">have enabled Danish local governments to do their work on many levels and from many angles. They both approached EU parliamentarians directly and through their work in the Committee of the Regions, they allied with Dansk Industri in order to put pressure on the Danish government, and they had meetings with the Commission through their participation in </w:t>
      </w:r>
      <w:r w:rsidR="00B01881" w:rsidRPr="00341E37">
        <w:rPr>
          <w:rFonts w:ascii="Times New Roman" w:hAnsi="Times New Roman" w:cs="Times New Roman"/>
          <w:lang w:val="en-GB"/>
        </w:rPr>
        <w:t>the CEMR</w:t>
      </w:r>
      <w:r w:rsidR="00B01881">
        <w:rPr>
          <w:rFonts w:ascii="Times New Roman" w:hAnsi="Times New Roman" w:cs="Times New Roman"/>
          <w:lang w:val="en-GB"/>
        </w:rPr>
        <w:t>.</w:t>
      </w:r>
      <w:r w:rsidR="00341E37">
        <w:rPr>
          <w:rStyle w:val="FootnoteReference"/>
          <w:rFonts w:cs="Times New Roman"/>
          <w:lang w:val="en-GB"/>
        </w:rPr>
        <w:footnoteReference w:id="135"/>
      </w:r>
      <w:r w:rsidR="00B01881">
        <w:rPr>
          <w:rFonts w:ascii="Times New Roman" w:hAnsi="Times New Roman" w:cs="Times New Roman"/>
          <w:lang w:val="en-GB"/>
        </w:rPr>
        <w:t xml:space="preserve"> </w:t>
      </w:r>
      <w:r w:rsidR="000D5C63">
        <w:rPr>
          <w:rFonts w:ascii="Times New Roman" w:hAnsi="Times New Roman" w:cs="Times New Roman"/>
          <w:lang w:val="en-GB"/>
        </w:rPr>
        <w:t xml:space="preserve">In all cases it can be observed that not only connections to the institutions that are to be lobbied are important, but that a broad network is essential. The alliance with Dansk Industri, the close relationship with </w:t>
      </w:r>
      <w:r w:rsidR="000D5C63" w:rsidRPr="00341E37">
        <w:rPr>
          <w:rFonts w:ascii="Times New Roman" w:hAnsi="Times New Roman" w:cs="Times New Roman"/>
          <w:lang w:val="en-GB"/>
        </w:rPr>
        <w:t xml:space="preserve">the CoR and </w:t>
      </w:r>
      <w:r w:rsidR="000D5C63" w:rsidRPr="00341E37">
        <w:rPr>
          <w:rFonts w:ascii="Times New Roman" w:hAnsi="Times New Roman" w:cs="Times New Roman"/>
          <w:lang w:val="en-GB"/>
        </w:rPr>
        <w:lastRenderedPageBreak/>
        <w:t>their</w:t>
      </w:r>
      <w:r w:rsidR="000D5C63">
        <w:rPr>
          <w:rFonts w:ascii="Times New Roman" w:hAnsi="Times New Roman" w:cs="Times New Roman"/>
          <w:lang w:val="en-GB"/>
        </w:rPr>
        <w:t xml:space="preserve"> participation </w:t>
      </w:r>
      <w:r w:rsidR="000D5C63" w:rsidRPr="00341E37">
        <w:rPr>
          <w:rFonts w:ascii="Times New Roman" w:hAnsi="Times New Roman" w:cs="Times New Roman"/>
          <w:lang w:val="en-GB"/>
        </w:rPr>
        <w:t>in the CEMR</w:t>
      </w:r>
      <w:r w:rsidR="000D5C63">
        <w:rPr>
          <w:rFonts w:ascii="Times New Roman" w:hAnsi="Times New Roman" w:cs="Times New Roman"/>
          <w:lang w:val="en-GB"/>
        </w:rPr>
        <w:t xml:space="preserve"> show clearly that networking beats individual lobbying. The result of their efforts in the end were mixed, while the CoR as a whole, showed full support of the Kommunernes Landsforenings and Danske Regioners demands, it doesn’t have the political power to make a difference. The Parliament showed general support but had to realize </w:t>
      </w:r>
      <w:r w:rsidR="0002547F">
        <w:rPr>
          <w:rFonts w:ascii="Times New Roman" w:hAnsi="Times New Roman" w:cs="Times New Roman"/>
          <w:lang w:val="en-GB"/>
        </w:rPr>
        <w:t>that it wasn’t possible to make</w:t>
      </w:r>
      <w:r w:rsidR="000D5C63">
        <w:rPr>
          <w:rFonts w:ascii="Times New Roman" w:hAnsi="Times New Roman" w:cs="Times New Roman"/>
          <w:lang w:val="en-GB"/>
        </w:rPr>
        <w:t xml:space="preserve"> those changes now, in this round of revision</w:t>
      </w:r>
      <w:r w:rsidR="005E17C8">
        <w:rPr>
          <w:rFonts w:ascii="Times New Roman" w:hAnsi="Times New Roman" w:cs="Times New Roman"/>
          <w:lang w:val="en-GB"/>
        </w:rPr>
        <w:t xml:space="preserve"> and Council simply adopted the position of the Parliament and the Commission.</w:t>
      </w:r>
      <w:r w:rsidR="00D56A69">
        <w:rPr>
          <w:rFonts w:ascii="Times New Roman" w:hAnsi="Times New Roman" w:cs="Times New Roman"/>
          <w:lang w:val="en-GB"/>
        </w:rPr>
        <w:t xml:space="preserve"> </w:t>
      </w:r>
    </w:p>
    <w:p w14:paraId="0D2A370B" w14:textId="328B8731" w:rsidR="00D56A69" w:rsidRPr="005D43BB" w:rsidRDefault="00D56A69" w:rsidP="00BF1A52">
      <w:pPr>
        <w:spacing w:line="360" w:lineRule="auto"/>
        <w:jc w:val="both"/>
        <w:rPr>
          <w:rFonts w:ascii="Times New Roman" w:hAnsi="Times New Roman" w:cs="Times New Roman"/>
          <w:lang w:val="en-GB"/>
        </w:rPr>
      </w:pPr>
      <w:r>
        <w:rPr>
          <w:rFonts w:ascii="Times New Roman" w:hAnsi="Times New Roman" w:cs="Times New Roman"/>
          <w:lang w:val="en-GB"/>
        </w:rPr>
        <w:t>In many ways it can be</w:t>
      </w:r>
      <w:r w:rsidR="00EB7567">
        <w:rPr>
          <w:rFonts w:ascii="Times New Roman" w:hAnsi="Times New Roman" w:cs="Times New Roman"/>
          <w:lang w:val="en-GB"/>
        </w:rPr>
        <w:t xml:space="preserve"> argued that the theoretical working process of the EU mirrors the reality rather good. In the case of the European Procurement Directive, this can though be caused by the very streamlined history of the revision. A clearly defined case, good access by interest organizations, broad consensus on most topics, a Council that without further negotiations adopted the Parliaments position. It seemed to have been a relatively short case without much unnecessary conflict, which expectedly helped the Danish local governments.</w:t>
      </w:r>
      <w:bookmarkStart w:id="35" w:name="_GoBack"/>
      <w:bookmarkEnd w:id="35"/>
    </w:p>
    <w:p w14:paraId="45B74C55" w14:textId="0165C98D" w:rsidR="00D361AF" w:rsidRPr="004F3A62" w:rsidRDefault="00651C95" w:rsidP="00BF1A52">
      <w:pPr>
        <w:pStyle w:val="Heading1"/>
        <w:spacing w:line="360" w:lineRule="auto"/>
        <w:jc w:val="both"/>
        <w:rPr>
          <w:rFonts w:ascii="Times New Roman" w:hAnsi="Times New Roman" w:cs="Times New Roman"/>
          <w:lang w:val="en-GB"/>
        </w:rPr>
      </w:pPr>
      <w:bookmarkStart w:id="36" w:name="_Toc289250868"/>
      <w:r w:rsidRPr="004F3A62">
        <w:rPr>
          <w:rFonts w:ascii="Times New Roman" w:hAnsi="Times New Roman" w:cs="Times New Roman"/>
          <w:lang w:val="en-GB"/>
        </w:rPr>
        <w:t>9.0 Conclusion</w:t>
      </w:r>
      <w:bookmarkEnd w:id="36"/>
    </w:p>
    <w:p w14:paraId="3A6DFC8A" w14:textId="76420A3E" w:rsidR="004F3A62" w:rsidRDefault="004F3A62"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Danske Regioners and Kommunernes Landsfornings </w:t>
      </w:r>
      <w:r w:rsidR="00856FE1">
        <w:rPr>
          <w:rFonts w:ascii="Times New Roman" w:hAnsi="Times New Roman" w:cs="Times New Roman"/>
          <w:lang w:val="en-GB"/>
        </w:rPr>
        <w:t xml:space="preserve">overall goal wasn’t to abolish the Publich Procurement Directive or to express a complete dissatisfaction with it, but to alter certain key factors, which would have made the directive more applicable for Danish local </w:t>
      </w:r>
      <w:r w:rsidR="004D4CCA">
        <w:rPr>
          <w:rFonts w:ascii="Times New Roman" w:hAnsi="Times New Roman" w:cs="Times New Roman"/>
          <w:lang w:val="en-GB"/>
        </w:rPr>
        <w:t>governments</w:t>
      </w:r>
      <w:r w:rsidR="00856FE1">
        <w:rPr>
          <w:rFonts w:ascii="Times New Roman" w:hAnsi="Times New Roman" w:cs="Times New Roman"/>
          <w:lang w:val="en-GB"/>
        </w:rPr>
        <w:t>.</w:t>
      </w:r>
    </w:p>
    <w:p w14:paraId="38F1C432" w14:textId="4F79E1E8" w:rsidR="00D361AF" w:rsidRDefault="00D361AF" w:rsidP="00BF1A52">
      <w:pPr>
        <w:spacing w:line="360" w:lineRule="auto"/>
        <w:jc w:val="both"/>
        <w:rPr>
          <w:rFonts w:ascii="Times New Roman" w:hAnsi="Times New Roman" w:cs="Times New Roman"/>
          <w:lang w:val="en-GB"/>
        </w:rPr>
      </w:pPr>
      <w:r w:rsidRPr="004F3A62">
        <w:rPr>
          <w:rFonts w:ascii="Times New Roman" w:hAnsi="Times New Roman" w:cs="Times New Roman"/>
          <w:lang w:val="en-GB"/>
        </w:rPr>
        <w:t xml:space="preserve">In general it can be argued that </w:t>
      </w:r>
      <w:r w:rsidR="00E42026">
        <w:rPr>
          <w:rFonts w:ascii="Times New Roman" w:hAnsi="Times New Roman" w:cs="Times New Roman"/>
          <w:lang w:val="en-GB"/>
        </w:rPr>
        <w:t>Danske Regioner</w:t>
      </w:r>
      <w:r w:rsidRPr="004F3A62">
        <w:rPr>
          <w:rFonts w:ascii="Times New Roman" w:hAnsi="Times New Roman" w:cs="Times New Roman"/>
          <w:lang w:val="en-GB"/>
        </w:rPr>
        <w:t xml:space="preserve"> and K</w:t>
      </w:r>
      <w:r w:rsidR="00E42026">
        <w:rPr>
          <w:rFonts w:ascii="Times New Roman" w:hAnsi="Times New Roman" w:cs="Times New Roman"/>
          <w:lang w:val="en-GB"/>
        </w:rPr>
        <w:t>ommunernes Landsforning</w:t>
      </w:r>
      <w:r w:rsidRPr="004F3A62">
        <w:rPr>
          <w:rFonts w:ascii="Times New Roman" w:hAnsi="Times New Roman" w:cs="Times New Roman"/>
          <w:lang w:val="en-GB"/>
        </w:rPr>
        <w:t xml:space="preserve"> had </w:t>
      </w:r>
      <w:r w:rsidR="004F3A62">
        <w:rPr>
          <w:rFonts w:ascii="Times New Roman" w:hAnsi="Times New Roman" w:cs="Times New Roman"/>
          <w:lang w:val="en-GB"/>
        </w:rPr>
        <w:t xml:space="preserve">good working conditions when they lobbied their ideas for a revision of the Public Procurement Directive. Not only did the Danish government support the idea, </w:t>
      </w:r>
      <w:r w:rsidR="00856FE1">
        <w:rPr>
          <w:rFonts w:ascii="Times New Roman" w:hAnsi="Times New Roman" w:cs="Times New Roman"/>
          <w:lang w:val="en-GB"/>
        </w:rPr>
        <w:t>but also</w:t>
      </w:r>
      <w:r w:rsidR="004F3A62">
        <w:rPr>
          <w:rFonts w:ascii="Times New Roman" w:hAnsi="Times New Roman" w:cs="Times New Roman"/>
          <w:lang w:val="en-GB"/>
        </w:rPr>
        <w:t xml:space="preserve"> an allian</w:t>
      </w:r>
      <w:r w:rsidR="00E42026">
        <w:rPr>
          <w:rFonts w:ascii="Times New Roman" w:hAnsi="Times New Roman" w:cs="Times New Roman"/>
          <w:lang w:val="en-GB"/>
        </w:rPr>
        <w:t>ce between Dansk Industri and Danske Regioner and Kommunernes Landsforning</w:t>
      </w:r>
      <w:r w:rsidR="004F3A62">
        <w:rPr>
          <w:rFonts w:ascii="Times New Roman" w:hAnsi="Times New Roman" w:cs="Times New Roman"/>
          <w:lang w:val="en-GB"/>
        </w:rPr>
        <w:t xml:space="preserve"> was forged. Private and public actors working together in s</w:t>
      </w:r>
      <w:r w:rsidR="006D2040">
        <w:rPr>
          <w:rFonts w:ascii="Times New Roman" w:hAnsi="Times New Roman" w:cs="Times New Roman"/>
          <w:lang w:val="en-GB"/>
        </w:rPr>
        <w:t>uch a case doesn’t happen often and put extra pressure on the Danish government as well.</w:t>
      </w:r>
      <w:r w:rsidR="004F3A62">
        <w:rPr>
          <w:rFonts w:ascii="Times New Roman" w:hAnsi="Times New Roman" w:cs="Times New Roman"/>
          <w:lang w:val="en-GB"/>
        </w:rPr>
        <w:t xml:space="preserve"> In addit</w:t>
      </w:r>
      <w:r w:rsidR="00856FE1">
        <w:rPr>
          <w:rFonts w:ascii="Times New Roman" w:hAnsi="Times New Roman" w:cs="Times New Roman"/>
          <w:lang w:val="en-GB"/>
        </w:rPr>
        <w:t>ion, since a revision of the directive</w:t>
      </w:r>
      <w:r w:rsidR="004F3A62">
        <w:rPr>
          <w:rFonts w:ascii="Times New Roman" w:hAnsi="Times New Roman" w:cs="Times New Roman"/>
          <w:lang w:val="en-GB"/>
        </w:rPr>
        <w:t xml:space="preserve"> was expected, it was possible for them to position thems</w:t>
      </w:r>
      <w:r w:rsidR="006D2040">
        <w:rPr>
          <w:rFonts w:ascii="Times New Roman" w:hAnsi="Times New Roman" w:cs="Times New Roman"/>
          <w:lang w:val="en-GB"/>
        </w:rPr>
        <w:t xml:space="preserve">elves very early in the process, which </w:t>
      </w:r>
      <w:r w:rsidR="005A1EE0">
        <w:rPr>
          <w:rFonts w:ascii="Times New Roman" w:hAnsi="Times New Roman" w:cs="Times New Roman"/>
          <w:lang w:val="en-GB"/>
        </w:rPr>
        <w:t xml:space="preserve">enabled them to take influence prior to a official proposal even was released, which raises the chances of success. </w:t>
      </w:r>
    </w:p>
    <w:p w14:paraId="6527F120" w14:textId="2C3294E5" w:rsidR="009C6BF4" w:rsidRDefault="005A1EE0" w:rsidP="00BF1A52">
      <w:pPr>
        <w:spacing w:line="360" w:lineRule="auto"/>
        <w:jc w:val="both"/>
        <w:rPr>
          <w:rFonts w:ascii="Times New Roman" w:hAnsi="Times New Roman" w:cs="Times New Roman"/>
          <w:lang w:val="en-GB"/>
        </w:rPr>
      </w:pPr>
      <w:r>
        <w:rPr>
          <w:rFonts w:ascii="Times New Roman" w:hAnsi="Times New Roman" w:cs="Times New Roman"/>
          <w:lang w:val="en-GB"/>
        </w:rPr>
        <w:t>In contrast to the general, seemingly good conditions, there were unexpected obstacles out</w:t>
      </w:r>
      <w:r w:rsidR="002B5320">
        <w:rPr>
          <w:rFonts w:ascii="Times New Roman" w:hAnsi="Times New Roman" w:cs="Times New Roman"/>
          <w:lang w:val="en-GB"/>
        </w:rPr>
        <w:t xml:space="preserve"> of</w:t>
      </w:r>
      <w:r>
        <w:rPr>
          <w:rFonts w:ascii="Times New Roman" w:hAnsi="Times New Roman" w:cs="Times New Roman"/>
          <w:lang w:val="en-GB"/>
        </w:rPr>
        <w:t xml:space="preserve"> the influence of both organizations. </w:t>
      </w:r>
      <w:r w:rsidR="008C64BD">
        <w:rPr>
          <w:rFonts w:ascii="Times New Roman" w:hAnsi="Times New Roman" w:cs="Times New Roman"/>
          <w:lang w:val="en-GB"/>
        </w:rPr>
        <w:t xml:space="preserve">In the European Union, with its 28 member states, compromises are very important and on the daily agenda. Thus it isn’t just enough to know ones own positions and to lobby them, but also to </w:t>
      </w:r>
      <w:r w:rsidR="008C64BD">
        <w:rPr>
          <w:rFonts w:ascii="Times New Roman" w:hAnsi="Times New Roman" w:cs="Times New Roman"/>
          <w:lang w:val="en-GB"/>
        </w:rPr>
        <w:lastRenderedPageBreak/>
        <w:t xml:space="preserve">understand where the European partners stand. Good and thorough research is essential </w:t>
      </w:r>
      <w:r w:rsidR="00FB2D8D">
        <w:rPr>
          <w:rFonts w:ascii="Times New Roman" w:hAnsi="Times New Roman" w:cs="Times New Roman"/>
          <w:lang w:val="en-GB"/>
        </w:rPr>
        <w:t xml:space="preserve">and can otherwise lead to frustrating </w:t>
      </w:r>
      <w:r w:rsidR="00571AFD">
        <w:rPr>
          <w:rFonts w:ascii="Times New Roman" w:hAnsi="Times New Roman" w:cs="Times New Roman"/>
          <w:lang w:val="en-GB"/>
        </w:rPr>
        <w:t>setbacks</w:t>
      </w:r>
      <w:r w:rsidR="00FB2D8D">
        <w:rPr>
          <w:rFonts w:ascii="Times New Roman" w:hAnsi="Times New Roman" w:cs="Times New Roman"/>
          <w:lang w:val="en-GB"/>
        </w:rPr>
        <w:t xml:space="preserve">, as it was the case with </w:t>
      </w:r>
      <w:r w:rsidR="00571AFD">
        <w:rPr>
          <w:rFonts w:ascii="Times New Roman" w:hAnsi="Times New Roman" w:cs="Times New Roman"/>
          <w:lang w:val="en-GB"/>
        </w:rPr>
        <w:t>the Baltic countries reluctance to raise the threshold or the fact that this threshold just was anchored in the GPA.</w:t>
      </w:r>
      <w:r w:rsidR="00555CE8">
        <w:rPr>
          <w:rFonts w:ascii="Times New Roman" w:hAnsi="Times New Roman" w:cs="Times New Roman"/>
          <w:lang w:val="en-GB"/>
        </w:rPr>
        <w:t xml:space="preserve"> To gather all this necessary information it is needed to allocate huge amounts of human recourses, which makes lobbying a costly affair and also diminishes</w:t>
      </w:r>
      <w:r w:rsidR="000371A3">
        <w:rPr>
          <w:rFonts w:ascii="Times New Roman" w:hAnsi="Times New Roman" w:cs="Times New Roman"/>
          <w:lang w:val="en-GB"/>
        </w:rPr>
        <w:t>, to a certain extent,</w:t>
      </w:r>
      <w:r w:rsidR="00555CE8">
        <w:rPr>
          <w:rFonts w:ascii="Times New Roman" w:hAnsi="Times New Roman" w:cs="Times New Roman"/>
          <w:lang w:val="en-GB"/>
        </w:rPr>
        <w:t xml:space="preserve"> the argument that lobbying reduces the democratic deficit in the European Union. The </w:t>
      </w:r>
      <w:r w:rsidR="00F80559">
        <w:rPr>
          <w:rFonts w:ascii="Times New Roman" w:hAnsi="Times New Roman" w:cs="Times New Roman"/>
          <w:lang w:val="en-GB"/>
        </w:rPr>
        <w:t xml:space="preserve">number of possible actors able to afford lobbying is limited and furthermore concentrates on big corporate interest organizations. For smaller interest organizations it is possible to unite under an umbrella organization in order to safe resources and to bundle competencies, as it is the case within the CEMR. </w:t>
      </w:r>
    </w:p>
    <w:p w14:paraId="761469D0" w14:textId="1DD2F79E" w:rsidR="005E17C8" w:rsidRDefault="005E17C8" w:rsidP="00BF1A52">
      <w:pPr>
        <w:spacing w:line="360" w:lineRule="auto"/>
        <w:jc w:val="both"/>
        <w:rPr>
          <w:rFonts w:ascii="Times New Roman" w:hAnsi="Times New Roman" w:cs="Times New Roman"/>
          <w:lang w:val="en-GB"/>
        </w:rPr>
      </w:pPr>
      <w:r>
        <w:rPr>
          <w:rFonts w:ascii="Times New Roman" w:hAnsi="Times New Roman" w:cs="Times New Roman"/>
          <w:lang w:val="en-GB"/>
        </w:rPr>
        <w:t xml:space="preserve">The Ordinary Legislative Procedure and </w:t>
      </w:r>
      <w:r w:rsidR="00555CE8">
        <w:rPr>
          <w:rFonts w:ascii="Times New Roman" w:hAnsi="Times New Roman" w:cs="Times New Roman"/>
          <w:lang w:val="en-GB"/>
        </w:rPr>
        <w:t>qualified majo</w:t>
      </w:r>
      <w:r w:rsidR="00F80559">
        <w:rPr>
          <w:rFonts w:ascii="Times New Roman" w:hAnsi="Times New Roman" w:cs="Times New Roman"/>
          <w:lang w:val="en-GB"/>
        </w:rPr>
        <w:t xml:space="preserve">rity voting created a general </w:t>
      </w:r>
      <w:r w:rsidR="000371A3">
        <w:rPr>
          <w:rFonts w:ascii="Times New Roman" w:hAnsi="Times New Roman" w:cs="Times New Roman"/>
          <w:lang w:val="en-GB"/>
        </w:rPr>
        <w:t>accessible</w:t>
      </w:r>
      <w:r w:rsidR="00F80559">
        <w:rPr>
          <w:rFonts w:ascii="Times New Roman" w:hAnsi="Times New Roman" w:cs="Times New Roman"/>
          <w:lang w:val="en-GB"/>
        </w:rPr>
        <w:t xml:space="preserve"> and efficient arena for lobbying</w:t>
      </w:r>
      <w:r w:rsidR="000371A3">
        <w:rPr>
          <w:rFonts w:ascii="Times New Roman" w:hAnsi="Times New Roman" w:cs="Times New Roman"/>
          <w:lang w:val="en-GB"/>
        </w:rPr>
        <w:t xml:space="preserve"> of interest groups</w:t>
      </w:r>
      <w:r>
        <w:rPr>
          <w:rFonts w:ascii="Times New Roman" w:hAnsi="Times New Roman" w:cs="Times New Roman"/>
          <w:lang w:val="en-GB"/>
        </w:rPr>
        <w:t>, which clearly showed in the case of the procurement directive, where it was possible to lobby all three main organs</w:t>
      </w:r>
      <w:r w:rsidR="000371A3">
        <w:rPr>
          <w:rFonts w:ascii="Times New Roman" w:hAnsi="Times New Roman" w:cs="Times New Roman"/>
          <w:lang w:val="en-GB"/>
        </w:rPr>
        <w:t>,</w:t>
      </w:r>
      <w:r>
        <w:rPr>
          <w:rFonts w:ascii="Times New Roman" w:hAnsi="Times New Roman" w:cs="Times New Roman"/>
          <w:lang w:val="en-GB"/>
        </w:rPr>
        <w:t xml:space="preserve"> with mixed results</w:t>
      </w:r>
      <w:r w:rsidR="000371A3">
        <w:rPr>
          <w:rFonts w:ascii="Times New Roman" w:hAnsi="Times New Roman" w:cs="Times New Roman"/>
          <w:lang w:val="en-GB"/>
        </w:rPr>
        <w:t xml:space="preserve"> though</w:t>
      </w:r>
      <w:r>
        <w:rPr>
          <w:rFonts w:ascii="Times New Roman" w:hAnsi="Times New Roman" w:cs="Times New Roman"/>
          <w:lang w:val="en-GB"/>
        </w:rPr>
        <w:t xml:space="preserve">. </w:t>
      </w:r>
      <w:r w:rsidR="000371A3">
        <w:rPr>
          <w:rFonts w:ascii="Times New Roman" w:hAnsi="Times New Roman" w:cs="Times New Roman"/>
          <w:lang w:val="en-GB"/>
        </w:rPr>
        <w:t xml:space="preserve">The changes made to legislative procedure within the EU have given it a multi-level governance appearance, which gave the idea of subsidiarity and proportionality more life and thus local governments a more important and influential role. </w:t>
      </w:r>
      <w:r w:rsidR="000146A5">
        <w:rPr>
          <w:rFonts w:ascii="Times New Roman" w:hAnsi="Times New Roman" w:cs="Times New Roman"/>
          <w:lang w:val="en-GB"/>
        </w:rPr>
        <w:t>To sum it up it can be said, that Danish local governments in general have seemingly good conditions to do their work and get heard in the EU, in the special case of the procurement directive it showed that it was possible to access the negotiations on many level</w:t>
      </w:r>
      <w:r w:rsidR="004D4CCA">
        <w:rPr>
          <w:rFonts w:ascii="Times New Roman" w:hAnsi="Times New Roman" w:cs="Times New Roman"/>
          <w:lang w:val="en-GB"/>
        </w:rPr>
        <w:t>s</w:t>
      </w:r>
      <w:r w:rsidR="000146A5">
        <w:rPr>
          <w:rFonts w:ascii="Times New Roman" w:hAnsi="Times New Roman" w:cs="Times New Roman"/>
          <w:lang w:val="en-GB"/>
        </w:rPr>
        <w:t xml:space="preserve"> from different ang</w:t>
      </w:r>
      <w:r w:rsidR="004D4CCA">
        <w:rPr>
          <w:rFonts w:ascii="Times New Roman" w:hAnsi="Times New Roman" w:cs="Times New Roman"/>
          <w:lang w:val="en-GB"/>
        </w:rPr>
        <w:t>les, but that success</w:t>
      </w:r>
      <w:r w:rsidR="000146A5">
        <w:rPr>
          <w:rFonts w:ascii="Times New Roman" w:hAnsi="Times New Roman" w:cs="Times New Roman"/>
          <w:lang w:val="en-GB"/>
        </w:rPr>
        <w:t xml:space="preserve"> not only depends on the right network, but that timing is an essential and not calculate able factor to consider.</w:t>
      </w:r>
    </w:p>
    <w:p w14:paraId="5E7BFD03" w14:textId="56727AB2" w:rsidR="00986C47" w:rsidRDefault="000724B6" w:rsidP="00BF1A52">
      <w:pPr>
        <w:spacing w:line="360" w:lineRule="auto"/>
        <w:jc w:val="both"/>
        <w:rPr>
          <w:rFonts w:ascii="Times New Roman" w:hAnsi="Times New Roman" w:cs="Times New Roman"/>
          <w:lang w:val="en-GB"/>
        </w:rPr>
      </w:pPr>
      <w:r>
        <w:rPr>
          <w:rFonts w:ascii="Times New Roman" w:hAnsi="Times New Roman" w:cs="Times New Roman"/>
          <w:lang w:val="en-GB"/>
        </w:rPr>
        <w:t>In the end, although the revision was p</w:t>
      </w:r>
      <w:r w:rsidR="00E42026">
        <w:rPr>
          <w:rFonts w:ascii="Times New Roman" w:hAnsi="Times New Roman" w:cs="Times New Roman"/>
          <w:lang w:val="en-GB"/>
        </w:rPr>
        <w:t xml:space="preserve">assed without Kommunernes </w:t>
      </w:r>
      <w:proofErr w:type="gramStart"/>
      <w:r w:rsidR="00E42026">
        <w:rPr>
          <w:rFonts w:ascii="Times New Roman" w:hAnsi="Times New Roman" w:cs="Times New Roman"/>
          <w:lang w:val="en-GB"/>
        </w:rPr>
        <w:t>Landsforning’s</w:t>
      </w:r>
      <w:proofErr w:type="gramEnd"/>
      <w:r w:rsidR="00E42026">
        <w:rPr>
          <w:rFonts w:ascii="Times New Roman" w:hAnsi="Times New Roman" w:cs="Times New Roman"/>
          <w:lang w:val="en-GB"/>
        </w:rPr>
        <w:t xml:space="preserve"> and Danske Regioner</w:t>
      </w:r>
      <w:r>
        <w:rPr>
          <w:rFonts w:ascii="Times New Roman" w:hAnsi="Times New Roman" w:cs="Times New Roman"/>
          <w:lang w:val="en-GB"/>
        </w:rPr>
        <w:t>’s main deman</w:t>
      </w:r>
      <w:r w:rsidR="004D4CCA">
        <w:rPr>
          <w:rFonts w:ascii="Times New Roman" w:hAnsi="Times New Roman" w:cs="Times New Roman"/>
          <w:lang w:val="en-GB"/>
        </w:rPr>
        <w:t>d incorporated</w:t>
      </w:r>
      <w:r w:rsidR="002B5320">
        <w:rPr>
          <w:rFonts w:ascii="Times New Roman" w:hAnsi="Times New Roman" w:cs="Times New Roman"/>
          <w:lang w:val="en-GB"/>
        </w:rPr>
        <w:t>, the case wasn’t</w:t>
      </w:r>
      <w:r>
        <w:rPr>
          <w:rFonts w:ascii="Times New Roman" w:hAnsi="Times New Roman" w:cs="Times New Roman"/>
          <w:lang w:val="en-GB"/>
        </w:rPr>
        <w:t xml:space="preserve"> totally</w:t>
      </w:r>
      <w:r w:rsidR="002B5320">
        <w:rPr>
          <w:rFonts w:ascii="Times New Roman" w:hAnsi="Times New Roman" w:cs="Times New Roman"/>
          <w:lang w:val="en-GB"/>
        </w:rPr>
        <w:t xml:space="preserve"> lost</w:t>
      </w:r>
      <w:r>
        <w:rPr>
          <w:rFonts w:ascii="Times New Roman" w:hAnsi="Times New Roman" w:cs="Times New Roman"/>
          <w:lang w:val="en-GB"/>
        </w:rPr>
        <w:t xml:space="preserve">. In their opinion paper the European Parliament suggested a revision of the GPA at the next possible occasion and opened by that already up for the next revision of the European Public Procurement Directive. The foundation for the next round of </w:t>
      </w:r>
      <w:r w:rsidR="008C64BD">
        <w:rPr>
          <w:rFonts w:ascii="Times New Roman" w:hAnsi="Times New Roman" w:cs="Times New Roman"/>
          <w:lang w:val="en-GB"/>
        </w:rPr>
        <w:t>revision is laid and the odds for</w:t>
      </w:r>
      <w:r w:rsidR="00571AFD">
        <w:rPr>
          <w:rFonts w:ascii="Times New Roman" w:hAnsi="Times New Roman" w:cs="Times New Roman"/>
          <w:lang w:val="en-GB"/>
        </w:rPr>
        <w:t xml:space="preserve"> a positive outcome have increased.</w:t>
      </w:r>
      <w:r w:rsidR="00986C47">
        <w:rPr>
          <w:rFonts w:ascii="Times New Roman" w:hAnsi="Times New Roman" w:cs="Times New Roman"/>
          <w:lang w:val="en-GB"/>
        </w:rPr>
        <w:t xml:space="preserve"> </w:t>
      </w:r>
    </w:p>
    <w:p w14:paraId="4D2FBDB0" w14:textId="77777777" w:rsidR="009C6BF4" w:rsidRPr="005D43BB" w:rsidRDefault="009C6BF4" w:rsidP="00BF1A52">
      <w:pPr>
        <w:spacing w:line="360" w:lineRule="auto"/>
        <w:rPr>
          <w:rFonts w:ascii="Times New Roman" w:hAnsi="Times New Roman" w:cs="Times New Roman"/>
          <w:lang w:val="en-GB"/>
        </w:rPr>
      </w:pPr>
    </w:p>
    <w:p w14:paraId="303A4D18" w14:textId="77777777" w:rsidR="00651C95" w:rsidRPr="005D43BB" w:rsidRDefault="00651C95" w:rsidP="00BF1A52">
      <w:pPr>
        <w:spacing w:line="360" w:lineRule="auto"/>
        <w:rPr>
          <w:rFonts w:ascii="Times New Roman" w:hAnsi="Times New Roman" w:cs="Times New Roman"/>
          <w:lang w:val="en-GB"/>
        </w:rPr>
      </w:pPr>
    </w:p>
    <w:p w14:paraId="63DF2A25" w14:textId="0360B632" w:rsidR="00651C95" w:rsidRDefault="00651C95" w:rsidP="00BF1A52">
      <w:pPr>
        <w:pStyle w:val="Heading1"/>
        <w:rPr>
          <w:rFonts w:ascii="Times New Roman" w:hAnsi="Times New Roman" w:cs="Times New Roman"/>
          <w:lang w:val="en-GB"/>
        </w:rPr>
      </w:pPr>
      <w:bookmarkStart w:id="37" w:name="_Toc289250869"/>
      <w:r w:rsidRPr="005D43BB">
        <w:rPr>
          <w:rFonts w:ascii="Times New Roman" w:hAnsi="Times New Roman" w:cs="Times New Roman"/>
          <w:lang w:val="en-GB"/>
        </w:rPr>
        <w:lastRenderedPageBreak/>
        <w:t>10.0 Bibliography</w:t>
      </w:r>
      <w:bookmarkEnd w:id="37"/>
    </w:p>
    <w:p w14:paraId="234DBEDD" w14:textId="77777777" w:rsidR="00A8718E" w:rsidRDefault="00A8718E" w:rsidP="00BF1A52"/>
    <w:p w14:paraId="0EDEC897" w14:textId="77777777" w:rsidR="006052A7" w:rsidRPr="00AD514F" w:rsidRDefault="006052A7" w:rsidP="00BF1A52">
      <w:pPr>
        <w:rPr>
          <w:rFonts w:ascii="Times New Roman" w:hAnsi="Times New Roman" w:cs="Times New Roman"/>
          <w:color w:val="000000" w:themeColor="text1"/>
          <w:sz w:val="28"/>
          <w:szCs w:val="28"/>
          <w:u w:val="single"/>
        </w:rPr>
      </w:pPr>
      <w:r w:rsidRPr="00AD514F">
        <w:rPr>
          <w:rFonts w:ascii="Times New Roman" w:hAnsi="Times New Roman" w:cs="Times New Roman"/>
          <w:color w:val="000000" w:themeColor="text1"/>
          <w:sz w:val="28"/>
          <w:szCs w:val="28"/>
          <w:u w:val="single"/>
        </w:rPr>
        <w:t>Books:</w:t>
      </w:r>
    </w:p>
    <w:p w14:paraId="13C1F79D" w14:textId="77777777" w:rsidR="006052A7" w:rsidRDefault="006052A7" w:rsidP="00BF1A52">
      <w:pPr>
        <w:rPr>
          <w:rFonts w:ascii="Times New Roman" w:hAnsi="Times New Roman" w:cs="Times New Roman"/>
          <w:color w:val="000000" w:themeColor="text1"/>
          <w:sz w:val="22"/>
          <w:szCs w:val="22"/>
        </w:rPr>
      </w:pPr>
    </w:p>
    <w:p w14:paraId="7D90A5FA" w14:textId="598236D7" w:rsidR="00AD514F" w:rsidRPr="004B3DDD" w:rsidRDefault="00AD514F" w:rsidP="00BF1A52">
      <w:pPr>
        <w:pStyle w:val="Default"/>
        <w:rPr>
          <w:color w:val="000000" w:themeColor="text1"/>
        </w:rPr>
      </w:pPr>
      <w:r w:rsidRPr="004B3DDD">
        <w:rPr>
          <w:color w:val="000000" w:themeColor="text1"/>
        </w:rPr>
        <w:t xml:space="preserve">Parsons, Wayne. </w:t>
      </w:r>
      <w:proofErr w:type="gramStart"/>
      <w:r w:rsidRPr="004B3DDD">
        <w:rPr>
          <w:i/>
          <w:color w:val="000000" w:themeColor="text1"/>
        </w:rPr>
        <w:t>Public Policy – An Introduction to the Theor</w:t>
      </w:r>
      <w:r w:rsidR="00956404">
        <w:rPr>
          <w:i/>
          <w:color w:val="000000" w:themeColor="text1"/>
        </w:rPr>
        <w:t>y and Practice of Policy Analysi</w:t>
      </w:r>
      <w:r w:rsidRPr="004B3DDD">
        <w:rPr>
          <w:i/>
          <w:color w:val="000000" w:themeColor="text1"/>
        </w:rPr>
        <w:t>s</w:t>
      </w:r>
      <w:r w:rsidRPr="004B3DDD">
        <w:rPr>
          <w:color w:val="000000" w:themeColor="text1"/>
        </w:rPr>
        <w:t>.</w:t>
      </w:r>
      <w:proofErr w:type="gramEnd"/>
      <w:r w:rsidRPr="004B3DDD">
        <w:rPr>
          <w:color w:val="000000" w:themeColor="text1"/>
        </w:rPr>
        <w:t xml:space="preserve"> Cheltenham: Edward Edgar Publishing Limited, 1995</w:t>
      </w:r>
    </w:p>
    <w:p w14:paraId="313C57C4" w14:textId="77777777" w:rsidR="00AD514F" w:rsidRPr="004B3DDD" w:rsidRDefault="00AD514F" w:rsidP="00BF1A52">
      <w:pPr>
        <w:pStyle w:val="Default"/>
        <w:rPr>
          <w:color w:val="000000" w:themeColor="text1"/>
        </w:rPr>
      </w:pPr>
    </w:p>
    <w:p w14:paraId="134502B4" w14:textId="77777777" w:rsidR="006052A7" w:rsidRPr="004B3DDD" w:rsidRDefault="006052A7" w:rsidP="00BF1A52">
      <w:pPr>
        <w:pStyle w:val="Default"/>
        <w:rPr>
          <w:color w:val="000000" w:themeColor="text1"/>
        </w:rPr>
      </w:pPr>
      <w:r w:rsidRPr="004B3DDD">
        <w:rPr>
          <w:color w:val="000000" w:themeColor="text1"/>
        </w:rPr>
        <w:t xml:space="preserve">Dosenrode, Søren and Niels Chr. Sidenius. </w:t>
      </w:r>
      <w:proofErr w:type="gramStart"/>
      <w:r w:rsidRPr="004B3DDD">
        <w:rPr>
          <w:i/>
          <w:color w:val="000000" w:themeColor="text1"/>
        </w:rPr>
        <w:t>Lobbyisme I EU – Udfordringer for Danmark</w:t>
      </w:r>
      <w:r w:rsidRPr="004B3DDD">
        <w:rPr>
          <w:color w:val="000000" w:themeColor="text1"/>
        </w:rPr>
        <w:t>.</w:t>
      </w:r>
      <w:proofErr w:type="gramEnd"/>
      <w:r w:rsidRPr="004B3DDD">
        <w:rPr>
          <w:color w:val="000000" w:themeColor="text1"/>
        </w:rPr>
        <w:t xml:space="preserve"> Århus: Forlaget Systime A/S, 1999.</w:t>
      </w:r>
    </w:p>
    <w:p w14:paraId="59855D80" w14:textId="77777777" w:rsidR="006052A7" w:rsidRPr="004B3DDD" w:rsidRDefault="006052A7" w:rsidP="00BF1A52">
      <w:pPr>
        <w:rPr>
          <w:rFonts w:ascii="Times New Roman" w:hAnsi="Times New Roman" w:cs="Times New Roman"/>
          <w:color w:val="000000" w:themeColor="text1"/>
        </w:rPr>
      </w:pPr>
    </w:p>
    <w:p w14:paraId="6C60D47C" w14:textId="77777777" w:rsidR="006052A7" w:rsidRPr="004B3DDD" w:rsidRDefault="006052A7" w:rsidP="00BF1A52">
      <w:pPr>
        <w:rPr>
          <w:rFonts w:ascii="Times New Roman" w:hAnsi="Times New Roman" w:cs="Times New Roman"/>
          <w:color w:val="000000" w:themeColor="text1"/>
          <w:lang w:val="en-US"/>
        </w:rPr>
      </w:pPr>
      <w:proofErr w:type="gramStart"/>
      <w:r w:rsidRPr="004B3DDD">
        <w:rPr>
          <w:rFonts w:ascii="Times New Roman" w:hAnsi="Times New Roman" w:cs="Times New Roman"/>
          <w:color w:val="000000" w:themeColor="text1"/>
          <w:lang w:val="en-US"/>
        </w:rPr>
        <w:t>Windhoff-Héritier, Adrienne.</w:t>
      </w:r>
      <w:proofErr w:type="gramEnd"/>
      <w:r w:rsidRPr="004B3DDD">
        <w:rPr>
          <w:rFonts w:ascii="Times New Roman" w:hAnsi="Times New Roman" w:cs="Times New Roman"/>
          <w:color w:val="000000" w:themeColor="text1"/>
          <w:lang w:val="en-US"/>
        </w:rPr>
        <w:t xml:space="preserve"> </w:t>
      </w:r>
      <w:r w:rsidRPr="004B3DDD">
        <w:rPr>
          <w:rFonts w:ascii="Times New Roman" w:hAnsi="Times New Roman" w:cs="Times New Roman"/>
          <w:i/>
          <w:iCs/>
          <w:color w:val="000000" w:themeColor="text1"/>
          <w:lang w:val="en-US"/>
        </w:rPr>
        <w:t>Policy-Analyse: Eine Einführung</w:t>
      </w:r>
      <w:r w:rsidRPr="004B3DDD">
        <w:rPr>
          <w:rFonts w:ascii="Times New Roman" w:hAnsi="Times New Roman" w:cs="Times New Roman"/>
          <w:color w:val="000000" w:themeColor="text1"/>
          <w:lang w:val="en-US"/>
        </w:rPr>
        <w:t>. Frankfurt am Main: Campus Verlag, 1987.</w:t>
      </w:r>
    </w:p>
    <w:p w14:paraId="59C482D8" w14:textId="77777777" w:rsidR="006052A7" w:rsidRPr="004B3DDD" w:rsidRDefault="006052A7" w:rsidP="00BF1A52">
      <w:pPr>
        <w:rPr>
          <w:rFonts w:ascii="Times New Roman" w:hAnsi="Times New Roman" w:cs="Times New Roman"/>
          <w:color w:val="000000" w:themeColor="text1"/>
        </w:rPr>
      </w:pPr>
    </w:p>
    <w:p w14:paraId="62DC8497" w14:textId="77777777" w:rsidR="006052A7" w:rsidRPr="004B3DDD" w:rsidRDefault="006052A7" w:rsidP="00BF1A52">
      <w:pPr>
        <w:rPr>
          <w:rFonts w:ascii="Times New Roman" w:hAnsi="Times New Roman" w:cs="Times New Roman"/>
          <w:color w:val="000000" w:themeColor="text1"/>
        </w:rPr>
      </w:pPr>
      <w:r w:rsidRPr="004B3DDD">
        <w:rPr>
          <w:rFonts w:ascii="Times New Roman" w:hAnsi="Times New Roman" w:cs="Times New Roman"/>
          <w:color w:val="000000" w:themeColor="text1"/>
        </w:rPr>
        <w:t xml:space="preserve">Dosenrode, Søren and Henrik Halkier. </w:t>
      </w:r>
      <w:r w:rsidRPr="004B3DDD">
        <w:rPr>
          <w:rFonts w:ascii="Times New Roman" w:hAnsi="Times New Roman" w:cs="Times New Roman"/>
          <w:i/>
          <w:color w:val="000000" w:themeColor="text1"/>
        </w:rPr>
        <w:t>The Nordic Regions and the European Union</w:t>
      </w:r>
      <w:r w:rsidRPr="004B3DDD">
        <w:rPr>
          <w:rFonts w:ascii="Times New Roman" w:hAnsi="Times New Roman" w:cs="Times New Roman"/>
          <w:color w:val="000000" w:themeColor="text1"/>
        </w:rPr>
        <w:t>. Hamshire: Ashgate Publishing Limited, 2004</w:t>
      </w:r>
    </w:p>
    <w:p w14:paraId="40D772D1" w14:textId="77777777" w:rsidR="006052A7" w:rsidRPr="004B3DDD" w:rsidRDefault="006052A7" w:rsidP="00BF1A52">
      <w:pPr>
        <w:rPr>
          <w:rFonts w:ascii="Times New Roman" w:hAnsi="Times New Roman" w:cs="Times New Roman"/>
          <w:color w:val="000000" w:themeColor="text1"/>
        </w:rPr>
      </w:pPr>
    </w:p>
    <w:p w14:paraId="245C8D3A" w14:textId="77777777" w:rsidR="006052A7" w:rsidRPr="004B3DDD" w:rsidRDefault="006052A7" w:rsidP="00BF1A52">
      <w:pPr>
        <w:pStyle w:val="FootnoteText"/>
        <w:rPr>
          <w:rFonts w:cs="Times New Roman"/>
          <w:color w:val="000000" w:themeColor="text1"/>
          <w:sz w:val="24"/>
        </w:rPr>
      </w:pPr>
      <w:r w:rsidRPr="004B3DDD">
        <w:rPr>
          <w:rFonts w:cs="Times New Roman"/>
          <w:color w:val="000000" w:themeColor="text1"/>
          <w:sz w:val="24"/>
        </w:rPr>
        <w:t xml:space="preserve">Eising, Reiner, Beate Kohler Koch. </w:t>
      </w:r>
      <w:r w:rsidRPr="004B3DDD">
        <w:rPr>
          <w:rFonts w:cs="Times New Roman"/>
          <w:i/>
          <w:color w:val="000000" w:themeColor="text1"/>
          <w:sz w:val="24"/>
        </w:rPr>
        <w:t>Interessenpolitik in Europa</w:t>
      </w:r>
      <w:r w:rsidRPr="004B3DDD">
        <w:rPr>
          <w:rFonts w:cs="Times New Roman"/>
          <w:color w:val="000000" w:themeColor="text1"/>
          <w:sz w:val="24"/>
        </w:rPr>
        <w:t>. Baden-Baden: Nomos Verlagsgesellschaft, 2005.</w:t>
      </w:r>
    </w:p>
    <w:p w14:paraId="0DA2A09F" w14:textId="77777777" w:rsidR="006052A7" w:rsidRPr="004B3DDD" w:rsidRDefault="006052A7" w:rsidP="00BF1A52">
      <w:pPr>
        <w:rPr>
          <w:rFonts w:ascii="Times New Roman" w:hAnsi="Times New Roman" w:cs="Times New Roman"/>
          <w:color w:val="000000" w:themeColor="text1"/>
        </w:rPr>
      </w:pPr>
    </w:p>
    <w:p w14:paraId="05B19AD4" w14:textId="164D9F31" w:rsidR="004B3DDD" w:rsidRPr="004B3DDD" w:rsidRDefault="004B3DDD" w:rsidP="00BF1A52">
      <w:pPr>
        <w:rPr>
          <w:rFonts w:ascii="Times New Roman" w:hAnsi="Times New Roman" w:cs="Times New Roman"/>
          <w:color w:val="000000" w:themeColor="text1"/>
        </w:rPr>
      </w:pPr>
      <w:r w:rsidRPr="004B3DDD">
        <w:rPr>
          <w:rFonts w:ascii="Times New Roman" w:hAnsi="Times New Roman" w:cs="Times New Roman"/>
          <w:color w:val="000000" w:themeColor="text1"/>
        </w:rPr>
        <w:t>Yin</w:t>
      </w:r>
      <w:r w:rsidR="00956404">
        <w:rPr>
          <w:rFonts w:ascii="Times New Roman" w:hAnsi="Times New Roman" w:cs="Times New Roman"/>
          <w:color w:val="000000" w:themeColor="text1"/>
        </w:rPr>
        <w:t xml:space="preserve">, </w:t>
      </w:r>
      <w:r w:rsidR="00956404" w:rsidRPr="004B3DDD">
        <w:rPr>
          <w:rFonts w:ascii="Times New Roman" w:hAnsi="Times New Roman" w:cs="Times New Roman"/>
          <w:color w:val="000000" w:themeColor="text1"/>
        </w:rPr>
        <w:t>Robert K.</w:t>
      </w:r>
      <w:r w:rsidRPr="004B3DDD">
        <w:rPr>
          <w:rFonts w:ascii="Times New Roman" w:hAnsi="Times New Roman" w:cs="Times New Roman"/>
          <w:color w:val="000000" w:themeColor="text1"/>
        </w:rPr>
        <w:t xml:space="preserve">. </w:t>
      </w:r>
      <w:r w:rsidRPr="004B3DDD">
        <w:rPr>
          <w:rFonts w:ascii="Times New Roman" w:hAnsi="Times New Roman" w:cs="Times New Roman"/>
          <w:i/>
          <w:color w:val="000000" w:themeColor="text1"/>
        </w:rPr>
        <w:t>Case Study Research – Design and Methods</w:t>
      </w:r>
      <w:r w:rsidRPr="004B3DDD">
        <w:rPr>
          <w:rFonts w:ascii="Times New Roman" w:hAnsi="Times New Roman" w:cs="Times New Roman"/>
          <w:color w:val="000000" w:themeColor="text1"/>
        </w:rPr>
        <w:t>. London: SAG</w:t>
      </w:r>
      <w:r>
        <w:rPr>
          <w:rFonts w:ascii="Times New Roman" w:hAnsi="Times New Roman" w:cs="Times New Roman"/>
          <w:color w:val="000000" w:themeColor="text1"/>
        </w:rPr>
        <w:t xml:space="preserve">E Publications, </w:t>
      </w:r>
    </w:p>
    <w:p w14:paraId="32F8B03B" w14:textId="77777777" w:rsidR="006052A7" w:rsidRPr="004B3DDD" w:rsidRDefault="006052A7" w:rsidP="00BF1A52">
      <w:pPr>
        <w:rPr>
          <w:rFonts w:ascii="Times New Roman" w:hAnsi="Times New Roman" w:cs="Times New Roman"/>
          <w:color w:val="000000" w:themeColor="text1"/>
        </w:rPr>
      </w:pPr>
    </w:p>
    <w:p w14:paraId="098D9151" w14:textId="77777777" w:rsidR="006052A7" w:rsidRDefault="006052A7" w:rsidP="00BF1A52">
      <w:pPr>
        <w:rPr>
          <w:rFonts w:ascii="Times New Roman" w:hAnsi="Times New Roman" w:cs="Times New Roman"/>
          <w:color w:val="000000" w:themeColor="text1"/>
          <w:sz w:val="22"/>
          <w:szCs w:val="22"/>
        </w:rPr>
      </w:pPr>
    </w:p>
    <w:p w14:paraId="170C87A7" w14:textId="77777777" w:rsidR="006052A7" w:rsidRPr="00AD514F" w:rsidRDefault="006052A7" w:rsidP="00BF1A52">
      <w:pPr>
        <w:rPr>
          <w:rFonts w:ascii="Times New Roman" w:hAnsi="Times New Roman" w:cs="Times New Roman"/>
          <w:color w:val="000000" w:themeColor="text1"/>
          <w:sz w:val="28"/>
          <w:szCs w:val="28"/>
          <w:u w:val="single"/>
        </w:rPr>
      </w:pPr>
      <w:r w:rsidRPr="00AD514F">
        <w:rPr>
          <w:rFonts w:ascii="Times New Roman" w:hAnsi="Times New Roman" w:cs="Times New Roman"/>
          <w:color w:val="000000" w:themeColor="text1"/>
          <w:sz w:val="28"/>
          <w:szCs w:val="28"/>
          <w:u w:val="single"/>
        </w:rPr>
        <w:t>Articles/Reports:</w:t>
      </w:r>
    </w:p>
    <w:p w14:paraId="56BCC01F" w14:textId="77777777" w:rsidR="006052A7" w:rsidRDefault="006052A7" w:rsidP="00BF1A52">
      <w:pPr>
        <w:rPr>
          <w:rFonts w:ascii="Times New Roman" w:hAnsi="Times New Roman" w:cs="Times New Roman"/>
          <w:color w:val="000000" w:themeColor="text1"/>
          <w:sz w:val="22"/>
          <w:szCs w:val="22"/>
        </w:rPr>
      </w:pPr>
    </w:p>
    <w:p w14:paraId="222356C8" w14:textId="393D1345" w:rsidR="006052A7" w:rsidRPr="00AD514F" w:rsidRDefault="002E5C56" w:rsidP="00BF1A52">
      <w:pPr>
        <w:rPr>
          <w:rFonts w:ascii="Times New Roman" w:hAnsi="Times New Roman" w:cs="Times New Roman"/>
          <w:color w:val="000000" w:themeColor="text1"/>
          <w:lang w:val="en-GB"/>
        </w:rPr>
      </w:pPr>
      <w:r w:rsidRPr="00AD514F">
        <w:rPr>
          <w:rFonts w:ascii="Times New Roman" w:hAnsi="Times New Roman" w:cs="Times New Roman"/>
          <w:color w:val="000000" w:themeColor="text1"/>
          <w:lang w:val="en-GB"/>
        </w:rPr>
        <w:t>Hooghe, Liesbet and</w:t>
      </w:r>
      <w:r w:rsidR="006052A7" w:rsidRPr="00AD514F">
        <w:rPr>
          <w:rFonts w:ascii="Times New Roman" w:hAnsi="Times New Roman" w:cs="Times New Roman"/>
          <w:color w:val="000000" w:themeColor="text1"/>
          <w:lang w:val="en-GB"/>
        </w:rPr>
        <w:t xml:space="preserve"> Gary Marks. </w:t>
      </w:r>
      <w:proofErr w:type="gramStart"/>
      <w:r w:rsidR="006052A7" w:rsidRPr="00AD514F">
        <w:rPr>
          <w:rFonts w:ascii="Times New Roman" w:hAnsi="Times New Roman" w:cs="Times New Roman"/>
          <w:color w:val="000000" w:themeColor="text1"/>
          <w:lang w:val="en-GB"/>
        </w:rPr>
        <w:t>“Types of Multi-Level Governance”.</w:t>
      </w:r>
      <w:proofErr w:type="gramEnd"/>
      <w:r w:rsidR="006052A7" w:rsidRPr="00AD514F">
        <w:rPr>
          <w:rFonts w:ascii="Times New Roman" w:hAnsi="Times New Roman" w:cs="Times New Roman"/>
          <w:color w:val="000000" w:themeColor="text1"/>
          <w:lang w:val="en-GB"/>
        </w:rPr>
        <w:t xml:space="preserve"> </w:t>
      </w:r>
      <w:r w:rsidR="006052A7" w:rsidRPr="00AD514F">
        <w:rPr>
          <w:rFonts w:ascii="Times New Roman" w:hAnsi="Times New Roman" w:cs="Times New Roman"/>
          <w:i/>
          <w:iCs/>
          <w:color w:val="000000" w:themeColor="text1"/>
          <w:lang w:val="en-GB"/>
        </w:rPr>
        <w:t>European Integration Online Papers</w:t>
      </w:r>
      <w:r w:rsidR="006052A7" w:rsidRPr="00AD514F">
        <w:rPr>
          <w:rFonts w:ascii="Times New Roman" w:hAnsi="Times New Roman" w:cs="Times New Roman"/>
          <w:color w:val="000000" w:themeColor="text1"/>
          <w:lang w:val="en-GB"/>
        </w:rPr>
        <w:t xml:space="preserve"> no.5 (2001)</w:t>
      </w:r>
    </w:p>
    <w:p w14:paraId="40C4F140" w14:textId="77777777" w:rsidR="006052A7" w:rsidRPr="00AD514F" w:rsidRDefault="006052A7" w:rsidP="00BF1A52">
      <w:pPr>
        <w:rPr>
          <w:rFonts w:ascii="Times New Roman" w:hAnsi="Times New Roman" w:cs="Times New Roman"/>
          <w:color w:val="000000" w:themeColor="text1"/>
        </w:rPr>
      </w:pPr>
    </w:p>
    <w:p w14:paraId="5E67FFBC" w14:textId="1566F71B" w:rsidR="006052A7" w:rsidRPr="00AD514F" w:rsidRDefault="002E5C56" w:rsidP="00BF1A52">
      <w:pPr>
        <w:rPr>
          <w:rFonts w:ascii="Times New Roman" w:hAnsi="Times New Roman" w:cs="Times New Roman"/>
          <w:color w:val="000000" w:themeColor="text1"/>
        </w:rPr>
      </w:pPr>
      <w:r w:rsidRPr="00AD514F">
        <w:rPr>
          <w:rFonts w:ascii="Times New Roman" w:hAnsi="Times New Roman" w:cs="Times New Roman"/>
          <w:color w:val="000000" w:themeColor="text1"/>
        </w:rPr>
        <w:t>Gal, Diana and</w:t>
      </w:r>
      <w:r w:rsidR="006052A7" w:rsidRPr="00AD514F">
        <w:rPr>
          <w:rFonts w:ascii="Times New Roman" w:hAnsi="Times New Roman" w:cs="Times New Roman"/>
          <w:color w:val="000000" w:themeColor="text1"/>
        </w:rPr>
        <w:t xml:space="preserve"> Ioan Horga. ”Multilevel Governance From the Lisbon Treaty to the White Paper of Multilevel Governance”. </w:t>
      </w:r>
      <w:r w:rsidR="006052A7" w:rsidRPr="00AD514F">
        <w:rPr>
          <w:rFonts w:ascii="Times New Roman" w:hAnsi="Times New Roman" w:cs="Times New Roman"/>
          <w:i/>
          <w:color w:val="000000" w:themeColor="text1"/>
        </w:rPr>
        <w:t>Revista de Estudios Juridicos</w:t>
      </w:r>
      <w:r w:rsidR="006052A7" w:rsidRPr="00AD514F">
        <w:rPr>
          <w:rFonts w:ascii="Times New Roman" w:hAnsi="Times New Roman" w:cs="Times New Roman"/>
          <w:color w:val="000000" w:themeColor="text1"/>
        </w:rPr>
        <w:t xml:space="preserve"> no.10 (2010)</w:t>
      </w:r>
    </w:p>
    <w:p w14:paraId="56CAC72E" w14:textId="77777777" w:rsidR="006052A7" w:rsidRPr="00AD514F" w:rsidRDefault="006052A7" w:rsidP="00BF1A52">
      <w:pPr>
        <w:rPr>
          <w:rFonts w:ascii="Times New Roman" w:hAnsi="Times New Roman" w:cs="Times New Roman"/>
          <w:color w:val="000000" w:themeColor="text1"/>
        </w:rPr>
      </w:pPr>
    </w:p>
    <w:p w14:paraId="3C482187" w14:textId="77777777" w:rsidR="006052A7" w:rsidRPr="00AD514F" w:rsidRDefault="006052A7" w:rsidP="00BF1A52">
      <w:pPr>
        <w:pStyle w:val="FootnoteText"/>
        <w:rPr>
          <w:rFonts w:cs="Times New Roman"/>
          <w:color w:val="000000" w:themeColor="text1"/>
          <w:sz w:val="24"/>
        </w:rPr>
      </w:pPr>
      <w:r w:rsidRPr="00AD514F">
        <w:rPr>
          <w:rFonts w:cs="Times New Roman"/>
          <w:color w:val="000000" w:themeColor="text1"/>
          <w:sz w:val="24"/>
        </w:rPr>
        <w:t xml:space="preserve">Zibold, Franziska. ”Lobbying the EU institutions”. </w:t>
      </w:r>
      <w:r w:rsidRPr="00AD514F">
        <w:rPr>
          <w:rFonts w:cs="Times New Roman"/>
          <w:i/>
          <w:color w:val="000000" w:themeColor="text1"/>
          <w:sz w:val="24"/>
        </w:rPr>
        <w:t>Library of the European Parliament 06/2013</w:t>
      </w:r>
    </w:p>
    <w:p w14:paraId="363B0E83" w14:textId="77777777" w:rsidR="006052A7" w:rsidRPr="00AD514F" w:rsidRDefault="006052A7" w:rsidP="00BF1A52">
      <w:pPr>
        <w:rPr>
          <w:rFonts w:ascii="Times New Roman" w:hAnsi="Times New Roman" w:cs="Times New Roman"/>
          <w:color w:val="000000" w:themeColor="text1"/>
        </w:rPr>
      </w:pPr>
    </w:p>
    <w:p w14:paraId="12A88299" w14:textId="77777777" w:rsidR="006052A7" w:rsidRPr="00AD514F" w:rsidRDefault="006052A7" w:rsidP="00BF1A52">
      <w:pPr>
        <w:pStyle w:val="FootnoteText"/>
        <w:rPr>
          <w:rFonts w:cs="Times New Roman"/>
          <w:color w:val="000000" w:themeColor="text1"/>
          <w:sz w:val="24"/>
        </w:rPr>
      </w:pPr>
      <w:r w:rsidRPr="00AD514F">
        <w:rPr>
          <w:rFonts w:cs="Times New Roman"/>
          <w:color w:val="000000" w:themeColor="text1"/>
          <w:sz w:val="24"/>
        </w:rPr>
        <w:t xml:space="preserve">Greenwood, James. “The search for input lefitimacy through organized civil society in the EU”. </w:t>
      </w:r>
      <w:r w:rsidRPr="00AD514F">
        <w:rPr>
          <w:rFonts w:cs="Times New Roman"/>
          <w:i/>
          <w:iCs/>
          <w:color w:val="000000" w:themeColor="text1"/>
          <w:sz w:val="24"/>
        </w:rPr>
        <w:t>Transnational Associations</w:t>
      </w:r>
      <w:r w:rsidRPr="00AD514F">
        <w:rPr>
          <w:rFonts w:cs="Times New Roman"/>
          <w:color w:val="000000" w:themeColor="text1"/>
          <w:sz w:val="24"/>
        </w:rPr>
        <w:t xml:space="preserve"> no.2 (2004)</w:t>
      </w:r>
    </w:p>
    <w:p w14:paraId="65A6D43D" w14:textId="737EADFE" w:rsidR="006052A7" w:rsidRPr="00AD514F" w:rsidRDefault="006052A7" w:rsidP="00BF1A52">
      <w:pPr>
        <w:pStyle w:val="FootnoteText"/>
        <w:rPr>
          <w:rFonts w:cs="Times New Roman"/>
          <w:color w:val="000000" w:themeColor="text1"/>
          <w:sz w:val="24"/>
        </w:rPr>
      </w:pPr>
    </w:p>
    <w:p w14:paraId="4C290BE4" w14:textId="77777777" w:rsidR="006052A7" w:rsidRPr="00AD514F" w:rsidRDefault="006052A7" w:rsidP="00BF1A52">
      <w:pPr>
        <w:rPr>
          <w:rFonts w:ascii="Times New Roman" w:hAnsi="Times New Roman" w:cs="Times New Roman"/>
          <w:color w:val="000000" w:themeColor="text1"/>
        </w:rPr>
      </w:pPr>
      <w:r w:rsidRPr="00AD514F">
        <w:rPr>
          <w:rFonts w:ascii="Times New Roman" w:hAnsi="Times New Roman" w:cs="Times New Roman"/>
          <w:color w:val="000000" w:themeColor="text1"/>
        </w:rPr>
        <w:t xml:space="preserve">Charrad, Kristina. ”Lobbying the European Union”. </w:t>
      </w:r>
      <w:r w:rsidRPr="00AD514F">
        <w:rPr>
          <w:rFonts w:ascii="Times New Roman" w:hAnsi="Times New Roman" w:cs="Times New Roman"/>
          <w:i/>
          <w:color w:val="000000" w:themeColor="text1"/>
        </w:rPr>
        <w:t>Westfälische Wilhelms-Universität Münster</w:t>
      </w:r>
    </w:p>
    <w:p w14:paraId="5DB9FA99" w14:textId="77777777" w:rsidR="006052A7" w:rsidRPr="00AD514F" w:rsidRDefault="006052A7" w:rsidP="00BF1A52">
      <w:pPr>
        <w:pStyle w:val="FootnoteText"/>
        <w:rPr>
          <w:rFonts w:cs="Times New Roman"/>
          <w:color w:val="000000" w:themeColor="text1"/>
          <w:sz w:val="24"/>
        </w:rPr>
      </w:pPr>
    </w:p>
    <w:p w14:paraId="42CFB871" w14:textId="77777777" w:rsidR="006052A7" w:rsidRPr="00AD514F" w:rsidRDefault="006052A7" w:rsidP="00BF1A52">
      <w:pPr>
        <w:pStyle w:val="FootnoteText"/>
        <w:rPr>
          <w:rFonts w:cs="Times New Roman"/>
          <w:bCs/>
          <w:color w:val="000000" w:themeColor="text1"/>
          <w:sz w:val="24"/>
          <w:lang w:val="en-US"/>
        </w:rPr>
      </w:pPr>
      <w:r w:rsidRPr="00AD514F">
        <w:rPr>
          <w:rFonts w:cs="Times New Roman"/>
          <w:color w:val="000000" w:themeColor="text1"/>
          <w:sz w:val="24"/>
        </w:rPr>
        <w:t>Council of Europe. ”</w:t>
      </w:r>
      <w:r w:rsidRPr="00AD514F">
        <w:rPr>
          <w:rFonts w:cs="Times New Roman"/>
          <w:bCs/>
          <w:color w:val="000000" w:themeColor="text1"/>
          <w:sz w:val="24"/>
          <w:lang w:val="en-US"/>
        </w:rPr>
        <w:t>Lobbying in a democratic society (European Code of conduct on lobbying)”. Report, Committee on Economic Affairs and Development, Doc 11937 (06/2009)</w:t>
      </w:r>
    </w:p>
    <w:p w14:paraId="35E3A05E" w14:textId="77777777" w:rsidR="006052A7" w:rsidRPr="00AD514F" w:rsidRDefault="006052A7" w:rsidP="00BF1A52">
      <w:pPr>
        <w:pStyle w:val="FootnoteText"/>
        <w:rPr>
          <w:rFonts w:cs="Times New Roman"/>
          <w:bCs/>
          <w:color w:val="000000" w:themeColor="text1"/>
          <w:sz w:val="24"/>
          <w:lang w:val="en-US"/>
        </w:rPr>
      </w:pPr>
    </w:p>
    <w:p w14:paraId="788BFD67" w14:textId="77777777" w:rsidR="006052A7" w:rsidRPr="00AD514F" w:rsidRDefault="006052A7" w:rsidP="00BF1A52">
      <w:pPr>
        <w:rPr>
          <w:rFonts w:ascii="Times New Roman" w:hAnsi="Times New Roman" w:cs="Times New Roman"/>
          <w:color w:val="000000" w:themeColor="text1"/>
          <w:lang w:val="en-GB"/>
        </w:rPr>
      </w:pPr>
      <w:r w:rsidRPr="00AD514F">
        <w:rPr>
          <w:rFonts w:ascii="Times New Roman" w:hAnsi="Times New Roman" w:cs="Times New Roman"/>
          <w:color w:val="000000" w:themeColor="text1"/>
          <w:lang w:val="en-GB"/>
        </w:rPr>
        <w:t xml:space="preserve">European Communities. </w:t>
      </w:r>
      <w:proofErr w:type="gramStart"/>
      <w:r w:rsidRPr="00AD514F">
        <w:rPr>
          <w:rFonts w:ascii="Times New Roman" w:hAnsi="Times New Roman" w:cs="Times New Roman"/>
          <w:color w:val="000000" w:themeColor="text1"/>
          <w:lang w:val="en-GB"/>
        </w:rPr>
        <w:t>“The selection process for Committee of the Regions members Procedures in the Member States”.</w:t>
      </w:r>
      <w:proofErr w:type="gramEnd"/>
      <w:r w:rsidRPr="00AD514F">
        <w:rPr>
          <w:rFonts w:ascii="Times New Roman" w:hAnsi="Times New Roman" w:cs="Times New Roman"/>
          <w:color w:val="000000" w:themeColor="text1"/>
          <w:lang w:val="en-GB"/>
        </w:rPr>
        <w:t xml:space="preserve"> Belgium, 2009</w:t>
      </w:r>
    </w:p>
    <w:p w14:paraId="411055BA" w14:textId="4442B9C1" w:rsidR="002A641F" w:rsidRDefault="002A641F" w:rsidP="00BF1A52">
      <w:pPr>
        <w:pStyle w:val="NormalWeb"/>
        <w:rPr>
          <w:rFonts w:ascii="Times New Roman" w:hAnsi="Times New Roman"/>
          <w:sz w:val="24"/>
          <w:szCs w:val="24"/>
          <w:lang w:val="en-US"/>
        </w:rPr>
      </w:pPr>
      <w:r w:rsidRPr="002A641F">
        <w:rPr>
          <w:rFonts w:ascii="Times New Roman" w:hAnsi="Times New Roman"/>
          <w:sz w:val="24"/>
          <w:szCs w:val="24"/>
        </w:rPr>
        <w:t>Lehmann</w:t>
      </w:r>
      <w:r w:rsidR="00956404">
        <w:rPr>
          <w:rFonts w:ascii="Times New Roman" w:hAnsi="Times New Roman"/>
          <w:sz w:val="24"/>
          <w:szCs w:val="24"/>
        </w:rPr>
        <w:t>, Wilhelm</w:t>
      </w:r>
      <w:r w:rsidRPr="002A641F">
        <w:rPr>
          <w:rFonts w:ascii="Times New Roman" w:hAnsi="Times New Roman"/>
          <w:sz w:val="24"/>
          <w:szCs w:val="24"/>
        </w:rPr>
        <w:t xml:space="preserve">. ”Lobbying in the European Union: Current Rules and Practices”. </w:t>
      </w:r>
      <w:r w:rsidRPr="002A641F">
        <w:rPr>
          <w:rFonts w:ascii="Times New Roman" w:hAnsi="Times New Roman"/>
          <w:i/>
          <w:sz w:val="24"/>
          <w:szCs w:val="24"/>
        </w:rPr>
        <w:t>Constitutional Affairs Series</w:t>
      </w:r>
      <w:r w:rsidRPr="002A641F">
        <w:rPr>
          <w:rFonts w:ascii="Times New Roman" w:hAnsi="Times New Roman"/>
          <w:sz w:val="24"/>
          <w:szCs w:val="24"/>
        </w:rPr>
        <w:t xml:space="preserve">, </w:t>
      </w:r>
      <w:r w:rsidRPr="002A641F">
        <w:rPr>
          <w:rFonts w:ascii="Times New Roman" w:hAnsi="Times New Roman"/>
          <w:sz w:val="24"/>
          <w:szCs w:val="24"/>
          <w:lang w:val="en-US"/>
        </w:rPr>
        <w:t>AFCO 104 EN (2003)</w:t>
      </w:r>
    </w:p>
    <w:p w14:paraId="0C39AA78" w14:textId="382BE508" w:rsidR="002A641F" w:rsidRDefault="002A641F" w:rsidP="00BF1A52">
      <w:pPr>
        <w:pStyle w:val="NormalWeb"/>
        <w:rPr>
          <w:rFonts w:ascii="Times New Roman" w:hAnsi="Times New Roman"/>
          <w:color w:val="212020"/>
          <w:sz w:val="24"/>
          <w:szCs w:val="24"/>
          <w:lang w:val="en-US"/>
        </w:rPr>
      </w:pPr>
      <w:r w:rsidRPr="005339AD">
        <w:rPr>
          <w:rFonts w:ascii="Times New Roman" w:hAnsi="Times New Roman"/>
          <w:sz w:val="24"/>
          <w:szCs w:val="24"/>
          <w:lang w:val="en-US"/>
        </w:rPr>
        <w:lastRenderedPageBreak/>
        <w:t>Balo</w:t>
      </w:r>
      <w:r w:rsidRPr="005339AD">
        <w:rPr>
          <w:rFonts w:ascii="Times New Roman" w:hAnsi="Times New Roman"/>
          <w:color w:val="000000"/>
          <w:sz w:val="24"/>
          <w:szCs w:val="24"/>
        </w:rPr>
        <w:t>ş</w:t>
      </w:r>
      <w:r w:rsidRPr="005339AD">
        <w:rPr>
          <w:rFonts w:ascii="Times New Roman" w:hAnsi="Times New Roman"/>
          <w:sz w:val="24"/>
          <w:szCs w:val="24"/>
          <w:lang w:val="en-US"/>
        </w:rPr>
        <w:t>in</w:t>
      </w:r>
      <w:r w:rsidR="00956404">
        <w:rPr>
          <w:rFonts w:ascii="Times New Roman" w:hAnsi="Times New Roman"/>
          <w:sz w:val="24"/>
          <w:szCs w:val="24"/>
          <w:lang w:val="en-US"/>
        </w:rPr>
        <w:t>,</w:t>
      </w:r>
      <w:r w:rsidR="00956404" w:rsidRPr="00956404">
        <w:rPr>
          <w:rFonts w:ascii="Times New Roman" w:hAnsi="Times New Roman"/>
          <w:sz w:val="24"/>
          <w:szCs w:val="24"/>
          <w:lang w:val="en-US"/>
        </w:rPr>
        <w:t xml:space="preserve"> </w:t>
      </w:r>
      <w:r w:rsidR="00956404" w:rsidRPr="005339AD">
        <w:rPr>
          <w:rFonts w:ascii="Times New Roman" w:hAnsi="Times New Roman"/>
          <w:sz w:val="24"/>
          <w:szCs w:val="24"/>
          <w:lang w:val="en-US"/>
        </w:rPr>
        <w:t>Miruna Andreea</w:t>
      </w:r>
      <w:r w:rsidRPr="005339AD">
        <w:rPr>
          <w:rFonts w:ascii="Times New Roman" w:hAnsi="Times New Roman"/>
          <w:sz w:val="24"/>
          <w:szCs w:val="24"/>
          <w:lang w:val="en-US"/>
        </w:rPr>
        <w:t xml:space="preserve">. </w:t>
      </w:r>
      <w:proofErr w:type="gramStart"/>
      <w:r w:rsidRPr="005339AD">
        <w:rPr>
          <w:rFonts w:ascii="Times New Roman" w:hAnsi="Times New Roman"/>
          <w:sz w:val="24"/>
          <w:szCs w:val="24"/>
          <w:lang w:val="en-US"/>
        </w:rPr>
        <w:t>“Aanalyzing EU’s Lobbying”</w:t>
      </w:r>
      <w:r w:rsidR="005339AD" w:rsidRPr="005339AD">
        <w:rPr>
          <w:rFonts w:ascii="Times New Roman" w:hAnsi="Times New Roman"/>
          <w:sz w:val="24"/>
          <w:szCs w:val="24"/>
          <w:lang w:val="en-US"/>
        </w:rPr>
        <w:t>.</w:t>
      </w:r>
      <w:proofErr w:type="gramEnd"/>
      <w:r w:rsidR="005339AD" w:rsidRPr="005339AD">
        <w:rPr>
          <w:rFonts w:ascii="Times New Roman" w:hAnsi="Times New Roman"/>
          <w:sz w:val="24"/>
          <w:szCs w:val="24"/>
          <w:lang w:val="en-US"/>
        </w:rPr>
        <w:t xml:space="preserve"> </w:t>
      </w:r>
      <w:r w:rsidR="005339AD" w:rsidRPr="005339AD">
        <w:rPr>
          <w:rFonts w:ascii="Times New Roman" w:hAnsi="Times New Roman"/>
          <w:i/>
          <w:iCs/>
          <w:color w:val="212020"/>
          <w:sz w:val="24"/>
          <w:szCs w:val="24"/>
          <w:lang w:val="en-US"/>
        </w:rPr>
        <w:t>The Proceedings of the International Conference “European Integration between Tradition and Modernity”</w:t>
      </w:r>
      <w:r w:rsidR="005339AD">
        <w:rPr>
          <w:rFonts w:ascii="Times New Roman" w:hAnsi="Times New Roman"/>
          <w:color w:val="212020"/>
          <w:sz w:val="24"/>
          <w:szCs w:val="24"/>
          <w:lang w:val="en-US"/>
        </w:rPr>
        <w:t xml:space="preserve"> </w:t>
      </w:r>
      <w:r w:rsidR="005339AD" w:rsidRPr="005339AD">
        <w:rPr>
          <w:rFonts w:ascii="Times New Roman" w:hAnsi="Times New Roman"/>
          <w:iCs/>
          <w:color w:val="212020"/>
          <w:sz w:val="24"/>
          <w:szCs w:val="24"/>
          <w:lang w:val="en-US"/>
        </w:rPr>
        <w:t>3rd edition</w:t>
      </w:r>
      <w:r w:rsidR="005339AD" w:rsidRPr="005339AD">
        <w:rPr>
          <w:rFonts w:ascii="Times New Roman" w:hAnsi="Times New Roman"/>
          <w:color w:val="212020"/>
          <w:sz w:val="24"/>
          <w:szCs w:val="24"/>
          <w:lang w:val="en-US"/>
        </w:rPr>
        <w:t xml:space="preserve"> (2009)</w:t>
      </w:r>
    </w:p>
    <w:p w14:paraId="37230B6C" w14:textId="1064FAFD" w:rsidR="005339AD" w:rsidRDefault="005339AD" w:rsidP="00BF1A52">
      <w:pPr>
        <w:pStyle w:val="NormalWeb"/>
        <w:rPr>
          <w:rFonts w:ascii="Times New Roman" w:hAnsi="Times New Roman"/>
          <w:color w:val="212020"/>
          <w:sz w:val="24"/>
          <w:szCs w:val="24"/>
          <w:lang w:val="en-US"/>
        </w:rPr>
      </w:pPr>
      <w:r>
        <w:rPr>
          <w:rFonts w:ascii="Times New Roman" w:hAnsi="Times New Roman"/>
          <w:color w:val="212020"/>
          <w:sz w:val="24"/>
          <w:szCs w:val="24"/>
          <w:lang w:val="en-US"/>
        </w:rPr>
        <w:t>Ydesbond</w:t>
      </w:r>
      <w:r w:rsidR="00956404">
        <w:rPr>
          <w:rFonts w:ascii="Times New Roman" w:hAnsi="Times New Roman"/>
          <w:color w:val="212020"/>
          <w:sz w:val="24"/>
          <w:szCs w:val="24"/>
          <w:lang w:val="en-US"/>
        </w:rPr>
        <w:t>,</w:t>
      </w:r>
      <w:r w:rsidR="00956404" w:rsidRPr="00956404">
        <w:rPr>
          <w:rFonts w:ascii="Times New Roman" w:hAnsi="Times New Roman"/>
          <w:color w:val="212020"/>
          <w:sz w:val="24"/>
          <w:szCs w:val="24"/>
          <w:lang w:val="en-US"/>
        </w:rPr>
        <w:t xml:space="preserve"> </w:t>
      </w:r>
      <w:r w:rsidR="00956404">
        <w:rPr>
          <w:rFonts w:ascii="Times New Roman" w:hAnsi="Times New Roman"/>
          <w:color w:val="212020"/>
          <w:sz w:val="24"/>
          <w:szCs w:val="24"/>
          <w:lang w:val="en-US"/>
        </w:rPr>
        <w:t>Inga Margrete</w:t>
      </w:r>
      <w:r>
        <w:rPr>
          <w:rFonts w:ascii="Times New Roman" w:hAnsi="Times New Roman"/>
          <w:color w:val="212020"/>
          <w:sz w:val="24"/>
          <w:szCs w:val="24"/>
          <w:lang w:val="en-US"/>
        </w:rPr>
        <w:t xml:space="preserve">. </w:t>
      </w:r>
      <w:proofErr w:type="gramStart"/>
      <w:r>
        <w:rPr>
          <w:rFonts w:ascii="Times New Roman" w:hAnsi="Times New Roman"/>
          <w:color w:val="212020"/>
          <w:sz w:val="24"/>
          <w:szCs w:val="24"/>
          <w:lang w:val="en-US"/>
        </w:rPr>
        <w:t>“Multi-level Lobbying in the EU”.</w:t>
      </w:r>
      <w:proofErr w:type="gramEnd"/>
      <w:r>
        <w:rPr>
          <w:rFonts w:ascii="Times New Roman" w:hAnsi="Times New Roman"/>
          <w:color w:val="212020"/>
          <w:sz w:val="24"/>
          <w:szCs w:val="24"/>
          <w:lang w:val="en-US"/>
        </w:rPr>
        <w:t xml:space="preserve"> </w:t>
      </w:r>
      <w:r w:rsidRPr="005339AD">
        <w:rPr>
          <w:rFonts w:ascii="Times New Roman" w:hAnsi="Times New Roman"/>
          <w:i/>
          <w:color w:val="212020"/>
          <w:sz w:val="24"/>
          <w:szCs w:val="24"/>
          <w:lang w:val="en-US"/>
        </w:rPr>
        <w:t>FNI Report</w:t>
      </w:r>
      <w:r>
        <w:rPr>
          <w:rFonts w:ascii="Times New Roman" w:hAnsi="Times New Roman"/>
          <w:color w:val="212020"/>
          <w:sz w:val="24"/>
          <w:szCs w:val="24"/>
          <w:lang w:val="en-US"/>
        </w:rPr>
        <w:t xml:space="preserve"> (10/2012)</w:t>
      </w:r>
    </w:p>
    <w:p w14:paraId="0554C6EE" w14:textId="6DB866C8" w:rsidR="005339AD" w:rsidRDefault="005339AD" w:rsidP="00BF1A52">
      <w:pPr>
        <w:pStyle w:val="NormalWeb"/>
        <w:rPr>
          <w:rFonts w:ascii="Times New Roman" w:hAnsi="Times New Roman"/>
          <w:color w:val="212020"/>
          <w:sz w:val="24"/>
          <w:szCs w:val="24"/>
          <w:lang w:val="en-US"/>
        </w:rPr>
      </w:pPr>
      <w:r>
        <w:rPr>
          <w:rFonts w:ascii="Times New Roman" w:hAnsi="Times New Roman"/>
          <w:color w:val="212020"/>
          <w:sz w:val="24"/>
          <w:szCs w:val="24"/>
          <w:lang w:val="en-US"/>
        </w:rPr>
        <w:t xml:space="preserve">European Commission. “Green Paper on the modernization of EU public procurement policy </w:t>
      </w:r>
      <w:proofErr w:type="gramStart"/>
      <w:r>
        <w:rPr>
          <w:rFonts w:ascii="Times New Roman" w:hAnsi="Times New Roman"/>
          <w:color w:val="212020"/>
          <w:sz w:val="24"/>
          <w:szCs w:val="24"/>
          <w:lang w:val="en-US"/>
        </w:rPr>
        <w:t>Towards</w:t>
      </w:r>
      <w:proofErr w:type="gramEnd"/>
      <w:r>
        <w:rPr>
          <w:rFonts w:ascii="Times New Roman" w:hAnsi="Times New Roman"/>
          <w:color w:val="212020"/>
          <w:sz w:val="24"/>
          <w:szCs w:val="24"/>
          <w:lang w:val="en-US"/>
        </w:rPr>
        <w:t xml:space="preserve"> a more efficient European Procurement Market” Brussels (27.01.2011)</w:t>
      </w:r>
    </w:p>
    <w:p w14:paraId="2058D83C" w14:textId="7FE23F09" w:rsidR="00C84871" w:rsidRDefault="004B3DDD" w:rsidP="00BF1A52">
      <w:pPr>
        <w:pStyle w:val="NormalWeb"/>
        <w:rPr>
          <w:rFonts w:ascii="Times New Roman" w:hAnsi="Times New Roman"/>
          <w:color w:val="000000"/>
          <w:sz w:val="24"/>
          <w:szCs w:val="24"/>
        </w:rPr>
      </w:pPr>
      <w:r>
        <w:rPr>
          <w:rFonts w:ascii="Times New Roman" w:hAnsi="Times New Roman"/>
          <w:sz w:val="24"/>
          <w:szCs w:val="24"/>
        </w:rPr>
        <w:t>Hauser</w:t>
      </w:r>
      <w:r w:rsidR="00956404">
        <w:rPr>
          <w:rFonts w:ascii="Times New Roman" w:hAnsi="Times New Roman"/>
          <w:sz w:val="24"/>
          <w:szCs w:val="24"/>
        </w:rPr>
        <w:t>,</w:t>
      </w:r>
      <w:r w:rsidR="00956404" w:rsidRPr="00956404">
        <w:rPr>
          <w:rFonts w:ascii="Times New Roman" w:hAnsi="Times New Roman"/>
          <w:sz w:val="24"/>
          <w:szCs w:val="24"/>
        </w:rPr>
        <w:t xml:space="preserve"> </w:t>
      </w:r>
      <w:r w:rsidR="00956404">
        <w:rPr>
          <w:rFonts w:ascii="Times New Roman" w:hAnsi="Times New Roman"/>
          <w:sz w:val="24"/>
          <w:szCs w:val="24"/>
        </w:rPr>
        <w:t>Henry</w:t>
      </w:r>
      <w:r>
        <w:rPr>
          <w:rFonts w:ascii="Times New Roman" w:hAnsi="Times New Roman"/>
          <w:sz w:val="24"/>
          <w:szCs w:val="24"/>
        </w:rPr>
        <w:t xml:space="preserve">. ”European </w:t>
      </w:r>
      <w:r w:rsidRPr="004B3DDD">
        <w:rPr>
          <w:rFonts w:ascii="Times New Roman" w:hAnsi="Times New Roman"/>
          <w:sz w:val="24"/>
          <w:szCs w:val="24"/>
        </w:rPr>
        <w:t xml:space="preserve">Union Lobbying Post-Lisbon: An Economic Analysis”. </w:t>
      </w:r>
      <w:r w:rsidRPr="004B3DDD">
        <w:rPr>
          <w:rFonts w:ascii="Times New Roman" w:hAnsi="Times New Roman"/>
          <w:i/>
          <w:sz w:val="24"/>
          <w:szCs w:val="24"/>
        </w:rPr>
        <w:t>Berkeley Journal of International Law</w:t>
      </w:r>
      <w:r w:rsidRPr="004B3DDD">
        <w:rPr>
          <w:rFonts w:ascii="Times New Roman" w:hAnsi="Times New Roman"/>
          <w:sz w:val="24"/>
          <w:szCs w:val="24"/>
        </w:rPr>
        <w:t xml:space="preserve"> Volume </w:t>
      </w:r>
      <w:r>
        <w:rPr>
          <w:rFonts w:ascii="Times New Roman" w:hAnsi="Times New Roman"/>
          <w:sz w:val="24"/>
          <w:szCs w:val="24"/>
        </w:rPr>
        <w:t>29/</w:t>
      </w:r>
      <w:r w:rsidRPr="004B3DDD">
        <w:rPr>
          <w:rFonts w:ascii="Times New Roman" w:hAnsi="Times New Roman"/>
          <w:color w:val="000000"/>
          <w:sz w:val="24"/>
          <w:szCs w:val="24"/>
        </w:rPr>
        <w:t>Issue 2</w:t>
      </w:r>
      <w:r w:rsidR="00C84871">
        <w:rPr>
          <w:rFonts w:ascii="Times New Roman" w:hAnsi="Times New Roman"/>
          <w:color w:val="000000"/>
          <w:sz w:val="24"/>
          <w:szCs w:val="24"/>
        </w:rPr>
        <w:t xml:space="preserve"> </w:t>
      </w:r>
    </w:p>
    <w:p w14:paraId="2D321595" w14:textId="6FD8F810" w:rsidR="007231D0" w:rsidRDefault="007231D0" w:rsidP="00BF1A52">
      <w:pPr>
        <w:pStyle w:val="NormalWeb"/>
        <w:rPr>
          <w:rFonts w:ascii="Times New Roman" w:hAnsi="Times New Roman"/>
          <w:color w:val="000000"/>
          <w:sz w:val="24"/>
          <w:szCs w:val="24"/>
        </w:rPr>
      </w:pPr>
      <w:r>
        <w:rPr>
          <w:rFonts w:ascii="Times New Roman" w:hAnsi="Times New Roman"/>
          <w:color w:val="000000"/>
          <w:sz w:val="24"/>
          <w:szCs w:val="24"/>
        </w:rPr>
        <w:t>Müller</w:t>
      </w:r>
      <w:r w:rsidR="00956404">
        <w:rPr>
          <w:rFonts w:ascii="Times New Roman" w:hAnsi="Times New Roman"/>
          <w:color w:val="000000"/>
          <w:sz w:val="24"/>
          <w:szCs w:val="24"/>
        </w:rPr>
        <w:t>,</w:t>
      </w:r>
      <w:r w:rsidR="00956404" w:rsidRPr="00956404">
        <w:rPr>
          <w:rFonts w:ascii="Times New Roman" w:hAnsi="Times New Roman"/>
          <w:color w:val="000000"/>
          <w:sz w:val="24"/>
          <w:szCs w:val="24"/>
        </w:rPr>
        <w:t xml:space="preserve"> </w:t>
      </w:r>
      <w:r w:rsidR="00956404">
        <w:rPr>
          <w:rFonts w:ascii="Times New Roman" w:hAnsi="Times New Roman"/>
          <w:color w:val="000000"/>
          <w:sz w:val="24"/>
          <w:szCs w:val="24"/>
        </w:rPr>
        <w:t>Liana</w:t>
      </w:r>
      <w:r>
        <w:rPr>
          <w:rFonts w:ascii="Times New Roman" w:hAnsi="Times New Roman"/>
          <w:color w:val="000000"/>
          <w:sz w:val="24"/>
          <w:szCs w:val="24"/>
        </w:rPr>
        <w:t>. ”Theoretical and Practical Challenges Using Qualitative Interviews as Date Gathering”</w:t>
      </w:r>
    </w:p>
    <w:p w14:paraId="05770EEF" w14:textId="639C164F" w:rsidR="007231D0" w:rsidRDefault="007231D0" w:rsidP="00BF1A52">
      <w:pPr>
        <w:pStyle w:val="NormalWeb"/>
        <w:rPr>
          <w:rFonts w:ascii="Times New Roman" w:hAnsi="Times New Roman"/>
          <w:color w:val="000000"/>
          <w:sz w:val="24"/>
          <w:szCs w:val="24"/>
        </w:rPr>
      </w:pPr>
      <w:r>
        <w:rPr>
          <w:rFonts w:ascii="Times New Roman" w:hAnsi="Times New Roman"/>
          <w:color w:val="000000"/>
          <w:sz w:val="24"/>
          <w:szCs w:val="24"/>
        </w:rPr>
        <w:t>Yin</w:t>
      </w:r>
      <w:r w:rsidR="00956404">
        <w:rPr>
          <w:rFonts w:ascii="Times New Roman" w:hAnsi="Times New Roman"/>
          <w:color w:val="000000"/>
          <w:sz w:val="24"/>
          <w:szCs w:val="24"/>
        </w:rPr>
        <w:t>,</w:t>
      </w:r>
      <w:r w:rsidR="00956404" w:rsidRPr="00956404">
        <w:rPr>
          <w:rFonts w:ascii="Times New Roman" w:hAnsi="Times New Roman"/>
          <w:color w:val="000000"/>
          <w:sz w:val="24"/>
          <w:szCs w:val="24"/>
        </w:rPr>
        <w:t xml:space="preserve"> </w:t>
      </w:r>
      <w:r w:rsidR="00956404">
        <w:rPr>
          <w:rFonts w:ascii="Times New Roman" w:hAnsi="Times New Roman"/>
          <w:color w:val="000000"/>
          <w:sz w:val="24"/>
          <w:szCs w:val="24"/>
        </w:rPr>
        <w:t>Robert K.</w:t>
      </w:r>
      <w:r>
        <w:rPr>
          <w:rFonts w:ascii="Times New Roman" w:hAnsi="Times New Roman"/>
          <w:color w:val="000000"/>
          <w:sz w:val="24"/>
          <w:szCs w:val="24"/>
        </w:rPr>
        <w:t xml:space="preserve">. ”Case Study Methods”. </w:t>
      </w:r>
      <w:r w:rsidRPr="007231D0">
        <w:rPr>
          <w:rFonts w:ascii="Times New Roman" w:hAnsi="Times New Roman"/>
          <w:i/>
          <w:color w:val="000000"/>
          <w:sz w:val="24"/>
          <w:szCs w:val="24"/>
        </w:rPr>
        <w:t>Cosmos Corporation</w:t>
      </w:r>
      <w:r>
        <w:rPr>
          <w:rFonts w:ascii="Times New Roman" w:hAnsi="Times New Roman"/>
          <w:color w:val="000000"/>
          <w:sz w:val="24"/>
          <w:szCs w:val="24"/>
        </w:rPr>
        <w:t xml:space="preserve"> (20. January 2004)</w:t>
      </w:r>
    </w:p>
    <w:p w14:paraId="10B29CD9" w14:textId="6CBA2695" w:rsidR="005C6D6A" w:rsidRDefault="005C6D6A" w:rsidP="00BF1A52">
      <w:pPr>
        <w:pStyle w:val="NormalWeb"/>
        <w:rPr>
          <w:rFonts w:ascii="Times New Roman" w:hAnsi="Times New Roman"/>
          <w:color w:val="000000"/>
          <w:sz w:val="24"/>
          <w:szCs w:val="24"/>
        </w:rPr>
      </w:pPr>
      <w:r>
        <w:rPr>
          <w:rFonts w:ascii="Times New Roman" w:hAnsi="Times New Roman"/>
          <w:color w:val="000000"/>
          <w:sz w:val="24"/>
          <w:szCs w:val="24"/>
        </w:rPr>
        <w:t>Jørgensen</w:t>
      </w:r>
      <w:r w:rsidR="00956404">
        <w:rPr>
          <w:rFonts w:ascii="Times New Roman" w:hAnsi="Times New Roman"/>
          <w:color w:val="000000"/>
          <w:sz w:val="24"/>
          <w:szCs w:val="24"/>
        </w:rPr>
        <w:t>,</w:t>
      </w:r>
      <w:r w:rsidR="00956404" w:rsidRPr="00956404">
        <w:rPr>
          <w:rFonts w:ascii="Times New Roman" w:hAnsi="Times New Roman"/>
          <w:color w:val="000000"/>
          <w:sz w:val="24"/>
          <w:szCs w:val="24"/>
        </w:rPr>
        <w:t xml:space="preserve"> </w:t>
      </w:r>
      <w:r w:rsidR="00956404">
        <w:rPr>
          <w:rFonts w:ascii="Times New Roman" w:hAnsi="Times New Roman"/>
          <w:color w:val="000000"/>
          <w:sz w:val="24"/>
          <w:szCs w:val="24"/>
        </w:rPr>
        <w:t>Jens</w:t>
      </w:r>
      <w:r>
        <w:rPr>
          <w:rFonts w:ascii="Times New Roman" w:hAnsi="Times New Roman"/>
          <w:color w:val="000000"/>
          <w:sz w:val="24"/>
          <w:szCs w:val="24"/>
        </w:rPr>
        <w:t xml:space="preserve">. ”Udlandet takker nej til danske udbud”. </w:t>
      </w:r>
      <w:r w:rsidRPr="005C6D6A">
        <w:rPr>
          <w:rFonts w:ascii="Times New Roman" w:hAnsi="Times New Roman"/>
          <w:i/>
          <w:color w:val="000000"/>
          <w:sz w:val="24"/>
          <w:szCs w:val="24"/>
        </w:rPr>
        <w:t>Momentum</w:t>
      </w:r>
      <w:r>
        <w:rPr>
          <w:rFonts w:ascii="Times New Roman" w:hAnsi="Times New Roman"/>
          <w:color w:val="000000"/>
          <w:sz w:val="24"/>
          <w:szCs w:val="24"/>
        </w:rPr>
        <w:t xml:space="preserve"> 3. årgang 4. udgave (2011)</w:t>
      </w:r>
    </w:p>
    <w:p w14:paraId="41B02A8B" w14:textId="71676D60" w:rsidR="00BA4B93" w:rsidRDefault="00BA4B93" w:rsidP="00BF1A52">
      <w:pPr>
        <w:pStyle w:val="NormalWeb"/>
        <w:rPr>
          <w:rFonts w:ascii="Times New Roman" w:hAnsi="Times New Roman"/>
          <w:color w:val="000000"/>
          <w:sz w:val="24"/>
          <w:szCs w:val="24"/>
        </w:rPr>
      </w:pPr>
      <w:r>
        <w:rPr>
          <w:rFonts w:ascii="Times New Roman" w:hAnsi="Times New Roman"/>
          <w:color w:val="000000"/>
          <w:sz w:val="24"/>
          <w:szCs w:val="24"/>
        </w:rPr>
        <w:t>McIver</w:t>
      </w:r>
      <w:r w:rsidR="00956404">
        <w:rPr>
          <w:rFonts w:ascii="Times New Roman" w:hAnsi="Times New Roman"/>
          <w:color w:val="000000"/>
          <w:sz w:val="24"/>
          <w:szCs w:val="24"/>
        </w:rPr>
        <w:t>,</w:t>
      </w:r>
      <w:r w:rsidR="00956404" w:rsidRPr="00956404">
        <w:rPr>
          <w:rFonts w:ascii="Times New Roman" w:hAnsi="Times New Roman"/>
          <w:color w:val="000000"/>
          <w:sz w:val="24"/>
          <w:szCs w:val="24"/>
        </w:rPr>
        <w:t xml:space="preserve"> </w:t>
      </w:r>
      <w:r w:rsidR="00956404">
        <w:rPr>
          <w:rFonts w:ascii="Times New Roman" w:hAnsi="Times New Roman"/>
          <w:color w:val="000000"/>
          <w:sz w:val="24"/>
          <w:szCs w:val="24"/>
        </w:rPr>
        <w:t>Iain</w:t>
      </w:r>
      <w:r>
        <w:rPr>
          <w:rFonts w:ascii="Times New Roman" w:hAnsi="Times New Roman"/>
          <w:color w:val="000000"/>
          <w:sz w:val="24"/>
          <w:szCs w:val="24"/>
        </w:rPr>
        <w:t xml:space="preserve">. ”The European Union – The Legislative Process”. </w:t>
      </w:r>
      <w:r w:rsidRPr="0031594A">
        <w:rPr>
          <w:rFonts w:ascii="Times New Roman" w:hAnsi="Times New Roman"/>
          <w:color w:val="000000"/>
          <w:sz w:val="24"/>
          <w:szCs w:val="24"/>
        </w:rPr>
        <w:t>SPICe Briefing</w:t>
      </w:r>
      <w:r>
        <w:rPr>
          <w:rFonts w:ascii="Times New Roman" w:hAnsi="Times New Roman"/>
          <w:color w:val="000000"/>
          <w:sz w:val="24"/>
          <w:szCs w:val="24"/>
        </w:rPr>
        <w:t xml:space="preserve"> 11/46 (2011)</w:t>
      </w:r>
    </w:p>
    <w:p w14:paraId="27DBF03E" w14:textId="546A6887" w:rsidR="0031594A" w:rsidRDefault="0031594A" w:rsidP="00BF1A52">
      <w:pPr>
        <w:pStyle w:val="NormalWeb"/>
        <w:rPr>
          <w:rFonts w:ascii="Times New Roman" w:hAnsi="Times New Roman"/>
          <w:color w:val="000000"/>
          <w:sz w:val="24"/>
          <w:szCs w:val="24"/>
        </w:rPr>
      </w:pPr>
      <w:r>
        <w:rPr>
          <w:rFonts w:ascii="Times New Roman" w:hAnsi="Times New Roman"/>
          <w:color w:val="000000"/>
          <w:sz w:val="24"/>
          <w:szCs w:val="24"/>
        </w:rPr>
        <w:t xml:space="preserve">Stahl, Gerhard and </w:t>
      </w:r>
      <w:r w:rsidRPr="0031594A">
        <w:rPr>
          <w:rFonts w:ascii="Times New Roman" w:hAnsi="Times New Roman"/>
          <w:color w:val="000000"/>
          <w:sz w:val="24"/>
          <w:szCs w:val="24"/>
        </w:rPr>
        <w:t xml:space="preserve">Gianluca Spinaci. ”Europe 2020: multi-level governance in action”. </w:t>
      </w:r>
      <w:r w:rsidRPr="0031594A">
        <w:rPr>
          <w:rFonts w:ascii="Times New Roman" w:hAnsi="Times New Roman"/>
          <w:i/>
          <w:color w:val="000000"/>
          <w:sz w:val="24"/>
          <w:szCs w:val="24"/>
        </w:rPr>
        <w:t>Challenge Europe</w:t>
      </w:r>
      <w:r w:rsidRPr="0031594A">
        <w:rPr>
          <w:rFonts w:ascii="Times New Roman" w:hAnsi="Times New Roman"/>
          <w:color w:val="000000"/>
          <w:sz w:val="24"/>
          <w:szCs w:val="24"/>
        </w:rPr>
        <w:t xml:space="preserve"> No.3 (2010)</w:t>
      </w:r>
    </w:p>
    <w:p w14:paraId="5921474E" w14:textId="491F98EF" w:rsidR="008E3958" w:rsidRDefault="008E3958" w:rsidP="00BF1A52">
      <w:pPr>
        <w:pStyle w:val="NormalWeb"/>
        <w:rPr>
          <w:rFonts w:ascii="Times New Roman" w:hAnsi="Times New Roman"/>
          <w:color w:val="000000"/>
          <w:sz w:val="24"/>
          <w:szCs w:val="24"/>
        </w:rPr>
      </w:pPr>
      <w:r>
        <w:rPr>
          <w:rFonts w:ascii="Times New Roman" w:hAnsi="Times New Roman"/>
          <w:color w:val="000000"/>
          <w:sz w:val="24"/>
          <w:szCs w:val="24"/>
        </w:rPr>
        <w:t>European Parliament. ”Position of the European Parliament”. (15. January 2014)</w:t>
      </w:r>
    </w:p>
    <w:p w14:paraId="1B03D3CF" w14:textId="1338F6C0" w:rsidR="003F0171" w:rsidRDefault="003F0171" w:rsidP="00BF1A52">
      <w:pPr>
        <w:pStyle w:val="NormalWeb"/>
        <w:rPr>
          <w:rFonts w:ascii="Times New Roman" w:hAnsi="Times New Roman"/>
          <w:color w:val="000000"/>
          <w:sz w:val="24"/>
          <w:szCs w:val="24"/>
        </w:rPr>
      </w:pPr>
      <w:r>
        <w:rPr>
          <w:rFonts w:ascii="Times New Roman" w:hAnsi="Times New Roman"/>
          <w:color w:val="000000"/>
          <w:sz w:val="24"/>
          <w:szCs w:val="24"/>
        </w:rPr>
        <w:t xml:space="preserve">Council of the European Union. ”Competitiveness (Internal Market, Industry, Research and Space)”. </w:t>
      </w:r>
      <w:r w:rsidR="00CC5147">
        <w:rPr>
          <w:rFonts w:ascii="Times New Roman" w:hAnsi="Times New Roman"/>
          <w:color w:val="000000"/>
          <w:sz w:val="24"/>
          <w:szCs w:val="24"/>
        </w:rPr>
        <w:t>3208th Council meeting. (10. December 2012)</w:t>
      </w:r>
      <w:r>
        <w:rPr>
          <w:rFonts w:ascii="Times New Roman" w:hAnsi="Times New Roman"/>
          <w:color w:val="000000"/>
          <w:sz w:val="24"/>
          <w:szCs w:val="24"/>
        </w:rPr>
        <w:t xml:space="preserve"> </w:t>
      </w:r>
    </w:p>
    <w:p w14:paraId="74A80233" w14:textId="2465D4F2" w:rsidR="00CC5147" w:rsidRDefault="00CC5147" w:rsidP="00BF1A52">
      <w:pPr>
        <w:pStyle w:val="NormalWeb"/>
        <w:rPr>
          <w:rFonts w:ascii="Times New Roman" w:hAnsi="Times New Roman"/>
          <w:color w:val="000000"/>
          <w:sz w:val="24"/>
          <w:szCs w:val="24"/>
        </w:rPr>
      </w:pPr>
      <w:r>
        <w:rPr>
          <w:rFonts w:ascii="Times New Roman" w:hAnsi="Times New Roman"/>
          <w:color w:val="000000"/>
          <w:sz w:val="24"/>
          <w:szCs w:val="24"/>
        </w:rPr>
        <w:t xml:space="preserve">Council of the European Union. ”Competitiveness (Internal Market, Industry, Research and Space)”. 3169th Council meeting. (30. May 2012) </w:t>
      </w:r>
    </w:p>
    <w:p w14:paraId="5BE231B2" w14:textId="457D7175" w:rsidR="00424AA9" w:rsidRDefault="00424AA9" w:rsidP="00BF1A52">
      <w:pPr>
        <w:pStyle w:val="NormalWeb"/>
        <w:rPr>
          <w:rFonts w:ascii="Times New Roman" w:hAnsi="Times New Roman"/>
          <w:color w:val="000000"/>
          <w:sz w:val="24"/>
          <w:szCs w:val="24"/>
        </w:rPr>
      </w:pPr>
      <w:r>
        <w:rPr>
          <w:rFonts w:ascii="Times New Roman" w:hAnsi="Times New Roman"/>
          <w:color w:val="000000"/>
          <w:sz w:val="24"/>
          <w:szCs w:val="24"/>
        </w:rPr>
        <w:t xml:space="preserve">Council of the European Union. ”Competitiveness (Internal Market, Industry, Research and Space)”. 3147th Council meeting. (20. February 2012) </w:t>
      </w:r>
    </w:p>
    <w:p w14:paraId="71A71FCD" w14:textId="787C41B3" w:rsidR="00CC5147" w:rsidRPr="005C6D6A" w:rsidRDefault="00CC5147" w:rsidP="00BF1A52">
      <w:pPr>
        <w:pStyle w:val="NormalWeb"/>
        <w:rPr>
          <w:rFonts w:ascii="Times New Roman" w:hAnsi="Times New Roman"/>
          <w:sz w:val="24"/>
          <w:szCs w:val="24"/>
        </w:rPr>
      </w:pPr>
      <w:r>
        <w:rPr>
          <w:rFonts w:ascii="Times New Roman" w:hAnsi="Times New Roman"/>
          <w:color w:val="000000"/>
          <w:sz w:val="24"/>
          <w:szCs w:val="24"/>
        </w:rPr>
        <w:t xml:space="preserve">European Economic and Social Committee. ”Opinion of the European Economic and Social Committee on the ”Proposal for a Directive of the European Parliament and of the Council on public procurement”. (26. April 2012) </w:t>
      </w:r>
    </w:p>
    <w:p w14:paraId="4E764EEC" w14:textId="4E7B62BD" w:rsidR="007F7666" w:rsidRDefault="007F7666" w:rsidP="00BF1A52">
      <w:pPr>
        <w:pStyle w:val="Default"/>
      </w:pPr>
      <w:proofErr w:type="gramStart"/>
      <w:r>
        <w:t>The Committee of the Regions.</w:t>
      </w:r>
      <w:proofErr w:type="gramEnd"/>
      <w:r>
        <w:t xml:space="preserve"> ”Opinion of the Committee of the Regions on “Public procurement package”. </w:t>
      </w:r>
      <w:proofErr w:type="gramStart"/>
      <w:r w:rsidRPr="007F7666">
        <w:rPr>
          <w:i/>
        </w:rPr>
        <w:t>Official Journal of the European Union</w:t>
      </w:r>
      <w:r>
        <w:t>.</w:t>
      </w:r>
      <w:proofErr w:type="gramEnd"/>
      <w:r>
        <w:t xml:space="preserve"> (18. December 2012)</w:t>
      </w:r>
    </w:p>
    <w:p w14:paraId="37DBE624" w14:textId="77777777" w:rsidR="005B41CD" w:rsidRDefault="005B41CD" w:rsidP="00BF1A52">
      <w:pPr>
        <w:pStyle w:val="Default"/>
      </w:pPr>
    </w:p>
    <w:p w14:paraId="0A18BD8F" w14:textId="6D84E17D" w:rsidR="005B41CD" w:rsidRPr="005B41CD" w:rsidRDefault="005B41CD" w:rsidP="00BF1A52">
      <w:pPr>
        <w:pStyle w:val="Default"/>
        <w:rPr>
          <w:rFonts w:ascii="EUAlbertina" w:hAnsi="EUAlbertina" w:cs="EUAlbertina"/>
        </w:rPr>
      </w:pPr>
      <w:r>
        <w:t xml:space="preserve">Hallsworth, Michael and Simon Parker. </w:t>
      </w:r>
      <w:proofErr w:type="gramStart"/>
      <w:r>
        <w:t>“Policy Making in the Real World – Evidence and Analysis”.</w:t>
      </w:r>
      <w:proofErr w:type="gramEnd"/>
      <w:r>
        <w:t xml:space="preserve"> </w:t>
      </w:r>
      <w:r w:rsidRPr="005B41CD">
        <w:rPr>
          <w:i/>
        </w:rPr>
        <w:t>Institute for Government</w:t>
      </w:r>
      <w:r>
        <w:t xml:space="preserve"> (April 2011)</w:t>
      </w:r>
    </w:p>
    <w:p w14:paraId="750640FE" w14:textId="77777777" w:rsidR="006052A7" w:rsidRDefault="006052A7" w:rsidP="00BF1A52">
      <w:pPr>
        <w:pStyle w:val="FootnoteText"/>
        <w:rPr>
          <w:rFonts w:cs="Times New Roman"/>
          <w:color w:val="000000" w:themeColor="text1"/>
          <w:sz w:val="26"/>
          <w:szCs w:val="26"/>
          <w:u w:val="single"/>
        </w:rPr>
      </w:pPr>
    </w:p>
    <w:p w14:paraId="0BF857AC" w14:textId="77777777" w:rsidR="006052A7" w:rsidRDefault="006052A7" w:rsidP="00BF1A52">
      <w:pPr>
        <w:pStyle w:val="FootnoteText"/>
        <w:rPr>
          <w:rFonts w:cs="Times New Roman"/>
          <w:color w:val="000000" w:themeColor="text1"/>
          <w:sz w:val="26"/>
          <w:szCs w:val="26"/>
          <w:u w:val="single"/>
        </w:rPr>
      </w:pPr>
    </w:p>
    <w:p w14:paraId="56A66409" w14:textId="77777777" w:rsidR="006052A7" w:rsidRPr="00AD514F" w:rsidRDefault="006052A7" w:rsidP="00BF1A52">
      <w:pPr>
        <w:pStyle w:val="FootnoteText"/>
        <w:rPr>
          <w:rFonts w:cs="Times New Roman"/>
          <w:color w:val="000000" w:themeColor="text1"/>
          <w:sz w:val="28"/>
          <w:szCs w:val="28"/>
          <w:u w:val="single"/>
        </w:rPr>
      </w:pPr>
      <w:r w:rsidRPr="00AD514F">
        <w:rPr>
          <w:rFonts w:cs="Times New Roman"/>
          <w:color w:val="000000" w:themeColor="text1"/>
          <w:sz w:val="28"/>
          <w:szCs w:val="28"/>
          <w:u w:val="single"/>
        </w:rPr>
        <w:lastRenderedPageBreak/>
        <w:t>Online Sources:</w:t>
      </w:r>
    </w:p>
    <w:p w14:paraId="48589B57" w14:textId="77777777" w:rsidR="006052A7" w:rsidRDefault="006052A7" w:rsidP="00BF1A52">
      <w:pPr>
        <w:rPr>
          <w:rFonts w:ascii="Times New Roman" w:hAnsi="Times New Roman" w:cs="Times New Roman"/>
          <w:color w:val="000000" w:themeColor="text1"/>
          <w:sz w:val="22"/>
          <w:szCs w:val="22"/>
        </w:rPr>
      </w:pPr>
    </w:p>
    <w:p w14:paraId="0A4C2BEE" w14:textId="44855931" w:rsidR="006052A7" w:rsidRDefault="00A0714F" w:rsidP="00BF1A52">
      <w:pPr>
        <w:rPr>
          <w:rFonts w:ascii="Times New Roman" w:hAnsi="Times New Roman" w:cs="Times New Roman"/>
          <w:color w:val="000000" w:themeColor="text1"/>
          <w:lang w:val="en-US"/>
        </w:rPr>
      </w:pPr>
      <w:r>
        <w:rPr>
          <w:rFonts w:ascii="Times New Roman" w:hAnsi="Times New Roman" w:cs="Times New Roman"/>
          <w:color w:val="000000" w:themeColor="text1"/>
        </w:rPr>
        <w:t>KL og Danske Regioner.</w:t>
      </w:r>
      <w:r w:rsidR="006052A7" w:rsidRPr="00AD514F">
        <w:rPr>
          <w:rFonts w:ascii="Times New Roman" w:hAnsi="Times New Roman" w:cs="Times New Roman"/>
          <w:color w:val="000000" w:themeColor="text1"/>
        </w:rPr>
        <w:t xml:space="preserve"> </w:t>
      </w:r>
      <w:r w:rsidR="005B41CD">
        <w:rPr>
          <w:rFonts w:ascii="Times New Roman" w:hAnsi="Times New Roman" w:cs="Times New Roman"/>
          <w:color w:val="000000" w:themeColor="text1"/>
        </w:rPr>
        <w:t>”</w:t>
      </w:r>
      <w:r w:rsidR="006052A7" w:rsidRPr="00AD514F">
        <w:rPr>
          <w:rFonts w:ascii="Times New Roman" w:hAnsi="Times New Roman" w:cs="Times New Roman"/>
          <w:color w:val="000000" w:themeColor="text1"/>
          <w:lang w:val="en-US"/>
        </w:rPr>
        <w:t>EU’s udbudsdirektiver – fokus skal tilbage på det gode købmandskab</w:t>
      </w:r>
      <w:r w:rsidR="005B41CD">
        <w:rPr>
          <w:rFonts w:ascii="Times New Roman" w:hAnsi="Times New Roman" w:cs="Times New Roman"/>
          <w:color w:val="000000" w:themeColor="text1"/>
          <w:lang w:val="en-US"/>
        </w:rPr>
        <w:t>”</w:t>
      </w:r>
      <w:r w:rsidR="006052A7" w:rsidRPr="00AD514F">
        <w:rPr>
          <w:rFonts w:ascii="Times New Roman" w:hAnsi="Times New Roman" w:cs="Times New Roman"/>
          <w:color w:val="000000" w:themeColor="text1"/>
          <w:lang w:val="en-US"/>
        </w:rPr>
        <w:t xml:space="preserve"> (2012)</w:t>
      </w:r>
    </w:p>
    <w:p w14:paraId="76DF54F9" w14:textId="77777777" w:rsidR="005B41CD" w:rsidRDefault="005B41CD" w:rsidP="00BF1A52">
      <w:pPr>
        <w:rPr>
          <w:rFonts w:ascii="Times New Roman" w:hAnsi="Times New Roman" w:cs="Times New Roman"/>
          <w:color w:val="000000" w:themeColor="text1"/>
          <w:lang w:val="en-US"/>
        </w:rPr>
      </w:pPr>
    </w:p>
    <w:p w14:paraId="70CBCB97" w14:textId="66B7E513" w:rsidR="005B41CD" w:rsidRPr="005B41CD" w:rsidRDefault="005B41CD" w:rsidP="00BF1A52">
      <w:pPr>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Savard, Jean-François. </w:t>
      </w:r>
      <w:proofErr w:type="gramStart"/>
      <w:r>
        <w:rPr>
          <w:rFonts w:ascii="Times New Roman" w:hAnsi="Times New Roman" w:cs="Times New Roman"/>
          <w:color w:val="000000" w:themeColor="text1"/>
          <w:lang w:val="en-US"/>
        </w:rPr>
        <w:t>“Policy Cycles”.</w:t>
      </w:r>
      <w:proofErr w:type="gramEnd"/>
      <w:r>
        <w:rPr>
          <w:rFonts w:ascii="Times New Roman" w:hAnsi="Times New Roman" w:cs="Times New Roman"/>
          <w:color w:val="000000" w:themeColor="text1"/>
          <w:lang w:val="en-US"/>
        </w:rPr>
        <w:t xml:space="preserve"> </w:t>
      </w:r>
      <w:proofErr w:type="gramStart"/>
      <w:r w:rsidRPr="005B41CD">
        <w:rPr>
          <w:rFonts w:ascii="Times New Roman" w:hAnsi="Times New Roman" w:cs="Times New Roman"/>
          <w:i/>
          <w:color w:val="000000" w:themeColor="text1"/>
          <w:lang w:val="en-US"/>
        </w:rPr>
        <w:t>Encyclopedia Dictionary of Public Administration</w:t>
      </w:r>
      <w:r>
        <w:rPr>
          <w:rFonts w:ascii="Times New Roman" w:hAnsi="Times New Roman" w:cs="Times New Roman"/>
          <w:i/>
          <w:color w:val="000000" w:themeColor="text1"/>
          <w:lang w:val="en-US"/>
        </w:rPr>
        <w:t>.</w:t>
      </w:r>
      <w:proofErr w:type="gramEnd"/>
    </w:p>
    <w:p w14:paraId="273DFC57" w14:textId="77777777" w:rsidR="006052A7" w:rsidRPr="00AD514F" w:rsidRDefault="006052A7" w:rsidP="00BF1A52">
      <w:pPr>
        <w:pStyle w:val="Default"/>
        <w:rPr>
          <w:color w:val="000000" w:themeColor="text1"/>
        </w:rPr>
      </w:pPr>
    </w:p>
    <w:p w14:paraId="5E1A062F" w14:textId="77777777" w:rsidR="006052A7" w:rsidRPr="00AD514F" w:rsidRDefault="006052A7" w:rsidP="00BF1A52">
      <w:pPr>
        <w:pStyle w:val="FootnoteText"/>
        <w:rPr>
          <w:rFonts w:cs="Times New Roman"/>
          <w:color w:val="000000" w:themeColor="text1"/>
          <w:sz w:val="24"/>
        </w:rPr>
      </w:pPr>
      <w:r w:rsidRPr="00AD514F">
        <w:rPr>
          <w:rFonts w:cs="Times New Roman"/>
          <w:color w:val="000000" w:themeColor="text1"/>
          <w:sz w:val="24"/>
        </w:rPr>
        <w:t>Kommunernes Landsforening. KL i Bruxelles</w:t>
      </w:r>
      <w:r w:rsidRPr="005B41CD">
        <w:rPr>
          <w:rFonts w:cs="Times New Roman"/>
          <w:color w:val="0000FF"/>
          <w:sz w:val="24"/>
        </w:rPr>
        <w:t xml:space="preserve">. </w:t>
      </w:r>
      <w:r w:rsidR="00A0714F" w:rsidRPr="005B41CD">
        <w:rPr>
          <w:color w:val="0000FF"/>
        </w:rPr>
        <w:fldChar w:fldCharType="begin"/>
      </w:r>
      <w:r w:rsidR="00A0714F" w:rsidRPr="005B41CD">
        <w:rPr>
          <w:color w:val="0000FF"/>
        </w:rPr>
        <w:instrText xml:space="preserve"> HYPERLINK "http://www.kl.dk/menu/EU-kontoret-i-Bruxelles-id40892/" </w:instrText>
      </w:r>
      <w:r w:rsidR="00A0714F" w:rsidRPr="005B41CD">
        <w:rPr>
          <w:color w:val="0000FF"/>
        </w:rPr>
        <w:fldChar w:fldCharType="separate"/>
      </w:r>
      <w:r w:rsidRPr="005B41CD">
        <w:rPr>
          <w:rStyle w:val="Hyperlink"/>
          <w:rFonts w:cs="Times New Roman"/>
          <w:color w:val="0000FF"/>
          <w:sz w:val="24"/>
        </w:rPr>
        <w:t>http://www.kl.dk/menu/EU-kontoret-i-Bruxelles-id40892/</w:t>
      </w:r>
      <w:r w:rsidR="00A0714F" w:rsidRPr="005B41CD">
        <w:rPr>
          <w:rStyle w:val="Hyperlink"/>
          <w:rFonts w:cs="Times New Roman"/>
          <w:color w:val="0000FF"/>
          <w:sz w:val="24"/>
        </w:rPr>
        <w:fldChar w:fldCharType="end"/>
      </w:r>
      <w:r w:rsidRPr="00AD514F">
        <w:rPr>
          <w:rFonts w:cs="Times New Roman"/>
          <w:color w:val="000000" w:themeColor="text1"/>
          <w:sz w:val="24"/>
        </w:rPr>
        <w:t xml:space="preserve"> [11. November 2014]</w:t>
      </w:r>
    </w:p>
    <w:p w14:paraId="276C2AAB" w14:textId="77777777" w:rsidR="006052A7" w:rsidRPr="00AD514F" w:rsidRDefault="006052A7" w:rsidP="00BF1A52">
      <w:pPr>
        <w:pStyle w:val="FootnoteText"/>
        <w:rPr>
          <w:rFonts w:cs="Times New Roman"/>
          <w:color w:val="000000" w:themeColor="text1"/>
          <w:sz w:val="24"/>
        </w:rPr>
      </w:pPr>
    </w:p>
    <w:p w14:paraId="7BADA3AE" w14:textId="77777777" w:rsidR="006052A7" w:rsidRPr="00AD514F" w:rsidRDefault="006052A7" w:rsidP="00BF1A52">
      <w:pPr>
        <w:pStyle w:val="FootnoteText"/>
        <w:rPr>
          <w:rFonts w:cs="Times New Roman"/>
          <w:color w:val="000000" w:themeColor="text1"/>
          <w:sz w:val="24"/>
          <w:lang w:val="en-GB"/>
        </w:rPr>
      </w:pPr>
      <w:r w:rsidRPr="00AD514F">
        <w:rPr>
          <w:rFonts w:cs="Times New Roman"/>
          <w:color w:val="000000" w:themeColor="text1"/>
          <w:sz w:val="24"/>
          <w:lang w:val="en-GB"/>
        </w:rPr>
        <w:t xml:space="preserve">Committee of the Regions ”Key facts”, </w:t>
      </w:r>
      <w:hyperlink r:id="rId37" w:history="1">
        <w:r w:rsidRPr="005B41CD">
          <w:rPr>
            <w:rStyle w:val="Hyperlink"/>
            <w:rFonts w:cs="Times New Roman"/>
            <w:color w:val="0000FF"/>
            <w:sz w:val="24"/>
            <w:lang w:val="en-GB"/>
          </w:rPr>
          <w:t>http://cor.europa.eu/en/about/Pages/key-facts.aspx</w:t>
        </w:r>
      </w:hyperlink>
      <w:r w:rsidRPr="00AD514F">
        <w:rPr>
          <w:rFonts w:cs="Times New Roman"/>
          <w:color w:val="000000" w:themeColor="text1"/>
          <w:sz w:val="24"/>
          <w:lang w:val="en-GB"/>
        </w:rPr>
        <w:t xml:space="preserve"> [31. October 2014]</w:t>
      </w:r>
    </w:p>
    <w:p w14:paraId="4F6D47F1" w14:textId="77777777" w:rsidR="006052A7" w:rsidRPr="00AD514F" w:rsidRDefault="006052A7" w:rsidP="00BF1A52">
      <w:pPr>
        <w:pStyle w:val="FootnoteText"/>
        <w:rPr>
          <w:rFonts w:cs="Times New Roman"/>
          <w:color w:val="000000" w:themeColor="text1"/>
          <w:sz w:val="24"/>
          <w:lang w:val="en-GB"/>
        </w:rPr>
      </w:pPr>
    </w:p>
    <w:p w14:paraId="2E6DBA99" w14:textId="75A5D36E" w:rsidR="006052A7" w:rsidRPr="00AD514F" w:rsidRDefault="006052A7" w:rsidP="00BF1A52">
      <w:pPr>
        <w:rPr>
          <w:rFonts w:ascii="Times New Roman" w:hAnsi="Times New Roman" w:cs="Times New Roman"/>
          <w:color w:val="000000" w:themeColor="text1"/>
          <w:lang w:val="en-GB"/>
        </w:rPr>
      </w:pPr>
      <w:proofErr w:type="gramStart"/>
      <w:r w:rsidRPr="00AD514F">
        <w:rPr>
          <w:rFonts w:ascii="Times New Roman" w:hAnsi="Times New Roman" w:cs="Times New Roman"/>
          <w:color w:val="000000" w:themeColor="text1"/>
          <w:lang w:val="en-GB"/>
        </w:rPr>
        <w:t>Committee of the Regions ”Mission Statement”, 21.</w:t>
      </w:r>
      <w:proofErr w:type="gramEnd"/>
      <w:r w:rsidRPr="00AD514F">
        <w:rPr>
          <w:rFonts w:ascii="Times New Roman" w:hAnsi="Times New Roman" w:cs="Times New Roman"/>
          <w:color w:val="000000" w:themeColor="text1"/>
          <w:lang w:val="en-GB"/>
        </w:rPr>
        <w:t xml:space="preserve"> April 2009, p.1, </w:t>
      </w:r>
      <w:hyperlink r:id="rId38" w:history="1">
        <w:r w:rsidRPr="005B41CD">
          <w:rPr>
            <w:rStyle w:val="Hyperlink"/>
            <w:rFonts w:ascii="Times New Roman" w:hAnsi="Times New Roman" w:cs="Times New Roman"/>
            <w:color w:val="0000FF"/>
            <w:lang w:val="en-GB"/>
          </w:rPr>
          <w:t>http://cor.europa.eu/en/about/Documents/Mission%20statement/EN.pdf</w:t>
        </w:r>
      </w:hyperlink>
      <w:r w:rsidRPr="00AD514F">
        <w:rPr>
          <w:rFonts w:ascii="Times New Roman" w:hAnsi="Times New Roman" w:cs="Times New Roman"/>
          <w:color w:val="000000" w:themeColor="text1"/>
          <w:lang w:val="en-GB"/>
        </w:rPr>
        <w:t>[31. October 2014]</w:t>
      </w:r>
    </w:p>
    <w:p w14:paraId="429C5573" w14:textId="77777777" w:rsidR="006052A7" w:rsidRPr="00AD514F" w:rsidRDefault="006052A7" w:rsidP="00BF1A52">
      <w:pPr>
        <w:rPr>
          <w:rFonts w:ascii="Times New Roman" w:hAnsi="Times New Roman" w:cs="Times New Roman"/>
          <w:color w:val="000000" w:themeColor="text1"/>
          <w:lang w:val="en-GB"/>
        </w:rPr>
      </w:pPr>
    </w:p>
    <w:p w14:paraId="0286FCC4" w14:textId="45F225ED" w:rsidR="006052A7" w:rsidRPr="00AD514F" w:rsidRDefault="005C6D6A" w:rsidP="00BF1A52">
      <w:pPr>
        <w:rPr>
          <w:rFonts w:ascii="Times New Roman" w:hAnsi="Times New Roman" w:cs="Times New Roman"/>
          <w:color w:val="000000" w:themeColor="text1"/>
        </w:rPr>
      </w:pPr>
      <w:r>
        <w:rPr>
          <w:rFonts w:ascii="Times New Roman" w:hAnsi="Times New Roman" w:cs="Times New Roman"/>
          <w:color w:val="000000" w:themeColor="text1"/>
        </w:rPr>
        <w:t xml:space="preserve">EU Glossary. </w:t>
      </w:r>
      <w:r w:rsidR="006052A7" w:rsidRPr="00AD514F">
        <w:rPr>
          <w:rFonts w:ascii="Times New Roman" w:hAnsi="Times New Roman" w:cs="Times New Roman"/>
          <w:color w:val="000000" w:themeColor="text1"/>
        </w:rPr>
        <w:t xml:space="preserve">Online electronic reference database website </w:t>
      </w:r>
      <w:hyperlink r:id="rId39" w:history="1">
        <w:r w:rsidR="00A0714F" w:rsidRPr="00D548DC">
          <w:rPr>
            <w:rStyle w:val="Hyperlink"/>
            <w:rFonts w:ascii="Times New Roman" w:hAnsi="Times New Roman" w:cs="Times New Roman"/>
          </w:rPr>
          <w:t>http://europa.eu/legislation_summaries/glossary/</w:t>
        </w:r>
      </w:hyperlink>
      <w:r w:rsidR="00A0714F">
        <w:rPr>
          <w:rFonts w:ascii="Times New Roman" w:hAnsi="Times New Roman" w:cs="Times New Roman"/>
          <w:color w:val="000000" w:themeColor="text1"/>
        </w:rPr>
        <w:t xml:space="preserve"> </w:t>
      </w:r>
      <w:r w:rsidR="006052A7" w:rsidRPr="00AD514F">
        <w:rPr>
          <w:rFonts w:ascii="Times New Roman" w:hAnsi="Times New Roman" w:cs="Times New Roman"/>
          <w:color w:val="000000" w:themeColor="text1"/>
        </w:rPr>
        <w:t>[31 Octoberc 2014]</w:t>
      </w:r>
    </w:p>
    <w:p w14:paraId="0F9B9278" w14:textId="77777777" w:rsidR="006052A7" w:rsidRPr="00AD514F" w:rsidRDefault="006052A7" w:rsidP="00BF1A52">
      <w:pPr>
        <w:rPr>
          <w:rFonts w:ascii="Times New Roman" w:hAnsi="Times New Roman" w:cs="Times New Roman"/>
          <w:color w:val="000000" w:themeColor="text1"/>
        </w:rPr>
      </w:pPr>
    </w:p>
    <w:p w14:paraId="5E4EBFF7" w14:textId="77777777" w:rsidR="006052A7" w:rsidRPr="00AD514F" w:rsidRDefault="006052A7" w:rsidP="00BF1A52">
      <w:pPr>
        <w:rPr>
          <w:rFonts w:ascii="Times New Roman" w:hAnsi="Times New Roman" w:cs="Times New Roman"/>
          <w:color w:val="000000" w:themeColor="text1"/>
          <w:lang w:val="en-GB"/>
        </w:rPr>
      </w:pPr>
      <w:proofErr w:type="gramStart"/>
      <w:r w:rsidRPr="00AD514F">
        <w:rPr>
          <w:rFonts w:ascii="Times New Roman" w:hAnsi="Times New Roman" w:cs="Times New Roman"/>
          <w:color w:val="000000" w:themeColor="text1"/>
          <w:lang w:val="en-GB"/>
        </w:rPr>
        <w:t>The Committee of the Regions.</w:t>
      </w:r>
      <w:proofErr w:type="gramEnd"/>
      <w:r w:rsidRPr="00AD514F">
        <w:rPr>
          <w:rFonts w:ascii="Times New Roman" w:hAnsi="Times New Roman" w:cs="Times New Roman"/>
          <w:color w:val="000000" w:themeColor="text1"/>
          <w:lang w:val="en-GB"/>
        </w:rPr>
        <w:t xml:space="preserve"> </w:t>
      </w:r>
      <w:proofErr w:type="gramStart"/>
      <w:r w:rsidRPr="00AD514F">
        <w:rPr>
          <w:rFonts w:ascii="Times New Roman" w:hAnsi="Times New Roman" w:cs="Times New Roman"/>
          <w:color w:val="000000" w:themeColor="text1"/>
          <w:lang w:val="en-GB"/>
        </w:rPr>
        <w:t>Committee of the Regions at a glance.</w:t>
      </w:r>
      <w:proofErr w:type="gramEnd"/>
      <w:r w:rsidRPr="00AD514F">
        <w:rPr>
          <w:rFonts w:ascii="Times New Roman" w:hAnsi="Times New Roman" w:cs="Times New Roman"/>
          <w:color w:val="000000" w:themeColor="text1"/>
          <w:lang w:val="en-GB"/>
        </w:rPr>
        <w:t xml:space="preserve"> </w:t>
      </w:r>
      <w:hyperlink r:id="rId40" w:history="1">
        <w:r w:rsidRPr="005B41CD">
          <w:rPr>
            <w:rStyle w:val="Hyperlink"/>
            <w:rFonts w:ascii="Times New Roman" w:hAnsi="Times New Roman" w:cs="Times New Roman"/>
            <w:color w:val="0000FF"/>
            <w:lang w:val="en-GB"/>
          </w:rPr>
          <w:t>http://cor.europa.eu/en/documentation/brochures/Documents/committee-of-the-regions-at-a-glance/committee-of-the-regions_English.pdf</w:t>
        </w:r>
      </w:hyperlink>
      <w:r w:rsidRPr="00AD514F">
        <w:rPr>
          <w:rFonts w:ascii="Times New Roman" w:hAnsi="Times New Roman" w:cs="Times New Roman"/>
          <w:color w:val="000000" w:themeColor="text1"/>
          <w:lang w:val="en-GB"/>
        </w:rPr>
        <w:t xml:space="preserve"> [11. November 2014]</w:t>
      </w:r>
    </w:p>
    <w:p w14:paraId="0E274452" w14:textId="77777777" w:rsidR="006052A7" w:rsidRPr="00AD514F" w:rsidRDefault="006052A7" w:rsidP="00BF1A52">
      <w:pPr>
        <w:rPr>
          <w:rFonts w:ascii="Times New Roman" w:hAnsi="Times New Roman" w:cs="Times New Roman"/>
          <w:color w:val="000000" w:themeColor="text1"/>
          <w:lang w:val="en-GB"/>
        </w:rPr>
      </w:pPr>
    </w:p>
    <w:p w14:paraId="4E887305" w14:textId="0188C44C" w:rsidR="00A8718E" w:rsidRPr="005B41CD" w:rsidRDefault="006052A7" w:rsidP="00BF1A52">
      <w:pPr>
        <w:rPr>
          <w:rStyle w:val="Hyperlink"/>
          <w:rFonts w:ascii="Times New Roman" w:hAnsi="Times New Roman" w:cs="Times New Roman"/>
          <w:color w:val="auto"/>
          <w:u w:val="none"/>
        </w:rPr>
      </w:pPr>
      <w:r w:rsidRPr="00AD514F">
        <w:rPr>
          <w:rFonts w:ascii="Times New Roman" w:hAnsi="Times New Roman" w:cs="Times New Roman"/>
          <w:color w:val="000000" w:themeColor="text1"/>
        </w:rPr>
        <w:t xml:space="preserve">European Parliament ”Members”, </w:t>
      </w:r>
      <w:hyperlink r:id="rId41" w:history="1">
        <w:r w:rsidRPr="005B41CD">
          <w:rPr>
            <w:rStyle w:val="Hyperlink"/>
            <w:rFonts w:ascii="Times New Roman" w:hAnsi="Times New Roman" w:cs="Times New Roman"/>
            <w:color w:val="0000FF"/>
          </w:rPr>
          <w:t>http://www.europarl.europa.eu/aboutparliament/en/0081ddfaa4/MEPs.html</w:t>
        </w:r>
      </w:hyperlink>
      <w:r w:rsidR="005B41CD">
        <w:rPr>
          <w:rStyle w:val="Hyperlink"/>
          <w:rFonts w:ascii="Times New Roman" w:hAnsi="Times New Roman" w:cs="Times New Roman"/>
          <w:color w:val="auto"/>
          <w:u w:val="none"/>
        </w:rPr>
        <w:t xml:space="preserve"> [09. March 2015]</w:t>
      </w:r>
    </w:p>
    <w:p w14:paraId="34FCAB52" w14:textId="77777777" w:rsidR="002921AD" w:rsidRDefault="002921AD" w:rsidP="00BF1A52">
      <w:pPr>
        <w:rPr>
          <w:rStyle w:val="Hyperlink"/>
          <w:rFonts w:ascii="Times New Roman" w:hAnsi="Times New Roman" w:cs="Times New Roman"/>
          <w:color w:val="000000" w:themeColor="text1"/>
        </w:rPr>
      </w:pPr>
    </w:p>
    <w:p w14:paraId="5C45349D" w14:textId="473CE4F9" w:rsidR="002921AD" w:rsidRDefault="002921AD" w:rsidP="00BF1A52">
      <w:pPr>
        <w:rPr>
          <w:rStyle w:val="Hyperlink"/>
          <w:rFonts w:ascii="Times New Roman" w:hAnsi="Times New Roman" w:cs="Times New Roman"/>
          <w:color w:val="000000" w:themeColor="text1"/>
          <w:u w:val="none"/>
        </w:rPr>
      </w:pPr>
      <w:r w:rsidRPr="002921AD">
        <w:rPr>
          <w:rStyle w:val="Hyperlink"/>
          <w:rFonts w:ascii="Times New Roman" w:hAnsi="Times New Roman" w:cs="Times New Roman"/>
          <w:color w:val="000000" w:themeColor="text1"/>
          <w:u w:val="none"/>
        </w:rPr>
        <w:t>Bryman</w:t>
      </w:r>
      <w:r w:rsidR="00956404">
        <w:rPr>
          <w:rStyle w:val="Hyperlink"/>
          <w:rFonts w:ascii="Times New Roman" w:hAnsi="Times New Roman" w:cs="Times New Roman"/>
          <w:color w:val="000000" w:themeColor="text1"/>
          <w:u w:val="none"/>
        </w:rPr>
        <w:t>,</w:t>
      </w:r>
      <w:r w:rsidR="00956404" w:rsidRPr="00956404">
        <w:rPr>
          <w:rStyle w:val="Hyperlink"/>
          <w:rFonts w:ascii="Times New Roman" w:hAnsi="Times New Roman" w:cs="Times New Roman"/>
          <w:color w:val="000000" w:themeColor="text1"/>
          <w:u w:val="none"/>
        </w:rPr>
        <w:t xml:space="preserve"> </w:t>
      </w:r>
      <w:r w:rsidR="00956404" w:rsidRPr="002921AD">
        <w:rPr>
          <w:rStyle w:val="Hyperlink"/>
          <w:rFonts w:ascii="Times New Roman" w:hAnsi="Times New Roman" w:cs="Times New Roman"/>
          <w:color w:val="000000" w:themeColor="text1"/>
          <w:u w:val="none"/>
        </w:rPr>
        <w:t>Alan</w:t>
      </w:r>
      <w:r w:rsidRPr="002921AD">
        <w:rPr>
          <w:rStyle w:val="Hyperlink"/>
          <w:rFonts w:ascii="Times New Roman" w:hAnsi="Times New Roman" w:cs="Times New Roman"/>
          <w:color w:val="000000" w:themeColor="text1"/>
          <w:u w:val="none"/>
        </w:rPr>
        <w:t>. ”Triangulation”.</w:t>
      </w:r>
      <w:r>
        <w:rPr>
          <w:rStyle w:val="Hyperlink"/>
          <w:rFonts w:ascii="Times New Roman" w:hAnsi="Times New Roman" w:cs="Times New Roman"/>
          <w:color w:val="000000" w:themeColor="text1"/>
        </w:rPr>
        <w:t xml:space="preserve"> </w:t>
      </w:r>
      <w:r w:rsidR="00A0714F">
        <w:fldChar w:fldCharType="begin"/>
      </w:r>
      <w:r w:rsidR="00A0714F">
        <w:instrText xml:space="preserve"> HYPERLINK "http://www.referenceworld.com/sage/socialscience/triangulation.pdf" </w:instrText>
      </w:r>
      <w:r w:rsidR="00A0714F">
        <w:fldChar w:fldCharType="separate"/>
      </w:r>
      <w:r w:rsidRPr="003B17AB">
        <w:rPr>
          <w:rStyle w:val="Hyperlink"/>
          <w:rFonts w:ascii="Times New Roman" w:hAnsi="Times New Roman" w:cs="Times New Roman"/>
        </w:rPr>
        <w:t>http://www.referenceworld.com/sage/socialscience/triangulation.pdf</w:t>
      </w:r>
      <w:r w:rsidR="00A0714F">
        <w:rPr>
          <w:rStyle w:val="Hyperlink"/>
          <w:rFonts w:ascii="Times New Roman" w:hAnsi="Times New Roman" w:cs="Times New Roman"/>
        </w:rPr>
        <w:fldChar w:fldCharType="end"/>
      </w:r>
      <w:r w:rsidRPr="002921AD">
        <w:rPr>
          <w:rStyle w:val="Hyperlink"/>
          <w:rFonts w:ascii="Times New Roman" w:hAnsi="Times New Roman" w:cs="Times New Roman"/>
          <w:color w:val="000000" w:themeColor="text1"/>
          <w:u w:val="none"/>
        </w:rPr>
        <w:t xml:space="preserve"> [09. March 2015]</w:t>
      </w:r>
    </w:p>
    <w:p w14:paraId="37F0FC57" w14:textId="77777777" w:rsidR="00EB0002" w:rsidRDefault="00EB0002" w:rsidP="00BF1A52">
      <w:pPr>
        <w:rPr>
          <w:rStyle w:val="Hyperlink"/>
          <w:rFonts w:ascii="Times New Roman" w:hAnsi="Times New Roman" w:cs="Times New Roman"/>
          <w:color w:val="000000" w:themeColor="text1"/>
          <w:u w:val="none"/>
        </w:rPr>
      </w:pPr>
    </w:p>
    <w:p w14:paraId="330D555F" w14:textId="2190E718" w:rsidR="00EB0002" w:rsidRDefault="00EB0002" w:rsidP="00BF1A52">
      <w:pPr>
        <w:rPr>
          <w:rFonts w:ascii="Times New Roman" w:hAnsi="Times New Roman" w:cs="Times New Roman"/>
        </w:rPr>
      </w:pPr>
      <w:r w:rsidRPr="00EB0002">
        <w:rPr>
          <w:rFonts w:ascii="Times New Roman" w:hAnsi="Times New Roman" w:cs="Times New Roman"/>
        </w:rPr>
        <w:t xml:space="preserve">European Parliament. ”Ordinary legislative procedure”. </w:t>
      </w:r>
      <w:r w:rsidR="00A0714F">
        <w:fldChar w:fldCharType="begin"/>
      </w:r>
      <w:r w:rsidR="00A0714F">
        <w:instrText xml:space="preserve"> HYPERLINK "http://www.europarl.europa.eu/aboutparliament/en/0081f4b3c7/Gesetzgebungsprozess-im-Detail.html" </w:instrText>
      </w:r>
      <w:r w:rsidR="00A0714F">
        <w:fldChar w:fldCharType="separate"/>
      </w:r>
      <w:r w:rsidRPr="00EB0002">
        <w:rPr>
          <w:rStyle w:val="Hyperlink"/>
          <w:rFonts w:ascii="Times New Roman" w:hAnsi="Times New Roman" w:cs="Times New Roman"/>
        </w:rPr>
        <w:t>http://www.europarl.europa.eu/aboutparliament/en/0081f4b3c7/Gesetzgebungsprozess-im-Detail.html</w:t>
      </w:r>
      <w:r w:rsidR="00A0714F">
        <w:rPr>
          <w:rStyle w:val="Hyperlink"/>
          <w:rFonts w:ascii="Times New Roman" w:hAnsi="Times New Roman" w:cs="Times New Roman"/>
        </w:rPr>
        <w:fldChar w:fldCharType="end"/>
      </w:r>
      <w:r w:rsidRPr="00EB0002">
        <w:rPr>
          <w:rFonts w:ascii="Times New Roman" w:hAnsi="Times New Roman" w:cs="Times New Roman"/>
        </w:rPr>
        <w:t xml:space="preserve"> [10. March 2015]</w:t>
      </w:r>
    </w:p>
    <w:p w14:paraId="6F37D3F4" w14:textId="77777777" w:rsidR="003F0171" w:rsidRDefault="003F0171" w:rsidP="00BF1A52">
      <w:pPr>
        <w:rPr>
          <w:rFonts w:ascii="Times New Roman" w:hAnsi="Times New Roman" w:cs="Times New Roman"/>
        </w:rPr>
      </w:pPr>
    </w:p>
    <w:p w14:paraId="4BCB2CFA" w14:textId="1DA71148" w:rsidR="003F0171" w:rsidRPr="003F0171" w:rsidRDefault="003F0171" w:rsidP="00BF1A52">
      <w:pPr>
        <w:rPr>
          <w:rFonts w:ascii="Times New Roman" w:hAnsi="Times New Roman" w:cs="Times New Roman"/>
        </w:rPr>
      </w:pPr>
      <w:r w:rsidRPr="003F0171">
        <w:rPr>
          <w:rFonts w:ascii="Times New Roman" w:hAnsi="Times New Roman" w:cs="Times New Roman"/>
        </w:rPr>
        <w:t xml:space="preserve">EUR-Lex. ”Summary of legislation”. </w:t>
      </w:r>
      <w:r w:rsidR="00A0714F">
        <w:fldChar w:fldCharType="begin"/>
      </w:r>
      <w:r w:rsidR="00A0714F">
        <w:instrText xml:space="preserve"> HYPERLINK "http://eur-lex.europa.eu/legal-content/EN/HIS/?uri=CELEX:32014L0024" \l "415440" </w:instrText>
      </w:r>
      <w:r w:rsidR="00A0714F">
        <w:fldChar w:fldCharType="separate"/>
      </w:r>
      <w:r w:rsidRPr="003F0171">
        <w:rPr>
          <w:rStyle w:val="Hyperlink"/>
          <w:rFonts w:ascii="Times New Roman" w:hAnsi="Times New Roman" w:cs="Times New Roman"/>
        </w:rPr>
        <w:t>http://eur-lex.europa.eu/legal-content/EN/HIS/?uri=CELEX:32014L0024#415440</w:t>
      </w:r>
      <w:r w:rsidR="00A0714F">
        <w:rPr>
          <w:rStyle w:val="Hyperlink"/>
          <w:rFonts w:ascii="Times New Roman" w:hAnsi="Times New Roman" w:cs="Times New Roman"/>
        </w:rPr>
        <w:fldChar w:fldCharType="end"/>
      </w:r>
      <w:r w:rsidRPr="003F0171">
        <w:rPr>
          <w:rFonts w:ascii="Times New Roman" w:hAnsi="Times New Roman" w:cs="Times New Roman"/>
          <w:color w:val="404040" w:themeColor="text1" w:themeTint="BF"/>
        </w:rPr>
        <w:t xml:space="preserve"> </w:t>
      </w:r>
      <w:r w:rsidRPr="003F0171">
        <w:rPr>
          <w:rFonts w:ascii="Times New Roman" w:hAnsi="Times New Roman" w:cs="Times New Roman"/>
        </w:rPr>
        <w:t>[15. March 2015]</w:t>
      </w:r>
    </w:p>
    <w:p w14:paraId="103C771D" w14:textId="77777777" w:rsidR="00E90C89" w:rsidRDefault="00E90C89" w:rsidP="00BF1A52">
      <w:pPr>
        <w:rPr>
          <w:rFonts w:ascii="Times New Roman" w:hAnsi="Times New Roman" w:cs="Times New Roman"/>
          <w:color w:val="000000" w:themeColor="text1"/>
          <w:lang w:val="en-GB"/>
        </w:rPr>
      </w:pPr>
    </w:p>
    <w:p w14:paraId="2061EDC8" w14:textId="7BA505BA" w:rsidR="004279B8" w:rsidRDefault="004279B8" w:rsidP="00BF1A52">
      <w:pPr>
        <w:rPr>
          <w:rFonts w:ascii="Times New Roman" w:hAnsi="Times New Roman" w:cs="Times New Roman"/>
          <w:color w:val="000000" w:themeColor="text1"/>
          <w:lang w:val="en-GB"/>
        </w:rPr>
      </w:pPr>
      <w:r>
        <w:rPr>
          <w:rFonts w:ascii="Times New Roman" w:hAnsi="Times New Roman" w:cs="Times New Roman"/>
          <w:color w:val="000000" w:themeColor="text1"/>
          <w:lang w:val="en-GB"/>
        </w:rPr>
        <w:t xml:space="preserve">CEMR. </w:t>
      </w:r>
      <w:proofErr w:type="gramStart"/>
      <w:r>
        <w:rPr>
          <w:rFonts w:ascii="Times New Roman" w:hAnsi="Times New Roman" w:cs="Times New Roman"/>
          <w:color w:val="000000" w:themeColor="text1"/>
          <w:lang w:val="en-GB"/>
        </w:rPr>
        <w:t>“Introducing CEMR”.</w:t>
      </w:r>
      <w:proofErr w:type="gramEnd"/>
      <w:r>
        <w:rPr>
          <w:rFonts w:ascii="Times New Roman" w:hAnsi="Times New Roman" w:cs="Times New Roman"/>
          <w:color w:val="000000" w:themeColor="text1"/>
          <w:lang w:val="en-GB"/>
        </w:rPr>
        <w:t xml:space="preserve"> </w:t>
      </w:r>
      <w:hyperlink r:id="rId42" w:history="1">
        <w:r w:rsidR="00E021DA" w:rsidRPr="007C74FA">
          <w:rPr>
            <w:rStyle w:val="Hyperlink"/>
            <w:rFonts w:ascii="Times New Roman" w:hAnsi="Times New Roman" w:cs="Times New Roman"/>
            <w:lang w:val="en-GB"/>
          </w:rPr>
          <w:t>http://www.ccre.org/en/article/introducing_cemr</w:t>
        </w:r>
      </w:hyperlink>
      <w:r w:rsidR="00E021DA">
        <w:rPr>
          <w:rFonts w:ascii="Times New Roman" w:hAnsi="Times New Roman" w:cs="Times New Roman"/>
          <w:color w:val="000000" w:themeColor="text1"/>
          <w:lang w:val="en-GB"/>
        </w:rPr>
        <w:t xml:space="preserve"> [17. March 2015]</w:t>
      </w:r>
    </w:p>
    <w:p w14:paraId="7AB2492E" w14:textId="77777777" w:rsidR="00E90C89" w:rsidRDefault="00E90C89" w:rsidP="00BF1A52">
      <w:pPr>
        <w:rPr>
          <w:rFonts w:ascii="Times New Roman" w:hAnsi="Times New Roman" w:cs="Times New Roman"/>
          <w:color w:val="000000" w:themeColor="text1"/>
          <w:lang w:val="en-GB"/>
        </w:rPr>
      </w:pPr>
    </w:p>
    <w:p w14:paraId="24AE6C03" w14:textId="52728422" w:rsidR="00E90C89" w:rsidRDefault="00E90C89" w:rsidP="00BF1A52">
      <w:pPr>
        <w:rPr>
          <w:rFonts w:ascii="Times New Roman" w:hAnsi="Times New Roman" w:cs="Times New Roman"/>
          <w:color w:val="000000" w:themeColor="text1"/>
          <w:sz w:val="28"/>
          <w:szCs w:val="28"/>
          <w:u w:val="single"/>
          <w:lang w:val="en-GB"/>
        </w:rPr>
      </w:pPr>
      <w:r w:rsidRPr="00E90C89">
        <w:rPr>
          <w:rFonts w:ascii="Times New Roman" w:hAnsi="Times New Roman" w:cs="Times New Roman"/>
          <w:color w:val="000000" w:themeColor="text1"/>
          <w:sz w:val="28"/>
          <w:szCs w:val="28"/>
          <w:u w:val="single"/>
          <w:lang w:val="en-GB"/>
        </w:rPr>
        <w:t>Other Sources</w:t>
      </w:r>
    </w:p>
    <w:p w14:paraId="0E43EC6A" w14:textId="77777777" w:rsidR="00E90C89" w:rsidRPr="00E90C89" w:rsidRDefault="00E90C89" w:rsidP="00BF1A52">
      <w:pPr>
        <w:rPr>
          <w:rFonts w:ascii="Times New Roman" w:hAnsi="Times New Roman" w:cs="Times New Roman"/>
          <w:color w:val="000000" w:themeColor="text1"/>
          <w:sz w:val="28"/>
          <w:szCs w:val="28"/>
          <w:u w:val="single"/>
          <w:lang w:val="en-GB"/>
        </w:rPr>
      </w:pPr>
    </w:p>
    <w:p w14:paraId="3A9E0F03" w14:textId="77777777" w:rsidR="00E90C89" w:rsidRPr="00AD514F" w:rsidRDefault="00E90C89" w:rsidP="00BF1A52">
      <w:pPr>
        <w:rPr>
          <w:rFonts w:ascii="Times New Roman" w:hAnsi="Times New Roman" w:cs="Times New Roman"/>
          <w:color w:val="000000" w:themeColor="text1"/>
          <w:lang w:val="en-GB"/>
        </w:rPr>
      </w:pPr>
      <w:r w:rsidRPr="00AD514F">
        <w:rPr>
          <w:rFonts w:ascii="Times New Roman" w:hAnsi="Times New Roman" w:cs="Times New Roman"/>
          <w:color w:val="000000" w:themeColor="text1"/>
          <w:lang w:val="en-GB"/>
        </w:rPr>
        <w:t>Treaty on European Union (1993)</w:t>
      </w:r>
    </w:p>
    <w:p w14:paraId="5CB2B357" w14:textId="77777777" w:rsidR="00E90C89" w:rsidRPr="00AD514F" w:rsidRDefault="00E90C89" w:rsidP="00BF1A52">
      <w:pPr>
        <w:rPr>
          <w:rFonts w:ascii="Times New Roman" w:hAnsi="Times New Roman" w:cs="Times New Roman"/>
          <w:color w:val="000000" w:themeColor="text1"/>
          <w:lang w:val="en-GB"/>
        </w:rPr>
      </w:pPr>
    </w:p>
    <w:p w14:paraId="4E96F4DC" w14:textId="77777777" w:rsidR="00E90C89" w:rsidRPr="00AD514F" w:rsidRDefault="00E90C89" w:rsidP="00BF1A52">
      <w:pPr>
        <w:rPr>
          <w:rFonts w:ascii="Times New Roman" w:hAnsi="Times New Roman" w:cs="Times New Roman"/>
          <w:color w:val="000000" w:themeColor="text1"/>
          <w:lang w:val="en-GB"/>
        </w:rPr>
      </w:pPr>
      <w:r w:rsidRPr="00AD514F">
        <w:rPr>
          <w:rFonts w:ascii="Times New Roman" w:hAnsi="Times New Roman" w:cs="Times New Roman"/>
          <w:color w:val="000000" w:themeColor="text1"/>
          <w:lang w:val="en-GB"/>
        </w:rPr>
        <w:t>Treaty on the Functioning of the European Union (1958)</w:t>
      </w:r>
    </w:p>
    <w:p w14:paraId="4EFE456E" w14:textId="77777777" w:rsidR="00EB0002" w:rsidRPr="00E90C89" w:rsidRDefault="00EB0002" w:rsidP="00BF1A52">
      <w:pPr>
        <w:rPr>
          <w:rFonts w:ascii="Times New Roman" w:hAnsi="Times New Roman" w:cs="Times New Roman"/>
          <w:lang w:val="en-GB"/>
        </w:rPr>
      </w:pPr>
    </w:p>
    <w:p w14:paraId="5ED14CBD" w14:textId="6DF7CE5F" w:rsidR="00E90C89" w:rsidRPr="00E90C89" w:rsidRDefault="00E90C89" w:rsidP="00BF1A52">
      <w:pPr>
        <w:rPr>
          <w:rFonts w:ascii="Times New Roman" w:hAnsi="Times New Roman" w:cs="Times New Roman"/>
          <w:lang w:val="en-GB"/>
        </w:rPr>
      </w:pPr>
      <w:r w:rsidRPr="00E90C89">
        <w:rPr>
          <w:rFonts w:ascii="Times New Roman" w:hAnsi="Times New Roman" w:cs="Times New Roman"/>
          <w:lang w:val="en-GB"/>
        </w:rPr>
        <w:lastRenderedPageBreak/>
        <w:t xml:space="preserve">Interview with representatives of </w:t>
      </w:r>
      <w:r>
        <w:rPr>
          <w:rFonts w:ascii="Times New Roman" w:hAnsi="Times New Roman" w:cs="Times New Roman"/>
          <w:lang w:val="en-GB"/>
        </w:rPr>
        <w:t>“</w:t>
      </w:r>
      <w:r w:rsidRPr="00E90C89">
        <w:rPr>
          <w:rFonts w:ascii="Times New Roman" w:hAnsi="Times New Roman" w:cs="Times New Roman"/>
          <w:lang w:val="en-GB"/>
        </w:rPr>
        <w:t>Kommunernes Landsforning</w:t>
      </w:r>
      <w:r>
        <w:rPr>
          <w:rFonts w:ascii="Times New Roman" w:hAnsi="Times New Roman" w:cs="Times New Roman"/>
          <w:lang w:val="en-GB"/>
        </w:rPr>
        <w:t>”</w:t>
      </w:r>
      <w:r w:rsidRPr="00E90C89">
        <w:rPr>
          <w:rFonts w:ascii="Times New Roman" w:hAnsi="Times New Roman" w:cs="Times New Roman"/>
          <w:lang w:val="en-GB"/>
        </w:rPr>
        <w:t xml:space="preserve"> and </w:t>
      </w:r>
      <w:r>
        <w:rPr>
          <w:rFonts w:ascii="Times New Roman" w:hAnsi="Times New Roman" w:cs="Times New Roman"/>
          <w:lang w:val="en-GB"/>
        </w:rPr>
        <w:t>“</w:t>
      </w:r>
      <w:r w:rsidRPr="00E90C89">
        <w:rPr>
          <w:rFonts w:ascii="Times New Roman" w:hAnsi="Times New Roman" w:cs="Times New Roman"/>
          <w:lang w:val="en-GB"/>
        </w:rPr>
        <w:t>Danske Regioner</w:t>
      </w:r>
      <w:r>
        <w:rPr>
          <w:rFonts w:ascii="Times New Roman" w:hAnsi="Times New Roman" w:cs="Times New Roman"/>
          <w:lang w:val="en-GB"/>
        </w:rPr>
        <w:t>”</w:t>
      </w:r>
      <w:r w:rsidRPr="00E90C89">
        <w:rPr>
          <w:rFonts w:ascii="Times New Roman" w:hAnsi="Times New Roman" w:cs="Times New Roman"/>
          <w:lang w:val="en-GB"/>
        </w:rPr>
        <w:t xml:space="preserve"> offices in Brussels</w:t>
      </w:r>
    </w:p>
    <w:sectPr w:rsidR="00E90C89" w:rsidRPr="00E90C89" w:rsidSect="00E74FBD">
      <w:pgSz w:w="11900" w:h="16840"/>
      <w:pgMar w:top="1474" w:right="1814" w:bottom="1474" w:left="1814" w:header="709" w:footer="709" w:gutter="0"/>
      <w:pgNumType w:start="1" w:chapStyle="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541B3" w14:textId="77777777" w:rsidR="00D56A69" w:rsidRDefault="00D56A69" w:rsidP="002A1772">
      <w:r>
        <w:separator/>
      </w:r>
    </w:p>
  </w:endnote>
  <w:endnote w:type="continuationSeparator" w:id="0">
    <w:p w14:paraId="7B5CA3A8" w14:textId="77777777" w:rsidR="00D56A69" w:rsidRDefault="00D56A69" w:rsidP="002A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3989C" w14:textId="77777777" w:rsidR="00D56A69" w:rsidRDefault="00D56A69" w:rsidP="00E00EC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F42A53C" w14:textId="77777777" w:rsidR="00D56A69" w:rsidRDefault="00D56A69" w:rsidP="002A1772">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657F1" w14:textId="77777777" w:rsidR="00D56A69" w:rsidRPr="00E74FBD" w:rsidRDefault="00D56A69" w:rsidP="00E00EC4">
    <w:pPr>
      <w:pStyle w:val="Footer"/>
      <w:framePr w:wrap="around" w:vAnchor="text" w:hAnchor="margin" w:xAlign="outside" w:y="1"/>
      <w:rPr>
        <w:rStyle w:val="PageNumber"/>
        <w:color w:val="FFFFFF" w:themeColor="background1"/>
      </w:rPr>
    </w:pPr>
    <w:r>
      <w:rPr>
        <w:rStyle w:val="PageNumber"/>
      </w:rPr>
      <w:fldChar w:fldCharType="begin"/>
    </w:r>
    <w:r>
      <w:rPr>
        <w:rStyle w:val="PageNumber"/>
      </w:rPr>
      <w:instrText xml:space="preserve">PAGE  </w:instrText>
    </w:r>
    <w:r>
      <w:rPr>
        <w:rStyle w:val="PageNumber"/>
      </w:rPr>
      <w:fldChar w:fldCharType="separate"/>
    </w:r>
    <w:r w:rsidR="008A28B0">
      <w:rPr>
        <w:rStyle w:val="PageNumber"/>
        <w:noProof/>
      </w:rPr>
      <w:t>45</w:t>
    </w:r>
    <w:r>
      <w:rPr>
        <w:rStyle w:val="PageNumber"/>
      </w:rPr>
      <w:fldChar w:fldCharType="end"/>
    </w:r>
  </w:p>
  <w:p w14:paraId="5AB8E96E" w14:textId="77777777" w:rsidR="00D56A69" w:rsidRDefault="00D56A69" w:rsidP="002A1772">
    <w:pPr>
      <w:pStyle w:val="Footer"/>
      <w:ind w:right="360" w:firstLine="360"/>
    </w:pPr>
  </w:p>
  <w:p w14:paraId="16CF4203" w14:textId="77777777" w:rsidR="00D56A69" w:rsidRDefault="00D56A69" w:rsidP="002A1772">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0A297" w14:textId="77777777" w:rsidR="00D56A69" w:rsidRDefault="00D56A69" w:rsidP="002A1772">
      <w:r>
        <w:separator/>
      </w:r>
    </w:p>
  </w:footnote>
  <w:footnote w:type="continuationSeparator" w:id="0">
    <w:p w14:paraId="6D020ECE" w14:textId="77777777" w:rsidR="00D56A69" w:rsidRDefault="00D56A69" w:rsidP="002A1772">
      <w:r>
        <w:continuationSeparator/>
      </w:r>
    </w:p>
  </w:footnote>
  <w:footnote w:id="1">
    <w:p w14:paraId="61EF732F" w14:textId="356B4808" w:rsidR="00D56A69" w:rsidRDefault="00D56A69" w:rsidP="00EE27F9">
      <w:pPr>
        <w:pStyle w:val="FootnoteText"/>
      </w:pPr>
      <w:r>
        <w:rPr>
          <w:rStyle w:val="FootnoteReference"/>
        </w:rPr>
        <w:footnoteRef/>
      </w:r>
      <w:r>
        <w:t xml:space="preserve"> </w:t>
      </w:r>
      <w:r>
        <w:rPr>
          <w:rFonts w:cs="Times New Roman"/>
          <w:szCs w:val="20"/>
        </w:rPr>
        <w:t>KL og Danske Regioner</w:t>
      </w:r>
      <w:r w:rsidRPr="00BD05CE">
        <w:rPr>
          <w:rFonts w:cs="Times New Roman"/>
          <w:szCs w:val="20"/>
        </w:rPr>
        <w:t xml:space="preserve">, </w:t>
      </w:r>
      <w:r>
        <w:rPr>
          <w:rFonts w:cs="Times New Roman"/>
          <w:szCs w:val="20"/>
          <w:lang w:val="en-US"/>
        </w:rPr>
        <w:t>EU’s udbudsdirektiver – fokus skal tilbage på det gode købmandskab (2012), p. 1-2</w:t>
      </w:r>
    </w:p>
  </w:footnote>
  <w:footnote w:id="2">
    <w:p w14:paraId="7BF0B3CB" w14:textId="77777777" w:rsidR="00D56A69" w:rsidRPr="001535CA" w:rsidRDefault="00D56A69" w:rsidP="0031594A">
      <w:pPr>
        <w:pStyle w:val="FootnoteText"/>
        <w:rPr>
          <w:rFonts w:cs="Times New Roman"/>
          <w:szCs w:val="20"/>
        </w:rPr>
      </w:pPr>
      <w:r w:rsidRPr="001535CA">
        <w:rPr>
          <w:rStyle w:val="FootnoteReference"/>
          <w:rFonts w:cs="Times New Roman"/>
          <w:szCs w:val="20"/>
        </w:rPr>
        <w:footnoteRef/>
      </w:r>
      <w:r w:rsidRPr="001535CA">
        <w:rPr>
          <w:rFonts w:cs="Times New Roman"/>
          <w:szCs w:val="20"/>
        </w:rPr>
        <w:t xml:space="preserve"> </w:t>
      </w:r>
      <w:r w:rsidRPr="001535CA">
        <w:rPr>
          <w:rFonts w:cs="Times New Roman"/>
          <w:szCs w:val="20"/>
        </w:rPr>
        <w:t>Stahl, Gerhard, Gianluca Spinaci. ”Europe 2020:</w:t>
      </w:r>
      <w:r>
        <w:rPr>
          <w:rFonts w:cs="Times New Roman"/>
          <w:szCs w:val="20"/>
        </w:rPr>
        <w:t xml:space="preserve"> </w:t>
      </w:r>
      <w:r w:rsidRPr="001535CA">
        <w:rPr>
          <w:rFonts w:cs="Times New Roman"/>
          <w:szCs w:val="20"/>
        </w:rPr>
        <w:t xml:space="preserve">multi-level governance in action”. </w:t>
      </w:r>
      <w:r w:rsidRPr="001535CA">
        <w:rPr>
          <w:rFonts w:cs="Times New Roman"/>
          <w:i/>
          <w:szCs w:val="20"/>
        </w:rPr>
        <w:t>Challenge Europe</w:t>
      </w:r>
      <w:r w:rsidRPr="001535CA">
        <w:rPr>
          <w:rFonts w:cs="Times New Roman"/>
          <w:szCs w:val="20"/>
        </w:rPr>
        <w:t>. No.3 (2010) p.1</w:t>
      </w:r>
    </w:p>
  </w:footnote>
  <w:footnote w:id="3">
    <w:p w14:paraId="0C2AC6E3" w14:textId="4617BF64" w:rsidR="00D56A69" w:rsidRDefault="00D56A69" w:rsidP="003E1F32">
      <w:pPr>
        <w:pStyle w:val="FootnoteText"/>
      </w:pPr>
      <w:r>
        <w:rPr>
          <w:rStyle w:val="FootnoteReference"/>
        </w:rPr>
        <w:footnoteRef/>
      </w:r>
      <w:r>
        <w:t xml:space="preserve"> </w:t>
      </w:r>
      <w:r>
        <w:t>Webb, E. J. ”Unobstrusive Measures: Nonreactive Measures in the Social Sciences. Chicago: Rand McNally (1966)</w:t>
      </w:r>
    </w:p>
  </w:footnote>
  <w:footnote w:id="4">
    <w:p w14:paraId="6B388F9E" w14:textId="2FCB87D5" w:rsidR="00D56A69" w:rsidRPr="003E1F32" w:rsidRDefault="00D56A69" w:rsidP="003E1F32">
      <w:pPr>
        <w:pStyle w:val="FootnoteText"/>
        <w:rPr>
          <w:rFonts w:cs="Times New Roman"/>
          <w:szCs w:val="20"/>
        </w:rPr>
      </w:pPr>
      <w:r w:rsidRPr="00B56D46">
        <w:rPr>
          <w:rStyle w:val="FootnoteReference"/>
          <w:rFonts w:cs="Times New Roman"/>
          <w:szCs w:val="20"/>
        </w:rPr>
        <w:footnoteRef/>
      </w:r>
      <w:r w:rsidRPr="00B56D46">
        <w:rPr>
          <w:rStyle w:val="FootnoteReference"/>
          <w:rFonts w:cs="Times New Roman"/>
          <w:szCs w:val="20"/>
        </w:rPr>
        <w:t xml:space="preserve"> </w:t>
      </w:r>
      <w:r w:rsidRPr="00B56D46">
        <w:rPr>
          <w:rStyle w:val="FootnoteReference"/>
          <w:szCs w:val="20"/>
          <w:vertAlign w:val="baseline"/>
        </w:rPr>
        <w:t xml:space="preserve">Alan Bryman. ”Triangulation”. </w:t>
      </w:r>
      <w:hyperlink r:id="rId1" w:history="1">
        <w:r w:rsidRPr="00B56D46">
          <w:rPr>
            <w:rStyle w:val="FootnoteReference"/>
            <w:szCs w:val="20"/>
            <w:vertAlign w:val="baseline"/>
          </w:rPr>
          <w:t>http://www.referenceworld.com/sage/socialscience/triangulation.pdf</w:t>
        </w:r>
      </w:hyperlink>
      <w:r w:rsidRPr="00B56D46">
        <w:rPr>
          <w:rStyle w:val="FootnoteReference"/>
          <w:szCs w:val="20"/>
          <w:vertAlign w:val="baseline"/>
        </w:rPr>
        <w:t xml:space="preserve"> [09. March 2015] p.1-4</w:t>
      </w:r>
    </w:p>
  </w:footnote>
  <w:footnote w:id="5">
    <w:p w14:paraId="4DE32929" w14:textId="332C3209" w:rsidR="00D56A69" w:rsidRDefault="00D56A69" w:rsidP="003E1F32">
      <w:pPr>
        <w:pStyle w:val="FootnoteText"/>
      </w:pPr>
      <w:r>
        <w:rPr>
          <w:rStyle w:val="FootnoteReference"/>
        </w:rPr>
        <w:footnoteRef/>
      </w:r>
      <w:r>
        <w:t xml:space="preserve"> </w:t>
      </w:r>
      <w:r>
        <w:t>Liana Müller. ”Theoretical and Practical Challenges Usubg Qualitative Interviews as Data Gathering”. p.2</w:t>
      </w:r>
    </w:p>
  </w:footnote>
  <w:footnote w:id="6">
    <w:p w14:paraId="71B565E6" w14:textId="0B4F87CA" w:rsidR="00D56A69" w:rsidRDefault="00D56A69">
      <w:pPr>
        <w:pStyle w:val="FootnoteText"/>
      </w:pPr>
      <w:r>
        <w:rPr>
          <w:rStyle w:val="FootnoteReference"/>
        </w:rPr>
        <w:footnoteRef/>
      </w:r>
      <w:r>
        <w:t>Liana Müller. ”Theoretical and Practical Challenges Usubg Qualitative Interviews as Data Gathering”. p.4</w:t>
      </w:r>
    </w:p>
  </w:footnote>
  <w:footnote w:id="7">
    <w:p w14:paraId="136FFBDC" w14:textId="3C0AAA11" w:rsidR="00D56A69" w:rsidRDefault="00D56A69">
      <w:pPr>
        <w:pStyle w:val="FootnoteText"/>
      </w:pPr>
      <w:r>
        <w:rPr>
          <w:rStyle w:val="FootnoteReference"/>
        </w:rPr>
        <w:footnoteRef/>
      </w:r>
      <w:r>
        <w:t xml:space="preserve"> </w:t>
      </w:r>
      <w:r>
        <w:t>Liana Müller. ”Theoretical and Practical Challenges Usubg Qualitative Interviews as Data Gathering”. p.5-6</w:t>
      </w:r>
    </w:p>
  </w:footnote>
  <w:footnote w:id="8">
    <w:p w14:paraId="5921D151" w14:textId="6E760BB2" w:rsidR="00D56A69" w:rsidRDefault="00D56A69">
      <w:pPr>
        <w:pStyle w:val="FootnoteText"/>
      </w:pPr>
      <w:r>
        <w:rPr>
          <w:rStyle w:val="FootnoteReference"/>
        </w:rPr>
        <w:footnoteRef/>
      </w:r>
      <w:r>
        <w:t xml:space="preserve"> </w:t>
      </w:r>
      <w:r>
        <w:t>Liana Müller. ”Theoretical and Practical Challenges Usubg Qualitative Interviews as Data Gathering”. p.7-8</w:t>
      </w:r>
    </w:p>
  </w:footnote>
  <w:footnote w:id="9">
    <w:p w14:paraId="79E52C65" w14:textId="289A839D" w:rsidR="00D56A69" w:rsidRDefault="00D56A69">
      <w:pPr>
        <w:pStyle w:val="FootnoteText"/>
      </w:pPr>
      <w:r>
        <w:rPr>
          <w:rStyle w:val="FootnoteReference"/>
        </w:rPr>
        <w:footnoteRef/>
      </w:r>
      <w:r>
        <w:t xml:space="preserve"> </w:t>
      </w:r>
      <w:r w:rsidRPr="001E21A7">
        <w:t>Yin, Robert K.. ”Case Study Methods”. Cosmos Corporation (20. January 2004)</w:t>
      </w:r>
      <w:r>
        <w:t xml:space="preserve"> p.1</w:t>
      </w:r>
    </w:p>
  </w:footnote>
  <w:footnote w:id="10">
    <w:p w14:paraId="5A9AE5A0" w14:textId="457EF211" w:rsidR="00D56A69" w:rsidRDefault="00D56A69">
      <w:pPr>
        <w:pStyle w:val="FootnoteText"/>
      </w:pPr>
      <w:r>
        <w:rPr>
          <w:rStyle w:val="FootnoteReference"/>
        </w:rPr>
        <w:footnoteRef/>
      </w:r>
      <w:r>
        <w:t xml:space="preserve"> </w:t>
      </w:r>
      <w:r w:rsidRPr="001E21A7">
        <w:t>Yin, Robert K.. ”Case Study Methods”. Cosmos Corporation (20. January 2004)</w:t>
      </w:r>
      <w:r>
        <w:t xml:space="preserve"> p.2</w:t>
      </w:r>
    </w:p>
  </w:footnote>
  <w:footnote w:id="11">
    <w:p w14:paraId="4CEFD174" w14:textId="0C3A195E" w:rsidR="00D56A69" w:rsidRDefault="00D56A69">
      <w:pPr>
        <w:pStyle w:val="FootnoteText"/>
      </w:pPr>
      <w:r>
        <w:rPr>
          <w:rStyle w:val="FootnoteReference"/>
        </w:rPr>
        <w:footnoteRef/>
      </w:r>
      <w:r>
        <w:t xml:space="preserve"> </w:t>
      </w:r>
      <w:r w:rsidRPr="001E21A7">
        <w:t>Yin, Robert K.. ”Case Study Methods”. Cosmos Corporation (20. January 2004)</w:t>
      </w:r>
      <w:r>
        <w:t xml:space="preserve"> p.3</w:t>
      </w:r>
    </w:p>
  </w:footnote>
  <w:footnote w:id="12">
    <w:p w14:paraId="18AD5553" w14:textId="6A00C57B" w:rsidR="00D56A69" w:rsidRDefault="00D56A69">
      <w:pPr>
        <w:pStyle w:val="FootnoteText"/>
      </w:pPr>
      <w:r>
        <w:rPr>
          <w:rStyle w:val="FootnoteReference"/>
        </w:rPr>
        <w:footnoteRef/>
      </w:r>
      <w:r>
        <w:t xml:space="preserve"> </w:t>
      </w:r>
      <w:r w:rsidRPr="001E21A7">
        <w:t>Yin, Robert K.. ”Case Study Methods”. Cosmos Corporation (20. January 2004)</w:t>
      </w:r>
      <w:r>
        <w:t xml:space="preserve"> p.5</w:t>
      </w:r>
    </w:p>
  </w:footnote>
  <w:footnote w:id="13">
    <w:p w14:paraId="1F752E25" w14:textId="7A2632A6" w:rsidR="00D56A69" w:rsidRDefault="00D56A69">
      <w:pPr>
        <w:pStyle w:val="FootnoteText"/>
      </w:pPr>
      <w:r>
        <w:rPr>
          <w:rStyle w:val="FootnoteReference"/>
        </w:rPr>
        <w:footnoteRef/>
      </w:r>
      <w:r>
        <w:t xml:space="preserve"> </w:t>
      </w:r>
      <w:r w:rsidRPr="001E21A7">
        <w:t>Yin, Robert K.. ”Case Study Methods”. Cosmos Corporation (20. January 2004)</w:t>
      </w:r>
      <w:r>
        <w:t xml:space="preserve"> p.6</w:t>
      </w:r>
    </w:p>
  </w:footnote>
  <w:footnote w:id="14">
    <w:p w14:paraId="1D58CE96" w14:textId="27C5E7A2" w:rsidR="00D56A69" w:rsidRPr="0099506C" w:rsidRDefault="00D56A69">
      <w:pPr>
        <w:pStyle w:val="FootnoteText"/>
        <w:rPr>
          <w:rFonts w:cs="Times New Roman"/>
          <w:szCs w:val="20"/>
        </w:rPr>
      </w:pPr>
      <w:r w:rsidRPr="0099506C">
        <w:rPr>
          <w:rStyle w:val="FootnoteReference"/>
          <w:rFonts w:cs="Times New Roman"/>
          <w:szCs w:val="20"/>
        </w:rPr>
        <w:footnoteRef/>
      </w:r>
      <w:r w:rsidRPr="0099506C">
        <w:rPr>
          <w:rFonts w:cs="Times New Roman"/>
          <w:szCs w:val="20"/>
        </w:rPr>
        <w:t xml:space="preserve"> </w:t>
      </w:r>
      <w:r w:rsidRPr="0099506C">
        <w:rPr>
          <w:rFonts w:cs="Times New Roman"/>
          <w:szCs w:val="20"/>
          <w:lang w:val="en-US"/>
        </w:rPr>
        <w:t xml:space="preserve">Adrienne Windhoff-Héritier, </w:t>
      </w:r>
      <w:r w:rsidRPr="0099506C">
        <w:rPr>
          <w:rFonts w:cs="Times New Roman"/>
          <w:i/>
          <w:iCs/>
          <w:szCs w:val="20"/>
          <w:lang w:val="en-US"/>
        </w:rPr>
        <w:t>Policy-Analyse: Eine Einführung</w:t>
      </w:r>
      <w:r w:rsidRPr="0099506C">
        <w:rPr>
          <w:rFonts w:cs="Times New Roman"/>
          <w:szCs w:val="20"/>
          <w:lang w:val="en-US"/>
        </w:rPr>
        <w:t xml:space="preserve"> (Frankfurt am Main: Campus Verlag, 1987) 18</w:t>
      </w:r>
    </w:p>
  </w:footnote>
  <w:footnote w:id="15">
    <w:p w14:paraId="5F2C8760" w14:textId="7FAFC86B" w:rsidR="00D56A69" w:rsidRPr="007A72C3" w:rsidRDefault="00D56A69">
      <w:pPr>
        <w:pStyle w:val="FootnoteText"/>
        <w:rPr>
          <w:rFonts w:cs="Times New Roman"/>
          <w:szCs w:val="20"/>
        </w:rPr>
      </w:pPr>
      <w:r w:rsidRPr="0099506C">
        <w:rPr>
          <w:rStyle w:val="FootnoteReference"/>
          <w:rFonts w:cs="Times New Roman"/>
          <w:szCs w:val="20"/>
        </w:rPr>
        <w:footnoteRef/>
      </w:r>
      <w:r w:rsidRPr="0099506C">
        <w:rPr>
          <w:rFonts w:cs="Times New Roman"/>
          <w:szCs w:val="20"/>
        </w:rPr>
        <w:t xml:space="preserve"> </w:t>
      </w:r>
      <w:r w:rsidRPr="0099506C">
        <w:rPr>
          <w:rFonts w:cs="Times New Roman"/>
          <w:szCs w:val="20"/>
          <w:lang w:val="en-US"/>
        </w:rPr>
        <w:t xml:space="preserve">Adrienne Windhoff-Héritier, </w:t>
      </w:r>
      <w:r w:rsidRPr="0099506C">
        <w:rPr>
          <w:rFonts w:cs="Times New Roman"/>
          <w:i/>
          <w:iCs/>
          <w:szCs w:val="20"/>
          <w:lang w:val="en-US"/>
        </w:rPr>
        <w:t>Policy-Analyse: Eine Einführung</w:t>
      </w:r>
      <w:r w:rsidRPr="0099506C">
        <w:rPr>
          <w:rFonts w:cs="Times New Roman"/>
          <w:szCs w:val="20"/>
          <w:lang w:val="en-US"/>
        </w:rPr>
        <w:t xml:space="preserve"> (Frankfurt am Main: Campus Verlag, </w:t>
      </w:r>
      <w:r w:rsidRPr="007A72C3">
        <w:rPr>
          <w:rFonts w:cs="Times New Roman"/>
          <w:szCs w:val="20"/>
          <w:lang w:val="en-US"/>
        </w:rPr>
        <w:t>1987) 21-22</w:t>
      </w:r>
    </w:p>
  </w:footnote>
  <w:footnote w:id="16">
    <w:p w14:paraId="049A0A1F" w14:textId="03D03FCE" w:rsidR="00D56A69" w:rsidRDefault="00D56A69">
      <w:pPr>
        <w:pStyle w:val="FootnoteText"/>
      </w:pPr>
      <w:r w:rsidRPr="007A72C3">
        <w:rPr>
          <w:rStyle w:val="FootnoteReference"/>
          <w:rFonts w:cs="Times New Roman"/>
          <w:szCs w:val="20"/>
        </w:rPr>
        <w:footnoteRef/>
      </w:r>
      <w:r w:rsidRPr="007A72C3">
        <w:rPr>
          <w:rFonts w:cs="Times New Roman"/>
          <w:szCs w:val="20"/>
        </w:rPr>
        <w:t xml:space="preserve"> </w:t>
      </w:r>
      <w:r w:rsidRPr="007A72C3">
        <w:rPr>
          <w:rFonts w:cs="Times New Roman"/>
          <w:szCs w:val="20"/>
          <w:lang w:val="en-US"/>
        </w:rPr>
        <w:t xml:space="preserve">Adrienne Windhoff-Héritier, </w:t>
      </w:r>
      <w:r w:rsidRPr="007A72C3">
        <w:rPr>
          <w:rFonts w:cs="Times New Roman"/>
          <w:i/>
          <w:iCs/>
          <w:szCs w:val="20"/>
          <w:lang w:val="en-US"/>
        </w:rPr>
        <w:t>Policy-Analyse: Eine Einführung</w:t>
      </w:r>
      <w:r w:rsidRPr="007A72C3">
        <w:rPr>
          <w:rFonts w:cs="Times New Roman"/>
          <w:szCs w:val="20"/>
          <w:lang w:val="en-US"/>
        </w:rPr>
        <w:t xml:space="preserve"> (Frankfurt am Main: Campus Verlag, 1987) 28-29</w:t>
      </w:r>
    </w:p>
  </w:footnote>
  <w:footnote w:id="17">
    <w:p w14:paraId="7C3DF372" w14:textId="4CF728A9" w:rsidR="00D56A69" w:rsidRPr="005C253E" w:rsidRDefault="00D56A69">
      <w:pPr>
        <w:pStyle w:val="FootnoteText"/>
        <w:rPr>
          <w:rFonts w:cs="Times New Roman"/>
          <w:szCs w:val="20"/>
        </w:rPr>
      </w:pPr>
      <w:r w:rsidRPr="005C253E">
        <w:rPr>
          <w:rStyle w:val="FootnoteReference"/>
          <w:rFonts w:cs="Times New Roman"/>
          <w:szCs w:val="20"/>
        </w:rPr>
        <w:footnoteRef/>
      </w:r>
      <w:r w:rsidRPr="005C253E">
        <w:rPr>
          <w:rFonts w:cs="Times New Roman"/>
          <w:szCs w:val="20"/>
        </w:rPr>
        <w:t xml:space="preserve"> </w:t>
      </w:r>
      <w:r w:rsidRPr="005C253E">
        <w:rPr>
          <w:rFonts w:cs="Times New Roman"/>
          <w:szCs w:val="20"/>
          <w:lang w:val="en-US"/>
        </w:rPr>
        <w:t xml:space="preserve">Adrienne Windhoff-Héritier, </w:t>
      </w:r>
      <w:r w:rsidRPr="005C253E">
        <w:rPr>
          <w:rFonts w:cs="Times New Roman"/>
          <w:i/>
          <w:iCs/>
          <w:szCs w:val="20"/>
          <w:lang w:val="en-US"/>
        </w:rPr>
        <w:t>Policy-Analyse: Eine Einführung</w:t>
      </w:r>
      <w:r w:rsidRPr="005C253E">
        <w:rPr>
          <w:rFonts w:cs="Times New Roman"/>
          <w:szCs w:val="20"/>
          <w:lang w:val="en-US"/>
        </w:rPr>
        <w:t xml:space="preserve"> (Frankfurt am Main: Campus Verlag, 1987) 35-39</w:t>
      </w:r>
    </w:p>
  </w:footnote>
  <w:footnote w:id="18">
    <w:p w14:paraId="085BD46B" w14:textId="289F1EFE" w:rsidR="00D56A69" w:rsidRPr="0002679E" w:rsidRDefault="00D56A69">
      <w:pPr>
        <w:pStyle w:val="FootnoteText"/>
        <w:rPr>
          <w:rFonts w:cs="Times New Roman"/>
          <w:szCs w:val="20"/>
        </w:rPr>
      </w:pPr>
      <w:r w:rsidRPr="0099506C">
        <w:rPr>
          <w:rStyle w:val="FootnoteReference"/>
          <w:rFonts w:cs="Times New Roman"/>
          <w:szCs w:val="20"/>
        </w:rPr>
        <w:footnoteRef/>
      </w:r>
      <w:r w:rsidRPr="0099506C">
        <w:rPr>
          <w:rFonts w:cs="Times New Roman"/>
          <w:szCs w:val="20"/>
        </w:rPr>
        <w:t xml:space="preserve"> </w:t>
      </w:r>
      <w:r w:rsidRPr="0099506C">
        <w:rPr>
          <w:rFonts w:cs="Times New Roman"/>
          <w:szCs w:val="20"/>
          <w:lang w:val="en-US"/>
        </w:rPr>
        <w:t xml:space="preserve">Adrienne Windhoff-Héritier, </w:t>
      </w:r>
      <w:r w:rsidRPr="0099506C">
        <w:rPr>
          <w:rFonts w:cs="Times New Roman"/>
          <w:i/>
          <w:iCs/>
          <w:szCs w:val="20"/>
          <w:lang w:val="en-US"/>
        </w:rPr>
        <w:t>Policy-Analyse: Eine Einführung</w:t>
      </w:r>
      <w:r w:rsidRPr="0099506C">
        <w:rPr>
          <w:rFonts w:cs="Times New Roman"/>
          <w:szCs w:val="20"/>
          <w:lang w:val="en-US"/>
        </w:rPr>
        <w:t xml:space="preserve"> (Frankfurt am Main: Campus Verlag, 1987) 64–66</w:t>
      </w:r>
    </w:p>
  </w:footnote>
  <w:footnote w:id="19">
    <w:p w14:paraId="634CEDF5" w14:textId="5313C7C2" w:rsidR="00D56A69" w:rsidRDefault="00D56A69">
      <w:pPr>
        <w:pStyle w:val="FootnoteText"/>
      </w:pPr>
      <w:r>
        <w:rPr>
          <w:rStyle w:val="FootnoteReference"/>
        </w:rPr>
        <w:footnoteRef/>
      </w:r>
      <w:r>
        <w:t xml:space="preserve"> </w:t>
      </w:r>
      <w:r w:rsidRPr="0002679E">
        <w:rPr>
          <w:rFonts w:cs="Times New Roman"/>
          <w:szCs w:val="20"/>
          <w:lang w:val="en-US"/>
        </w:rPr>
        <w:t xml:space="preserve">Adrienne Windhoff-Héritier, </w:t>
      </w:r>
      <w:r w:rsidRPr="0002679E">
        <w:rPr>
          <w:rFonts w:cs="Times New Roman"/>
          <w:i/>
          <w:iCs/>
          <w:szCs w:val="20"/>
          <w:lang w:val="en-US"/>
        </w:rPr>
        <w:t>Policy-Analyse: Eine Einführung</w:t>
      </w:r>
      <w:r w:rsidRPr="0002679E">
        <w:rPr>
          <w:rFonts w:cs="Times New Roman"/>
          <w:szCs w:val="20"/>
          <w:lang w:val="en-US"/>
        </w:rPr>
        <w:t xml:space="preserve"> (Frankfurt a</w:t>
      </w:r>
      <w:r>
        <w:rPr>
          <w:rFonts w:cs="Times New Roman"/>
          <w:szCs w:val="20"/>
          <w:lang w:val="en-US"/>
        </w:rPr>
        <w:t>m Main: Campus Verlag, 1987), 67</w:t>
      </w:r>
      <w:r w:rsidRPr="0002679E">
        <w:rPr>
          <w:rFonts w:cs="Times New Roman"/>
          <w:szCs w:val="20"/>
          <w:lang w:val="en-US"/>
        </w:rPr>
        <w:t>–6</w:t>
      </w:r>
      <w:r>
        <w:rPr>
          <w:rFonts w:cs="Times New Roman"/>
          <w:szCs w:val="20"/>
          <w:lang w:val="en-US"/>
        </w:rPr>
        <w:t>8</w:t>
      </w:r>
    </w:p>
  </w:footnote>
  <w:footnote w:id="20">
    <w:p w14:paraId="5078C1AB" w14:textId="04A8DFDD" w:rsidR="00D56A69" w:rsidRDefault="00D56A69">
      <w:pPr>
        <w:pStyle w:val="FootnoteText"/>
      </w:pPr>
      <w:r w:rsidRPr="000363CC">
        <w:rPr>
          <w:rStyle w:val="FootnoteReference"/>
          <w:rFonts w:cs="Times New Roman"/>
          <w:szCs w:val="20"/>
        </w:rPr>
        <w:footnoteRef/>
      </w:r>
      <w:r w:rsidRPr="000363CC">
        <w:rPr>
          <w:rFonts w:cs="Times New Roman"/>
          <w:szCs w:val="20"/>
        </w:rPr>
        <w:t xml:space="preserve"> </w:t>
      </w:r>
      <w:r w:rsidRPr="000363CC">
        <w:rPr>
          <w:rFonts w:cs="Times New Roman"/>
          <w:szCs w:val="20"/>
          <w:lang w:val="en-US"/>
        </w:rPr>
        <w:t>A</w:t>
      </w:r>
      <w:r w:rsidRPr="0002679E">
        <w:rPr>
          <w:rFonts w:cs="Times New Roman"/>
          <w:szCs w:val="20"/>
          <w:lang w:val="en-US"/>
        </w:rPr>
        <w:t xml:space="preserve">drienne Windhoff-Héritier, </w:t>
      </w:r>
      <w:r w:rsidRPr="0002679E">
        <w:rPr>
          <w:rFonts w:cs="Times New Roman"/>
          <w:i/>
          <w:iCs/>
          <w:szCs w:val="20"/>
          <w:lang w:val="en-US"/>
        </w:rPr>
        <w:t>Policy-Analyse: Eine Einführung</w:t>
      </w:r>
      <w:r w:rsidRPr="0002679E">
        <w:rPr>
          <w:rFonts w:cs="Times New Roman"/>
          <w:szCs w:val="20"/>
          <w:lang w:val="en-US"/>
        </w:rPr>
        <w:t xml:space="preserve"> (Frankfurt a</w:t>
      </w:r>
      <w:r>
        <w:rPr>
          <w:rFonts w:cs="Times New Roman"/>
          <w:szCs w:val="20"/>
          <w:lang w:val="en-US"/>
        </w:rPr>
        <w:t>m Main: Campus Verlag, 1987), 69</w:t>
      </w:r>
    </w:p>
  </w:footnote>
  <w:footnote w:id="21">
    <w:p w14:paraId="20D74A86" w14:textId="694305DF" w:rsidR="00D56A69" w:rsidRPr="00A51F8E" w:rsidRDefault="00D56A69">
      <w:pPr>
        <w:pStyle w:val="FootnoteText"/>
        <w:rPr>
          <w:rFonts w:cs="Times New Roman"/>
          <w:szCs w:val="20"/>
        </w:rPr>
      </w:pPr>
      <w:r w:rsidRPr="00A51F8E">
        <w:rPr>
          <w:rStyle w:val="FootnoteReference"/>
          <w:rFonts w:cs="Times New Roman"/>
          <w:szCs w:val="20"/>
        </w:rPr>
        <w:footnoteRef/>
      </w:r>
      <w:r>
        <w:rPr>
          <w:rFonts w:cs="Times New Roman"/>
          <w:szCs w:val="20"/>
          <w:lang w:val="en-US"/>
        </w:rPr>
        <w:t xml:space="preserve"> </w:t>
      </w:r>
      <w:r w:rsidRPr="0099506C">
        <w:rPr>
          <w:rFonts w:cs="Times New Roman"/>
          <w:szCs w:val="20"/>
          <w:lang w:val="en-US"/>
        </w:rPr>
        <w:t xml:space="preserve">Adrienne Windhoff-Héritier, </w:t>
      </w:r>
      <w:r w:rsidRPr="0099506C">
        <w:rPr>
          <w:rFonts w:cs="Times New Roman"/>
          <w:i/>
          <w:iCs/>
          <w:szCs w:val="20"/>
          <w:lang w:val="en-US"/>
        </w:rPr>
        <w:t>Policy-Analyse: Eine Einführung</w:t>
      </w:r>
      <w:r w:rsidRPr="0099506C">
        <w:rPr>
          <w:rFonts w:cs="Times New Roman"/>
          <w:szCs w:val="20"/>
          <w:lang w:val="en-US"/>
        </w:rPr>
        <w:t xml:space="preserve"> (Frankfurt am Main: Campus Verlag, </w:t>
      </w:r>
      <w:r w:rsidRPr="007A72C3">
        <w:rPr>
          <w:rFonts w:cs="Times New Roman"/>
          <w:szCs w:val="20"/>
          <w:lang w:val="en-US"/>
        </w:rPr>
        <w:t xml:space="preserve">1987) </w:t>
      </w:r>
      <w:r w:rsidRPr="00A51F8E">
        <w:rPr>
          <w:rFonts w:cs="Times New Roman"/>
          <w:szCs w:val="20"/>
        </w:rPr>
        <w:t>p. 70</w:t>
      </w:r>
    </w:p>
  </w:footnote>
  <w:footnote w:id="22">
    <w:p w14:paraId="730DB9C2" w14:textId="4B4536D2" w:rsidR="00D56A69" w:rsidRPr="00F16E4B" w:rsidRDefault="00D56A69">
      <w:pPr>
        <w:pStyle w:val="FootnoteText"/>
        <w:rPr>
          <w:rFonts w:cs="Times New Roman"/>
          <w:szCs w:val="20"/>
        </w:rPr>
      </w:pPr>
      <w:r w:rsidRPr="00F16E4B">
        <w:rPr>
          <w:rStyle w:val="FootnoteReference"/>
          <w:rFonts w:cs="Times New Roman"/>
          <w:szCs w:val="20"/>
        </w:rPr>
        <w:footnoteRef/>
      </w:r>
      <w:r>
        <w:rPr>
          <w:rFonts w:cs="Times New Roman"/>
          <w:szCs w:val="20"/>
          <w:lang w:val="en-US"/>
        </w:rPr>
        <w:t xml:space="preserve"> </w:t>
      </w:r>
      <w:r w:rsidRPr="0099506C">
        <w:rPr>
          <w:rFonts w:cs="Times New Roman"/>
          <w:szCs w:val="20"/>
          <w:lang w:val="en-US"/>
        </w:rPr>
        <w:t xml:space="preserve">Adrienne Windhoff-Héritier, </w:t>
      </w:r>
      <w:r w:rsidRPr="0099506C">
        <w:rPr>
          <w:rFonts w:cs="Times New Roman"/>
          <w:i/>
          <w:iCs/>
          <w:szCs w:val="20"/>
          <w:lang w:val="en-US"/>
        </w:rPr>
        <w:t>Policy-Analyse: Eine Einführung</w:t>
      </w:r>
      <w:r w:rsidRPr="0099506C">
        <w:rPr>
          <w:rFonts w:cs="Times New Roman"/>
          <w:szCs w:val="20"/>
          <w:lang w:val="en-US"/>
        </w:rPr>
        <w:t xml:space="preserve"> (Frankfurt am Main: Campus Verlag, </w:t>
      </w:r>
      <w:r w:rsidRPr="007A72C3">
        <w:rPr>
          <w:rFonts w:cs="Times New Roman"/>
          <w:szCs w:val="20"/>
          <w:lang w:val="en-US"/>
        </w:rPr>
        <w:t xml:space="preserve">1987) </w:t>
      </w:r>
      <w:r w:rsidRPr="00F16E4B">
        <w:rPr>
          <w:rFonts w:cs="Times New Roman"/>
          <w:szCs w:val="20"/>
        </w:rPr>
        <w:t>p.71</w:t>
      </w:r>
    </w:p>
  </w:footnote>
  <w:footnote w:id="23">
    <w:p w14:paraId="42F12BB4" w14:textId="51D4BC27" w:rsidR="00D56A69" w:rsidRPr="00C5742F" w:rsidRDefault="00D56A69">
      <w:pPr>
        <w:pStyle w:val="FootnoteText"/>
        <w:rPr>
          <w:rFonts w:cs="Times New Roman"/>
          <w:szCs w:val="20"/>
        </w:rPr>
      </w:pPr>
      <w:r w:rsidRPr="00C5742F">
        <w:rPr>
          <w:rStyle w:val="FootnoteReference"/>
          <w:rFonts w:cs="Times New Roman"/>
          <w:szCs w:val="20"/>
        </w:rPr>
        <w:footnoteRef/>
      </w:r>
      <w:r>
        <w:rPr>
          <w:rFonts w:cs="Times New Roman"/>
          <w:szCs w:val="20"/>
          <w:lang w:val="en-US"/>
        </w:rPr>
        <w:t xml:space="preserve"> </w:t>
      </w:r>
      <w:r w:rsidRPr="0099506C">
        <w:rPr>
          <w:rFonts w:cs="Times New Roman"/>
          <w:szCs w:val="20"/>
          <w:lang w:val="en-US"/>
        </w:rPr>
        <w:t xml:space="preserve">Adrienne Windhoff-Héritier, </w:t>
      </w:r>
      <w:r w:rsidRPr="0099506C">
        <w:rPr>
          <w:rFonts w:cs="Times New Roman"/>
          <w:i/>
          <w:iCs/>
          <w:szCs w:val="20"/>
          <w:lang w:val="en-US"/>
        </w:rPr>
        <w:t>Policy-Analyse: Eine Einführung</w:t>
      </w:r>
      <w:r w:rsidRPr="0099506C">
        <w:rPr>
          <w:rFonts w:cs="Times New Roman"/>
          <w:szCs w:val="20"/>
          <w:lang w:val="en-US"/>
        </w:rPr>
        <w:t xml:space="preserve"> (Frankfurt am Main: Campus Verlag, </w:t>
      </w:r>
      <w:r w:rsidRPr="007A72C3">
        <w:rPr>
          <w:rFonts w:cs="Times New Roman"/>
          <w:szCs w:val="20"/>
          <w:lang w:val="en-US"/>
        </w:rPr>
        <w:t xml:space="preserve">1987) </w:t>
      </w:r>
      <w:r>
        <w:rPr>
          <w:rFonts w:cs="Times New Roman"/>
          <w:szCs w:val="20"/>
        </w:rPr>
        <w:t>p.</w:t>
      </w:r>
      <w:r w:rsidRPr="00C5742F">
        <w:rPr>
          <w:rFonts w:cs="Times New Roman"/>
          <w:szCs w:val="20"/>
        </w:rPr>
        <w:t>72-73</w:t>
      </w:r>
    </w:p>
  </w:footnote>
  <w:footnote w:id="24">
    <w:p w14:paraId="5643BF23" w14:textId="390A0E56" w:rsidR="00D56A69" w:rsidRPr="0044256D" w:rsidRDefault="00D56A69">
      <w:pPr>
        <w:pStyle w:val="FootnoteText"/>
        <w:rPr>
          <w:rFonts w:cs="Times New Roman"/>
          <w:szCs w:val="20"/>
        </w:rPr>
      </w:pPr>
      <w:r w:rsidRPr="0044256D">
        <w:rPr>
          <w:rStyle w:val="FootnoteReference"/>
          <w:rFonts w:cs="Times New Roman"/>
          <w:szCs w:val="20"/>
        </w:rPr>
        <w:footnoteRef/>
      </w:r>
      <w:r>
        <w:rPr>
          <w:rFonts w:cs="Times New Roman"/>
          <w:szCs w:val="20"/>
          <w:lang w:val="en-US"/>
        </w:rPr>
        <w:t xml:space="preserve"> </w:t>
      </w:r>
      <w:r w:rsidRPr="0099506C">
        <w:rPr>
          <w:rFonts w:cs="Times New Roman"/>
          <w:szCs w:val="20"/>
          <w:lang w:val="en-US"/>
        </w:rPr>
        <w:t xml:space="preserve">Adrienne Windhoff-Héritier, </w:t>
      </w:r>
      <w:r w:rsidRPr="0099506C">
        <w:rPr>
          <w:rFonts w:cs="Times New Roman"/>
          <w:i/>
          <w:iCs/>
          <w:szCs w:val="20"/>
          <w:lang w:val="en-US"/>
        </w:rPr>
        <w:t>Policy-Analyse: Eine Einführung</w:t>
      </w:r>
      <w:r w:rsidRPr="0099506C">
        <w:rPr>
          <w:rFonts w:cs="Times New Roman"/>
          <w:szCs w:val="20"/>
          <w:lang w:val="en-US"/>
        </w:rPr>
        <w:t xml:space="preserve"> (Frankfurt am Main: Campus Verlag, </w:t>
      </w:r>
      <w:r w:rsidRPr="007A72C3">
        <w:rPr>
          <w:rFonts w:cs="Times New Roman"/>
          <w:szCs w:val="20"/>
          <w:lang w:val="en-US"/>
        </w:rPr>
        <w:t xml:space="preserve">1987) </w:t>
      </w:r>
      <w:r w:rsidRPr="0044256D">
        <w:rPr>
          <w:rFonts w:cs="Times New Roman"/>
          <w:szCs w:val="20"/>
        </w:rPr>
        <w:t>p.74</w:t>
      </w:r>
    </w:p>
  </w:footnote>
  <w:footnote w:id="25">
    <w:p w14:paraId="57FBEDE9" w14:textId="0AFD78A5" w:rsidR="00D56A69" w:rsidRPr="00FA3B9B" w:rsidRDefault="00D56A69">
      <w:pPr>
        <w:pStyle w:val="FootnoteText"/>
        <w:rPr>
          <w:rFonts w:cs="Times New Roman"/>
          <w:szCs w:val="20"/>
        </w:rPr>
      </w:pPr>
      <w:r w:rsidRPr="00FA3B9B">
        <w:rPr>
          <w:rStyle w:val="FootnoteReference"/>
          <w:rFonts w:cs="Times New Roman"/>
          <w:szCs w:val="20"/>
        </w:rPr>
        <w:footnoteRef/>
      </w:r>
      <w:r>
        <w:rPr>
          <w:rFonts w:cs="Times New Roman"/>
          <w:szCs w:val="20"/>
          <w:lang w:val="en-US"/>
        </w:rPr>
        <w:t xml:space="preserve"> </w:t>
      </w:r>
      <w:r w:rsidRPr="0099506C">
        <w:rPr>
          <w:rFonts w:cs="Times New Roman"/>
          <w:szCs w:val="20"/>
          <w:lang w:val="en-US"/>
        </w:rPr>
        <w:t xml:space="preserve">Adrienne Windhoff-Héritier, </w:t>
      </w:r>
      <w:r w:rsidRPr="0099506C">
        <w:rPr>
          <w:rFonts w:cs="Times New Roman"/>
          <w:i/>
          <w:iCs/>
          <w:szCs w:val="20"/>
          <w:lang w:val="en-US"/>
        </w:rPr>
        <w:t>Policy-Analyse: Eine Einführung</w:t>
      </w:r>
      <w:r w:rsidRPr="0099506C">
        <w:rPr>
          <w:rFonts w:cs="Times New Roman"/>
          <w:szCs w:val="20"/>
          <w:lang w:val="en-US"/>
        </w:rPr>
        <w:t xml:space="preserve"> (Frankfurt am Main: Campus Verlag, </w:t>
      </w:r>
      <w:r>
        <w:rPr>
          <w:rFonts w:cs="Times New Roman"/>
          <w:szCs w:val="20"/>
          <w:lang w:val="en-US"/>
        </w:rPr>
        <w:t>1987)</w:t>
      </w:r>
      <w:r w:rsidRPr="00FA3B9B">
        <w:rPr>
          <w:rFonts w:cs="Times New Roman"/>
          <w:szCs w:val="20"/>
        </w:rPr>
        <w:t xml:space="preserve"> p.75-80</w:t>
      </w:r>
    </w:p>
  </w:footnote>
  <w:footnote w:id="26">
    <w:p w14:paraId="1C5B7414" w14:textId="34E68808" w:rsidR="00D56A69" w:rsidRPr="00C95A07" w:rsidRDefault="00D56A69">
      <w:pPr>
        <w:pStyle w:val="FootnoteText"/>
        <w:rPr>
          <w:rFonts w:cs="Times New Roman"/>
          <w:szCs w:val="20"/>
        </w:rPr>
      </w:pPr>
      <w:r w:rsidRPr="00C95A07">
        <w:rPr>
          <w:rStyle w:val="FootnoteReference"/>
          <w:rFonts w:cs="Times New Roman"/>
          <w:szCs w:val="20"/>
        </w:rPr>
        <w:footnoteRef/>
      </w:r>
      <w:r>
        <w:rPr>
          <w:rFonts w:cs="Times New Roman"/>
          <w:szCs w:val="20"/>
        </w:rPr>
        <w:t xml:space="preserve"> </w:t>
      </w:r>
      <w:r w:rsidRPr="0099506C">
        <w:rPr>
          <w:rFonts w:cs="Times New Roman"/>
          <w:szCs w:val="20"/>
          <w:lang w:val="en-US"/>
        </w:rPr>
        <w:t xml:space="preserve">Adrienne Windhoff-Héritier, </w:t>
      </w:r>
      <w:r w:rsidRPr="0099506C">
        <w:rPr>
          <w:rFonts w:cs="Times New Roman"/>
          <w:i/>
          <w:iCs/>
          <w:szCs w:val="20"/>
          <w:lang w:val="en-US"/>
        </w:rPr>
        <w:t>Policy-Analyse: Eine Einführung</w:t>
      </w:r>
      <w:r w:rsidRPr="0099506C">
        <w:rPr>
          <w:rFonts w:cs="Times New Roman"/>
          <w:szCs w:val="20"/>
          <w:lang w:val="en-US"/>
        </w:rPr>
        <w:t xml:space="preserve"> (Frankfurt am Main: Campus Verlag, </w:t>
      </w:r>
      <w:r w:rsidRPr="007A72C3">
        <w:rPr>
          <w:rFonts w:cs="Times New Roman"/>
          <w:szCs w:val="20"/>
          <w:lang w:val="en-US"/>
        </w:rPr>
        <w:t xml:space="preserve">1987) </w:t>
      </w:r>
      <w:r w:rsidRPr="00C95A07">
        <w:rPr>
          <w:rFonts w:cs="Times New Roman"/>
          <w:szCs w:val="20"/>
        </w:rPr>
        <w:t>p.81-82</w:t>
      </w:r>
    </w:p>
  </w:footnote>
  <w:footnote w:id="27">
    <w:p w14:paraId="1487DC87" w14:textId="6C4C46A8" w:rsidR="00D56A69" w:rsidRPr="003467C6" w:rsidRDefault="00D56A69">
      <w:pPr>
        <w:pStyle w:val="FootnoteText"/>
        <w:rPr>
          <w:rFonts w:cs="Times New Roman"/>
          <w:szCs w:val="20"/>
        </w:rPr>
      </w:pPr>
      <w:r w:rsidRPr="003467C6">
        <w:rPr>
          <w:rStyle w:val="FootnoteReference"/>
          <w:rFonts w:cs="Times New Roman"/>
          <w:szCs w:val="20"/>
        </w:rPr>
        <w:footnoteRef/>
      </w:r>
      <w:r>
        <w:rPr>
          <w:rFonts w:cs="Times New Roman"/>
          <w:szCs w:val="20"/>
        </w:rPr>
        <w:t xml:space="preserve"> </w:t>
      </w:r>
      <w:r w:rsidRPr="0099506C">
        <w:rPr>
          <w:rFonts w:cs="Times New Roman"/>
          <w:szCs w:val="20"/>
          <w:lang w:val="en-US"/>
        </w:rPr>
        <w:t xml:space="preserve">Adrienne Windhoff-Héritier, </w:t>
      </w:r>
      <w:r w:rsidRPr="0099506C">
        <w:rPr>
          <w:rFonts w:cs="Times New Roman"/>
          <w:i/>
          <w:iCs/>
          <w:szCs w:val="20"/>
          <w:lang w:val="en-US"/>
        </w:rPr>
        <w:t>Policy-Analyse: Eine Einführung</w:t>
      </w:r>
      <w:r w:rsidRPr="0099506C">
        <w:rPr>
          <w:rFonts w:cs="Times New Roman"/>
          <w:szCs w:val="20"/>
          <w:lang w:val="en-US"/>
        </w:rPr>
        <w:t xml:space="preserve"> (Frankfurt am Main: Campus Verlag, </w:t>
      </w:r>
      <w:r>
        <w:rPr>
          <w:rFonts w:cs="Times New Roman"/>
          <w:szCs w:val="20"/>
          <w:lang w:val="en-US"/>
        </w:rPr>
        <w:t>1987)</w:t>
      </w:r>
      <w:r w:rsidRPr="003467C6">
        <w:rPr>
          <w:rFonts w:cs="Times New Roman"/>
          <w:szCs w:val="20"/>
        </w:rPr>
        <w:t xml:space="preserve"> p.83-85</w:t>
      </w:r>
    </w:p>
  </w:footnote>
  <w:footnote w:id="28">
    <w:p w14:paraId="168021B9" w14:textId="20E6A961" w:rsidR="00D56A69" w:rsidRPr="00A15897" w:rsidRDefault="00D56A69">
      <w:pPr>
        <w:pStyle w:val="FootnoteText"/>
        <w:rPr>
          <w:rFonts w:cs="Times New Roman"/>
          <w:szCs w:val="20"/>
        </w:rPr>
      </w:pPr>
      <w:r w:rsidRPr="00A15897">
        <w:rPr>
          <w:rStyle w:val="FootnoteReference"/>
          <w:rFonts w:cs="Times New Roman"/>
          <w:szCs w:val="20"/>
        </w:rPr>
        <w:footnoteRef/>
      </w:r>
      <w:r w:rsidRPr="00A15897">
        <w:rPr>
          <w:rFonts w:cs="Times New Roman"/>
          <w:szCs w:val="20"/>
        </w:rPr>
        <w:t xml:space="preserve"> </w:t>
      </w:r>
      <w:r w:rsidRPr="00A15897">
        <w:rPr>
          <w:rFonts w:cs="Times New Roman"/>
          <w:szCs w:val="20"/>
          <w:lang w:val="en-US"/>
        </w:rPr>
        <w:t xml:space="preserve">Adrienne Windhoff-Héritier, </w:t>
      </w:r>
      <w:r w:rsidRPr="00A15897">
        <w:rPr>
          <w:rFonts w:cs="Times New Roman"/>
          <w:i/>
          <w:iCs/>
          <w:szCs w:val="20"/>
          <w:lang w:val="en-US"/>
        </w:rPr>
        <w:t>Policy-Analyse: Eine Einführung</w:t>
      </w:r>
      <w:r w:rsidRPr="00A15897">
        <w:rPr>
          <w:rFonts w:cs="Times New Roman"/>
          <w:szCs w:val="20"/>
          <w:lang w:val="en-US"/>
        </w:rPr>
        <w:t xml:space="preserve"> (Frankfurt am Main: Campus Verlag, 1987), 86-87</w:t>
      </w:r>
    </w:p>
  </w:footnote>
  <w:footnote w:id="29">
    <w:p w14:paraId="26F86C07" w14:textId="6FF1B3B9" w:rsidR="00D56A69" w:rsidRPr="007A7960" w:rsidRDefault="00D56A69">
      <w:pPr>
        <w:pStyle w:val="FootnoteText"/>
        <w:rPr>
          <w:rFonts w:cs="Times New Roman"/>
          <w:szCs w:val="20"/>
        </w:rPr>
      </w:pPr>
      <w:r w:rsidRPr="0085690A">
        <w:rPr>
          <w:rStyle w:val="FootnoteReference"/>
          <w:rFonts w:cs="Times New Roman"/>
          <w:szCs w:val="20"/>
        </w:rPr>
        <w:footnoteRef/>
      </w:r>
      <w:r w:rsidRPr="0085690A">
        <w:rPr>
          <w:rFonts w:cs="Times New Roman"/>
          <w:szCs w:val="20"/>
        </w:rPr>
        <w:t xml:space="preserve"> </w:t>
      </w:r>
      <w:r w:rsidRPr="0085690A">
        <w:rPr>
          <w:rFonts w:cs="Times New Roman"/>
          <w:szCs w:val="20"/>
          <w:lang w:val="en-US"/>
        </w:rPr>
        <w:t xml:space="preserve">Adrienne Windhoff-Héritier, </w:t>
      </w:r>
      <w:r w:rsidRPr="0085690A">
        <w:rPr>
          <w:rFonts w:cs="Times New Roman"/>
          <w:i/>
          <w:iCs/>
          <w:szCs w:val="20"/>
          <w:lang w:val="en-US"/>
        </w:rPr>
        <w:t>Policy-Analyse: Eine Einführung</w:t>
      </w:r>
      <w:r w:rsidRPr="0085690A">
        <w:rPr>
          <w:rFonts w:cs="Times New Roman"/>
          <w:szCs w:val="20"/>
          <w:lang w:val="en-US"/>
        </w:rPr>
        <w:t xml:space="preserve"> (Frankfurt am Main: Campus Verlag, </w:t>
      </w:r>
      <w:r w:rsidRPr="007A7960">
        <w:rPr>
          <w:rFonts w:cs="Times New Roman"/>
          <w:szCs w:val="20"/>
          <w:lang w:val="en-US"/>
        </w:rPr>
        <w:t>1987), 89-90</w:t>
      </w:r>
    </w:p>
  </w:footnote>
  <w:footnote w:id="30">
    <w:p w14:paraId="7DC59F8B" w14:textId="7262E9F7" w:rsidR="00D56A69" w:rsidRPr="00200931" w:rsidRDefault="00D56A69" w:rsidP="00200931">
      <w:pPr>
        <w:pStyle w:val="Default"/>
        <w:rPr>
          <w:color w:val="404040" w:themeColor="text1" w:themeTint="BF"/>
          <w:sz w:val="20"/>
          <w:szCs w:val="20"/>
        </w:rPr>
      </w:pPr>
      <w:r w:rsidRPr="007A7960">
        <w:rPr>
          <w:rStyle w:val="FootnoteReference"/>
          <w:szCs w:val="20"/>
        </w:rPr>
        <w:footnoteRef/>
      </w:r>
      <w:r w:rsidRPr="007A7960">
        <w:rPr>
          <w:color w:val="404040" w:themeColor="text1" w:themeTint="BF"/>
          <w:sz w:val="20"/>
          <w:szCs w:val="20"/>
        </w:rPr>
        <w:t xml:space="preserve"> Søren von Dosenrode and Niels Chr. Sidenius. </w:t>
      </w:r>
      <w:proofErr w:type="gramStart"/>
      <w:r w:rsidRPr="007A7960">
        <w:rPr>
          <w:color w:val="404040" w:themeColor="text1" w:themeTint="BF"/>
          <w:sz w:val="20"/>
          <w:szCs w:val="20"/>
        </w:rPr>
        <w:t>Lobbyisme I EU – Udfordringer for Danmark.</w:t>
      </w:r>
      <w:proofErr w:type="gramEnd"/>
      <w:r w:rsidRPr="007A7960">
        <w:rPr>
          <w:color w:val="404040" w:themeColor="text1" w:themeTint="BF"/>
          <w:sz w:val="20"/>
          <w:szCs w:val="20"/>
        </w:rPr>
        <w:t xml:space="preserve"> Århus: Forlaget Systime A/S, 1999. </w:t>
      </w:r>
      <w:r>
        <w:rPr>
          <w:color w:val="404040" w:themeColor="text1" w:themeTint="BF"/>
          <w:sz w:val="20"/>
          <w:szCs w:val="20"/>
        </w:rPr>
        <w:t>11</w:t>
      </w:r>
      <w:r w:rsidRPr="007A7960">
        <w:rPr>
          <w:color w:val="404040" w:themeColor="text1" w:themeTint="BF"/>
          <w:sz w:val="20"/>
          <w:szCs w:val="20"/>
        </w:rPr>
        <w:t xml:space="preserve"> </w:t>
      </w:r>
    </w:p>
  </w:footnote>
  <w:footnote w:id="31">
    <w:p w14:paraId="50D0A3D4" w14:textId="77777777" w:rsidR="00D56A69" w:rsidRPr="00137ECA" w:rsidRDefault="00D56A69" w:rsidP="00D27FB8">
      <w:pPr>
        <w:pStyle w:val="FootnoteText"/>
        <w:jc w:val="both"/>
        <w:rPr>
          <w:rFonts w:cs="Times New Roman"/>
          <w:szCs w:val="20"/>
          <w:lang w:val="en-GB"/>
        </w:rPr>
      </w:pPr>
      <w:r w:rsidRPr="00137ECA">
        <w:rPr>
          <w:rStyle w:val="FootnoteReference"/>
          <w:rFonts w:cs="Times New Roman"/>
          <w:szCs w:val="20"/>
          <w:lang w:val="en-GB"/>
        </w:rPr>
        <w:footnoteRef/>
      </w:r>
      <w:r w:rsidRPr="00137ECA">
        <w:rPr>
          <w:rFonts w:cs="Times New Roman"/>
          <w:szCs w:val="20"/>
          <w:lang w:val="en-GB"/>
        </w:rPr>
        <w:t xml:space="preserve"> Hooghe, Liesbet, Gary Marks. </w:t>
      </w:r>
      <w:proofErr w:type="gramStart"/>
      <w:r w:rsidRPr="00137ECA">
        <w:rPr>
          <w:rFonts w:cs="Times New Roman"/>
          <w:szCs w:val="20"/>
          <w:lang w:val="en-GB"/>
        </w:rPr>
        <w:t>“Types of Multi-Level Governance”.</w:t>
      </w:r>
      <w:proofErr w:type="gramEnd"/>
      <w:r w:rsidRPr="00137ECA">
        <w:rPr>
          <w:rFonts w:cs="Times New Roman"/>
          <w:szCs w:val="20"/>
          <w:lang w:val="en-GB"/>
        </w:rPr>
        <w:t xml:space="preserve"> </w:t>
      </w:r>
      <w:r w:rsidRPr="00137ECA">
        <w:rPr>
          <w:rFonts w:cs="Times New Roman"/>
          <w:i/>
          <w:iCs/>
          <w:szCs w:val="20"/>
          <w:lang w:val="en-GB"/>
        </w:rPr>
        <w:t>European Integration Online Papers</w:t>
      </w:r>
      <w:r w:rsidRPr="00137ECA">
        <w:rPr>
          <w:rFonts w:cs="Times New Roman"/>
          <w:szCs w:val="20"/>
          <w:lang w:val="en-GB"/>
        </w:rPr>
        <w:t xml:space="preserve"> no.5 (2001) p. 1</w:t>
      </w:r>
    </w:p>
  </w:footnote>
  <w:footnote w:id="32">
    <w:p w14:paraId="6F29DD45" w14:textId="77777777" w:rsidR="00D56A69" w:rsidRPr="00137ECA" w:rsidRDefault="00D56A69" w:rsidP="00D27FB8">
      <w:pPr>
        <w:pStyle w:val="FootnoteText"/>
        <w:jc w:val="both"/>
        <w:rPr>
          <w:rFonts w:cs="Times New Roman"/>
          <w:szCs w:val="20"/>
        </w:rPr>
      </w:pPr>
      <w:r w:rsidRPr="00137ECA">
        <w:rPr>
          <w:rStyle w:val="FootnoteReference"/>
          <w:rFonts w:cs="Times New Roman"/>
          <w:szCs w:val="20"/>
        </w:rPr>
        <w:footnoteRef/>
      </w:r>
      <w:r w:rsidRPr="00137ECA">
        <w:rPr>
          <w:rFonts w:cs="Times New Roman"/>
          <w:szCs w:val="20"/>
        </w:rPr>
        <w:t xml:space="preserve"> </w:t>
      </w:r>
      <w:r w:rsidRPr="00137ECA">
        <w:rPr>
          <w:rFonts w:cs="Times New Roman"/>
          <w:szCs w:val="20"/>
          <w:lang w:val="en-GB"/>
        </w:rPr>
        <w:t xml:space="preserve">Hooghe, Liesbet, Gary Marks. </w:t>
      </w:r>
      <w:proofErr w:type="gramStart"/>
      <w:r w:rsidRPr="00137ECA">
        <w:rPr>
          <w:rFonts w:cs="Times New Roman"/>
          <w:szCs w:val="20"/>
          <w:lang w:val="en-GB"/>
        </w:rPr>
        <w:t>“Types of Multi-Level Governance”.</w:t>
      </w:r>
      <w:proofErr w:type="gramEnd"/>
      <w:r w:rsidRPr="00137ECA">
        <w:rPr>
          <w:rFonts w:cs="Times New Roman"/>
          <w:szCs w:val="20"/>
          <w:lang w:val="en-GB"/>
        </w:rPr>
        <w:t xml:space="preserve"> </w:t>
      </w:r>
      <w:r w:rsidRPr="00137ECA">
        <w:rPr>
          <w:rFonts w:cs="Times New Roman"/>
          <w:i/>
          <w:iCs/>
          <w:szCs w:val="20"/>
          <w:lang w:val="en-GB"/>
        </w:rPr>
        <w:t>European Integration Online Papers</w:t>
      </w:r>
      <w:r w:rsidRPr="00137ECA">
        <w:rPr>
          <w:rFonts w:cs="Times New Roman"/>
          <w:szCs w:val="20"/>
          <w:lang w:val="en-GB"/>
        </w:rPr>
        <w:t xml:space="preserve"> no.5 (2001) p. 2-3</w:t>
      </w:r>
    </w:p>
  </w:footnote>
  <w:footnote w:id="33">
    <w:p w14:paraId="341A976E" w14:textId="77777777" w:rsidR="00D56A69" w:rsidRPr="00137ECA" w:rsidRDefault="00D56A69" w:rsidP="00D27FB8">
      <w:pPr>
        <w:pStyle w:val="FootnoteText"/>
        <w:jc w:val="both"/>
        <w:rPr>
          <w:rFonts w:cs="Times New Roman"/>
          <w:szCs w:val="20"/>
        </w:rPr>
      </w:pPr>
      <w:r w:rsidRPr="00137ECA">
        <w:rPr>
          <w:rStyle w:val="FootnoteReference"/>
          <w:rFonts w:cs="Times New Roman"/>
          <w:szCs w:val="20"/>
        </w:rPr>
        <w:footnoteRef/>
      </w:r>
      <w:r w:rsidRPr="00137ECA">
        <w:rPr>
          <w:rFonts w:cs="Times New Roman"/>
          <w:szCs w:val="20"/>
        </w:rPr>
        <w:t xml:space="preserve"> </w:t>
      </w:r>
      <w:r w:rsidRPr="00137ECA">
        <w:rPr>
          <w:rFonts w:cs="Times New Roman"/>
          <w:szCs w:val="20"/>
          <w:lang w:val="en-GB"/>
        </w:rPr>
        <w:t xml:space="preserve">Hooghe, Liesbet, Gary Marks. </w:t>
      </w:r>
      <w:proofErr w:type="gramStart"/>
      <w:r w:rsidRPr="00137ECA">
        <w:rPr>
          <w:rFonts w:cs="Times New Roman"/>
          <w:szCs w:val="20"/>
          <w:lang w:val="en-GB"/>
        </w:rPr>
        <w:t>“Types of Multi-Level Governance”.</w:t>
      </w:r>
      <w:proofErr w:type="gramEnd"/>
      <w:r w:rsidRPr="00137ECA">
        <w:rPr>
          <w:rFonts w:cs="Times New Roman"/>
          <w:szCs w:val="20"/>
          <w:lang w:val="en-GB"/>
        </w:rPr>
        <w:t xml:space="preserve"> </w:t>
      </w:r>
      <w:r w:rsidRPr="00137ECA">
        <w:rPr>
          <w:rFonts w:cs="Times New Roman"/>
          <w:i/>
          <w:iCs/>
          <w:szCs w:val="20"/>
          <w:lang w:val="en-GB"/>
        </w:rPr>
        <w:t>European Integration Online Papers</w:t>
      </w:r>
      <w:r w:rsidRPr="00137ECA">
        <w:rPr>
          <w:rFonts w:cs="Times New Roman"/>
          <w:szCs w:val="20"/>
          <w:lang w:val="en-GB"/>
        </w:rPr>
        <w:t xml:space="preserve"> no.5 (2001) p. 4</w:t>
      </w:r>
    </w:p>
  </w:footnote>
  <w:footnote w:id="34">
    <w:p w14:paraId="7B301812" w14:textId="77777777" w:rsidR="00D56A69" w:rsidRPr="00137ECA" w:rsidRDefault="00D56A69" w:rsidP="00D27FB8">
      <w:pPr>
        <w:pStyle w:val="FootnoteText"/>
        <w:jc w:val="both"/>
        <w:rPr>
          <w:rFonts w:cs="Times New Roman"/>
          <w:szCs w:val="20"/>
        </w:rPr>
      </w:pPr>
      <w:r w:rsidRPr="00137ECA">
        <w:rPr>
          <w:rStyle w:val="FootnoteReference"/>
          <w:rFonts w:cs="Times New Roman"/>
          <w:szCs w:val="20"/>
        </w:rPr>
        <w:footnoteRef/>
      </w:r>
      <w:r w:rsidRPr="00137ECA">
        <w:rPr>
          <w:rFonts w:cs="Times New Roman"/>
          <w:szCs w:val="20"/>
        </w:rPr>
        <w:t xml:space="preserve"> </w:t>
      </w:r>
      <w:r w:rsidRPr="00137ECA">
        <w:rPr>
          <w:rFonts w:cs="Times New Roman"/>
          <w:szCs w:val="20"/>
          <w:lang w:val="en-GB"/>
        </w:rPr>
        <w:t xml:space="preserve">Hooghe, Liesbet, Gary Marks. </w:t>
      </w:r>
      <w:proofErr w:type="gramStart"/>
      <w:r w:rsidRPr="00137ECA">
        <w:rPr>
          <w:rFonts w:cs="Times New Roman"/>
          <w:szCs w:val="20"/>
          <w:lang w:val="en-GB"/>
        </w:rPr>
        <w:t>“Types of Multi-Level Governance”.</w:t>
      </w:r>
      <w:proofErr w:type="gramEnd"/>
      <w:r w:rsidRPr="00137ECA">
        <w:rPr>
          <w:rFonts w:cs="Times New Roman"/>
          <w:szCs w:val="20"/>
          <w:lang w:val="en-GB"/>
        </w:rPr>
        <w:t xml:space="preserve"> </w:t>
      </w:r>
      <w:r w:rsidRPr="00137ECA">
        <w:rPr>
          <w:rFonts w:cs="Times New Roman"/>
          <w:i/>
          <w:iCs/>
          <w:szCs w:val="20"/>
          <w:lang w:val="en-GB"/>
        </w:rPr>
        <w:t>European Integration Online Papers</w:t>
      </w:r>
      <w:r w:rsidRPr="00137ECA">
        <w:rPr>
          <w:rFonts w:cs="Times New Roman"/>
          <w:szCs w:val="20"/>
          <w:lang w:val="en-GB"/>
        </w:rPr>
        <w:t xml:space="preserve"> no.5 (2001) p. 6</w:t>
      </w:r>
    </w:p>
  </w:footnote>
  <w:footnote w:id="35">
    <w:p w14:paraId="7F1864D2" w14:textId="77777777" w:rsidR="00D56A69" w:rsidRDefault="00D56A69" w:rsidP="00D27FB8">
      <w:pPr>
        <w:pStyle w:val="FootnoteText"/>
      </w:pPr>
      <w:r w:rsidRPr="00137ECA">
        <w:rPr>
          <w:rStyle w:val="FootnoteReference"/>
          <w:rFonts w:cs="Times New Roman"/>
          <w:szCs w:val="20"/>
        </w:rPr>
        <w:footnoteRef/>
      </w:r>
      <w:r w:rsidRPr="00137ECA">
        <w:rPr>
          <w:rFonts w:cs="Times New Roman"/>
          <w:szCs w:val="20"/>
        </w:rPr>
        <w:t xml:space="preserve"> </w:t>
      </w:r>
      <w:r w:rsidRPr="00137ECA">
        <w:rPr>
          <w:rFonts w:cs="Times New Roman"/>
          <w:szCs w:val="20"/>
          <w:lang w:val="en-GB"/>
        </w:rPr>
        <w:t xml:space="preserve">Hooghe, Liesbet, Gary Marks. </w:t>
      </w:r>
      <w:proofErr w:type="gramStart"/>
      <w:r w:rsidRPr="00137ECA">
        <w:rPr>
          <w:rFonts w:cs="Times New Roman"/>
          <w:szCs w:val="20"/>
          <w:lang w:val="en-GB"/>
        </w:rPr>
        <w:t>“Types of Multi-Level Governance”.</w:t>
      </w:r>
      <w:proofErr w:type="gramEnd"/>
      <w:r w:rsidRPr="00137ECA">
        <w:rPr>
          <w:rFonts w:cs="Times New Roman"/>
          <w:szCs w:val="20"/>
          <w:lang w:val="en-GB"/>
        </w:rPr>
        <w:t xml:space="preserve"> </w:t>
      </w:r>
      <w:r w:rsidRPr="00137ECA">
        <w:rPr>
          <w:rFonts w:cs="Times New Roman"/>
          <w:i/>
          <w:iCs/>
          <w:szCs w:val="20"/>
          <w:lang w:val="en-GB"/>
        </w:rPr>
        <w:t>European Integration Online Papers</w:t>
      </w:r>
      <w:r w:rsidRPr="00137ECA">
        <w:rPr>
          <w:rFonts w:cs="Times New Roman"/>
          <w:szCs w:val="20"/>
          <w:lang w:val="en-GB"/>
        </w:rPr>
        <w:t xml:space="preserve"> no.5 (2001) p. 6</w:t>
      </w:r>
    </w:p>
  </w:footnote>
  <w:footnote w:id="36">
    <w:p w14:paraId="65E0B6E9" w14:textId="77777777" w:rsidR="00D56A69" w:rsidRPr="008102A8" w:rsidRDefault="00D56A69" w:rsidP="00D27FB8">
      <w:pPr>
        <w:pStyle w:val="FootnoteText"/>
        <w:rPr>
          <w:rFonts w:cs="Times New Roman"/>
          <w:szCs w:val="20"/>
        </w:rPr>
      </w:pPr>
      <w:r w:rsidRPr="008102A8">
        <w:rPr>
          <w:rStyle w:val="FootnoteReference"/>
          <w:rFonts w:cs="Times New Roman"/>
          <w:szCs w:val="20"/>
        </w:rPr>
        <w:footnoteRef/>
      </w:r>
      <w:r w:rsidRPr="008102A8">
        <w:rPr>
          <w:rFonts w:cs="Times New Roman"/>
          <w:szCs w:val="20"/>
        </w:rPr>
        <w:t xml:space="preserve"> </w:t>
      </w:r>
      <w:r w:rsidRPr="008102A8">
        <w:rPr>
          <w:rFonts w:cs="Times New Roman"/>
          <w:szCs w:val="20"/>
          <w:lang w:val="en-GB"/>
        </w:rPr>
        <w:t xml:space="preserve">Hooghe, Liesbet, Gary Marks. </w:t>
      </w:r>
      <w:proofErr w:type="gramStart"/>
      <w:r w:rsidRPr="008102A8">
        <w:rPr>
          <w:rFonts w:cs="Times New Roman"/>
          <w:szCs w:val="20"/>
          <w:lang w:val="en-GB"/>
        </w:rPr>
        <w:t>“Types of Multi-Level Governance”.</w:t>
      </w:r>
      <w:proofErr w:type="gramEnd"/>
      <w:r w:rsidRPr="008102A8">
        <w:rPr>
          <w:rFonts w:cs="Times New Roman"/>
          <w:szCs w:val="20"/>
          <w:lang w:val="en-GB"/>
        </w:rPr>
        <w:t xml:space="preserve"> </w:t>
      </w:r>
      <w:r w:rsidRPr="008102A8">
        <w:rPr>
          <w:rFonts w:cs="Times New Roman"/>
          <w:i/>
          <w:iCs/>
          <w:szCs w:val="20"/>
          <w:lang w:val="en-GB"/>
        </w:rPr>
        <w:t>European Integration Online Papers</w:t>
      </w:r>
      <w:r w:rsidRPr="008102A8">
        <w:rPr>
          <w:rFonts w:cs="Times New Roman"/>
          <w:szCs w:val="20"/>
          <w:lang w:val="en-GB"/>
        </w:rPr>
        <w:t xml:space="preserve"> no.5 (2001) p. 7</w:t>
      </w:r>
    </w:p>
  </w:footnote>
  <w:footnote w:id="37">
    <w:p w14:paraId="78D5F4C3" w14:textId="77777777" w:rsidR="00D56A69" w:rsidRDefault="00D56A69" w:rsidP="00D27FB8">
      <w:pPr>
        <w:pStyle w:val="FootnoteText"/>
      </w:pPr>
      <w:r>
        <w:rPr>
          <w:rStyle w:val="FootnoteReference"/>
        </w:rPr>
        <w:footnoteRef/>
      </w:r>
      <w:r>
        <w:t xml:space="preserve"> </w:t>
      </w:r>
      <w:r w:rsidRPr="00EB3804">
        <w:rPr>
          <w:rFonts w:cs="Times New Roman"/>
          <w:szCs w:val="20"/>
          <w:lang w:val="en-GB"/>
        </w:rPr>
        <w:t xml:space="preserve">Hooghe, Liesbet, Gary Marks. </w:t>
      </w:r>
      <w:proofErr w:type="gramStart"/>
      <w:r w:rsidRPr="00EB3804">
        <w:rPr>
          <w:rFonts w:cs="Times New Roman"/>
          <w:szCs w:val="20"/>
          <w:lang w:val="en-GB"/>
        </w:rPr>
        <w:t>“Types of Multi-Level Governance”.</w:t>
      </w:r>
      <w:proofErr w:type="gramEnd"/>
      <w:r w:rsidRPr="00EB3804">
        <w:rPr>
          <w:rFonts w:cs="Times New Roman"/>
          <w:szCs w:val="20"/>
          <w:lang w:val="en-GB"/>
        </w:rPr>
        <w:t xml:space="preserve"> </w:t>
      </w:r>
      <w:r w:rsidRPr="00EB3804">
        <w:rPr>
          <w:rFonts w:cs="Times New Roman"/>
          <w:i/>
          <w:iCs/>
          <w:szCs w:val="20"/>
          <w:lang w:val="en-GB"/>
        </w:rPr>
        <w:t>European Integration Online Papers</w:t>
      </w:r>
      <w:r>
        <w:rPr>
          <w:rFonts w:cs="Times New Roman"/>
          <w:szCs w:val="20"/>
          <w:lang w:val="en-GB"/>
        </w:rPr>
        <w:t xml:space="preserve"> no.5 (2001) p. 8</w:t>
      </w:r>
    </w:p>
  </w:footnote>
  <w:footnote w:id="38">
    <w:p w14:paraId="431BE12A" w14:textId="77777777" w:rsidR="00D56A69" w:rsidRDefault="00D56A69" w:rsidP="00D27FB8">
      <w:pPr>
        <w:pStyle w:val="FootnoteText"/>
      </w:pPr>
      <w:r>
        <w:rPr>
          <w:rStyle w:val="FootnoteReference"/>
        </w:rPr>
        <w:footnoteRef/>
      </w:r>
      <w:r>
        <w:t xml:space="preserve"> </w:t>
      </w:r>
      <w:r w:rsidRPr="00EB3804">
        <w:rPr>
          <w:rFonts w:cs="Times New Roman"/>
          <w:szCs w:val="20"/>
          <w:lang w:val="en-GB"/>
        </w:rPr>
        <w:t xml:space="preserve">Hooghe, Liesbet, Gary Marks. </w:t>
      </w:r>
      <w:proofErr w:type="gramStart"/>
      <w:r w:rsidRPr="00EB3804">
        <w:rPr>
          <w:rFonts w:cs="Times New Roman"/>
          <w:szCs w:val="20"/>
          <w:lang w:val="en-GB"/>
        </w:rPr>
        <w:t>“Types of Multi-Level Governance”.</w:t>
      </w:r>
      <w:proofErr w:type="gramEnd"/>
      <w:r w:rsidRPr="00EB3804">
        <w:rPr>
          <w:rFonts w:cs="Times New Roman"/>
          <w:szCs w:val="20"/>
          <w:lang w:val="en-GB"/>
        </w:rPr>
        <w:t xml:space="preserve"> </w:t>
      </w:r>
      <w:r w:rsidRPr="00EB3804">
        <w:rPr>
          <w:rFonts w:cs="Times New Roman"/>
          <w:i/>
          <w:iCs/>
          <w:szCs w:val="20"/>
          <w:lang w:val="en-GB"/>
        </w:rPr>
        <w:t>European Integration Online Papers</w:t>
      </w:r>
      <w:r>
        <w:rPr>
          <w:rFonts w:cs="Times New Roman"/>
          <w:szCs w:val="20"/>
          <w:lang w:val="en-GB"/>
        </w:rPr>
        <w:t xml:space="preserve"> no.5 (2001) p. 9-11</w:t>
      </w:r>
    </w:p>
  </w:footnote>
  <w:footnote w:id="39">
    <w:p w14:paraId="1F99D9B5" w14:textId="77777777" w:rsidR="00D56A69" w:rsidRDefault="00D56A69" w:rsidP="00D27FB8">
      <w:pPr>
        <w:pStyle w:val="FootnoteText"/>
      </w:pPr>
      <w:r>
        <w:rPr>
          <w:rStyle w:val="FootnoteReference"/>
        </w:rPr>
        <w:footnoteRef/>
      </w:r>
      <w:r>
        <w:t xml:space="preserve"> </w:t>
      </w:r>
      <w:r w:rsidRPr="00EB3804">
        <w:rPr>
          <w:rFonts w:cs="Times New Roman"/>
          <w:szCs w:val="20"/>
          <w:lang w:val="en-GB"/>
        </w:rPr>
        <w:t xml:space="preserve">Hooghe, Liesbet, Gary Marks. </w:t>
      </w:r>
      <w:proofErr w:type="gramStart"/>
      <w:r w:rsidRPr="00EB3804">
        <w:rPr>
          <w:rFonts w:cs="Times New Roman"/>
          <w:szCs w:val="20"/>
          <w:lang w:val="en-GB"/>
        </w:rPr>
        <w:t>“Types of Multi-Level Governance”.</w:t>
      </w:r>
      <w:proofErr w:type="gramEnd"/>
      <w:r w:rsidRPr="00EB3804">
        <w:rPr>
          <w:rFonts w:cs="Times New Roman"/>
          <w:szCs w:val="20"/>
          <w:lang w:val="en-GB"/>
        </w:rPr>
        <w:t xml:space="preserve"> </w:t>
      </w:r>
      <w:r w:rsidRPr="00EB3804">
        <w:rPr>
          <w:rFonts w:cs="Times New Roman"/>
          <w:i/>
          <w:iCs/>
          <w:szCs w:val="20"/>
          <w:lang w:val="en-GB"/>
        </w:rPr>
        <w:t>European Integration Online Papers</w:t>
      </w:r>
      <w:r>
        <w:rPr>
          <w:rFonts w:cs="Times New Roman"/>
          <w:szCs w:val="20"/>
          <w:lang w:val="en-GB"/>
        </w:rPr>
        <w:t xml:space="preserve"> no.5 (2001) p. 11</w:t>
      </w:r>
    </w:p>
  </w:footnote>
  <w:footnote w:id="40">
    <w:p w14:paraId="3DF0F177" w14:textId="6E7D9EA1" w:rsidR="00D56A69" w:rsidRDefault="00D56A69">
      <w:pPr>
        <w:pStyle w:val="FootnoteText"/>
      </w:pPr>
      <w:r>
        <w:rPr>
          <w:rStyle w:val="FootnoteReference"/>
        </w:rPr>
        <w:footnoteRef/>
      </w:r>
      <w:r>
        <w:t xml:space="preserve"> </w:t>
      </w:r>
      <w:r w:rsidRPr="00EB3804">
        <w:rPr>
          <w:rFonts w:cs="Times New Roman"/>
          <w:szCs w:val="20"/>
          <w:lang w:val="en-GB"/>
        </w:rPr>
        <w:t xml:space="preserve">Hooghe, Liesbet, Gary Marks. </w:t>
      </w:r>
      <w:proofErr w:type="gramStart"/>
      <w:r w:rsidRPr="00EB3804">
        <w:rPr>
          <w:rFonts w:cs="Times New Roman"/>
          <w:szCs w:val="20"/>
          <w:lang w:val="en-GB"/>
        </w:rPr>
        <w:t>“Types of Multi-Level Governance”.</w:t>
      </w:r>
      <w:proofErr w:type="gramEnd"/>
      <w:r w:rsidRPr="00EB3804">
        <w:rPr>
          <w:rFonts w:cs="Times New Roman"/>
          <w:szCs w:val="20"/>
          <w:lang w:val="en-GB"/>
        </w:rPr>
        <w:t xml:space="preserve"> </w:t>
      </w:r>
      <w:r w:rsidRPr="00EB3804">
        <w:rPr>
          <w:rFonts w:cs="Times New Roman"/>
          <w:i/>
          <w:iCs/>
          <w:szCs w:val="20"/>
          <w:lang w:val="en-GB"/>
        </w:rPr>
        <w:t>European Integration Online Papers</w:t>
      </w:r>
      <w:r>
        <w:rPr>
          <w:rFonts w:cs="Times New Roman"/>
          <w:szCs w:val="20"/>
          <w:lang w:val="en-GB"/>
        </w:rPr>
        <w:t xml:space="preserve"> no.5 (2001) p. 13-14</w:t>
      </w:r>
    </w:p>
  </w:footnote>
  <w:footnote w:id="41">
    <w:p w14:paraId="1988C288" w14:textId="1BC3C4F9" w:rsidR="00D56A69" w:rsidRDefault="00D56A69">
      <w:pPr>
        <w:pStyle w:val="FootnoteText"/>
      </w:pPr>
      <w:r>
        <w:rPr>
          <w:rStyle w:val="FootnoteReference"/>
        </w:rPr>
        <w:footnoteRef/>
      </w:r>
      <w:r>
        <w:t xml:space="preserve"> </w:t>
      </w:r>
      <w:r w:rsidRPr="00EB3804">
        <w:rPr>
          <w:rFonts w:cs="Times New Roman"/>
          <w:szCs w:val="20"/>
          <w:lang w:val="en-GB"/>
        </w:rPr>
        <w:t xml:space="preserve">Hooghe, Liesbet, Gary Marks. </w:t>
      </w:r>
      <w:proofErr w:type="gramStart"/>
      <w:r w:rsidRPr="00EB3804">
        <w:rPr>
          <w:rFonts w:cs="Times New Roman"/>
          <w:szCs w:val="20"/>
          <w:lang w:val="en-GB"/>
        </w:rPr>
        <w:t>“Types of Multi-Level Governance”.</w:t>
      </w:r>
      <w:proofErr w:type="gramEnd"/>
      <w:r w:rsidRPr="00EB3804">
        <w:rPr>
          <w:rFonts w:cs="Times New Roman"/>
          <w:szCs w:val="20"/>
          <w:lang w:val="en-GB"/>
        </w:rPr>
        <w:t xml:space="preserve"> </w:t>
      </w:r>
      <w:r w:rsidRPr="00EB3804">
        <w:rPr>
          <w:rFonts w:cs="Times New Roman"/>
          <w:i/>
          <w:iCs/>
          <w:szCs w:val="20"/>
          <w:lang w:val="en-GB"/>
        </w:rPr>
        <w:t>European Integration Online Papers</w:t>
      </w:r>
      <w:r>
        <w:rPr>
          <w:rFonts w:cs="Times New Roman"/>
          <w:szCs w:val="20"/>
          <w:lang w:val="en-GB"/>
        </w:rPr>
        <w:t xml:space="preserve"> no.5 (2001) p. 15</w:t>
      </w:r>
    </w:p>
  </w:footnote>
  <w:footnote w:id="42">
    <w:p w14:paraId="3AD7E99E" w14:textId="17FE1C25" w:rsidR="00D56A69" w:rsidRDefault="00D56A69">
      <w:pPr>
        <w:pStyle w:val="FootnoteText"/>
      </w:pPr>
      <w:r>
        <w:rPr>
          <w:rStyle w:val="FootnoteReference"/>
        </w:rPr>
        <w:footnoteRef/>
      </w:r>
      <w:r>
        <w:t xml:space="preserve"> </w:t>
      </w:r>
      <w:r w:rsidRPr="00EB3804">
        <w:rPr>
          <w:rFonts w:cs="Times New Roman"/>
          <w:szCs w:val="20"/>
          <w:lang w:val="en-GB"/>
        </w:rPr>
        <w:t xml:space="preserve">Hooghe, Liesbet, Gary Marks. </w:t>
      </w:r>
      <w:proofErr w:type="gramStart"/>
      <w:r w:rsidRPr="00EB3804">
        <w:rPr>
          <w:rFonts w:cs="Times New Roman"/>
          <w:szCs w:val="20"/>
          <w:lang w:val="en-GB"/>
        </w:rPr>
        <w:t>“Types of Multi-Level Governance”.</w:t>
      </w:r>
      <w:proofErr w:type="gramEnd"/>
      <w:r w:rsidRPr="00EB3804">
        <w:rPr>
          <w:rFonts w:cs="Times New Roman"/>
          <w:szCs w:val="20"/>
          <w:lang w:val="en-GB"/>
        </w:rPr>
        <w:t xml:space="preserve"> </w:t>
      </w:r>
      <w:r w:rsidRPr="00EB3804">
        <w:rPr>
          <w:rFonts w:cs="Times New Roman"/>
          <w:i/>
          <w:iCs/>
          <w:szCs w:val="20"/>
          <w:lang w:val="en-GB"/>
        </w:rPr>
        <w:t>European Integration Online Papers</w:t>
      </w:r>
      <w:r>
        <w:rPr>
          <w:rFonts w:cs="Times New Roman"/>
          <w:szCs w:val="20"/>
          <w:lang w:val="en-GB"/>
        </w:rPr>
        <w:t xml:space="preserve"> no.5 (2001) p. 12</w:t>
      </w:r>
    </w:p>
  </w:footnote>
  <w:footnote w:id="43">
    <w:p w14:paraId="3CCC61CD" w14:textId="0414BAA3" w:rsidR="00D56A69" w:rsidRDefault="00D56A69">
      <w:pPr>
        <w:pStyle w:val="FootnoteText"/>
      </w:pPr>
      <w:r>
        <w:rPr>
          <w:rStyle w:val="FootnoteReference"/>
        </w:rPr>
        <w:footnoteRef/>
      </w:r>
      <w:r>
        <w:t xml:space="preserve"> </w:t>
      </w:r>
      <w:r w:rsidRPr="00EB3804">
        <w:rPr>
          <w:rFonts w:cs="Times New Roman"/>
          <w:szCs w:val="20"/>
          <w:lang w:val="en-GB"/>
        </w:rPr>
        <w:t xml:space="preserve">Hooghe, Liesbet, Gary Marks. </w:t>
      </w:r>
      <w:proofErr w:type="gramStart"/>
      <w:r w:rsidRPr="00EB3804">
        <w:rPr>
          <w:rFonts w:cs="Times New Roman"/>
          <w:szCs w:val="20"/>
          <w:lang w:val="en-GB"/>
        </w:rPr>
        <w:t>“Types of Multi-Level Governance”.</w:t>
      </w:r>
      <w:proofErr w:type="gramEnd"/>
      <w:r w:rsidRPr="00EB3804">
        <w:rPr>
          <w:rFonts w:cs="Times New Roman"/>
          <w:szCs w:val="20"/>
          <w:lang w:val="en-GB"/>
        </w:rPr>
        <w:t xml:space="preserve"> </w:t>
      </w:r>
      <w:r w:rsidRPr="00EB3804">
        <w:rPr>
          <w:rFonts w:cs="Times New Roman"/>
          <w:i/>
          <w:iCs/>
          <w:szCs w:val="20"/>
          <w:lang w:val="en-GB"/>
        </w:rPr>
        <w:t>European Integration Online Papers</w:t>
      </w:r>
      <w:r>
        <w:rPr>
          <w:rFonts w:cs="Times New Roman"/>
          <w:szCs w:val="20"/>
          <w:lang w:val="en-GB"/>
        </w:rPr>
        <w:t xml:space="preserve"> no.5 (2001) p. 18</w:t>
      </w:r>
    </w:p>
  </w:footnote>
  <w:footnote w:id="44">
    <w:p w14:paraId="3E019DC6" w14:textId="157F075E" w:rsidR="00D56A69" w:rsidRDefault="00D56A69">
      <w:pPr>
        <w:pStyle w:val="FootnoteText"/>
      </w:pPr>
      <w:r>
        <w:rPr>
          <w:rStyle w:val="FootnoteReference"/>
        </w:rPr>
        <w:footnoteRef/>
      </w:r>
      <w:r>
        <w:t xml:space="preserve"> </w:t>
      </w:r>
      <w:r w:rsidRPr="00EB3804">
        <w:rPr>
          <w:rFonts w:cs="Times New Roman"/>
          <w:szCs w:val="20"/>
          <w:lang w:val="en-GB"/>
        </w:rPr>
        <w:t xml:space="preserve">Hooghe, Liesbet, Gary Marks. </w:t>
      </w:r>
      <w:proofErr w:type="gramStart"/>
      <w:r w:rsidRPr="00EB3804">
        <w:rPr>
          <w:rFonts w:cs="Times New Roman"/>
          <w:szCs w:val="20"/>
          <w:lang w:val="en-GB"/>
        </w:rPr>
        <w:t>“Types of Multi-Level Governance”.</w:t>
      </w:r>
      <w:proofErr w:type="gramEnd"/>
      <w:r w:rsidRPr="00EB3804">
        <w:rPr>
          <w:rFonts w:cs="Times New Roman"/>
          <w:szCs w:val="20"/>
          <w:lang w:val="en-GB"/>
        </w:rPr>
        <w:t xml:space="preserve"> </w:t>
      </w:r>
      <w:r w:rsidRPr="00EB3804">
        <w:rPr>
          <w:rFonts w:cs="Times New Roman"/>
          <w:i/>
          <w:iCs/>
          <w:szCs w:val="20"/>
          <w:lang w:val="en-GB"/>
        </w:rPr>
        <w:t>European Integration Online Papers</w:t>
      </w:r>
      <w:r>
        <w:rPr>
          <w:rFonts w:cs="Times New Roman"/>
          <w:szCs w:val="20"/>
          <w:lang w:val="en-GB"/>
        </w:rPr>
        <w:t xml:space="preserve"> no.5 (2001) p. 19</w:t>
      </w:r>
    </w:p>
  </w:footnote>
  <w:footnote w:id="45">
    <w:p w14:paraId="6558FC08" w14:textId="41A54EC8" w:rsidR="00D56A69" w:rsidRDefault="00D56A69">
      <w:pPr>
        <w:pStyle w:val="FootnoteText"/>
      </w:pPr>
      <w:r>
        <w:rPr>
          <w:rStyle w:val="FootnoteReference"/>
        </w:rPr>
        <w:footnoteRef/>
      </w:r>
      <w:r>
        <w:t xml:space="preserve"> </w:t>
      </w:r>
      <w:r w:rsidRPr="00EB3804">
        <w:rPr>
          <w:rFonts w:cs="Times New Roman"/>
          <w:szCs w:val="20"/>
          <w:lang w:val="en-GB"/>
        </w:rPr>
        <w:t xml:space="preserve">Hooghe, Liesbet, Gary Marks. </w:t>
      </w:r>
      <w:proofErr w:type="gramStart"/>
      <w:r w:rsidRPr="00EB3804">
        <w:rPr>
          <w:rFonts w:cs="Times New Roman"/>
          <w:szCs w:val="20"/>
          <w:lang w:val="en-GB"/>
        </w:rPr>
        <w:t>“Types of Multi-Level Governance”.</w:t>
      </w:r>
      <w:proofErr w:type="gramEnd"/>
      <w:r w:rsidRPr="00EB3804">
        <w:rPr>
          <w:rFonts w:cs="Times New Roman"/>
          <w:szCs w:val="20"/>
          <w:lang w:val="en-GB"/>
        </w:rPr>
        <w:t xml:space="preserve"> </w:t>
      </w:r>
      <w:r w:rsidRPr="00EB3804">
        <w:rPr>
          <w:rFonts w:cs="Times New Roman"/>
          <w:i/>
          <w:iCs/>
          <w:szCs w:val="20"/>
          <w:lang w:val="en-GB"/>
        </w:rPr>
        <w:t>European Integration Online Papers</w:t>
      </w:r>
      <w:r>
        <w:rPr>
          <w:rFonts w:cs="Times New Roman"/>
          <w:szCs w:val="20"/>
          <w:lang w:val="en-GB"/>
        </w:rPr>
        <w:t xml:space="preserve"> no.5 (2001) p. 21-22</w:t>
      </w:r>
    </w:p>
  </w:footnote>
  <w:footnote w:id="46">
    <w:p w14:paraId="15406654" w14:textId="0DBF0999" w:rsidR="00D56A69" w:rsidRDefault="00D56A69">
      <w:pPr>
        <w:pStyle w:val="FootnoteText"/>
      </w:pPr>
      <w:r>
        <w:rPr>
          <w:rStyle w:val="FootnoteReference"/>
        </w:rPr>
        <w:footnoteRef/>
      </w:r>
      <w:r>
        <w:t xml:space="preserve"> </w:t>
      </w:r>
      <w:r>
        <w:t xml:space="preserve">Gal, Diana, Ioan Horga. ”Multilevel Governance From the Lisbon Treaty to the White Paper of Multilevel Governance”. </w:t>
      </w:r>
      <w:r w:rsidRPr="00402EE1">
        <w:rPr>
          <w:i/>
        </w:rPr>
        <w:t>Revista de Estudios Juridicos</w:t>
      </w:r>
      <w:r>
        <w:t xml:space="preserve"> no.10 (2010) p. 4-5</w:t>
      </w:r>
    </w:p>
  </w:footnote>
  <w:footnote w:id="47">
    <w:p w14:paraId="728633D5" w14:textId="77777777" w:rsidR="00D56A69" w:rsidRPr="00A55100" w:rsidRDefault="00D56A69" w:rsidP="00AF6E21">
      <w:pPr>
        <w:pStyle w:val="FootnoteText"/>
        <w:rPr>
          <w:rFonts w:cs="Times New Roman"/>
          <w:szCs w:val="20"/>
        </w:rPr>
      </w:pPr>
      <w:r w:rsidRPr="00A55100">
        <w:rPr>
          <w:rStyle w:val="FootnoteReference"/>
          <w:rFonts w:cs="Times New Roman"/>
          <w:szCs w:val="20"/>
        </w:rPr>
        <w:footnoteRef/>
      </w:r>
      <w:r w:rsidRPr="00A55100">
        <w:rPr>
          <w:rFonts w:cs="Times New Roman"/>
          <w:szCs w:val="20"/>
        </w:rPr>
        <w:t xml:space="preserve"> </w:t>
      </w:r>
      <w:r w:rsidRPr="00A55100">
        <w:rPr>
          <w:rFonts w:cs="Times New Roman"/>
          <w:szCs w:val="20"/>
        </w:rPr>
        <w:t xml:space="preserve">Council of Europe. </w:t>
      </w:r>
      <w:r w:rsidRPr="00A55100">
        <w:rPr>
          <w:rFonts w:cs="Times New Roman"/>
          <w:bCs/>
          <w:szCs w:val="20"/>
          <w:lang w:val="en-US"/>
        </w:rPr>
        <w:t>Lobbying in a democratic society (European Code of conduct on lobbying). 06/2009</w:t>
      </w:r>
    </w:p>
  </w:footnote>
  <w:footnote w:id="48">
    <w:p w14:paraId="217F568F" w14:textId="77777777" w:rsidR="00D56A69" w:rsidRPr="003425B1" w:rsidRDefault="00D56A69" w:rsidP="00AF6E21">
      <w:pPr>
        <w:pStyle w:val="FootnoteText"/>
        <w:rPr>
          <w:rFonts w:cs="Times New Roman"/>
          <w:szCs w:val="20"/>
        </w:rPr>
      </w:pPr>
      <w:r w:rsidRPr="003425B1">
        <w:rPr>
          <w:rStyle w:val="FootnoteReference"/>
          <w:rFonts w:cs="Times New Roman"/>
          <w:szCs w:val="20"/>
        </w:rPr>
        <w:footnoteRef/>
      </w:r>
      <w:r w:rsidRPr="003425B1">
        <w:rPr>
          <w:rFonts w:cs="Times New Roman"/>
          <w:szCs w:val="20"/>
        </w:rPr>
        <w:t xml:space="preserve"> </w:t>
      </w:r>
      <w:r w:rsidRPr="003425B1">
        <w:rPr>
          <w:rFonts w:cs="Times New Roman"/>
          <w:szCs w:val="20"/>
        </w:rPr>
        <w:t>Zibold, Franziska. Lobbying the EU institutions. Library of the European Parliament, 06/2013</w:t>
      </w:r>
    </w:p>
  </w:footnote>
  <w:footnote w:id="49">
    <w:p w14:paraId="46265741" w14:textId="77777777" w:rsidR="00D56A69" w:rsidRPr="00BD05CE" w:rsidRDefault="00D56A69" w:rsidP="00AF6E21">
      <w:pPr>
        <w:pStyle w:val="FootnoteText"/>
        <w:rPr>
          <w:rFonts w:cs="Times New Roman"/>
          <w:szCs w:val="20"/>
        </w:rPr>
      </w:pPr>
      <w:r w:rsidRPr="00BD05CE">
        <w:rPr>
          <w:rStyle w:val="FootnoteReference"/>
          <w:rFonts w:cs="Times New Roman"/>
          <w:szCs w:val="20"/>
        </w:rPr>
        <w:footnoteRef/>
      </w:r>
      <w:r w:rsidRPr="00BD05CE">
        <w:rPr>
          <w:rFonts w:cs="Times New Roman"/>
          <w:szCs w:val="20"/>
        </w:rPr>
        <w:t xml:space="preserve"> </w:t>
      </w:r>
      <w:r w:rsidRPr="00BD05CE">
        <w:rPr>
          <w:rFonts w:cs="Times New Roman"/>
          <w:szCs w:val="20"/>
        </w:rPr>
        <w:t xml:space="preserve">European Parliament, </w:t>
      </w:r>
      <w:r w:rsidRPr="00BD05CE">
        <w:rPr>
          <w:rFonts w:cs="Times New Roman"/>
          <w:szCs w:val="20"/>
          <w:lang w:val="en-US"/>
        </w:rPr>
        <w:t>Lobbying in the European Union: current rules and practices (2003), p. 16</w:t>
      </w:r>
    </w:p>
  </w:footnote>
  <w:footnote w:id="50">
    <w:p w14:paraId="47EE4496" w14:textId="77777777" w:rsidR="00D56A69" w:rsidRPr="00231E55" w:rsidRDefault="00D56A69" w:rsidP="00AF6E21">
      <w:pPr>
        <w:pStyle w:val="FootnoteText"/>
        <w:rPr>
          <w:rFonts w:cs="Times New Roman"/>
          <w:szCs w:val="20"/>
        </w:rPr>
      </w:pPr>
      <w:r w:rsidRPr="00231E55">
        <w:rPr>
          <w:rStyle w:val="FootnoteReference"/>
          <w:rFonts w:cs="Times New Roman"/>
          <w:szCs w:val="20"/>
        </w:rPr>
        <w:footnoteRef/>
      </w:r>
      <w:r w:rsidRPr="00231E55">
        <w:rPr>
          <w:rFonts w:cs="Times New Roman"/>
          <w:szCs w:val="20"/>
        </w:rPr>
        <w:t xml:space="preserve"> </w:t>
      </w:r>
      <w:r w:rsidRPr="00231E55">
        <w:rPr>
          <w:rFonts w:cs="Times New Roman"/>
          <w:szCs w:val="20"/>
        </w:rPr>
        <w:t xml:space="preserve">Eising, Reiner, Beate Kohler Koch. </w:t>
      </w:r>
      <w:r w:rsidRPr="00231E55">
        <w:rPr>
          <w:rFonts w:cs="Times New Roman"/>
          <w:i/>
          <w:szCs w:val="20"/>
        </w:rPr>
        <w:t>Interessenpolitik in Europa</w:t>
      </w:r>
      <w:r w:rsidRPr="00231E55">
        <w:rPr>
          <w:rFonts w:cs="Times New Roman"/>
          <w:szCs w:val="20"/>
        </w:rPr>
        <w:t>. Baden-Baden: Nomos Verlagsgesellschaft (2005) p. 17-19</w:t>
      </w:r>
    </w:p>
  </w:footnote>
  <w:footnote w:id="51">
    <w:p w14:paraId="1AC9FE85" w14:textId="77777777" w:rsidR="00D56A69" w:rsidRDefault="00D56A69" w:rsidP="00AF6E21">
      <w:pPr>
        <w:pStyle w:val="FootnoteText"/>
      </w:pPr>
      <w:r>
        <w:rPr>
          <w:rStyle w:val="FootnoteReference"/>
        </w:rPr>
        <w:footnoteRef/>
      </w:r>
      <w:r>
        <w:t xml:space="preserve"> </w:t>
      </w:r>
      <w:r w:rsidRPr="006E3AB0">
        <w:rPr>
          <w:rFonts w:cs="Times New Roman"/>
          <w:szCs w:val="20"/>
        </w:rPr>
        <w:t xml:space="preserve">Greenwood, James. “The search for input lefitimacy through organized cicil society in the EU.” </w:t>
      </w:r>
      <w:r w:rsidRPr="006E3AB0">
        <w:rPr>
          <w:rFonts w:cs="Times New Roman"/>
          <w:i/>
          <w:iCs/>
          <w:szCs w:val="20"/>
        </w:rPr>
        <w:t>Transnational Associations</w:t>
      </w:r>
      <w:r w:rsidRPr="006E3AB0">
        <w:rPr>
          <w:rFonts w:cs="Times New Roman"/>
          <w:szCs w:val="20"/>
        </w:rPr>
        <w:t xml:space="preserve"> no.2 (2004) p.14</w:t>
      </w:r>
      <w:r>
        <w:rPr>
          <w:rFonts w:cs="Times New Roman"/>
          <w:szCs w:val="20"/>
        </w:rPr>
        <w:t>5</w:t>
      </w:r>
    </w:p>
  </w:footnote>
  <w:footnote w:id="52">
    <w:p w14:paraId="5235E77E" w14:textId="77777777" w:rsidR="00D56A69" w:rsidRPr="002B139B" w:rsidRDefault="00D56A69" w:rsidP="00AF6E21">
      <w:pPr>
        <w:pStyle w:val="FootnoteText"/>
        <w:rPr>
          <w:szCs w:val="20"/>
        </w:rPr>
      </w:pPr>
      <w:r w:rsidRPr="002B139B">
        <w:rPr>
          <w:rStyle w:val="FootnoteReference"/>
          <w:szCs w:val="20"/>
        </w:rPr>
        <w:footnoteRef/>
      </w:r>
      <w:r w:rsidRPr="002B139B">
        <w:rPr>
          <w:szCs w:val="20"/>
        </w:rPr>
        <w:t xml:space="preserve"> </w:t>
      </w:r>
      <w:r w:rsidRPr="002B139B">
        <w:rPr>
          <w:szCs w:val="20"/>
        </w:rPr>
        <w:t>Kristina Charrad, Lobbying the European Union, Westfälische Wilhelms-Universität Münster, p. 5</w:t>
      </w:r>
    </w:p>
  </w:footnote>
  <w:footnote w:id="53">
    <w:p w14:paraId="78FEA8EF" w14:textId="77777777" w:rsidR="00D56A69" w:rsidRPr="00C53AB4" w:rsidRDefault="00D56A69" w:rsidP="00AF6E21">
      <w:pPr>
        <w:pStyle w:val="FootnoteText"/>
        <w:rPr>
          <w:szCs w:val="20"/>
        </w:rPr>
      </w:pPr>
      <w:r w:rsidRPr="00C53AB4">
        <w:rPr>
          <w:rStyle w:val="FootnoteReference"/>
          <w:szCs w:val="20"/>
        </w:rPr>
        <w:footnoteRef/>
      </w:r>
      <w:r w:rsidRPr="00C53AB4">
        <w:rPr>
          <w:szCs w:val="20"/>
        </w:rPr>
        <w:t xml:space="preserve"> Kristina Charrad, Lobbying the European Union, Westfälische  Wilhems-Universität Münster, p. 2</w:t>
      </w:r>
    </w:p>
  </w:footnote>
  <w:footnote w:id="54">
    <w:p w14:paraId="5CA3C2B2" w14:textId="77777777" w:rsidR="00D56A69" w:rsidRPr="00231E55" w:rsidRDefault="00D56A69" w:rsidP="00AF6E21">
      <w:pPr>
        <w:pStyle w:val="Default"/>
        <w:rPr>
          <w:sz w:val="20"/>
          <w:szCs w:val="20"/>
        </w:rPr>
      </w:pPr>
      <w:r w:rsidRPr="00231E55">
        <w:rPr>
          <w:rStyle w:val="FootnoteReference"/>
          <w:szCs w:val="20"/>
        </w:rPr>
        <w:footnoteRef/>
      </w:r>
      <w:r w:rsidRPr="00231E55">
        <w:rPr>
          <w:sz w:val="20"/>
          <w:szCs w:val="20"/>
        </w:rPr>
        <w:t xml:space="preserve"> Greenwood, James. “The search for input lefitimacy through organized cicil society in the EU.” </w:t>
      </w:r>
      <w:r w:rsidRPr="00231E55">
        <w:rPr>
          <w:i/>
          <w:iCs/>
          <w:sz w:val="20"/>
          <w:szCs w:val="20"/>
        </w:rPr>
        <w:t>Transnational Associations</w:t>
      </w:r>
      <w:r w:rsidRPr="00231E55">
        <w:rPr>
          <w:sz w:val="20"/>
          <w:szCs w:val="20"/>
        </w:rPr>
        <w:t xml:space="preserve"> no.2 (2004) p.146 </w:t>
      </w:r>
    </w:p>
  </w:footnote>
  <w:footnote w:id="55">
    <w:p w14:paraId="117119D5" w14:textId="77777777" w:rsidR="00D56A69" w:rsidRPr="00371997" w:rsidRDefault="00D56A69" w:rsidP="00AF6E21">
      <w:pPr>
        <w:pStyle w:val="FootnoteText"/>
        <w:rPr>
          <w:rFonts w:cs="Times New Roman"/>
          <w:szCs w:val="20"/>
        </w:rPr>
      </w:pPr>
      <w:r w:rsidRPr="00531A02">
        <w:rPr>
          <w:rStyle w:val="FootnoteReference"/>
          <w:rFonts w:cs="Times New Roman"/>
          <w:szCs w:val="20"/>
        </w:rPr>
        <w:footnoteRef/>
      </w:r>
      <w:r w:rsidRPr="00531A02">
        <w:rPr>
          <w:rFonts w:cs="Times New Roman"/>
          <w:szCs w:val="20"/>
        </w:rPr>
        <w:t xml:space="preserve"> </w:t>
      </w:r>
      <w:r w:rsidRPr="00531A02">
        <w:rPr>
          <w:rFonts w:cs="Times New Roman"/>
          <w:szCs w:val="20"/>
        </w:rPr>
        <w:t xml:space="preserve">Eising, Reiner, Beate Kohler Koch. </w:t>
      </w:r>
      <w:r w:rsidRPr="00531A02">
        <w:rPr>
          <w:rFonts w:cs="Times New Roman"/>
          <w:i/>
          <w:szCs w:val="20"/>
        </w:rPr>
        <w:t>Interessenpolitik in Europa</w:t>
      </w:r>
      <w:r w:rsidRPr="00531A02">
        <w:rPr>
          <w:rFonts w:cs="Times New Roman"/>
          <w:szCs w:val="20"/>
        </w:rPr>
        <w:t xml:space="preserve">. Baden-Baden: Nomos </w:t>
      </w:r>
      <w:r w:rsidRPr="00371997">
        <w:rPr>
          <w:rFonts w:cs="Times New Roman"/>
          <w:szCs w:val="20"/>
        </w:rPr>
        <w:t>Verlagsgesellschaft (2005) p. 28</w:t>
      </w:r>
    </w:p>
  </w:footnote>
  <w:footnote w:id="56">
    <w:p w14:paraId="3AF8BAD3" w14:textId="77777777" w:rsidR="00D56A69" w:rsidRDefault="00D56A69" w:rsidP="00AF6E21">
      <w:pPr>
        <w:pStyle w:val="FootnoteText"/>
      </w:pPr>
      <w:r w:rsidRPr="00231E55">
        <w:rPr>
          <w:rStyle w:val="FootnoteReference"/>
          <w:rFonts w:cs="Times New Roman"/>
          <w:szCs w:val="20"/>
        </w:rPr>
        <w:footnoteRef/>
      </w:r>
      <w:r w:rsidRPr="00231E55">
        <w:rPr>
          <w:rFonts w:cs="Times New Roman"/>
          <w:szCs w:val="20"/>
        </w:rPr>
        <w:t xml:space="preserve"> </w:t>
      </w:r>
      <w:r w:rsidRPr="00231E55">
        <w:rPr>
          <w:rFonts w:cs="Times New Roman"/>
          <w:szCs w:val="20"/>
        </w:rPr>
        <w:t xml:space="preserve">Eising, Reiner, Beate Kohler Koch. </w:t>
      </w:r>
      <w:r w:rsidRPr="00231E55">
        <w:rPr>
          <w:rFonts w:cs="Times New Roman"/>
          <w:i/>
          <w:szCs w:val="20"/>
        </w:rPr>
        <w:t>Interessenpolitik in Europa</w:t>
      </w:r>
      <w:r w:rsidRPr="00231E55">
        <w:rPr>
          <w:rFonts w:cs="Times New Roman"/>
          <w:szCs w:val="20"/>
        </w:rPr>
        <w:t>. Baden-Baden: Nomos Verlagsgesellschaft (2005) p. 22</w:t>
      </w:r>
    </w:p>
  </w:footnote>
  <w:footnote w:id="57">
    <w:p w14:paraId="7323FE33" w14:textId="77777777" w:rsidR="00D56A69" w:rsidRPr="00371997" w:rsidRDefault="00D56A69" w:rsidP="00AF6E21">
      <w:pPr>
        <w:pStyle w:val="FootnoteText"/>
        <w:rPr>
          <w:rFonts w:cs="Times New Roman"/>
          <w:szCs w:val="20"/>
        </w:rPr>
      </w:pPr>
      <w:r w:rsidRPr="00371997">
        <w:rPr>
          <w:rStyle w:val="FootnoteReference"/>
          <w:rFonts w:cs="Times New Roman"/>
          <w:szCs w:val="20"/>
        </w:rPr>
        <w:footnoteRef/>
      </w:r>
      <w:r w:rsidRPr="00371997">
        <w:rPr>
          <w:rFonts w:cs="Times New Roman"/>
          <w:szCs w:val="20"/>
        </w:rPr>
        <w:t xml:space="preserve"> </w:t>
      </w:r>
      <w:r w:rsidRPr="00371997">
        <w:rPr>
          <w:rFonts w:cs="Times New Roman"/>
          <w:szCs w:val="20"/>
        </w:rPr>
        <w:t xml:space="preserve">Eising, Reiner, Beate Kohler Koch. </w:t>
      </w:r>
      <w:r w:rsidRPr="00371997">
        <w:rPr>
          <w:rFonts w:cs="Times New Roman"/>
          <w:i/>
          <w:szCs w:val="20"/>
        </w:rPr>
        <w:t>Interessenpolitik in Europa</w:t>
      </w:r>
      <w:r w:rsidRPr="00371997">
        <w:rPr>
          <w:rFonts w:cs="Times New Roman"/>
          <w:szCs w:val="20"/>
        </w:rPr>
        <w:t>. Baden-Baden: Nomos Verlagsgesellschaft (2005) p. 45-46</w:t>
      </w:r>
    </w:p>
  </w:footnote>
  <w:footnote w:id="58">
    <w:p w14:paraId="3703A881" w14:textId="77777777" w:rsidR="00D56A69" w:rsidRPr="00482CBD" w:rsidRDefault="00D56A69" w:rsidP="00CE6166">
      <w:pPr>
        <w:pStyle w:val="FootnoteText"/>
        <w:rPr>
          <w:rFonts w:cs="Times New Roman"/>
          <w:szCs w:val="20"/>
        </w:rPr>
      </w:pPr>
      <w:r w:rsidRPr="00482CBD">
        <w:rPr>
          <w:rStyle w:val="FootnoteReference"/>
          <w:rFonts w:cs="Times New Roman"/>
          <w:szCs w:val="20"/>
        </w:rPr>
        <w:footnoteRef/>
      </w:r>
      <w:r w:rsidRPr="00482CBD">
        <w:rPr>
          <w:rFonts w:cs="Times New Roman"/>
          <w:szCs w:val="20"/>
        </w:rPr>
        <w:t xml:space="preserve"> </w:t>
      </w:r>
      <w:r w:rsidRPr="00482CBD">
        <w:rPr>
          <w:rFonts w:cs="Times New Roman"/>
          <w:szCs w:val="20"/>
        </w:rPr>
        <w:t xml:space="preserve">Kommunernes Landsforening. KL i Bruxelles. </w:t>
      </w:r>
      <w:r>
        <w:fldChar w:fldCharType="begin"/>
      </w:r>
      <w:r>
        <w:instrText xml:space="preserve"> HYPERLINK "http://www.kl.dk/menu/EU-kontoret-i-Bruxelles-id40892/" </w:instrText>
      </w:r>
      <w:r>
        <w:fldChar w:fldCharType="separate"/>
      </w:r>
      <w:r w:rsidRPr="00482CBD">
        <w:rPr>
          <w:rStyle w:val="Hyperlink"/>
          <w:rFonts w:cs="Times New Roman"/>
          <w:color w:val="404040" w:themeColor="text1" w:themeTint="BF"/>
          <w:szCs w:val="20"/>
        </w:rPr>
        <w:t>http://www.kl.dk/menu/EU-kontoret-i-Bruxelles-id40892/</w:t>
      </w:r>
      <w:r>
        <w:rPr>
          <w:rStyle w:val="Hyperlink"/>
          <w:rFonts w:cs="Times New Roman"/>
          <w:color w:val="404040" w:themeColor="text1" w:themeTint="BF"/>
          <w:szCs w:val="20"/>
        </w:rPr>
        <w:fldChar w:fldCharType="end"/>
      </w:r>
      <w:r w:rsidRPr="00482CBD">
        <w:rPr>
          <w:rFonts w:cs="Times New Roman"/>
          <w:szCs w:val="20"/>
        </w:rPr>
        <w:t xml:space="preserve"> [11. November 2014]</w:t>
      </w:r>
    </w:p>
  </w:footnote>
  <w:footnote w:id="59">
    <w:p w14:paraId="24A7ECBE" w14:textId="04481253" w:rsidR="00D56A69" w:rsidRDefault="00D56A69">
      <w:pPr>
        <w:pStyle w:val="FootnoteText"/>
      </w:pPr>
      <w:r>
        <w:rPr>
          <w:rStyle w:val="FootnoteReference"/>
        </w:rPr>
        <w:footnoteRef/>
      </w:r>
      <w:r>
        <w:t xml:space="preserve"> </w:t>
      </w:r>
      <w:r>
        <w:t>Interviews 2min35sec</w:t>
      </w:r>
    </w:p>
  </w:footnote>
  <w:footnote w:id="60">
    <w:p w14:paraId="22642D6A" w14:textId="77777777" w:rsidR="00D56A69" w:rsidRDefault="00D56A69" w:rsidP="00CE6166">
      <w:pPr>
        <w:pStyle w:val="FootnoteText"/>
      </w:pPr>
      <w:r>
        <w:rPr>
          <w:rStyle w:val="FootnoteReference"/>
        </w:rPr>
        <w:footnoteRef/>
      </w:r>
      <w:r>
        <w:t xml:space="preserve"> </w:t>
      </w:r>
      <w:r>
        <w:t xml:space="preserve">Dosenrode, Søren and Henrik Halkier. </w:t>
      </w:r>
      <w:r w:rsidRPr="001F381B">
        <w:rPr>
          <w:i/>
        </w:rPr>
        <w:t>The Nordic Regions and the European Union</w:t>
      </w:r>
      <w:r>
        <w:t>. Hamshire: Ashgate Publishing Limited, 2004.</w:t>
      </w:r>
    </w:p>
  </w:footnote>
  <w:footnote w:id="61">
    <w:p w14:paraId="0234CAFE" w14:textId="5FBA32AC" w:rsidR="00D56A69" w:rsidRDefault="00D56A69">
      <w:pPr>
        <w:pStyle w:val="FootnoteText"/>
      </w:pPr>
      <w:r>
        <w:rPr>
          <w:rStyle w:val="FootnoteReference"/>
        </w:rPr>
        <w:footnoteRef/>
      </w:r>
      <w:r>
        <w:t xml:space="preserve"> </w:t>
      </w:r>
      <w:r w:rsidRPr="00E021DA">
        <w:t>CEMR. “Introducing CEMR”.</w:t>
      </w:r>
      <w:r w:rsidRPr="00E021DA">
        <w:rPr>
          <w:rFonts w:cs="Times New Roman"/>
          <w:color w:val="000000" w:themeColor="text1"/>
          <w:szCs w:val="20"/>
          <w:lang w:val="en-GB"/>
        </w:rPr>
        <w:t xml:space="preserve"> </w:t>
      </w:r>
      <w:r>
        <w:fldChar w:fldCharType="begin"/>
      </w:r>
      <w:r>
        <w:instrText xml:space="preserve"> HYPERLINK "http://www.ccre.org/en/article/introducing_cemr" </w:instrText>
      </w:r>
      <w:r>
        <w:fldChar w:fldCharType="separate"/>
      </w:r>
      <w:r w:rsidRPr="00E021DA">
        <w:rPr>
          <w:rStyle w:val="Hyperlink"/>
          <w:rFonts w:cs="Times New Roman"/>
          <w:szCs w:val="20"/>
          <w:lang w:val="en-GB"/>
        </w:rPr>
        <w:t>http://www.ccre.org/en/article/introducing_cemr</w:t>
      </w:r>
      <w:r>
        <w:rPr>
          <w:rStyle w:val="Hyperlink"/>
          <w:rFonts w:cs="Times New Roman"/>
          <w:szCs w:val="20"/>
          <w:lang w:val="en-GB"/>
        </w:rPr>
        <w:fldChar w:fldCharType="end"/>
      </w:r>
      <w:r w:rsidRPr="00E021DA">
        <w:rPr>
          <w:rFonts w:cs="Times New Roman"/>
          <w:color w:val="000000" w:themeColor="text1"/>
          <w:szCs w:val="20"/>
          <w:lang w:val="en-GB"/>
        </w:rPr>
        <w:t xml:space="preserve"> </w:t>
      </w:r>
      <w:r w:rsidRPr="00E021DA">
        <w:t>[17. March 2015]</w:t>
      </w:r>
    </w:p>
  </w:footnote>
  <w:footnote w:id="62">
    <w:p w14:paraId="782EF919" w14:textId="77777777" w:rsidR="00D56A69" w:rsidRPr="0002679E" w:rsidRDefault="00D56A69" w:rsidP="00CE6166">
      <w:pPr>
        <w:pStyle w:val="FootnoteText"/>
        <w:rPr>
          <w:rFonts w:cs="Times New Roman"/>
          <w:szCs w:val="20"/>
          <w:lang w:val="en-GB"/>
        </w:rPr>
      </w:pPr>
      <w:r w:rsidRPr="0002679E">
        <w:rPr>
          <w:rStyle w:val="FootnoteReference"/>
          <w:rFonts w:cs="Times New Roman"/>
          <w:szCs w:val="20"/>
          <w:lang w:val="en-GB"/>
        </w:rPr>
        <w:footnoteRef/>
      </w:r>
      <w:r w:rsidRPr="0002679E">
        <w:rPr>
          <w:rFonts w:cs="Times New Roman"/>
          <w:szCs w:val="20"/>
          <w:lang w:val="en-GB"/>
        </w:rPr>
        <w:t xml:space="preserve"> Committee of the Regions ”Key facts”, </w:t>
      </w:r>
      <w:hyperlink r:id="rId2" w:history="1">
        <w:r w:rsidRPr="0002679E">
          <w:rPr>
            <w:rStyle w:val="Hyperlink"/>
            <w:rFonts w:cs="Times New Roman"/>
            <w:color w:val="404040" w:themeColor="text1" w:themeTint="BF"/>
            <w:szCs w:val="20"/>
            <w:lang w:val="en-GB"/>
          </w:rPr>
          <w:t>http://cor.europa.eu/en/about/Pages/key-facts.aspx</w:t>
        </w:r>
      </w:hyperlink>
      <w:r w:rsidRPr="0002679E">
        <w:rPr>
          <w:rFonts w:cs="Times New Roman"/>
          <w:szCs w:val="20"/>
          <w:lang w:val="en-GB"/>
        </w:rPr>
        <w:t xml:space="preserve"> [31. October 2014]</w:t>
      </w:r>
    </w:p>
  </w:footnote>
  <w:footnote w:id="63">
    <w:p w14:paraId="3D1719C3" w14:textId="77777777" w:rsidR="00D56A69" w:rsidRPr="00CA63E2" w:rsidRDefault="00D56A69" w:rsidP="00CE6166">
      <w:pPr>
        <w:pStyle w:val="FootnoteText"/>
        <w:rPr>
          <w:rFonts w:cs="Times New Roman"/>
          <w:szCs w:val="20"/>
          <w:lang w:val="en-GB"/>
        </w:rPr>
      </w:pPr>
      <w:r w:rsidRPr="0002679E">
        <w:rPr>
          <w:rStyle w:val="FootnoteReference"/>
          <w:rFonts w:cs="Times New Roman"/>
          <w:szCs w:val="20"/>
          <w:lang w:val="en-GB"/>
        </w:rPr>
        <w:footnoteRef/>
      </w:r>
      <w:r w:rsidRPr="0002679E">
        <w:rPr>
          <w:rFonts w:cs="Times New Roman"/>
          <w:szCs w:val="20"/>
          <w:lang w:val="en-GB"/>
        </w:rPr>
        <w:t xml:space="preserve"> </w:t>
      </w:r>
      <w:proofErr w:type="gramStart"/>
      <w:r w:rsidRPr="0002679E">
        <w:rPr>
          <w:rFonts w:cs="Times New Roman"/>
          <w:szCs w:val="20"/>
          <w:lang w:val="en-GB"/>
        </w:rPr>
        <w:t>Committee of the Regions ”Mission Statement”, 21.</w:t>
      </w:r>
      <w:proofErr w:type="gramEnd"/>
      <w:r w:rsidRPr="0002679E">
        <w:rPr>
          <w:rFonts w:cs="Times New Roman"/>
          <w:szCs w:val="20"/>
          <w:lang w:val="en-GB"/>
        </w:rPr>
        <w:t xml:space="preserve"> April 2009, p.1, </w:t>
      </w:r>
      <w:hyperlink r:id="rId3" w:history="1">
        <w:r w:rsidRPr="0002679E">
          <w:rPr>
            <w:rStyle w:val="Hyperlink"/>
            <w:rFonts w:cs="Times New Roman"/>
            <w:color w:val="404040" w:themeColor="text1" w:themeTint="BF"/>
            <w:szCs w:val="20"/>
            <w:lang w:val="en-GB"/>
          </w:rPr>
          <w:t>http://cor.europa.eu/en/about/Documents/Mission%20statement/EN.pdf</w:t>
        </w:r>
      </w:hyperlink>
      <w:r w:rsidRPr="0002679E">
        <w:rPr>
          <w:rFonts w:cs="Times New Roman"/>
          <w:szCs w:val="20"/>
          <w:lang w:val="en-GB"/>
        </w:rPr>
        <w:t xml:space="preserve"> [31. October 2014]</w:t>
      </w:r>
    </w:p>
  </w:footnote>
  <w:footnote w:id="64">
    <w:p w14:paraId="3A44140C" w14:textId="77777777" w:rsidR="00D56A69" w:rsidRPr="0002679E" w:rsidRDefault="00D56A69" w:rsidP="00CE6166">
      <w:pPr>
        <w:pStyle w:val="FootnoteText"/>
      </w:pPr>
      <w:r w:rsidRPr="0002679E">
        <w:rPr>
          <w:rStyle w:val="FootnoteReference"/>
          <w:rFonts w:cs="Times New Roman"/>
          <w:szCs w:val="20"/>
          <w:lang w:val="en-GB"/>
        </w:rPr>
        <w:footnoteRef/>
      </w:r>
      <w:r w:rsidRPr="0002679E">
        <w:rPr>
          <w:rFonts w:cs="Times New Roman"/>
          <w:szCs w:val="20"/>
          <w:lang w:val="en-GB"/>
        </w:rPr>
        <w:t xml:space="preserve"> Ibid</w:t>
      </w:r>
    </w:p>
  </w:footnote>
  <w:footnote w:id="65">
    <w:p w14:paraId="60C1F1C4" w14:textId="77777777" w:rsidR="00D56A69" w:rsidRPr="0002679E" w:rsidRDefault="00D56A69" w:rsidP="00CE6166">
      <w:pPr>
        <w:pStyle w:val="Default"/>
        <w:rPr>
          <w:color w:val="404040" w:themeColor="text1" w:themeTint="BF"/>
          <w:sz w:val="20"/>
          <w:szCs w:val="20"/>
        </w:rPr>
      </w:pPr>
      <w:r w:rsidRPr="0002679E">
        <w:rPr>
          <w:rStyle w:val="FootnoteReference"/>
          <w:szCs w:val="20"/>
        </w:rPr>
        <w:footnoteRef/>
      </w:r>
      <w:r w:rsidRPr="0002679E">
        <w:rPr>
          <w:color w:val="404040" w:themeColor="text1" w:themeTint="BF"/>
          <w:sz w:val="20"/>
          <w:szCs w:val="20"/>
        </w:rPr>
        <w:t xml:space="preserve"> EU Glossary </w:t>
      </w:r>
      <w:r w:rsidRPr="0002679E">
        <w:rPr>
          <w:iCs/>
          <w:color w:val="404040" w:themeColor="text1" w:themeTint="BF"/>
          <w:sz w:val="20"/>
          <w:szCs w:val="20"/>
        </w:rPr>
        <w:t xml:space="preserve">“Subsidiarity” </w:t>
      </w:r>
      <w:r w:rsidRPr="0002679E">
        <w:rPr>
          <w:color w:val="404040" w:themeColor="text1" w:themeTint="BF"/>
          <w:sz w:val="20"/>
          <w:szCs w:val="20"/>
        </w:rPr>
        <w:t>Online electronic reference database website &lt;</w:t>
      </w:r>
      <w:hyperlink r:id="rId4" w:history="1">
        <w:r w:rsidRPr="0002679E">
          <w:rPr>
            <w:rStyle w:val="Hyperlink"/>
            <w:color w:val="404040" w:themeColor="text1" w:themeTint="BF"/>
            <w:sz w:val="20"/>
            <w:szCs w:val="20"/>
          </w:rPr>
          <w:t>http://europa.eu/legislation_summaries/glossary/subsidiarity_en.htm</w:t>
        </w:r>
      </w:hyperlink>
      <w:r>
        <w:rPr>
          <w:color w:val="404040" w:themeColor="text1" w:themeTint="BF"/>
          <w:sz w:val="20"/>
          <w:szCs w:val="20"/>
        </w:rPr>
        <w:t>&gt;</w:t>
      </w:r>
      <w:r w:rsidRPr="0002679E">
        <w:rPr>
          <w:color w:val="404040" w:themeColor="text1" w:themeTint="BF"/>
          <w:sz w:val="20"/>
          <w:szCs w:val="20"/>
        </w:rPr>
        <w:t>[31 Octoberc 2014]</w:t>
      </w:r>
    </w:p>
  </w:footnote>
  <w:footnote w:id="66">
    <w:p w14:paraId="0B64CB24" w14:textId="77777777" w:rsidR="00D56A69" w:rsidRDefault="00D56A69" w:rsidP="00CE6166">
      <w:pPr>
        <w:pStyle w:val="FootnoteText"/>
      </w:pPr>
      <w:r w:rsidRPr="0002679E">
        <w:rPr>
          <w:rStyle w:val="FootnoteReference"/>
          <w:rFonts w:cs="Times New Roman"/>
          <w:szCs w:val="20"/>
        </w:rPr>
        <w:footnoteRef/>
      </w:r>
      <w:r w:rsidRPr="0002679E">
        <w:rPr>
          <w:rFonts w:cs="Times New Roman"/>
          <w:szCs w:val="20"/>
        </w:rPr>
        <w:t xml:space="preserve"> </w:t>
      </w:r>
      <w:r w:rsidRPr="0002679E">
        <w:rPr>
          <w:rFonts w:cs="Times New Roman"/>
          <w:szCs w:val="20"/>
        </w:rPr>
        <w:t xml:space="preserve">EU Glossary </w:t>
      </w:r>
      <w:r w:rsidRPr="0002679E">
        <w:rPr>
          <w:rFonts w:cs="Times New Roman"/>
          <w:iCs/>
          <w:szCs w:val="20"/>
        </w:rPr>
        <w:t xml:space="preserve">“Proportionality principle” </w:t>
      </w:r>
      <w:r w:rsidRPr="0002679E">
        <w:rPr>
          <w:rFonts w:cs="Times New Roman"/>
          <w:szCs w:val="20"/>
        </w:rPr>
        <w:t xml:space="preserve">Online electronic reference database website </w:t>
      </w:r>
      <w:hyperlink r:id="rId5" w:history="1">
        <w:r w:rsidRPr="0002679E">
          <w:rPr>
            <w:rStyle w:val="Hyperlink"/>
            <w:rFonts w:cs="Times New Roman"/>
            <w:color w:val="404040" w:themeColor="text1" w:themeTint="BF"/>
            <w:szCs w:val="20"/>
          </w:rPr>
          <w:t>http://europa.eu/legislation_summaries/glossary/ proportionality_en.htm</w:t>
        </w:r>
      </w:hyperlink>
      <w:r w:rsidRPr="0002679E">
        <w:rPr>
          <w:rFonts w:cs="Times New Roman"/>
          <w:szCs w:val="20"/>
        </w:rPr>
        <w:t xml:space="preserve"> [31 Octoberc 2014]</w:t>
      </w:r>
    </w:p>
  </w:footnote>
  <w:footnote w:id="67">
    <w:p w14:paraId="34D1DCE0" w14:textId="77777777" w:rsidR="00D56A69" w:rsidRPr="00520FAF" w:rsidRDefault="00D56A69" w:rsidP="00CE6166">
      <w:pPr>
        <w:pStyle w:val="FootnoteText"/>
        <w:rPr>
          <w:rFonts w:cs="Times New Roman"/>
          <w:szCs w:val="20"/>
        </w:rPr>
      </w:pPr>
      <w:r w:rsidRPr="00520FAF">
        <w:rPr>
          <w:rStyle w:val="FootnoteReference"/>
          <w:rFonts w:cs="Times New Roman"/>
          <w:szCs w:val="20"/>
        </w:rPr>
        <w:footnoteRef/>
      </w:r>
      <w:r w:rsidRPr="00520FAF">
        <w:rPr>
          <w:rFonts w:cs="Times New Roman"/>
          <w:szCs w:val="20"/>
        </w:rPr>
        <w:t xml:space="preserve"> </w:t>
      </w:r>
      <w:proofErr w:type="gramStart"/>
      <w:r w:rsidRPr="00520FAF">
        <w:rPr>
          <w:rFonts w:cs="Times New Roman"/>
          <w:szCs w:val="20"/>
          <w:lang w:val="en-GB"/>
        </w:rPr>
        <w:t>The Committee of the Regions.</w:t>
      </w:r>
      <w:proofErr w:type="gramEnd"/>
      <w:r w:rsidRPr="00520FAF">
        <w:rPr>
          <w:rFonts w:cs="Times New Roman"/>
          <w:szCs w:val="20"/>
          <w:lang w:val="en-GB"/>
        </w:rPr>
        <w:t xml:space="preserve"> </w:t>
      </w:r>
      <w:proofErr w:type="gramStart"/>
      <w:r w:rsidRPr="00520FAF">
        <w:rPr>
          <w:rFonts w:cs="Times New Roman"/>
          <w:szCs w:val="20"/>
          <w:lang w:val="en-GB"/>
        </w:rPr>
        <w:t>Committee of the Regions at a glance.</w:t>
      </w:r>
      <w:proofErr w:type="gramEnd"/>
      <w:r w:rsidRPr="00520FAF">
        <w:rPr>
          <w:rFonts w:cs="Times New Roman"/>
          <w:szCs w:val="20"/>
          <w:lang w:val="en-GB"/>
        </w:rPr>
        <w:t xml:space="preserve"> </w:t>
      </w:r>
      <w:hyperlink r:id="rId6" w:history="1">
        <w:r w:rsidRPr="00520FAF">
          <w:rPr>
            <w:rStyle w:val="Hyperlink"/>
            <w:rFonts w:cs="Times New Roman"/>
            <w:color w:val="404040" w:themeColor="text1" w:themeTint="BF"/>
            <w:szCs w:val="20"/>
            <w:lang w:val="en-GB"/>
          </w:rPr>
          <w:t>http://cor.europa.eu/en/documentation/brochures/Documents/committee-of-the-regions-at-a-glance/committee-of-the-regions_English.pdf</w:t>
        </w:r>
      </w:hyperlink>
      <w:r w:rsidRPr="00520FAF">
        <w:rPr>
          <w:rFonts w:cs="Times New Roman"/>
          <w:szCs w:val="20"/>
          <w:lang w:val="en-GB"/>
        </w:rPr>
        <w:t xml:space="preserve"> [11. November 2014]</w:t>
      </w:r>
    </w:p>
  </w:footnote>
  <w:footnote w:id="68">
    <w:p w14:paraId="72134B13" w14:textId="77777777" w:rsidR="00D56A69" w:rsidRPr="00520FAF" w:rsidRDefault="00D56A69" w:rsidP="00CE6166">
      <w:pPr>
        <w:pStyle w:val="FootnoteText"/>
        <w:rPr>
          <w:rFonts w:cs="Times New Roman"/>
          <w:szCs w:val="20"/>
        </w:rPr>
      </w:pPr>
      <w:r w:rsidRPr="00520FAF">
        <w:rPr>
          <w:rStyle w:val="FootnoteReference"/>
          <w:rFonts w:cs="Times New Roman"/>
          <w:szCs w:val="20"/>
        </w:rPr>
        <w:footnoteRef/>
      </w:r>
      <w:r w:rsidRPr="00520FAF">
        <w:rPr>
          <w:rFonts w:cs="Times New Roman"/>
          <w:szCs w:val="20"/>
        </w:rPr>
        <w:t xml:space="preserve"> </w:t>
      </w:r>
      <w:r w:rsidRPr="00520FAF">
        <w:rPr>
          <w:rFonts w:cs="Times New Roman"/>
          <w:szCs w:val="20"/>
          <w:lang w:val="en-GB"/>
        </w:rPr>
        <w:t>Treaty on the Functioning of the European Union (1958) § 305 (ex § 263)</w:t>
      </w:r>
    </w:p>
  </w:footnote>
  <w:footnote w:id="69">
    <w:p w14:paraId="6933FF9A" w14:textId="77777777" w:rsidR="00D56A69" w:rsidRPr="00520FAF" w:rsidRDefault="00D56A69" w:rsidP="00CE6166">
      <w:pPr>
        <w:pStyle w:val="FootnoteText"/>
        <w:rPr>
          <w:rFonts w:cs="Times New Roman"/>
          <w:szCs w:val="20"/>
        </w:rPr>
      </w:pPr>
      <w:r w:rsidRPr="00520FAF">
        <w:rPr>
          <w:rStyle w:val="FootnoteReference"/>
          <w:rFonts w:cs="Times New Roman"/>
          <w:szCs w:val="20"/>
        </w:rPr>
        <w:footnoteRef/>
      </w:r>
      <w:r w:rsidRPr="00520FAF">
        <w:rPr>
          <w:rFonts w:cs="Times New Roman"/>
          <w:szCs w:val="20"/>
        </w:rPr>
        <w:t xml:space="preserve"> </w:t>
      </w:r>
      <w:r w:rsidRPr="00520FAF">
        <w:rPr>
          <w:rFonts w:cs="Times New Roman"/>
          <w:szCs w:val="20"/>
          <w:lang w:val="en-GB"/>
        </w:rPr>
        <w:t xml:space="preserve">European Communities. </w:t>
      </w:r>
      <w:proofErr w:type="gramStart"/>
      <w:r w:rsidRPr="00520FAF">
        <w:rPr>
          <w:rFonts w:cs="Times New Roman"/>
          <w:szCs w:val="20"/>
          <w:lang w:val="en-GB"/>
        </w:rPr>
        <w:t>The selection process for Committee of the Regions members – Procedures in the Member States.</w:t>
      </w:r>
      <w:proofErr w:type="gramEnd"/>
      <w:r w:rsidRPr="00520FAF">
        <w:rPr>
          <w:rFonts w:cs="Times New Roman"/>
          <w:szCs w:val="20"/>
          <w:lang w:val="en-GB"/>
        </w:rPr>
        <w:t xml:space="preserve"> 2009, p.17</w:t>
      </w:r>
    </w:p>
  </w:footnote>
  <w:footnote w:id="70">
    <w:p w14:paraId="0AE19FC6" w14:textId="77777777" w:rsidR="00D56A69" w:rsidRPr="00DA15D3" w:rsidRDefault="00D56A69" w:rsidP="00CE6166">
      <w:pPr>
        <w:pStyle w:val="FootnoteText"/>
        <w:rPr>
          <w:rFonts w:cs="Times New Roman"/>
          <w:szCs w:val="20"/>
        </w:rPr>
      </w:pPr>
      <w:r w:rsidRPr="00520FAF">
        <w:rPr>
          <w:rStyle w:val="FootnoteReference"/>
          <w:rFonts w:cs="Times New Roman"/>
          <w:szCs w:val="20"/>
        </w:rPr>
        <w:footnoteRef/>
      </w:r>
      <w:r w:rsidRPr="00520FAF">
        <w:rPr>
          <w:rFonts w:cs="Times New Roman"/>
          <w:szCs w:val="20"/>
        </w:rPr>
        <w:t xml:space="preserve"> </w:t>
      </w:r>
      <w:proofErr w:type="gramStart"/>
      <w:r w:rsidRPr="00520FAF">
        <w:rPr>
          <w:rFonts w:cs="Times New Roman"/>
          <w:szCs w:val="20"/>
          <w:lang w:val="en-GB"/>
        </w:rPr>
        <w:t>The Committee of the Regions.</w:t>
      </w:r>
      <w:proofErr w:type="gramEnd"/>
      <w:r w:rsidRPr="00520FAF">
        <w:rPr>
          <w:rFonts w:cs="Times New Roman"/>
          <w:szCs w:val="20"/>
          <w:lang w:val="en-GB"/>
        </w:rPr>
        <w:t xml:space="preserve"> </w:t>
      </w:r>
      <w:proofErr w:type="gramStart"/>
      <w:r w:rsidRPr="00520FAF">
        <w:rPr>
          <w:rFonts w:cs="Times New Roman"/>
          <w:szCs w:val="20"/>
          <w:lang w:val="en-GB"/>
        </w:rPr>
        <w:t>Committee of the Regions at a glance.</w:t>
      </w:r>
      <w:proofErr w:type="gramEnd"/>
      <w:r w:rsidRPr="00520FAF">
        <w:rPr>
          <w:rFonts w:cs="Times New Roman"/>
          <w:szCs w:val="20"/>
          <w:lang w:val="en-GB"/>
        </w:rPr>
        <w:t xml:space="preserve"> </w:t>
      </w:r>
      <w:hyperlink r:id="rId7" w:history="1">
        <w:r w:rsidRPr="00520FAF">
          <w:rPr>
            <w:rStyle w:val="Hyperlink"/>
            <w:rFonts w:cs="Times New Roman"/>
            <w:color w:val="404040" w:themeColor="text1" w:themeTint="BF"/>
            <w:szCs w:val="20"/>
            <w:lang w:val="en-GB"/>
          </w:rPr>
          <w:t>http://cor.europa.eu/en/documentation/brochures/Documents/committee-of-the-regions-at-a-glance/committee-of-the-regions_English.pdf</w:t>
        </w:r>
      </w:hyperlink>
      <w:r w:rsidRPr="00520FAF">
        <w:rPr>
          <w:rFonts w:cs="Times New Roman"/>
          <w:szCs w:val="20"/>
          <w:lang w:val="en-GB"/>
        </w:rPr>
        <w:t xml:space="preserve"> [11. November 2014]</w:t>
      </w:r>
    </w:p>
  </w:footnote>
  <w:footnote w:id="71">
    <w:p w14:paraId="0CBB26D4" w14:textId="588FA8DC" w:rsidR="00D56A69" w:rsidRDefault="00D56A69" w:rsidP="00CE6166">
      <w:pPr>
        <w:pStyle w:val="FootnoteText"/>
      </w:pPr>
      <w:r>
        <w:rPr>
          <w:rStyle w:val="FootnoteReference"/>
        </w:rPr>
        <w:footnoteRef/>
      </w:r>
      <w:r>
        <w:t xml:space="preserve"> </w:t>
      </w:r>
      <w:r>
        <w:t xml:space="preserve">European Parliament ”Members”, </w:t>
      </w:r>
      <w:hyperlink r:id="rId8" w:history="1">
        <w:r w:rsidRPr="00E24229">
          <w:rPr>
            <w:rStyle w:val="Hyperlink"/>
          </w:rPr>
          <w:t>http://www.europarl.europa.eu/aboutparliament/en/0081ddfaa4/MEPs.html</w:t>
        </w:r>
      </w:hyperlink>
      <w:r>
        <w:t xml:space="preserve"> [06. Marts 2015]</w:t>
      </w:r>
    </w:p>
  </w:footnote>
  <w:footnote w:id="72">
    <w:p w14:paraId="6819ADEC" w14:textId="5517948F" w:rsidR="00D56A69" w:rsidRPr="0002679E" w:rsidRDefault="00D56A69">
      <w:pPr>
        <w:pStyle w:val="FootnoteText"/>
      </w:pPr>
      <w:r w:rsidRPr="0002679E">
        <w:rPr>
          <w:rStyle w:val="FootnoteReference"/>
          <w:rFonts w:cs="Times New Roman"/>
          <w:szCs w:val="20"/>
        </w:rPr>
        <w:footnoteRef/>
      </w:r>
      <w:r w:rsidRPr="0002679E">
        <w:rPr>
          <w:rFonts w:cs="Times New Roman"/>
          <w:szCs w:val="20"/>
        </w:rPr>
        <w:t xml:space="preserve"> </w:t>
      </w:r>
      <w:r w:rsidRPr="0002679E">
        <w:rPr>
          <w:rFonts w:cs="Times New Roman"/>
          <w:szCs w:val="20"/>
          <w:lang w:val="en-GB"/>
        </w:rPr>
        <w:t>Treaty on European Union (1993) § 17(2)</w:t>
      </w:r>
    </w:p>
  </w:footnote>
  <w:footnote w:id="73">
    <w:p w14:paraId="27A44A2F" w14:textId="3970B85E" w:rsidR="00D56A69" w:rsidRPr="0002679E" w:rsidRDefault="00D56A69">
      <w:pPr>
        <w:pStyle w:val="FootnoteText"/>
      </w:pPr>
      <w:r w:rsidRPr="0002679E">
        <w:rPr>
          <w:rStyle w:val="FootnoteReference"/>
          <w:rFonts w:cs="Times New Roman"/>
          <w:szCs w:val="20"/>
        </w:rPr>
        <w:footnoteRef/>
      </w:r>
      <w:r w:rsidRPr="0002679E">
        <w:rPr>
          <w:rFonts w:cs="Times New Roman"/>
          <w:szCs w:val="20"/>
        </w:rPr>
        <w:t xml:space="preserve"> </w:t>
      </w:r>
      <w:r w:rsidRPr="0002679E">
        <w:rPr>
          <w:rFonts w:cs="Times New Roman"/>
          <w:szCs w:val="20"/>
          <w:lang w:val="en-GB"/>
        </w:rPr>
        <w:t>Treaty on European Union (1993) § 17(1)</w:t>
      </w:r>
    </w:p>
  </w:footnote>
  <w:footnote w:id="74">
    <w:p w14:paraId="6EBA505A" w14:textId="5E44EB01" w:rsidR="00D56A69" w:rsidRPr="0002679E" w:rsidRDefault="00D56A69">
      <w:pPr>
        <w:pStyle w:val="FootnoteText"/>
        <w:rPr>
          <w:rFonts w:cs="Times New Roman"/>
        </w:rPr>
      </w:pPr>
      <w:r w:rsidRPr="0002679E">
        <w:rPr>
          <w:rStyle w:val="FootnoteReference"/>
          <w:rFonts w:cs="Times New Roman"/>
          <w:szCs w:val="20"/>
        </w:rPr>
        <w:footnoteRef/>
      </w:r>
      <w:r w:rsidRPr="0002679E">
        <w:rPr>
          <w:rFonts w:cs="Times New Roman"/>
          <w:szCs w:val="20"/>
        </w:rPr>
        <w:t xml:space="preserve"> </w:t>
      </w:r>
      <w:r w:rsidRPr="0002679E">
        <w:rPr>
          <w:rFonts w:cs="Times New Roman"/>
          <w:szCs w:val="20"/>
          <w:lang w:val="en-GB"/>
        </w:rPr>
        <w:t>Treaty on European Union (1993) § 17(4)</w:t>
      </w:r>
    </w:p>
  </w:footnote>
  <w:footnote w:id="75">
    <w:p w14:paraId="62F1A58E" w14:textId="0ECCCAE7" w:rsidR="00D56A69" w:rsidRPr="0002679E" w:rsidRDefault="00D56A69">
      <w:pPr>
        <w:pStyle w:val="FootnoteText"/>
        <w:rPr>
          <w:rFonts w:cs="Times New Roman"/>
          <w:szCs w:val="20"/>
        </w:rPr>
      </w:pPr>
      <w:r w:rsidRPr="0002679E">
        <w:rPr>
          <w:rStyle w:val="FootnoteReference"/>
          <w:rFonts w:cs="Times New Roman"/>
          <w:szCs w:val="20"/>
        </w:rPr>
        <w:footnoteRef/>
      </w:r>
      <w:r w:rsidRPr="0002679E">
        <w:rPr>
          <w:rFonts w:cs="Times New Roman"/>
          <w:szCs w:val="20"/>
        </w:rPr>
        <w:t xml:space="preserve"> </w:t>
      </w:r>
      <w:r w:rsidRPr="0002679E">
        <w:rPr>
          <w:rFonts w:cs="Times New Roman"/>
          <w:szCs w:val="20"/>
          <w:lang w:val="en-GB"/>
        </w:rPr>
        <w:t>Treaty on European Union (1993) § 18(1)</w:t>
      </w:r>
    </w:p>
  </w:footnote>
  <w:footnote w:id="76">
    <w:p w14:paraId="1BDF06E7" w14:textId="04820322" w:rsidR="00D56A69" w:rsidRPr="00FC6525" w:rsidRDefault="00D56A69">
      <w:pPr>
        <w:pStyle w:val="FootnoteText"/>
        <w:rPr>
          <w:rFonts w:cs="Times New Roman"/>
        </w:rPr>
      </w:pPr>
      <w:r w:rsidRPr="0002679E">
        <w:rPr>
          <w:rStyle w:val="FootnoteReference"/>
          <w:rFonts w:cs="Times New Roman"/>
          <w:szCs w:val="20"/>
        </w:rPr>
        <w:footnoteRef/>
      </w:r>
      <w:r w:rsidRPr="0002679E">
        <w:rPr>
          <w:rFonts w:cs="Times New Roman"/>
          <w:szCs w:val="20"/>
        </w:rPr>
        <w:t xml:space="preserve"> </w:t>
      </w:r>
      <w:r w:rsidRPr="0002679E">
        <w:rPr>
          <w:rFonts w:cs="Times New Roman"/>
          <w:szCs w:val="20"/>
          <w:lang w:val="en-GB"/>
        </w:rPr>
        <w:t>Treaty on European Union (1993) § 16(2)</w:t>
      </w:r>
    </w:p>
  </w:footnote>
  <w:footnote w:id="77">
    <w:p w14:paraId="630CAEFE" w14:textId="42357073" w:rsidR="00D56A69" w:rsidRPr="0002679E" w:rsidRDefault="00D56A69">
      <w:pPr>
        <w:pStyle w:val="FootnoteText"/>
        <w:rPr>
          <w:rFonts w:cs="Times New Roman"/>
        </w:rPr>
      </w:pPr>
      <w:r w:rsidRPr="0002679E">
        <w:rPr>
          <w:rStyle w:val="FootnoteReference"/>
          <w:rFonts w:cs="Times New Roman"/>
          <w:szCs w:val="20"/>
        </w:rPr>
        <w:footnoteRef/>
      </w:r>
      <w:r w:rsidRPr="0002679E">
        <w:rPr>
          <w:rFonts w:cs="Times New Roman"/>
          <w:szCs w:val="20"/>
        </w:rPr>
        <w:t xml:space="preserve"> </w:t>
      </w:r>
      <w:r w:rsidRPr="0002679E">
        <w:rPr>
          <w:rFonts w:cs="Times New Roman"/>
          <w:szCs w:val="20"/>
          <w:lang w:val="en-GB"/>
        </w:rPr>
        <w:t>Treaty on European Union (1993) § 16(7)</w:t>
      </w:r>
    </w:p>
  </w:footnote>
  <w:footnote w:id="78">
    <w:p w14:paraId="1A161BD7" w14:textId="237C468B" w:rsidR="00D56A69" w:rsidRPr="0002679E" w:rsidRDefault="00D56A69">
      <w:pPr>
        <w:pStyle w:val="FootnoteText"/>
        <w:rPr>
          <w:rFonts w:cs="Times New Roman"/>
        </w:rPr>
      </w:pPr>
      <w:r w:rsidRPr="0002679E">
        <w:rPr>
          <w:rStyle w:val="FootnoteReference"/>
          <w:rFonts w:cs="Times New Roman"/>
          <w:szCs w:val="20"/>
        </w:rPr>
        <w:footnoteRef/>
      </w:r>
      <w:r w:rsidRPr="0002679E">
        <w:rPr>
          <w:rFonts w:cs="Times New Roman"/>
          <w:szCs w:val="20"/>
        </w:rPr>
        <w:t xml:space="preserve"> </w:t>
      </w:r>
      <w:r w:rsidRPr="0002679E">
        <w:rPr>
          <w:rFonts w:cs="Times New Roman"/>
          <w:szCs w:val="20"/>
          <w:lang w:val="en-GB"/>
        </w:rPr>
        <w:t>Treaty on European Union (1993) § 14(2)</w:t>
      </w:r>
    </w:p>
  </w:footnote>
  <w:footnote w:id="79">
    <w:p w14:paraId="0B909CE9" w14:textId="2ADCE2FF" w:rsidR="00D56A69" w:rsidRPr="0002679E" w:rsidRDefault="00D56A69">
      <w:pPr>
        <w:pStyle w:val="FootnoteText"/>
        <w:rPr>
          <w:rFonts w:cs="Times New Roman"/>
        </w:rPr>
      </w:pPr>
      <w:r w:rsidRPr="0002679E">
        <w:rPr>
          <w:rStyle w:val="FootnoteReference"/>
          <w:rFonts w:cs="Times New Roman"/>
          <w:szCs w:val="20"/>
        </w:rPr>
        <w:footnoteRef/>
      </w:r>
      <w:r w:rsidRPr="0002679E">
        <w:rPr>
          <w:rFonts w:cs="Times New Roman"/>
        </w:rPr>
        <w:t xml:space="preserve"> </w:t>
      </w:r>
      <w:r w:rsidRPr="0002679E">
        <w:rPr>
          <w:rFonts w:cs="Times New Roman"/>
          <w:szCs w:val="20"/>
          <w:lang w:val="en-GB"/>
        </w:rPr>
        <w:t>Treaty on European Union (1993) § 19(3)</w:t>
      </w:r>
    </w:p>
  </w:footnote>
  <w:footnote w:id="80">
    <w:p w14:paraId="19FF451B" w14:textId="3A678F7B" w:rsidR="00D56A69" w:rsidRPr="00060DD8" w:rsidRDefault="00D56A69">
      <w:pPr>
        <w:pStyle w:val="FootnoteText"/>
        <w:rPr>
          <w:rFonts w:cs="Times New Roman"/>
          <w:szCs w:val="20"/>
        </w:rPr>
      </w:pPr>
      <w:r w:rsidRPr="0002679E">
        <w:rPr>
          <w:rStyle w:val="FootnoteReference"/>
          <w:rFonts w:cs="Times New Roman"/>
          <w:szCs w:val="20"/>
        </w:rPr>
        <w:footnoteRef/>
      </w:r>
      <w:r w:rsidRPr="0002679E">
        <w:rPr>
          <w:rFonts w:cs="Times New Roman"/>
          <w:szCs w:val="20"/>
        </w:rPr>
        <w:t xml:space="preserve"> </w:t>
      </w:r>
      <w:r w:rsidRPr="0002679E">
        <w:rPr>
          <w:rFonts w:cs="Times New Roman"/>
          <w:szCs w:val="20"/>
          <w:lang w:val="en-GB"/>
        </w:rPr>
        <w:t>Treaty on the Functioning of the European Union (1958) § 253 (ex § 223)</w:t>
      </w:r>
    </w:p>
  </w:footnote>
  <w:footnote w:id="81">
    <w:p w14:paraId="495F13E5" w14:textId="3C3E550E" w:rsidR="00D56A69" w:rsidRPr="0002679E" w:rsidRDefault="00D56A69">
      <w:pPr>
        <w:pStyle w:val="FootnoteText"/>
      </w:pPr>
      <w:r w:rsidRPr="0002679E">
        <w:rPr>
          <w:rStyle w:val="FootnoteReference"/>
          <w:rFonts w:cs="Times New Roman"/>
          <w:szCs w:val="20"/>
        </w:rPr>
        <w:footnoteRef/>
      </w:r>
      <w:r w:rsidRPr="0002679E">
        <w:rPr>
          <w:rFonts w:cs="Times New Roman"/>
          <w:szCs w:val="20"/>
        </w:rPr>
        <w:t xml:space="preserve"> </w:t>
      </w:r>
      <w:r w:rsidRPr="0002679E">
        <w:rPr>
          <w:rFonts w:cs="Times New Roman"/>
          <w:szCs w:val="20"/>
          <w:lang w:val="en-GB"/>
        </w:rPr>
        <w:t>Treaty on the Functioning of the European Union (1958) § 252 (ex § 222)</w:t>
      </w:r>
    </w:p>
  </w:footnote>
  <w:footnote w:id="82">
    <w:p w14:paraId="54B35E24" w14:textId="38F69E9B" w:rsidR="00D56A69" w:rsidRDefault="00D56A69">
      <w:pPr>
        <w:pStyle w:val="FootnoteText"/>
      </w:pPr>
      <w:r>
        <w:rPr>
          <w:rStyle w:val="FootnoteReference"/>
        </w:rPr>
        <w:footnoteRef/>
      </w:r>
      <w:r>
        <w:t xml:space="preserve"> </w:t>
      </w:r>
      <w:r w:rsidRPr="00EB0002">
        <w:rPr>
          <w:rStyle w:val="FootnoteReference"/>
          <w:rFonts w:cs="Times New Roman"/>
          <w:szCs w:val="20"/>
          <w:vertAlign w:val="baseline"/>
        </w:rPr>
        <w:t>McIver, Iain. ”The European Union – The Legislative Process”. SPICe Briefing 11/46 (2011) p.</w:t>
      </w:r>
      <w:r>
        <w:rPr>
          <w:rStyle w:val="FootnoteReference"/>
          <w:rFonts w:cs="Times New Roman"/>
          <w:szCs w:val="20"/>
          <w:vertAlign w:val="baseline"/>
        </w:rPr>
        <w:t>3</w:t>
      </w:r>
    </w:p>
  </w:footnote>
  <w:footnote w:id="83">
    <w:p w14:paraId="480F9747" w14:textId="76B87E44" w:rsidR="00D56A69" w:rsidRDefault="00D56A69">
      <w:pPr>
        <w:pStyle w:val="FootnoteText"/>
      </w:pPr>
      <w:r>
        <w:rPr>
          <w:rStyle w:val="FootnoteReference"/>
        </w:rPr>
        <w:footnoteRef/>
      </w:r>
      <w:r>
        <w:t xml:space="preserve"> </w:t>
      </w:r>
      <w:r>
        <w:t>Interview 12min40</w:t>
      </w:r>
    </w:p>
  </w:footnote>
  <w:footnote w:id="84">
    <w:p w14:paraId="755807C3" w14:textId="70B58F79" w:rsidR="00D56A69" w:rsidRDefault="00D56A69">
      <w:pPr>
        <w:pStyle w:val="FootnoteText"/>
      </w:pPr>
      <w:r>
        <w:rPr>
          <w:rStyle w:val="FootnoteReference"/>
        </w:rPr>
        <w:footnoteRef/>
      </w:r>
      <w:r>
        <w:t xml:space="preserve"> </w:t>
      </w:r>
      <w:r>
        <w:t>Interviews 17min30sec</w:t>
      </w:r>
    </w:p>
  </w:footnote>
  <w:footnote w:id="85">
    <w:p w14:paraId="3CE27AEF" w14:textId="72397E18" w:rsidR="00D56A69" w:rsidRDefault="00D56A69">
      <w:pPr>
        <w:pStyle w:val="FootnoteText"/>
      </w:pPr>
      <w:r>
        <w:rPr>
          <w:rStyle w:val="FootnoteReference"/>
        </w:rPr>
        <w:footnoteRef/>
      </w:r>
      <w:r>
        <w:t xml:space="preserve"> </w:t>
      </w:r>
      <w:r w:rsidRPr="00EB0002">
        <w:rPr>
          <w:rStyle w:val="FootnoteReference"/>
          <w:rFonts w:cs="Times New Roman"/>
          <w:szCs w:val="20"/>
          <w:vertAlign w:val="baseline"/>
        </w:rPr>
        <w:t xml:space="preserve">European Parliament. ”Ordinary legislative procedure”. </w:t>
      </w:r>
      <w:hyperlink r:id="rId9" w:history="1">
        <w:r w:rsidRPr="00EB0002">
          <w:rPr>
            <w:color w:val="4F81BD" w:themeColor="accent1"/>
          </w:rPr>
          <w:t>http://www.europarl.europa.eu/aboutparliament/en/0081f4b3c7/Gesetzgebungsprozess-im-Detail.html</w:t>
        </w:r>
      </w:hyperlink>
      <w:r w:rsidRPr="00EB0002">
        <w:rPr>
          <w:rStyle w:val="FootnoteReference"/>
          <w:rFonts w:cs="Times New Roman"/>
          <w:szCs w:val="20"/>
          <w:vertAlign w:val="baseline"/>
        </w:rPr>
        <w:t xml:space="preserve"> [10. March 2015]</w:t>
      </w:r>
    </w:p>
  </w:footnote>
  <w:footnote w:id="86">
    <w:p w14:paraId="52B152E4" w14:textId="60C204B2" w:rsidR="00D56A69" w:rsidRPr="00EB0002" w:rsidRDefault="00D56A69">
      <w:pPr>
        <w:pStyle w:val="FootnoteText"/>
        <w:rPr>
          <w:rStyle w:val="FootnoteReference"/>
          <w:rFonts w:cs="Times New Roman"/>
          <w:szCs w:val="20"/>
          <w:vertAlign w:val="baseline"/>
        </w:rPr>
      </w:pPr>
      <w:r w:rsidRPr="00EB0002">
        <w:rPr>
          <w:rStyle w:val="FootnoteReference"/>
          <w:rFonts w:cs="Times New Roman"/>
          <w:szCs w:val="20"/>
        </w:rPr>
        <w:footnoteRef/>
      </w:r>
      <w:r w:rsidRPr="00EB0002">
        <w:rPr>
          <w:rStyle w:val="FootnoteReference"/>
          <w:rFonts w:cs="Times New Roman"/>
          <w:szCs w:val="20"/>
          <w:vertAlign w:val="baseline"/>
        </w:rPr>
        <w:t xml:space="preserve"> European Parliament. ”Ordinary legislative procedure”. </w:t>
      </w:r>
      <w:hyperlink r:id="rId10" w:history="1">
        <w:r w:rsidRPr="00EB0002">
          <w:rPr>
            <w:color w:val="4F81BD" w:themeColor="accent1"/>
          </w:rPr>
          <w:t>http://www.europarl.europa.eu/aboutparliament/en/0081f4b3c7/Gesetzgebungsprozess-im-Detail.html</w:t>
        </w:r>
      </w:hyperlink>
      <w:r w:rsidRPr="00EB0002">
        <w:rPr>
          <w:rStyle w:val="FootnoteReference"/>
          <w:rFonts w:cs="Times New Roman"/>
          <w:szCs w:val="20"/>
          <w:vertAlign w:val="baseline"/>
        </w:rPr>
        <w:t xml:space="preserve"> [10. March 2015]</w:t>
      </w:r>
    </w:p>
  </w:footnote>
  <w:footnote w:id="87">
    <w:p w14:paraId="211F6E85" w14:textId="6AF0025E" w:rsidR="00D56A69" w:rsidRPr="00EB0002" w:rsidRDefault="00D56A69" w:rsidP="00EB0002">
      <w:pPr>
        <w:pStyle w:val="FootnoteText"/>
        <w:rPr>
          <w:sz w:val="24"/>
        </w:rPr>
      </w:pPr>
      <w:r w:rsidRPr="00EB0002">
        <w:rPr>
          <w:rStyle w:val="FootnoteReference"/>
          <w:rFonts w:cs="Times New Roman"/>
          <w:szCs w:val="20"/>
        </w:rPr>
        <w:footnoteRef/>
      </w:r>
      <w:r w:rsidRPr="00EB0002">
        <w:rPr>
          <w:rStyle w:val="FootnoteReference"/>
          <w:rFonts w:cs="Times New Roman"/>
          <w:szCs w:val="20"/>
          <w:vertAlign w:val="baseline"/>
        </w:rPr>
        <w:t xml:space="preserve"> McIver, Iain. ”The European Union – The Legislative Process”. SPICe Briefing 11/46 (2011) p.4</w:t>
      </w:r>
    </w:p>
  </w:footnote>
  <w:footnote w:id="88">
    <w:p w14:paraId="2C84A392" w14:textId="22DA1FF6" w:rsidR="00D56A69" w:rsidRDefault="00D56A69">
      <w:pPr>
        <w:pStyle w:val="FootnoteText"/>
      </w:pPr>
      <w:r>
        <w:rPr>
          <w:rStyle w:val="FootnoteReference"/>
        </w:rPr>
        <w:footnoteRef/>
      </w:r>
      <w:r>
        <w:t xml:space="preserve"> </w:t>
      </w:r>
      <w:r w:rsidRPr="00520FAF">
        <w:rPr>
          <w:rFonts w:cs="Times New Roman"/>
          <w:szCs w:val="20"/>
          <w:lang w:val="en-GB"/>
        </w:rPr>
        <w:t>Treaty on the Functioning of</w:t>
      </w:r>
      <w:r>
        <w:rPr>
          <w:rFonts w:cs="Times New Roman"/>
          <w:szCs w:val="20"/>
          <w:lang w:val="en-GB"/>
        </w:rPr>
        <w:t xml:space="preserve"> the European Union (1958) § 304 (ex § 262</w:t>
      </w:r>
      <w:r w:rsidRPr="00520FAF">
        <w:rPr>
          <w:rFonts w:cs="Times New Roman"/>
          <w:szCs w:val="20"/>
          <w:lang w:val="en-GB"/>
        </w:rPr>
        <w:t>)</w:t>
      </w:r>
      <w:r>
        <w:rPr>
          <w:rFonts w:cs="Times New Roman"/>
          <w:szCs w:val="20"/>
          <w:lang w:val="en-GB"/>
        </w:rPr>
        <w:t xml:space="preserve"> and § 307 (ex § 265</w:t>
      </w:r>
      <w:r w:rsidRPr="00520FAF">
        <w:rPr>
          <w:rFonts w:cs="Times New Roman"/>
          <w:szCs w:val="20"/>
          <w:lang w:val="en-GB"/>
        </w:rPr>
        <w:t>)</w:t>
      </w:r>
    </w:p>
  </w:footnote>
  <w:footnote w:id="89">
    <w:p w14:paraId="586406D8" w14:textId="514378A0" w:rsidR="00D56A69" w:rsidRDefault="00D56A69">
      <w:pPr>
        <w:pStyle w:val="FootnoteText"/>
      </w:pPr>
      <w:r>
        <w:rPr>
          <w:rStyle w:val="FootnoteReference"/>
        </w:rPr>
        <w:footnoteRef/>
      </w:r>
      <w:r>
        <w:t xml:space="preserve"> </w:t>
      </w:r>
      <w:r w:rsidRPr="00EB0002">
        <w:rPr>
          <w:rStyle w:val="FootnoteReference"/>
          <w:rFonts w:cs="Times New Roman"/>
          <w:szCs w:val="20"/>
          <w:vertAlign w:val="baseline"/>
        </w:rPr>
        <w:t>McIver, Iain. ”The European Union – The Legislative Process”. SPICe Briefing 11/46 (2011) p.</w:t>
      </w:r>
      <w:r>
        <w:rPr>
          <w:rStyle w:val="FootnoteReference"/>
          <w:rFonts w:cs="Times New Roman"/>
          <w:szCs w:val="20"/>
          <w:vertAlign w:val="baseline"/>
        </w:rPr>
        <w:t>5</w:t>
      </w:r>
    </w:p>
  </w:footnote>
  <w:footnote w:id="90">
    <w:p w14:paraId="0813C1A5" w14:textId="673A524A" w:rsidR="00D56A69" w:rsidRDefault="00D56A69">
      <w:pPr>
        <w:pStyle w:val="FootnoteText"/>
      </w:pPr>
      <w:r>
        <w:rPr>
          <w:rStyle w:val="FootnoteReference"/>
        </w:rPr>
        <w:footnoteRef/>
      </w:r>
      <w:r>
        <w:t xml:space="preserve"> </w:t>
      </w:r>
      <w:r w:rsidRPr="00231E55">
        <w:rPr>
          <w:rFonts w:cs="Times New Roman"/>
          <w:szCs w:val="20"/>
        </w:rPr>
        <w:t xml:space="preserve">Eising, Reiner, Beate Kohler Koch. </w:t>
      </w:r>
      <w:r w:rsidRPr="00231E55">
        <w:rPr>
          <w:rFonts w:cs="Times New Roman"/>
          <w:i/>
          <w:szCs w:val="20"/>
        </w:rPr>
        <w:t>Interessenpolitik in Europa</w:t>
      </w:r>
      <w:r w:rsidRPr="00231E55">
        <w:rPr>
          <w:rFonts w:cs="Times New Roman"/>
          <w:szCs w:val="20"/>
        </w:rPr>
        <w:t>. Baden-Baden: Nomos Verlagsgesellschaft (2005) p. 17-19</w:t>
      </w:r>
    </w:p>
  </w:footnote>
  <w:footnote w:id="91">
    <w:p w14:paraId="310E65C5" w14:textId="1B132809" w:rsidR="00D56A69" w:rsidRDefault="00D56A69">
      <w:pPr>
        <w:pStyle w:val="FootnoteText"/>
      </w:pPr>
      <w:r>
        <w:rPr>
          <w:rStyle w:val="FootnoteReference"/>
        </w:rPr>
        <w:footnoteRef/>
      </w:r>
      <w:r>
        <w:t xml:space="preserve"> </w:t>
      </w:r>
      <w:r w:rsidRPr="00EB0002">
        <w:rPr>
          <w:rStyle w:val="FootnoteReference"/>
          <w:rFonts w:cs="Times New Roman"/>
          <w:szCs w:val="20"/>
          <w:vertAlign w:val="baseline"/>
        </w:rPr>
        <w:t>McIver, Iain. ”The European Union – The Legislative Process”. SPICe Briefing 11/46 (2011) p.</w:t>
      </w:r>
      <w:r>
        <w:rPr>
          <w:rStyle w:val="FootnoteReference"/>
          <w:rFonts w:cs="Times New Roman"/>
          <w:szCs w:val="20"/>
          <w:vertAlign w:val="baseline"/>
        </w:rPr>
        <w:t>6</w:t>
      </w:r>
    </w:p>
  </w:footnote>
  <w:footnote w:id="92">
    <w:p w14:paraId="0336A3BA" w14:textId="5238C34C" w:rsidR="00D56A69" w:rsidRDefault="00D56A69">
      <w:pPr>
        <w:pStyle w:val="FootnoteText"/>
      </w:pPr>
      <w:r>
        <w:rPr>
          <w:rStyle w:val="FootnoteReference"/>
        </w:rPr>
        <w:footnoteRef/>
      </w:r>
      <w:r>
        <w:t xml:space="preserve"> </w:t>
      </w:r>
      <w:r w:rsidRPr="00EB0002">
        <w:rPr>
          <w:rStyle w:val="FootnoteReference"/>
          <w:rFonts w:cs="Times New Roman"/>
          <w:szCs w:val="20"/>
          <w:vertAlign w:val="baseline"/>
        </w:rPr>
        <w:t>McIver, Iain. ”The European Union – The Legislative Process”. SPICe Briefing 11/46 (2011)</w:t>
      </w:r>
      <w:r>
        <w:t xml:space="preserve"> </w:t>
      </w:r>
      <w:r>
        <w:t>p.6</w:t>
      </w:r>
    </w:p>
  </w:footnote>
  <w:footnote w:id="93">
    <w:p w14:paraId="22DD81D1" w14:textId="51194399" w:rsidR="00D56A69" w:rsidRDefault="00D56A69">
      <w:pPr>
        <w:pStyle w:val="FootnoteText"/>
      </w:pPr>
      <w:r>
        <w:rPr>
          <w:rStyle w:val="FootnoteReference"/>
        </w:rPr>
        <w:footnoteRef/>
      </w:r>
      <w:r>
        <w:t xml:space="preserve"> </w:t>
      </w:r>
      <w:r w:rsidRPr="00EB0002">
        <w:rPr>
          <w:rStyle w:val="FootnoteReference"/>
          <w:rFonts w:cs="Times New Roman"/>
          <w:szCs w:val="20"/>
          <w:vertAlign w:val="baseline"/>
        </w:rPr>
        <w:t>McIver, Iain. ”The European Union – The Legislative Process”. SPICe Briefing 11/46 (2011)</w:t>
      </w:r>
      <w:r>
        <w:t xml:space="preserve"> </w:t>
      </w:r>
      <w:r>
        <w:t>p.7</w:t>
      </w:r>
    </w:p>
  </w:footnote>
  <w:footnote w:id="94">
    <w:p w14:paraId="50EE3501" w14:textId="27984048" w:rsidR="00D56A69" w:rsidRDefault="00D56A69">
      <w:pPr>
        <w:pStyle w:val="FootnoteText"/>
      </w:pPr>
      <w:r>
        <w:rPr>
          <w:rStyle w:val="FootnoteReference"/>
        </w:rPr>
        <w:footnoteRef/>
      </w:r>
      <w:r>
        <w:t xml:space="preserve"> </w:t>
      </w:r>
      <w:r>
        <w:t>Council of the European Union. ”Competitiveness (Internal Market, Industry, Research and Space)”. 3147th Council meeting. (20. February 2012) p.10-11</w:t>
      </w:r>
    </w:p>
  </w:footnote>
  <w:footnote w:id="95">
    <w:p w14:paraId="6E981489" w14:textId="3CFC0AAE" w:rsidR="00D56A69" w:rsidRDefault="00D56A69">
      <w:pPr>
        <w:pStyle w:val="FootnoteText"/>
      </w:pPr>
      <w:r>
        <w:rPr>
          <w:rStyle w:val="FootnoteReference"/>
        </w:rPr>
        <w:footnoteRef/>
      </w:r>
      <w:r>
        <w:t xml:space="preserve"> </w:t>
      </w:r>
      <w:r>
        <w:t>Council of the European Union. ”Competitiveness (Internal Market, Industry, Research and Space)”. 3169th Council meeting. (30. May 2012) p.13</w:t>
      </w:r>
    </w:p>
  </w:footnote>
  <w:footnote w:id="96">
    <w:p w14:paraId="7D122551" w14:textId="6CB2C8FC" w:rsidR="00D56A69" w:rsidRDefault="00D56A69">
      <w:pPr>
        <w:pStyle w:val="FootnoteText"/>
      </w:pPr>
      <w:r>
        <w:rPr>
          <w:rStyle w:val="FootnoteReference"/>
        </w:rPr>
        <w:footnoteRef/>
      </w:r>
      <w:r>
        <w:t xml:space="preserve"> </w:t>
      </w:r>
      <w:r>
        <w:t>Council of the European Union. ”Competitiveness (Internal Market, Industry, Research and Space)”. 3208th Council meeting. (10. December 2012) p.11</w:t>
      </w:r>
    </w:p>
  </w:footnote>
  <w:footnote w:id="97">
    <w:p w14:paraId="7F26EDBB" w14:textId="16DC6DDF" w:rsidR="00D56A69" w:rsidRDefault="00D56A69">
      <w:pPr>
        <w:pStyle w:val="FootnoteText"/>
      </w:pPr>
      <w:r>
        <w:rPr>
          <w:rStyle w:val="FootnoteReference"/>
        </w:rPr>
        <w:footnoteRef/>
      </w:r>
      <w:r>
        <w:t xml:space="preserve"> </w:t>
      </w:r>
      <w:r>
        <w:t xml:space="preserve">EUR-Lex. ”Summary of legislation”. </w:t>
      </w:r>
      <w:hyperlink r:id="rId11" w:anchor="415440" w:history="1">
        <w:r w:rsidRPr="007C74FA">
          <w:rPr>
            <w:rStyle w:val="Hyperlink"/>
          </w:rPr>
          <w:t>http://eur-lex.europa.eu/legal-content/EN/HIS/?uri=CELEX:32014L0024#415440</w:t>
        </w:r>
      </w:hyperlink>
      <w:r>
        <w:t xml:space="preserve"> [15. marts 2015]</w:t>
      </w:r>
    </w:p>
  </w:footnote>
  <w:footnote w:id="98">
    <w:p w14:paraId="575602F7" w14:textId="40EA5722" w:rsidR="00D56A69" w:rsidRDefault="00D56A69">
      <w:pPr>
        <w:pStyle w:val="FootnoteText"/>
      </w:pPr>
      <w:r>
        <w:rPr>
          <w:rStyle w:val="FootnoteReference"/>
        </w:rPr>
        <w:footnoteRef/>
      </w:r>
      <w:r>
        <w:t xml:space="preserve"> </w:t>
      </w:r>
      <w:r>
        <w:t>European Economic and Social Committee. ”Opinion of the European Economic and Social Committee on the ”Proposal for a Directive of the European Parliament and of the Council on public procurement”. (26. April 2012) point 4.5</w:t>
      </w:r>
    </w:p>
  </w:footnote>
  <w:footnote w:id="99">
    <w:p w14:paraId="43740BEB" w14:textId="1912D949" w:rsidR="00D56A69" w:rsidRDefault="00D56A69">
      <w:pPr>
        <w:pStyle w:val="FootnoteText"/>
      </w:pPr>
      <w:r>
        <w:rPr>
          <w:rStyle w:val="FootnoteReference"/>
        </w:rPr>
        <w:footnoteRef/>
      </w:r>
      <w:r>
        <w:t xml:space="preserve"> </w:t>
      </w:r>
      <w:r>
        <w:t>The Committee of the Regions. ”Opinion of the Committee of the Reguibs in ”Public procurement package”. Official Journal of the European Union. (18. December 2012) p.51</w:t>
      </w:r>
    </w:p>
  </w:footnote>
  <w:footnote w:id="100">
    <w:p w14:paraId="4AEDCCF6" w14:textId="70E78EF2" w:rsidR="00D56A69" w:rsidRDefault="00D56A69">
      <w:pPr>
        <w:pStyle w:val="FootnoteText"/>
      </w:pPr>
      <w:r>
        <w:rPr>
          <w:rStyle w:val="FootnoteReference"/>
        </w:rPr>
        <w:footnoteRef/>
      </w:r>
      <w:r>
        <w:t xml:space="preserve"> </w:t>
      </w:r>
      <w:r>
        <w:t>The Committee of the Regions. ”Opinion of the Committee of the Reguibs in ”Public procurement package”. Official Journal of the European Union. (18. December 2012) p.56</w:t>
      </w:r>
    </w:p>
  </w:footnote>
  <w:footnote w:id="101">
    <w:p w14:paraId="122675D8" w14:textId="4296E5CA" w:rsidR="00D56A69" w:rsidRDefault="00D56A69" w:rsidP="00F34CC6">
      <w:pPr>
        <w:pStyle w:val="FootnoteText"/>
      </w:pPr>
      <w:r>
        <w:rPr>
          <w:rStyle w:val="FootnoteReference"/>
        </w:rPr>
        <w:footnoteRef/>
      </w:r>
      <w:r>
        <w:t xml:space="preserve"> </w:t>
      </w:r>
      <w:r>
        <w:t>European Parliament. ”Position of the European Parliament”. (15. January 2014) p.12</w:t>
      </w:r>
    </w:p>
  </w:footnote>
  <w:footnote w:id="102">
    <w:p w14:paraId="49DD66CA" w14:textId="343C32E6" w:rsidR="00D56A69" w:rsidRDefault="00D56A69" w:rsidP="003F0171">
      <w:pPr>
        <w:pStyle w:val="FootnoteText"/>
      </w:pPr>
      <w:r>
        <w:rPr>
          <w:rStyle w:val="FootnoteReference"/>
        </w:rPr>
        <w:footnoteRef/>
      </w:r>
      <w:r>
        <w:t xml:space="preserve"> </w:t>
      </w:r>
      <w:r>
        <w:t xml:space="preserve">EUR-Lex. ”Summary of legislation”. </w:t>
      </w:r>
      <w:hyperlink r:id="rId12" w:anchor="415440" w:history="1">
        <w:r w:rsidRPr="007C74FA">
          <w:rPr>
            <w:rStyle w:val="Hyperlink"/>
          </w:rPr>
          <w:t>http://eur-lex.europa.eu/legal-content/EN/HIS/?uri=CELEX:32014L0024#415440</w:t>
        </w:r>
      </w:hyperlink>
      <w:r>
        <w:t xml:space="preserve"> [15. marts 2015]</w:t>
      </w:r>
    </w:p>
  </w:footnote>
  <w:footnote w:id="103">
    <w:p w14:paraId="1ACEBE6D" w14:textId="0689A47B" w:rsidR="00D56A69" w:rsidRDefault="00D56A69">
      <w:pPr>
        <w:pStyle w:val="FootnoteText"/>
      </w:pPr>
      <w:r>
        <w:rPr>
          <w:rStyle w:val="FootnoteReference"/>
        </w:rPr>
        <w:footnoteRef/>
      </w:r>
      <w:r>
        <w:t xml:space="preserve"> </w:t>
      </w:r>
      <w:r>
        <w:t>Interviews 10min20sec</w:t>
      </w:r>
    </w:p>
  </w:footnote>
  <w:footnote w:id="104">
    <w:p w14:paraId="0CEE35DC" w14:textId="3B42A390" w:rsidR="00D56A69" w:rsidRDefault="00D56A69">
      <w:pPr>
        <w:pStyle w:val="FootnoteText"/>
      </w:pPr>
      <w:r>
        <w:rPr>
          <w:rStyle w:val="FootnoteReference"/>
        </w:rPr>
        <w:footnoteRef/>
      </w:r>
      <w:r>
        <w:t xml:space="preserve"> </w:t>
      </w:r>
      <w:r>
        <w:t>Interviews 48min50sec</w:t>
      </w:r>
    </w:p>
  </w:footnote>
  <w:footnote w:id="105">
    <w:p w14:paraId="3B382147" w14:textId="4599E067" w:rsidR="00D56A69" w:rsidRDefault="00D56A69">
      <w:pPr>
        <w:pStyle w:val="FootnoteText"/>
      </w:pPr>
      <w:r>
        <w:rPr>
          <w:rStyle w:val="FootnoteReference"/>
        </w:rPr>
        <w:footnoteRef/>
      </w:r>
      <w:r>
        <w:t xml:space="preserve"> </w:t>
      </w:r>
      <w:r>
        <w:t>Interviews 03min35sec</w:t>
      </w:r>
    </w:p>
  </w:footnote>
  <w:footnote w:id="106">
    <w:p w14:paraId="0006DF4B" w14:textId="7499A69E" w:rsidR="00D56A69" w:rsidRDefault="00D56A69">
      <w:pPr>
        <w:pStyle w:val="FootnoteText"/>
      </w:pPr>
      <w:r>
        <w:rPr>
          <w:rStyle w:val="FootnoteReference"/>
        </w:rPr>
        <w:footnoteRef/>
      </w:r>
      <w:r>
        <w:t xml:space="preserve"> </w:t>
      </w:r>
      <w:r>
        <w:t>Interviews 02min35sec</w:t>
      </w:r>
    </w:p>
  </w:footnote>
  <w:footnote w:id="107">
    <w:p w14:paraId="25C38100" w14:textId="30B3964C" w:rsidR="00D56A69" w:rsidRDefault="00D56A69">
      <w:pPr>
        <w:pStyle w:val="FootnoteText"/>
      </w:pPr>
      <w:r>
        <w:rPr>
          <w:rStyle w:val="FootnoteReference"/>
        </w:rPr>
        <w:footnoteRef/>
      </w:r>
      <w:r>
        <w:t xml:space="preserve"> </w:t>
      </w:r>
      <w:r>
        <w:t>Interviews 08min20sec</w:t>
      </w:r>
    </w:p>
  </w:footnote>
  <w:footnote w:id="108">
    <w:p w14:paraId="4CA9A24D" w14:textId="04684F37" w:rsidR="00D56A69" w:rsidRDefault="00D56A69">
      <w:pPr>
        <w:pStyle w:val="FootnoteText"/>
      </w:pPr>
      <w:r>
        <w:rPr>
          <w:rStyle w:val="FootnoteReference"/>
        </w:rPr>
        <w:footnoteRef/>
      </w:r>
      <w:r>
        <w:t xml:space="preserve"> </w:t>
      </w:r>
      <w:r>
        <w:t>Interviews 17min30sec</w:t>
      </w:r>
    </w:p>
  </w:footnote>
  <w:footnote w:id="109">
    <w:p w14:paraId="2B33C118" w14:textId="77777777" w:rsidR="00D56A69" w:rsidRDefault="00D56A69" w:rsidP="005335F1">
      <w:pPr>
        <w:pStyle w:val="FootnoteText"/>
      </w:pPr>
      <w:r>
        <w:rPr>
          <w:rStyle w:val="FootnoteReference"/>
        </w:rPr>
        <w:footnoteRef/>
      </w:r>
      <w:r>
        <w:t xml:space="preserve"> </w:t>
      </w:r>
      <w:r>
        <w:t>Interviews 26min30sec</w:t>
      </w:r>
    </w:p>
  </w:footnote>
  <w:footnote w:id="110">
    <w:p w14:paraId="1C8D293D" w14:textId="5DE16B10" w:rsidR="00D56A69" w:rsidRDefault="00D56A69">
      <w:pPr>
        <w:pStyle w:val="FootnoteText"/>
      </w:pPr>
      <w:r>
        <w:rPr>
          <w:rStyle w:val="FootnoteReference"/>
        </w:rPr>
        <w:footnoteRef/>
      </w:r>
      <w:r>
        <w:t xml:space="preserve"> </w:t>
      </w:r>
      <w:r>
        <w:t>Interviews 32min30sec</w:t>
      </w:r>
    </w:p>
  </w:footnote>
  <w:footnote w:id="111">
    <w:p w14:paraId="7FE126FD" w14:textId="1D002A9F" w:rsidR="00D56A69" w:rsidRDefault="00D56A69">
      <w:pPr>
        <w:pStyle w:val="FootnoteText"/>
      </w:pPr>
      <w:r>
        <w:rPr>
          <w:rStyle w:val="FootnoteReference"/>
        </w:rPr>
        <w:footnoteRef/>
      </w:r>
      <w:r>
        <w:t xml:space="preserve"> </w:t>
      </w:r>
      <w:r>
        <w:t>Interviews 30min30sec</w:t>
      </w:r>
    </w:p>
  </w:footnote>
  <w:footnote w:id="112">
    <w:p w14:paraId="23DB4FED" w14:textId="2F868CE8" w:rsidR="00D56A69" w:rsidRDefault="00D56A69">
      <w:pPr>
        <w:pStyle w:val="FootnoteText"/>
      </w:pPr>
      <w:r>
        <w:rPr>
          <w:rStyle w:val="FootnoteReference"/>
        </w:rPr>
        <w:footnoteRef/>
      </w:r>
      <w:r>
        <w:t xml:space="preserve"> </w:t>
      </w:r>
      <w:r>
        <w:t>Interviews 32min00sec</w:t>
      </w:r>
    </w:p>
  </w:footnote>
  <w:footnote w:id="113">
    <w:p w14:paraId="4704FA24" w14:textId="40ED4097" w:rsidR="00D56A69" w:rsidRDefault="00D56A69">
      <w:pPr>
        <w:pStyle w:val="FootnoteText"/>
      </w:pPr>
      <w:r>
        <w:rPr>
          <w:rStyle w:val="FootnoteReference"/>
        </w:rPr>
        <w:footnoteRef/>
      </w:r>
      <w:r>
        <w:t xml:space="preserve"> </w:t>
      </w:r>
      <w:r>
        <w:t>Interviews 33min30sec</w:t>
      </w:r>
    </w:p>
  </w:footnote>
  <w:footnote w:id="114">
    <w:p w14:paraId="4E848570" w14:textId="413E0C3D" w:rsidR="00D56A69" w:rsidRDefault="00D56A69">
      <w:pPr>
        <w:pStyle w:val="FootnoteText"/>
      </w:pPr>
      <w:r>
        <w:rPr>
          <w:rStyle w:val="FootnoteReference"/>
        </w:rPr>
        <w:footnoteRef/>
      </w:r>
      <w:r>
        <w:t xml:space="preserve"> </w:t>
      </w:r>
      <w:r>
        <w:t>Interviews 1hour5min15sec</w:t>
      </w:r>
    </w:p>
  </w:footnote>
  <w:footnote w:id="115">
    <w:p w14:paraId="4A5BBA1E" w14:textId="61807810" w:rsidR="00D56A69" w:rsidRDefault="00D56A69">
      <w:pPr>
        <w:pStyle w:val="FootnoteText"/>
      </w:pPr>
      <w:r>
        <w:rPr>
          <w:rStyle w:val="FootnoteReference"/>
        </w:rPr>
        <w:footnoteRef/>
      </w:r>
      <w:r>
        <w:t xml:space="preserve"> </w:t>
      </w:r>
      <w:r>
        <w:t>Interviews 1hour3min20sec</w:t>
      </w:r>
    </w:p>
  </w:footnote>
  <w:footnote w:id="116">
    <w:p w14:paraId="37D1BA94" w14:textId="64DCA31E" w:rsidR="00D56A69" w:rsidRDefault="00D56A69">
      <w:pPr>
        <w:pStyle w:val="FootnoteText"/>
      </w:pPr>
      <w:r>
        <w:rPr>
          <w:rStyle w:val="FootnoteReference"/>
        </w:rPr>
        <w:footnoteRef/>
      </w:r>
      <w:r>
        <w:t xml:space="preserve"> </w:t>
      </w:r>
      <w:r>
        <w:t>Interwiews 36min30sec</w:t>
      </w:r>
    </w:p>
  </w:footnote>
  <w:footnote w:id="117">
    <w:p w14:paraId="2E36CC17" w14:textId="383F062C" w:rsidR="00D56A69" w:rsidRDefault="00D56A69">
      <w:pPr>
        <w:pStyle w:val="FootnoteText"/>
      </w:pPr>
      <w:r>
        <w:rPr>
          <w:rStyle w:val="FootnoteReference"/>
        </w:rPr>
        <w:footnoteRef/>
      </w:r>
      <w:r>
        <w:t xml:space="preserve"> </w:t>
      </w:r>
      <w:r>
        <w:t>Intervires 10min20sec</w:t>
      </w:r>
    </w:p>
  </w:footnote>
  <w:footnote w:id="118">
    <w:p w14:paraId="4A53A0FE" w14:textId="283CC550" w:rsidR="00D56A69" w:rsidRDefault="00D56A69">
      <w:pPr>
        <w:pStyle w:val="FootnoteText"/>
      </w:pPr>
      <w:r>
        <w:rPr>
          <w:rStyle w:val="FootnoteReference"/>
        </w:rPr>
        <w:footnoteRef/>
      </w:r>
      <w:r>
        <w:t xml:space="preserve"> </w:t>
      </w:r>
      <w:r>
        <w:t>Interviews 07min10sec</w:t>
      </w:r>
    </w:p>
  </w:footnote>
  <w:footnote w:id="119">
    <w:p w14:paraId="2A93AEB6" w14:textId="224766BA" w:rsidR="00D56A69" w:rsidRDefault="00D56A69">
      <w:pPr>
        <w:pStyle w:val="FootnoteText"/>
      </w:pPr>
      <w:r>
        <w:rPr>
          <w:rStyle w:val="FootnoteReference"/>
        </w:rPr>
        <w:footnoteRef/>
      </w:r>
      <w:r>
        <w:t xml:space="preserve"> </w:t>
      </w:r>
      <w:r>
        <w:t>Interviews 08min20sec</w:t>
      </w:r>
    </w:p>
  </w:footnote>
  <w:footnote w:id="120">
    <w:p w14:paraId="591B8AA6" w14:textId="2B317947" w:rsidR="00D56A69" w:rsidRDefault="00D56A69">
      <w:pPr>
        <w:pStyle w:val="FootnoteText"/>
      </w:pPr>
      <w:r>
        <w:rPr>
          <w:rStyle w:val="FootnoteReference"/>
        </w:rPr>
        <w:footnoteRef/>
      </w:r>
      <w:r>
        <w:t xml:space="preserve"> </w:t>
      </w:r>
      <w:r>
        <w:t>Interviews 14min30sec</w:t>
      </w:r>
    </w:p>
  </w:footnote>
  <w:footnote w:id="121">
    <w:p w14:paraId="43D1A8CE" w14:textId="2C9D5779" w:rsidR="00D56A69" w:rsidRDefault="00D56A69">
      <w:pPr>
        <w:pStyle w:val="FootnoteText"/>
      </w:pPr>
      <w:r>
        <w:rPr>
          <w:rStyle w:val="FootnoteReference"/>
        </w:rPr>
        <w:footnoteRef/>
      </w:r>
      <w:r>
        <w:t xml:space="preserve"> </w:t>
      </w:r>
      <w:r>
        <w:t>Interviews 57min00sec</w:t>
      </w:r>
    </w:p>
  </w:footnote>
  <w:footnote w:id="122">
    <w:p w14:paraId="4A2C1ABB" w14:textId="09CFED31" w:rsidR="00D56A69" w:rsidRDefault="00D56A69">
      <w:pPr>
        <w:pStyle w:val="FootnoteText"/>
      </w:pPr>
      <w:r>
        <w:rPr>
          <w:rStyle w:val="FootnoteReference"/>
        </w:rPr>
        <w:footnoteRef/>
      </w:r>
      <w:r>
        <w:t xml:space="preserve"> </w:t>
      </w:r>
      <w:r>
        <w:t>Interviews 17min30sec</w:t>
      </w:r>
    </w:p>
  </w:footnote>
  <w:footnote w:id="123">
    <w:p w14:paraId="6E39B65B" w14:textId="77777777" w:rsidR="00D56A69" w:rsidRDefault="00D56A69" w:rsidP="002D195D">
      <w:pPr>
        <w:pStyle w:val="FootnoteText"/>
      </w:pPr>
      <w:r>
        <w:rPr>
          <w:rStyle w:val="FootnoteReference"/>
        </w:rPr>
        <w:footnoteRef/>
      </w:r>
      <w:r>
        <w:t xml:space="preserve"> </w:t>
      </w:r>
      <w:r>
        <w:t>Interviews 41min00sec</w:t>
      </w:r>
    </w:p>
  </w:footnote>
  <w:footnote w:id="124">
    <w:p w14:paraId="7E306CF9" w14:textId="28034A06" w:rsidR="00D56A69" w:rsidRDefault="00D56A69">
      <w:pPr>
        <w:pStyle w:val="FootnoteText"/>
      </w:pPr>
      <w:r>
        <w:rPr>
          <w:rStyle w:val="FootnoteReference"/>
        </w:rPr>
        <w:footnoteRef/>
      </w:r>
      <w:r>
        <w:t xml:space="preserve"> </w:t>
      </w:r>
      <w:r>
        <w:t>Interviews 59min30sec</w:t>
      </w:r>
    </w:p>
  </w:footnote>
  <w:footnote w:id="125">
    <w:p w14:paraId="6345AFA2" w14:textId="6CADEF44" w:rsidR="00D56A69" w:rsidRDefault="00D56A69">
      <w:pPr>
        <w:pStyle w:val="FootnoteText"/>
      </w:pPr>
      <w:r>
        <w:rPr>
          <w:rStyle w:val="FootnoteReference"/>
        </w:rPr>
        <w:footnoteRef/>
      </w:r>
      <w:r>
        <w:t xml:space="preserve"> </w:t>
      </w:r>
      <w:r>
        <w:t>Interviews 41min55sec</w:t>
      </w:r>
    </w:p>
  </w:footnote>
  <w:footnote w:id="126">
    <w:p w14:paraId="001BB5D4" w14:textId="2360E418" w:rsidR="00D56A69" w:rsidRDefault="00D56A69">
      <w:pPr>
        <w:pStyle w:val="FootnoteText"/>
      </w:pPr>
      <w:r>
        <w:rPr>
          <w:rStyle w:val="FootnoteReference"/>
        </w:rPr>
        <w:footnoteRef/>
      </w:r>
      <w:r>
        <w:t xml:space="preserve"> </w:t>
      </w:r>
      <w:r>
        <w:t xml:space="preserve">European Commission. ”Public Procurement”. </w:t>
      </w:r>
      <w:hyperlink r:id="rId13" w:history="1">
        <w:r w:rsidRPr="00D548DC">
          <w:rPr>
            <w:rStyle w:val="Hyperlink"/>
          </w:rPr>
          <w:t>http://ec.europa.eu/growth/single-market/public-procurement/index_en.htm</w:t>
        </w:r>
      </w:hyperlink>
      <w:r>
        <w:t xml:space="preserve"> [30. March 2015]</w:t>
      </w:r>
    </w:p>
  </w:footnote>
  <w:footnote w:id="127">
    <w:p w14:paraId="03F0CEDE" w14:textId="2C08D0C2" w:rsidR="00D56A69" w:rsidRDefault="00D56A69">
      <w:pPr>
        <w:pStyle w:val="FootnoteText"/>
      </w:pPr>
      <w:r>
        <w:rPr>
          <w:rStyle w:val="FootnoteReference"/>
        </w:rPr>
        <w:footnoteRef/>
      </w:r>
      <w:r>
        <w:t xml:space="preserve"> </w:t>
      </w:r>
      <w:r>
        <w:t>Interviews 48min50sec</w:t>
      </w:r>
    </w:p>
  </w:footnote>
  <w:footnote w:id="128">
    <w:p w14:paraId="0100563C" w14:textId="475EA1F6" w:rsidR="00D56A69" w:rsidRDefault="00D56A69">
      <w:pPr>
        <w:pStyle w:val="FootnoteText"/>
      </w:pPr>
      <w:r>
        <w:rPr>
          <w:rStyle w:val="FootnoteReference"/>
        </w:rPr>
        <w:footnoteRef/>
      </w:r>
      <w:r>
        <w:t xml:space="preserve"> </w:t>
      </w:r>
      <w:r>
        <w:t>The Committee of the Regions. ”Opinion of the Committee of the Reguibs in ”Public procurement package”. Official Journal of the European Union. (18. December 2012) p.56</w:t>
      </w:r>
    </w:p>
  </w:footnote>
  <w:footnote w:id="129">
    <w:p w14:paraId="298F04F2" w14:textId="4BC1D7BC" w:rsidR="00D56A69" w:rsidRDefault="00D56A69">
      <w:pPr>
        <w:pStyle w:val="FootnoteText"/>
      </w:pPr>
      <w:r>
        <w:rPr>
          <w:rStyle w:val="FootnoteReference"/>
        </w:rPr>
        <w:footnoteRef/>
      </w:r>
      <w:r>
        <w:t xml:space="preserve"> </w:t>
      </w:r>
      <w:r>
        <w:t>Interviews 33min30sec</w:t>
      </w:r>
    </w:p>
  </w:footnote>
  <w:footnote w:id="130">
    <w:p w14:paraId="05992437" w14:textId="57329F75" w:rsidR="00D56A69" w:rsidRDefault="00D56A69">
      <w:pPr>
        <w:pStyle w:val="FootnoteText"/>
      </w:pPr>
      <w:r>
        <w:rPr>
          <w:rStyle w:val="FootnoteReference"/>
        </w:rPr>
        <w:footnoteRef/>
      </w:r>
      <w:r>
        <w:t xml:space="preserve"> </w:t>
      </w:r>
      <w:r>
        <w:t>European Parliament. ”Position of the European Parliament”. (15. January 2014) p.12</w:t>
      </w:r>
    </w:p>
  </w:footnote>
  <w:footnote w:id="131">
    <w:p w14:paraId="51A960D8" w14:textId="29942A37" w:rsidR="00D56A69" w:rsidRDefault="00D56A69">
      <w:pPr>
        <w:pStyle w:val="FootnoteText"/>
      </w:pPr>
      <w:r>
        <w:rPr>
          <w:rStyle w:val="FootnoteReference"/>
        </w:rPr>
        <w:footnoteRef/>
      </w:r>
      <w:r>
        <w:t xml:space="preserve"> </w:t>
      </w:r>
      <w:r w:rsidRPr="00C84871">
        <w:t>Hauser, Henry. ”European Union Lobbying Post-Lisbon: An Economic Analysis”. Berkeley Journal of International Law Volume 29/Issue 2</w:t>
      </w:r>
      <w:r>
        <w:t>, p.</w:t>
      </w:r>
    </w:p>
  </w:footnote>
  <w:footnote w:id="132">
    <w:p w14:paraId="162A8AFD" w14:textId="67D676B0" w:rsidR="00D56A69" w:rsidRDefault="00D56A69">
      <w:pPr>
        <w:pStyle w:val="FootnoteText"/>
      </w:pPr>
      <w:r>
        <w:rPr>
          <w:rStyle w:val="FootnoteReference"/>
        </w:rPr>
        <w:footnoteRef/>
      </w:r>
      <w:r>
        <w:t xml:space="preserve"> </w:t>
      </w:r>
      <w:r w:rsidRPr="00C84871">
        <w:t>Hauser, Henry. ”European Union Lobbying Post-Lisbon: An Economic Analysis”. Berkeley Journal of International Law Volume 29/Issue 2</w:t>
      </w:r>
      <w:r>
        <w:t>, p.</w:t>
      </w:r>
    </w:p>
  </w:footnote>
  <w:footnote w:id="133">
    <w:p w14:paraId="731EF50A" w14:textId="769B3BFD" w:rsidR="00D56A69" w:rsidRDefault="00D56A69">
      <w:pPr>
        <w:pStyle w:val="FootnoteText"/>
      </w:pPr>
      <w:r>
        <w:rPr>
          <w:rStyle w:val="FootnoteReference"/>
        </w:rPr>
        <w:footnoteRef/>
      </w:r>
      <w:r>
        <w:t xml:space="preserve"> </w:t>
      </w:r>
      <w:r>
        <w:t>Interviews 59min30sec</w:t>
      </w:r>
    </w:p>
  </w:footnote>
  <w:footnote w:id="134">
    <w:p w14:paraId="64A1DF36" w14:textId="09DCE4B6" w:rsidR="00D56A69" w:rsidRDefault="00D56A69">
      <w:pPr>
        <w:pStyle w:val="FootnoteText"/>
      </w:pPr>
      <w:r>
        <w:rPr>
          <w:rStyle w:val="FootnoteReference"/>
        </w:rPr>
        <w:footnoteRef/>
      </w:r>
      <w:r>
        <w:t xml:space="preserve"> </w:t>
      </w:r>
      <w:r>
        <w:t>Interviews 1hour3min20sec</w:t>
      </w:r>
    </w:p>
  </w:footnote>
  <w:footnote w:id="135">
    <w:p w14:paraId="707E6CAC" w14:textId="0DDFF8F6" w:rsidR="00D56A69" w:rsidRDefault="00D56A69">
      <w:pPr>
        <w:pStyle w:val="FootnoteText"/>
      </w:pPr>
      <w:r>
        <w:rPr>
          <w:rStyle w:val="FootnoteReference"/>
        </w:rPr>
        <w:footnoteRef/>
      </w:r>
      <w:r>
        <w:t xml:space="preserve"> </w:t>
      </w:r>
      <w:r>
        <w:t>Interviews 08min20sec</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47880" w14:textId="3DB82E3F" w:rsidR="00D56A69" w:rsidRPr="00A30CA2" w:rsidRDefault="00D56A69" w:rsidP="00A30CA2">
    <w:pPr>
      <w:pStyle w:val="Header"/>
      <w:rPr>
        <w:rFonts w:ascii="Times New Roman" w:hAnsi="Times New Roman" w:cs="Times New Roman"/>
      </w:rPr>
    </w:pPr>
    <w:r>
      <w:rPr>
        <w:rFonts w:ascii="Times New Roman" w:hAnsi="Times New Roman" w:cs="Times New Roman"/>
      </w:rPr>
      <w:t>Björn Hess</w:t>
    </w:r>
    <w:r>
      <w:rPr>
        <w:rFonts w:ascii="Times New Roman" w:hAnsi="Times New Roman" w:cs="Times New Roman"/>
      </w:rPr>
      <w:tab/>
    </w:r>
    <w:r w:rsidRPr="007574E3">
      <w:rPr>
        <w:rFonts w:ascii="Times New Roman" w:hAnsi="Times New Roman" w:cs="Times New Roman"/>
        <w:sz w:val="28"/>
        <w:szCs w:val="28"/>
        <w:u w:val="single"/>
      </w:rPr>
      <w:t>Lobbying the EU</w:t>
    </w:r>
    <w:r>
      <w:rPr>
        <w:rFonts w:ascii="Times New Roman" w:hAnsi="Times New Roman" w:cs="Times New Roman"/>
      </w:rPr>
      <w:tab/>
      <w:t>Spring sem.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7CB1"/>
    <w:multiLevelType w:val="multilevel"/>
    <w:tmpl w:val="DA2C4F22"/>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51545FC"/>
    <w:multiLevelType w:val="multilevel"/>
    <w:tmpl w:val="0ABC409A"/>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35C04790"/>
    <w:multiLevelType w:val="multilevel"/>
    <w:tmpl w:val="38A20F8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40E308D0"/>
    <w:multiLevelType w:val="hybridMultilevel"/>
    <w:tmpl w:val="55FC120E"/>
    <w:lvl w:ilvl="0" w:tplc="E1DC73F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36D2F"/>
    <w:multiLevelType w:val="multilevel"/>
    <w:tmpl w:val="CC3A8550"/>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nsid w:val="4DAF7F27"/>
    <w:multiLevelType w:val="hybridMultilevel"/>
    <w:tmpl w:val="D83AE7B0"/>
    <w:lvl w:ilvl="0" w:tplc="CD00323E">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B11CDB"/>
    <w:multiLevelType w:val="hybridMultilevel"/>
    <w:tmpl w:val="AE94D86C"/>
    <w:lvl w:ilvl="0" w:tplc="2F90015E">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6D3826"/>
    <w:multiLevelType w:val="multilevel"/>
    <w:tmpl w:val="81E226C2"/>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6A312F28"/>
    <w:multiLevelType w:val="multilevel"/>
    <w:tmpl w:val="81E226C2"/>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0"/>
  </w:num>
  <w:num w:numId="3">
    <w:abstractNumId w:val="7"/>
  </w:num>
  <w:num w:numId="4">
    <w:abstractNumId w:val="5"/>
  </w:num>
  <w:num w:numId="5">
    <w:abstractNumId w:val="3"/>
  </w:num>
  <w:num w:numId="6">
    <w:abstractNumId w:val="4"/>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dirty"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72"/>
    <w:rsid w:val="000002B4"/>
    <w:rsid w:val="00002514"/>
    <w:rsid w:val="000050A3"/>
    <w:rsid w:val="00013908"/>
    <w:rsid w:val="000146A5"/>
    <w:rsid w:val="00017191"/>
    <w:rsid w:val="00021A1A"/>
    <w:rsid w:val="00023266"/>
    <w:rsid w:val="0002547F"/>
    <w:rsid w:val="0002679E"/>
    <w:rsid w:val="000303F1"/>
    <w:rsid w:val="00035D92"/>
    <w:rsid w:val="000363CC"/>
    <w:rsid w:val="000371A3"/>
    <w:rsid w:val="00045091"/>
    <w:rsid w:val="00045B5C"/>
    <w:rsid w:val="00046457"/>
    <w:rsid w:val="00046599"/>
    <w:rsid w:val="000474C1"/>
    <w:rsid w:val="00050DB1"/>
    <w:rsid w:val="000609CA"/>
    <w:rsid w:val="00060DD8"/>
    <w:rsid w:val="000724B6"/>
    <w:rsid w:val="0007435D"/>
    <w:rsid w:val="000801E6"/>
    <w:rsid w:val="0008086F"/>
    <w:rsid w:val="000837D5"/>
    <w:rsid w:val="00090B5B"/>
    <w:rsid w:val="0009120B"/>
    <w:rsid w:val="000932D8"/>
    <w:rsid w:val="0009673A"/>
    <w:rsid w:val="00097068"/>
    <w:rsid w:val="000A4554"/>
    <w:rsid w:val="000A630A"/>
    <w:rsid w:val="000A7113"/>
    <w:rsid w:val="000B48B3"/>
    <w:rsid w:val="000C20CF"/>
    <w:rsid w:val="000C232B"/>
    <w:rsid w:val="000D377F"/>
    <w:rsid w:val="000D5C63"/>
    <w:rsid w:val="000E099B"/>
    <w:rsid w:val="000E5732"/>
    <w:rsid w:val="000F6CDF"/>
    <w:rsid w:val="00106430"/>
    <w:rsid w:val="001165B7"/>
    <w:rsid w:val="001234B8"/>
    <w:rsid w:val="00130A22"/>
    <w:rsid w:val="00136761"/>
    <w:rsid w:val="00142EAC"/>
    <w:rsid w:val="001503EC"/>
    <w:rsid w:val="00152516"/>
    <w:rsid w:val="00152DBE"/>
    <w:rsid w:val="001543FA"/>
    <w:rsid w:val="001603FB"/>
    <w:rsid w:val="00162ED7"/>
    <w:rsid w:val="0016755F"/>
    <w:rsid w:val="001756D2"/>
    <w:rsid w:val="001771F2"/>
    <w:rsid w:val="00183062"/>
    <w:rsid w:val="001A217C"/>
    <w:rsid w:val="001A7BDA"/>
    <w:rsid w:val="001B6B6F"/>
    <w:rsid w:val="001B7D0E"/>
    <w:rsid w:val="001C14B3"/>
    <w:rsid w:val="001C1CC9"/>
    <w:rsid w:val="001C35DA"/>
    <w:rsid w:val="001C5F1B"/>
    <w:rsid w:val="001C71A6"/>
    <w:rsid w:val="001C73CC"/>
    <w:rsid w:val="001E21A7"/>
    <w:rsid w:val="001E7125"/>
    <w:rsid w:val="001E736B"/>
    <w:rsid w:val="001F3457"/>
    <w:rsid w:val="001F381B"/>
    <w:rsid w:val="00200931"/>
    <w:rsid w:val="00202057"/>
    <w:rsid w:val="002035B7"/>
    <w:rsid w:val="0020621A"/>
    <w:rsid w:val="00206451"/>
    <w:rsid w:val="0020694E"/>
    <w:rsid w:val="00210B66"/>
    <w:rsid w:val="00217ECD"/>
    <w:rsid w:val="00221901"/>
    <w:rsid w:val="00222644"/>
    <w:rsid w:val="00226A32"/>
    <w:rsid w:val="00231957"/>
    <w:rsid w:val="00234B39"/>
    <w:rsid w:val="002377B4"/>
    <w:rsid w:val="00247C7E"/>
    <w:rsid w:val="002537E9"/>
    <w:rsid w:val="00255FCB"/>
    <w:rsid w:val="00266AFA"/>
    <w:rsid w:val="00267076"/>
    <w:rsid w:val="00267B4D"/>
    <w:rsid w:val="00284F6A"/>
    <w:rsid w:val="00285057"/>
    <w:rsid w:val="002921AD"/>
    <w:rsid w:val="00292400"/>
    <w:rsid w:val="002949F0"/>
    <w:rsid w:val="00295C7E"/>
    <w:rsid w:val="002960FD"/>
    <w:rsid w:val="0029708C"/>
    <w:rsid w:val="002A1772"/>
    <w:rsid w:val="002A591D"/>
    <w:rsid w:val="002A641F"/>
    <w:rsid w:val="002A6F98"/>
    <w:rsid w:val="002B019F"/>
    <w:rsid w:val="002B2F27"/>
    <w:rsid w:val="002B5320"/>
    <w:rsid w:val="002C37E7"/>
    <w:rsid w:val="002D195D"/>
    <w:rsid w:val="002D389E"/>
    <w:rsid w:val="002D3ED5"/>
    <w:rsid w:val="002D4398"/>
    <w:rsid w:val="002E5C56"/>
    <w:rsid w:val="0030770B"/>
    <w:rsid w:val="00307F82"/>
    <w:rsid w:val="003106B4"/>
    <w:rsid w:val="003127CD"/>
    <w:rsid w:val="0031594A"/>
    <w:rsid w:val="00325934"/>
    <w:rsid w:val="0032751A"/>
    <w:rsid w:val="00335E9B"/>
    <w:rsid w:val="003379B7"/>
    <w:rsid w:val="00341E37"/>
    <w:rsid w:val="00342451"/>
    <w:rsid w:val="003425B1"/>
    <w:rsid w:val="003435CE"/>
    <w:rsid w:val="003467C6"/>
    <w:rsid w:val="0036124C"/>
    <w:rsid w:val="00364AD9"/>
    <w:rsid w:val="00364FCA"/>
    <w:rsid w:val="00372660"/>
    <w:rsid w:val="00373661"/>
    <w:rsid w:val="00375154"/>
    <w:rsid w:val="00375A5E"/>
    <w:rsid w:val="00375E32"/>
    <w:rsid w:val="003779E5"/>
    <w:rsid w:val="00380F15"/>
    <w:rsid w:val="00382FF5"/>
    <w:rsid w:val="00384E97"/>
    <w:rsid w:val="00394997"/>
    <w:rsid w:val="003A4609"/>
    <w:rsid w:val="003A76A5"/>
    <w:rsid w:val="003B2863"/>
    <w:rsid w:val="003B6E4C"/>
    <w:rsid w:val="003C0707"/>
    <w:rsid w:val="003D16AB"/>
    <w:rsid w:val="003D5893"/>
    <w:rsid w:val="003D5C75"/>
    <w:rsid w:val="003E1F32"/>
    <w:rsid w:val="003F0171"/>
    <w:rsid w:val="003F0DF5"/>
    <w:rsid w:val="003F16EC"/>
    <w:rsid w:val="003F324A"/>
    <w:rsid w:val="00402EE1"/>
    <w:rsid w:val="004128B7"/>
    <w:rsid w:val="004141C9"/>
    <w:rsid w:val="00420E38"/>
    <w:rsid w:val="0042188A"/>
    <w:rsid w:val="00424AA9"/>
    <w:rsid w:val="004279B8"/>
    <w:rsid w:val="004306C5"/>
    <w:rsid w:val="0044256D"/>
    <w:rsid w:val="00444E77"/>
    <w:rsid w:val="00450676"/>
    <w:rsid w:val="00456D8E"/>
    <w:rsid w:val="00462B6B"/>
    <w:rsid w:val="00463CB2"/>
    <w:rsid w:val="004717DC"/>
    <w:rsid w:val="00480A1B"/>
    <w:rsid w:val="0048256B"/>
    <w:rsid w:val="00482CBD"/>
    <w:rsid w:val="0048414C"/>
    <w:rsid w:val="00484733"/>
    <w:rsid w:val="00485E1A"/>
    <w:rsid w:val="00485ED7"/>
    <w:rsid w:val="00492B31"/>
    <w:rsid w:val="004A65F8"/>
    <w:rsid w:val="004B3DDD"/>
    <w:rsid w:val="004C6155"/>
    <w:rsid w:val="004C7DFC"/>
    <w:rsid w:val="004D3A00"/>
    <w:rsid w:val="004D4CCA"/>
    <w:rsid w:val="004D60B2"/>
    <w:rsid w:val="004E02D5"/>
    <w:rsid w:val="004E29F0"/>
    <w:rsid w:val="004E6DB8"/>
    <w:rsid w:val="004F23CD"/>
    <w:rsid w:val="004F3A62"/>
    <w:rsid w:val="005057FF"/>
    <w:rsid w:val="005062E1"/>
    <w:rsid w:val="005078D2"/>
    <w:rsid w:val="00507C70"/>
    <w:rsid w:val="00511450"/>
    <w:rsid w:val="005128F5"/>
    <w:rsid w:val="00515838"/>
    <w:rsid w:val="00520FAF"/>
    <w:rsid w:val="00522560"/>
    <w:rsid w:val="00522E99"/>
    <w:rsid w:val="005267B3"/>
    <w:rsid w:val="00527966"/>
    <w:rsid w:val="00531702"/>
    <w:rsid w:val="005335F1"/>
    <w:rsid w:val="005339AD"/>
    <w:rsid w:val="0054517A"/>
    <w:rsid w:val="00555CE8"/>
    <w:rsid w:val="00563E32"/>
    <w:rsid w:val="00565238"/>
    <w:rsid w:val="005657F3"/>
    <w:rsid w:val="00571AFD"/>
    <w:rsid w:val="0057333F"/>
    <w:rsid w:val="00573C30"/>
    <w:rsid w:val="00575841"/>
    <w:rsid w:val="0058023A"/>
    <w:rsid w:val="005808DE"/>
    <w:rsid w:val="00582287"/>
    <w:rsid w:val="00597F5A"/>
    <w:rsid w:val="005A1EE0"/>
    <w:rsid w:val="005A2270"/>
    <w:rsid w:val="005B3FC1"/>
    <w:rsid w:val="005B41CD"/>
    <w:rsid w:val="005B4CA5"/>
    <w:rsid w:val="005B7296"/>
    <w:rsid w:val="005C253E"/>
    <w:rsid w:val="005C4A4A"/>
    <w:rsid w:val="005C6D6A"/>
    <w:rsid w:val="005D0320"/>
    <w:rsid w:val="005D3B79"/>
    <w:rsid w:val="005D43BB"/>
    <w:rsid w:val="005D5990"/>
    <w:rsid w:val="005E023C"/>
    <w:rsid w:val="005E0EFF"/>
    <w:rsid w:val="005E17C8"/>
    <w:rsid w:val="005E3FC4"/>
    <w:rsid w:val="005F19E0"/>
    <w:rsid w:val="005F281A"/>
    <w:rsid w:val="005F56EC"/>
    <w:rsid w:val="005F67C5"/>
    <w:rsid w:val="005F7CC9"/>
    <w:rsid w:val="00600FBE"/>
    <w:rsid w:val="006050A8"/>
    <w:rsid w:val="006052A7"/>
    <w:rsid w:val="00605637"/>
    <w:rsid w:val="00610DDE"/>
    <w:rsid w:val="00611CD6"/>
    <w:rsid w:val="00614C17"/>
    <w:rsid w:val="006162E9"/>
    <w:rsid w:val="00616656"/>
    <w:rsid w:val="00617401"/>
    <w:rsid w:val="0062491B"/>
    <w:rsid w:val="00626274"/>
    <w:rsid w:val="00627A75"/>
    <w:rsid w:val="006403F2"/>
    <w:rsid w:val="00651C95"/>
    <w:rsid w:val="0065206E"/>
    <w:rsid w:val="006600B1"/>
    <w:rsid w:val="0066449B"/>
    <w:rsid w:val="00666760"/>
    <w:rsid w:val="00667F27"/>
    <w:rsid w:val="00671D13"/>
    <w:rsid w:val="0067424C"/>
    <w:rsid w:val="00676A7A"/>
    <w:rsid w:val="00676AA4"/>
    <w:rsid w:val="0068365C"/>
    <w:rsid w:val="00692FFA"/>
    <w:rsid w:val="00696307"/>
    <w:rsid w:val="006A10C4"/>
    <w:rsid w:val="006B1027"/>
    <w:rsid w:val="006B2122"/>
    <w:rsid w:val="006C5A93"/>
    <w:rsid w:val="006C7087"/>
    <w:rsid w:val="006D2040"/>
    <w:rsid w:val="006D2A74"/>
    <w:rsid w:val="006D2ACF"/>
    <w:rsid w:val="006D339E"/>
    <w:rsid w:val="006D698C"/>
    <w:rsid w:val="006E17AA"/>
    <w:rsid w:val="006F27A6"/>
    <w:rsid w:val="0070156E"/>
    <w:rsid w:val="0070259C"/>
    <w:rsid w:val="00704B9E"/>
    <w:rsid w:val="00710193"/>
    <w:rsid w:val="007136F8"/>
    <w:rsid w:val="00720C83"/>
    <w:rsid w:val="00720DEF"/>
    <w:rsid w:val="007224FA"/>
    <w:rsid w:val="007231D0"/>
    <w:rsid w:val="0072361D"/>
    <w:rsid w:val="00731E39"/>
    <w:rsid w:val="007337E8"/>
    <w:rsid w:val="007345B4"/>
    <w:rsid w:val="00740872"/>
    <w:rsid w:val="00745930"/>
    <w:rsid w:val="007574E3"/>
    <w:rsid w:val="00757941"/>
    <w:rsid w:val="0076728D"/>
    <w:rsid w:val="00767EC6"/>
    <w:rsid w:val="00776DEF"/>
    <w:rsid w:val="0078433C"/>
    <w:rsid w:val="00792D0B"/>
    <w:rsid w:val="00795BE6"/>
    <w:rsid w:val="007A1578"/>
    <w:rsid w:val="007A5BC0"/>
    <w:rsid w:val="007A6D66"/>
    <w:rsid w:val="007A72C3"/>
    <w:rsid w:val="007A7960"/>
    <w:rsid w:val="007B1F89"/>
    <w:rsid w:val="007B3630"/>
    <w:rsid w:val="007B6A3D"/>
    <w:rsid w:val="007C3068"/>
    <w:rsid w:val="007C6250"/>
    <w:rsid w:val="007C628A"/>
    <w:rsid w:val="007D1D03"/>
    <w:rsid w:val="007D1FF5"/>
    <w:rsid w:val="007D386D"/>
    <w:rsid w:val="007E0856"/>
    <w:rsid w:val="007E346A"/>
    <w:rsid w:val="007E751D"/>
    <w:rsid w:val="007E7A5D"/>
    <w:rsid w:val="007F0DC8"/>
    <w:rsid w:val="007F4878"/>
    <w:rsid w:val="007F657D"/>
    <w:rsid w:val="007F7666"/>
    <w:rsid w:val="00806F62"/>
    <w:rsid w:val="008071EE"/>
    <w:rsid w:val="008108CC"/>
    <w:rsid w:val="00811B1D"/>
    <w:rsid w:val="00816E79"/>
    <w:rsid w:val="008258AF"/>
    <w:rsid w:val="0083023C"/>
    <w:rsid w:val="00831109"/>
    <w:rsid w:val="0083111E"/>
    <w:rsid w:val="00834CDE"/>
    <w:rsid w:val="00836138"/>
    <w:rsid w:val="00837644"/>
    <w:rsid w:val="0083792C"/>
    <w:rsid w:val="00837F2D"/>
    <w:rsid w:val="00851BE0"/>
    <w:rsid w:val="0085690A"/>
    <w:rsid w:val="00856FE1"/>
    <w:rsid w:val="00862A76"/>
    <w:rsid w:val="008716F8"/>
    <w:rsid w:val="008741D7"/>
    <w:rsid w:val="0087593A"/>
    <w:rsid w:val="00877996"/>
    <w:rsid w:val="00883388"/>
    <w:rsid w:val="008836D0"/>
    <w:rsid w:val="00886319"/>
    <w:rsid w:val="00895254"/>
    <w:rsid w:val="008A072C"/>
    <w:rsid w:val="008A28B0"/>
    <w:rsid w:val="008B4110"/>
    <w:rsid w:val="008C0137"/>
    <w:rsid w:val="008C13C9"/>
    <w:rsid w:val="008C3117"/>
    <w:rsid w:val="008C64BD"/>
    <w:rsid w:val="008E1002"/>
    <w:rsid w:val="008E3958"/>
    <w:rsid w:val="008F3D04"/>
    <w:rsid w:val="008F4E78"/>
    <w:rsid w:val="008F6561"/>
    <w:rsid w:val="008F7F0F"/>
    <w:rsid w:val="00902209"/>
    <w:rsid w:val="009114D6"/>
    <w:rsid w:val="00914E1E"/>
    <w:rsid w:val="00922E7A"/>
    <w:rsid w:val="009252F2"/>
    <w:rsid w:val="009333CC"/>
    <w:rsid w:val="00933FF4"/>
    <w:rsid w:val="00944BAD"/>
    <w:rsid w:val="009548BA"/>
    <w:rsid w:val="00956404"/>
    <w:rsid w:val="00956903"/>
    <w:rsid w:val="00956AB1"/>
    <w:rsid w:val="00966652"/>
    <w:rsid w:val="0097000F"/>
    <w:rsid w:val="00973648"/>
    <w:rsid w:val="00973C88"/>
    <w:rsid w:val="009749DE"/>
    <w:rsid w:val="00986C47"/>
    <w:rsid w:val="00987A35"/>
    <w:rsid w:val="00994363"/>
    <w:rsid w:val="0099506C"/>
    <w:rsid w:val="00996B9A"/>
    <w:rsid w:val="009B28EA"/>
    <w:rsid w:val="009B6932"/>
    <w:rsid w:val="009C3681"/>
    <w:rsid w:val="009C4B4C"/>
    <w:rsid w:val="009C6165"/>
    <w:rsid w:val="009C6BF4"/>
    <w:rsid w:val="009D7170"/>
    <w:rsid w:val="009E1FE0"/>
    <w:rsid w:val="009E275A"/>
    <w:rsid w:val="009E4712"/>
    <w:rsid w:val="009F4405"/>
    <w:rsid w:val="00A0714F"/>
    <w:rsid w:val="00A07C8A"/>
    <w:rsid w:val="00A141CC"/>
    <w:rsid w:val="00A15897"/>
    <w:rsid w:val="00A25A14"/>
    <w:rsid w:val="00A30CA2"/>
    <w:rsid w:val="00A34294"/>
    <w:rsid w:val="00A34308"/>
    <w:rsid w:val="00A3593D"/>
    <w:rsid w:val="00A37C5D"/>
    <w:rsid w:val="00A40371"/>
    <w:rsid w:val="00A43E66"/>
    <w:rsid w:val="00A455E4"/>
    <w:rsid w:val="00A471CA"/>
    <w:rsid w:val="00A51F8E"/>
    <w:rsid w:val="00A55100"/>
    <w:rsid w:val="00A64E2A"/>
    <w:rsid w:val="00A70F53"/>
    <w:rsid w:val="00A71060"/>
    <w:rsid w:val="00A738C4"/>
    <w:rsid w:val="00A7436D"/>
    <w:rsid w:val="00A76DB7"/>
    <w:rsid w:val="00A77714"/>
    <w:rsid w:val="00A8718E"/>
    <w:rsid w:val="00A90C00"/>
    <w:rsid w:val="00A93F96"/>
    <w:rsid w:val="00A9491E"/>
    <w:rsid w:val="00A94CC3"/>
    <w:rsid w:val="00A978D4"/>
    <w:rsid w:val="00AA05DD"/>
    <w:rsid w:val="00AA6483"/>
    <w:rsid w:val="00AA6C0B"/>
    <w:rsid w:val="00AB13D6"/>
    <w:rsid w:val="00AB1E94"/>
    <w:rsid w:val="00AB347F"/>
    <w:rsid w:val="00AB738A"/>
    <w:rsid w:val="00AC0CAE"/>
    <w:rsid w:val="00AC1602"/>
    <w:rsid w:val="00AC6555"/>
    <w:rsid w:val="00AD514F"/>
    <w:rsid w:val="00AE1717"/>
    <w:rsid w:val="00AE4300"/>
    <w:rsid w:val="00AE5F4B"/>
    <w:rsid w:val="00AF6E21"/>
    <w:rsid w:val="00B00653"/>
    <w:rsid w:val="00B01881"/>
    <w:rsid w:val="00B133D9"/>
    <w:rsid w:val="00B15379"/>
    <w:rsid w:val="00B168BE"/>
    <w:rsid w:val="00B1765D"/>
    <w:rsid w:val="00B26765"/>
    <w:rsid w:val="00B27F8C"/>
    <w:rsid w:val="00B3016E"/>
    <w:rsid w:val="00B33020"/>
    <w:rsid w:val="00B427C5"/>
    <w:rsid w:val="00B44ED4"/>
    <w:rsid w:val="00B5477F"/>
    <w:rsid w:val="00B56D46"/>
    <w:rsid w:val="00B56F31"/>
    <w:rsid w:val="00B57535"/>
    <w:rsid w:val="00B61662"/>
    <w:rsid w:val="00B65571"/>
    <w:rsid w:val="00B6606B"/>
    <w:rsid w:val="00B701ED"/>
    <w:rsid w:val="00B75A58"/>
    <w:rsid w:val="00B75B74"/>
    <w:rsid w:val="00B774FC"/>
    <w:rsid w:val="00B819FA"/>
    <w:rsid w:val="00B86E46"/>
    <w:rsid w:val="00BA0D78"/>
    <w:rsid w:val="00BA171F"/>
    <w:rsid w:val="00BA22CE"/>
    <w:rsid w:val="00BA4B93"/>
    <w:rsid w:val="00BB0B38"/>
    <w:rsid w:val="00BB54A2"/>
    <w:rsid w:val="00BC1F8F"/>
    <w:rsid w:val="00BC2BF7"/>
    <w:rsid w:val="00BC40A5"/>
    <w:rsid w:val="00BC610D"/>
    <w:rsid w:val="00BD0E45"/>
    <w:rsid w:val="00BD1F91"/>
    <w:rsid w:val="00BD448B"/>
    <w:rsid w:val="00BE75BC"/>
    <w:rsid w:val="00BF04B0"/>
    <w:rsid w:val="00BF1A52"/>
    <w:rsid w:val="00C13416"/>
    <w:rsid w:val="00C14258"/>
    <w:rsid w:val="00C320D0"/>
    <w:rsid w:val="00C3571B"/>
    <w:rsid w:val="00C35FF5"/>
    <w:rsid w:val="00C402E9"/>
    <w:rsid w:val="00C43351"/>
    <w:rsid w:val="00C435D7"/>
    <w:rsid w:val="00C5742F"/>
    <w:rsid w:val="00C64E47"/>
    <w:rsid w:val="00C6711A"/>
    <w:rsid w:val="00C719F5"/>
    <w:rsid w:val="00C73A3A"/>
    <w:rsid w:val="00C73A3E"/>
    <w:rsid w:val="00C75C51"/>
    <w:rsid w:val="00C82FBD"/>
    <w:rsid w:val="00C84871"/>
    <w:rsid w:val="00C90F4D"/>
    <w:rsid w:val="00C93D88"/>
    <w:rsid w:val="00C957A2"/>
    <w:rsid w:val="00C95A07"/>
    <w:rsid w:val="00C97603"/>
    <w:rsid w:val="00C97E09"/>
    <w:rsid w:val="00CA63E2"/>
    <w:rsid w:val="00CB1F32"/>
    <w:rsid w:val="00CC046D"/>
    <w:rsid w:val="00CC5147"/>
    <w:rsid w:val="00CC5F84"/>
    <w:rsid w:val="00CE0743"/>
    <w:rsid w:val="00CE4668"/>
    <w:rsid w:val="00CE6166"/>
    <w:rsid w:val="00CE6743"/>
    <w:rsid w:val="00CE71AA"/>
    <w:rsid w:val="00CF0D64"/>
    <w:rsid w:val="00CF1133"/>
    <w:rsid w:val="00CF2782"/>
    <w:rsid w:val="00CF3E2D"/>
    <w:rsid w:val="00CF71B2"/>
    <w:rsid w:val="00CF7FCD"/>
    <w:rsid w:val="00D02C64"/>
    <w:rsid w:val="00D0514B"/>
    <w:rsid w:val="00D131BF"/>
    <w:rsid w:val="00D1782E"/>
    <w:rsid w:val="00D2017E"/>
    <w:rsid w:val="00D21170"/>
    <w:rsid w:val="00D27FB8"/>
    <w:rsid w:val="00D31A91"/>
    <w:rsid w:val="00D33244"/>
    <w:rsid w:val="00D361AF"/>
    <w:rsid w:val="00D41733"/>
    <w:rsid w:val="00D4734D"/>
    <w:rsid w:val="00D51D94"/>
    <w:rsid w:val="00D547E0"/>
    <w:rsid w:val="00D56A69"/>
    <w:rsid w:val="00D606AF"/>
    <w:rsid w:val="00D64FD3"/>
    <w:rsid w:val="00D6704C"/>
    <w:rsid w:val="00D74007"/>
    <w:rsid w:val="00D81101"/>
    <w:rsid w:val="00D816EF"/>
    <w:rsid w:val="00D8220B"/>
    <w:rsid w:val="00D94464"/>
    <w:rsid w:val="00D95C38"/>
    <w:rsid w:val="00D97265"/>
    <w:rsid w:val="00DA012F"/>
    <w:rsid w:val="00DA0CCD"/>
    <w:rsid w:val="00DA15D3"/>
    <w:rsid w:val="00DA1C08"/>
    <w:rsid w:val="00DA24CE"/>
    <w:rsid w:val="00DA26A4"/>
    <w:rsid w:val="00DA2B1F"/>
    <w:rsid w:val="00DA45CD"/>
    <w:rsid w:val="00DB0628"/>
    <w:rsid w:val="00DC381B"/>
    <w:rsid w:val="00DD27D1"/>
    <w:rsid w:val="00DE01B9"/>
    <w:rsid w:val="00DE0AF6"/>
    <w:rsid w:val="00DE5155"/>
    <w:rsid w:val="00DF4B47"/>
    <w:rsid w:val="00DF53F9"/>
    <w:rsid w:val="00DF5F0F"/>
    <w:rsid w:val="00DF7557"/>
    <w:rsid w:val="00E00650"/>
    <w:rsid w:val="00E00EC4"/>
    <w:rsid w:val="00E01229"/>
    <w:rsid w:val="00E021DA"/>
    <w:rsid w:val="00E03B3F"/>
    <w:rsid w:val="00E05219"/>
    <w:rsid w:val="00E14974"/>
    <w:rsid w:val="00E32213"/>
    <w:rsid w:val="00E37381"/>
    <w:rsid w:val="00E411C2"/>
    <w:rsid w:val="00E41D2D"/>
    <w:rsid w:val="00E42026"/>
    <w:rsid w:val="00E42A7F"/>
    <w:rsid w:val="00E47433"/>
    <w:rsid w:val="00E5369F"/>
    <w:rsid w:val="00E74FBD"/>
    <w:rsid w:val="00E8075B"/>
    <w:rsid w:val="00E90C89"/>
    <w:rsid w:val="00E92AC1"/>
    <w:rsid w:val="00E94794"/>
    <w:rsid w:val="00EA074A"/>
    <w:rsid w:val="00EA576F"/>
    <w:rsid w:val="00EA640E"/>
    <w:rsid w:val="00EA6685"/>
    <w:rsid w:val="00EA7558"/>
    <w:rsid w:val="00EA7E08"/>
    <w:rsid w:val="00EB0002"/>
    <w:rsid w:val="00EB7567"/>
    <w:rsid w:val="00EC23ED"/>
    <w:rsid w:val="00EC56A2"/>
    <w:rsid w:val="00ED0164"/>
    <w:rsid w:val="00ED2252"/>
    <w:rsid w:val="00ED5BC6"/>
    <w:rsid w:val="00EE27F9"/>
    <w:rsid w:val="00EF3127"/>
    <w:rsid w:val="00EF37AD"/>
    <w:rsid w:val="00F061ED"/>
    <w:rsid w:val="00F0678B"/>
    <w:rsid w:val="00F100ED"/>
    <w:rsid w:val="00F10B93"/>
    <w:rsid w:val="00F142B5"/>
    <w:rsid w:val="00F147CC"/>
    <w:rsid w:val="00F150BD"/>
    <w:rsid w:val="00F16E4B"/>
    <w:rsid w:val="00F22047"/>
    <w:rsid w:val="00F226E1"/>
    <w:rsid w:val="00F240C6"/>
    <w:rsid w:val="00F24A43"/>
    <w:rsid w:val="00F2648C"/>
    <w:rsid w:val="00F27F9E"/>
    <w:rsid w:val="00F3309D"/>
    <w:rsid w:val="00F33723"/>
    <w:rsid w:val="00F34CC6"/>
    <w:rsid w:val="00F360BA"/>
    <w:rsid w:val="00F45957"/>
    <w:rsid w:val="00F51E06"/>
    <w:rsid w:val="00F54A23"/>
    <w:rsid w:val="00F555EE"/>
    <w:rsid w:val="00F656C0"/>
    <w:rsid w:val="00F71104"/>
    <w:rsid w:val="00F73BAB"/>
    <w:rsid w:val="00F747B6"/>
    <w:rsid w:val="00F753A2"/>
    <w:rsid w:val="00F761CC"/>
    <w:rsid w:val="00F77F7C"/>
    <w:rsid w:val="00F80559"/>
    <w:rsid w:val="00F87596"/>
    <w:rsid w:val="00F87B6F"/>
    <w:rsid w:val="00F90034"/>
    <w:rsid w:val="00F95E54"/>
    <w:rsid w:val="00F961F9"/>
    <w:rsid w:val="00FA07DA"/>
    <w:rsid w:val="00FA0B12"/>
    <w:rsid w:val="00FA3B9B"/>
    <w:rsid w:val="00FA6791"/>
    <w:rsid w:val="00FB150E"/>
    <w:rsid w:val="00FB2D8D"/>
    <w:rsid w:val="00FB49CA"/>
    <w:rsid w:val="00FC0E05"/>
    <w:rsid w:val="00FC1931"/>
    <w:rsid w:val="00FC28DE"/>
    <w:rsid w:val="00FC3849"/>
    <w:rsid w:val="00FC5865"/>
    <w:rsid w:val="00FC6525"/>
    <w:rsid w:val="00FD0307"/>
    <w:rsid w:val="00FD74DF"/>
    <w:rsid w:val="00FE01C5"/>
    <w:rsid w:val="00FE39F2"/>
    <w:rsid w:val="00FF0202"/>
    <w:rsid w:val="00FF2EA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AE63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177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A1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62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772"/>
    <w:pPr>
      <w:ind w:left="720"/>
      <w:contextualSpacing/>
    </w:pPr>
  </w:style>
  <w:style w:type="character" w:customStyle="1" w:styleId="Heading1Char">
    <w:name w:val="Heading 1 Char"/>
    <w:basedOn w:val="DefaultParagraphFont"/>
    <w:link w:val="Heading1"/>
    <w:uiPriority w:val="9"/>
    <w:rsid w:val="002A177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A1772"/>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A1772"/>
    <w:pPr>
      <w:tabs>
        <w:tab w:val="center" w:pos="4153"/>
        <w:tab w:val="right" w:pos="8306"/>
      </w:tabs>
    </w:pPr>
  </w:style>
  <w:style w:type="character" w:customStyle="1" w:styleId="FooterChar">
    <w:name w:val="Footer Char"/>
    <w:basedOn w:val="DefaultParagraphFont"/>
    <w:link w:val="Footer"/>
    <w:uiPriority w:val="99"/>
    <w:rsid w:val="002A1772"/>
  </w:style>
  <w:style w:type="character" w:styleId="PageNumber">
    <w:name w:val="page number"/>
    <w:basedOn w:val="DefaultParagraphFont"/>
    <w:uiPriority w:val="99"/>
    <w:semiHidden/>
    <w:unhideWhenUsed/>
    <w:rsid w:val="002A1772"/>
  </w:style>
  <w:style w:type="paragraph" w:styleId="TOC1">
    <w:name w:val="toc 1"/>
    <w:basedOn w:val="Normal"/>
    <w:next w:val="Normal"/>
    <w:autoRedefine/>
    <w:uiPriority w:val="39"/>
    <w:unhideWhenUsed/>
    <w:rsid w:val="002A1772"/>
    <w:pPr>
      <w:spacing w:before="120"/>
    </w:pPr>
    <w:rPr>
      <w:b/>
      <w:caps/>
      <w:sz w:val="22"/>
      <w:szCs w:val="22"/>
    </w:rPr>
  </w:style>
  <w:style w:type="paragraph" w:styleId="TOC2">
    <w:name w:val="toc 2"/>
    <w:basedOn w:val="Normal"/>
    <w:next w:val="Normal"/>
    <w:autoRedefine/>
    <w:uiPriority w:val="39"/>
    <w:unhideWhenUsed/>
    <w:rsid w:val="002A1772"/>
    <w:pPr>
      <w:ind w:left="240"/>
    </w:pPr>
    <w:rPr>
      <w:smallCaps/>
      <w:sz w:val="22"/>
      <w:szCs w:val="22"/>
    </w:rPr>
  </w:style>
  <w:style w:type="paragraph" w:styleId="TOC3">
    <w:name w:val="toc 3"/>
    <w:basedOn w:val="Normal"/>
    <w:next w:val="Normal"/>
    <w:autoRedefine/>
    <w:uiPriority w:val="39"/>
    <w:unhideWhenUsed/>
    <w:rsid w:val="002A1772"/>
    <w:pPr>
      <w:ind w:left="480"/>
    </w:pPr>
    <w:rPr>
      <w:i/>
      <w:sz w:val="22"/>
      <w:szCs w:val="22"/>
    </w:rPr>
  </w:style>
  <w:style w:type="paragraph" w:styleId="TOC4">
    <w:name w:val="toc 4"/>
    <w:basedOn w:val="Normal"/>
    <w:next w:val="Normal"/>
    <w:autoRedefine/>
    <w:uiPriority w:val="39"/>
    <w:unhideWhenUsed/>
    <w:rsid w:val="002A1772"/>
    <w:pPr>
      <w:ind w:left="720"/>
    </w:pPr>
    <w:rPr>
      <w:sz w:val="18"/>
      <w:szCs w:val="18"/>
    </w:rPr>
  </w:style>
  <w:style w:type="paragraph" w:styleId="TOC5">
    <w:name w:val="toc 5"/>
    <w:basedOn w:val="Normal"/>
    <w:next w:val="Normal"/>
    <w:autoRedefine/>
    <w:uiPriority w:val="39"/>
    <w:unhideWhenUsed/>
    <w:rsid w:val="002A1772"/>
    <w:pPr>
      <w:ind w:left="960"/>
    </w:pPr>
    <w:rPr>
      <w:sz w:val="18"/>
      <w:szCs w:val="18"/>
    </w:rPr>
  </w:style>
  <w:style w:type="paragraph" w:styleId="TOC6">
    <w:name w:val="toc 6"/>
    <w:basedOn w:val="Normal"/>
    <w:next w:val="Normal"/>
    <w:autoRedefine/>
    <w:uiPriority w:val="39"/>
    <w:unhideWhenUsed/>
    <w:rsid w:val="002A1772"/>
    <w:pPr>
      <w:ind w:left="1200"/>
    </w:pPr>
    <w:rPr>
      <w:sz w:val="18"/>
      <w:szCs w:val="18"/>
    </w:rPr>
  </w:style>
  <w:style w:type="paragraph" w:styleId="TOC7">
    <w:name w:val="toc 7"/>
    <w:basedOn w:val="Normal"/>
    <w:next w:val="Normal"/>
    <w:autoRedefine/>
    <w:uiPriority w:val="39"/>
    <w:unhideWhenUsed/>
    <w:rsid w:val="002A1772"/>
    <w:pPr>
      <w:ind w:left="1440"/>
    </w:pPr>
    <w:rPr>
      <w:sz w:val="18"/>
      <w:szCs w:val="18"/>
    </w:rPr>
  </w:style>
  <w:style w:type="paragraph" w:styleId="TOC8">
    <w:name w:val="toc 8"/>
    <w:basedOn w:val="Normal"/>
    <w:next w:val="Normal"/>
    <w:autoRedefine/>
    <w:uiPriority w:val="39"/>
    <w:unhideWhenUsed/>
    <w:rsid w:val="002A1772"/>
    <w:pPr>
      <w:ind w:left="1680"/>
    </w:pPr>
    <w:rPr>
      <w:sz w:val="18"/>
      <w:szCs w:val="18"/>
    </w:rPr>
  </w:style>
  <w:style w:type="paragraph" w:styleId="TOC9">
    <w:name w:val="toc 9"/>
    <w:basedOn w:val="Normal"/>
    <w:next w:val="Normal"/>
    <w:autoRedefine/>
    <w:uiPriority w:val="39"/>
    <w:unhideWhenUsed/>
    <w:rsid w:val="002A1772"/>
    <w:pPr>
      <w:ind w:left="1920"/>
    </w:pPr>
    <w:rPr>
      <w:sz w:val="18"/>
      <w:szCs w:val="18"/>
    </w:rPr>
  </w:style>
  <w:style w:type="paragraph" w:styleId="BalloonText">
    <w:name w:val="Balloon Text"/>
    <w:basedOn w:val="Normal"/>
    <w:link w:val="BalloonTextChar"/>
    <w:uiPriority w:val="99"/>
    <w:semiHidden/>
    <w:unhideWhenUsed/>
    <w:rsid w:val="00BC1F8F"/>
    <w:rPr>
      <w:rFonts w:ascii="Lucida Grande" w:hAnsi="Lucida Grande"/>
      <w:sz w:val="18"/>
      <w:szCs w:val="18"/>
    </w:rPr>
  </w:style>
  <w:style w:type="character" w:customStyle="1" w:styleId="BalloonTextChar">
    <w:name w:val="Balloon Text Char"/>
    <w:basedOn w:val="DefaultParagraphFont"/>
    <w:link w:val="BalloonText"/>
    <w:uiPriority w:val="99"/>
    <w:semiHidden/>
    <w:rsid w:val="00BC1F8F"/>
    <w:rPr>
      <w:rFonts w:ascii="Lucida Grande" w:hAnsi="Lucida Grande"/>
      <w:sz w:val="18"/>
      <w:szCs w:val="18"/>
    </w:rPr>
  </w:style>
  <w:style w:type="paragraph" w:styleId="NormalWeb">
    <w:name w:val="Normal (Web)"/>
    <w:basedOn w:val="Normal"/>
    <w:uiPriority w:val="99"/>
    <w:unhideWhenUsed/>
    <w:rsid w:val="00987A35"/>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267076"/>
    <w:rPr>
      <w:rFonts w:ascii="Times New Roman" w:hAnsi="Times New Roman"/>
      <w:color w:val="404040" w:themeColor="text1" w:themeTint="BF"/>
      <w:sz w:val="20"/>
    </w:rPr>
  </w:style>
  <w:style w:type="character" w:customStyle="1" w:styleId="FootnoteTextChar">
    <w:name w:val="Footnote Text Char"/>
    <w:basedOn w:val="DefaultParagraphFont"/>
    <w:link w:val="FootnoteText"/>
    <w:uiPriority w:val="99"/>
    <w:rsid w:val="00267076"/>
    <w:rPr>
      <w:rFonts w:ascii="Times New Roman" w:hAnsi="Times New Roman"/>
      <w:color w:val="404040" w:themeColor="text1" w:themeTint="BF"/>
      <w:sz w:val="20"/>
    </w:rPr>
  </w:style>
  <w:style w:type="character" w:styleId="FootnoteReference">
    <w:name w:val="footnote reference"/>
    <w:basedOn w:val="DefaultParagraphFont"/>
    <w:uiPriority w:val="99"/>
    <w:unhideWhenUsed/>
    <w:rsid w:val="00267076"/>
    <w:rPr>
      <w:rFonts w:ascii="Times New Roman" w:hAnsi="Times New Roman"/>
      <w:color w:val="404040" w:themeColor="text1" w:themeTint="BF"/>
      <w:sz w:val="20"/>
      <w:vertAlign w:val="superscript"/>
    </w:rPr>
  </w:style>
  <w:style w:type="character" w:styleId="Hyperlink">
    <w:name w:val="Hyperlink"/>
    <w:basedOn w:val="DefaultParagraphFont"/>
    <w:uiPriority w:val="99"/>
    <w:unhideWhenUsed/>
    <w:rsid w:val="001A7BDA"/>
    <w:rPr>
      <w:color w:val="0000FF" w:themeColor="hyperlink"/>
      <w:u w:val="single"/>
    </w:rPr>
  </w:style>
  <w:style w:type="paragraph" w:customStyle="1" w:styleId="Default">
    <w:name w:val="Default"/>
    <w:rsid w:val="00573C30"/>
    <w:pPr>
      <w:widowControl w:val="0"/>
      <w:autoSpaceDE w:val="0"/>
      <w:autoSpaceDN w:val="0"/>
      <w:adjustRightInd w:val="0"/>
    </w:pPr>
    <w:rPr>
      <w:rFonts w:ascii="Times New Roman" w:hAnsi="Times New Roman" w:cs="Times New Roman"/>
      <w:color w:val="000000"/>
      <w:lang w:val="en-US"/>
    </w:rPr>
  </w:style>
  <w:style w:type="character" w:styleId="FollowedHyperlink">
    <w:name w:val="FollowedHyperlink"/>
    <w:basedOn w:val="DefaultParagraphFont"/>
    <w:uiPriority w:val="99"/>
    <w:semiHidden/>
    <w:unhideWhenUsed/>
    <w:rsid w:val="009C3681"/>
    <w:rPr>
      <w:color w:val="800080" w:themeColor="followedHyperlink"/>
      <w:u w:val="single"/>
    </w:rPr>
  </w:style>
  <w:style w:type="character" w:customStyle="1" w:styleId="Heading3Char">
    <w:name w:val="Heading 3 Char"/>
    <w:basedOn w:val="DefaultParagraphFont"/>
    <w:link w:val="Heading3"/>
    <w:uiPriority w:val="9"/>
    <w:rsid w:val="0062627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D2ACF"/>
    <w:pPr>
      <w:tabs>
        <w:tab w:val="center" w:pos="4153"/>
        <w:tab w:val="right" w:pos="8306"/>
      </w:tabs>
    </w:pPr>
  </w:style>
  <w:style w:type="character" w:customStyle="1" w:styleId="HeaderChar">
    <w:name w:val="Header Char"/>
    <w:basedOn w:val="DefaultParagraphFont"/>
    <w:link w:val="Header"/>
    <w:uiPriority w:val="99"/>
    <w:rsid w:val="006D2ACF"/>
  </w:style>
  <w:style w:type="paragraph" w:styleId="Caption">
    <w:name w:val="caption"/>
    <w:basedOn w:val="Normal"/>
    <w:next w:val="Normal"/>
    <w:uiPriority w:val="35"/>
    <w:unhideWhenUsed/>
    <w:qFormat/>
    <w:rsid w:val="00F147CC"/>
    <w:pPr>
      <w:spacing w:after="200"/>
    </w:pPr>
    <w:rPr>
      <w:b/>
      <w:bCs/>
      <w:color w:val="4F81BD" w:themeColor="accent1"/>
      <w:sz w:val="18"/>
      <w:szCs w:val="18"/>
    </w:rPr>
  </w:style>
  <w:style w:type="paragraph" w:customStyle="1" w:styleId="CM1">
    <w:name w:val="CM1"/>
    <w:basedOn w:val="Default"/>
    <w:next w:val="Default"/>
    <w:uiPriority w:val="99"/>
    <w:rsid w:val="007F7666"/>
    <w:rPr>
      <w:rFonts w:ascii="EUAlbertina" w:hAnsi="EUAlbertina"/>
      <w:color w:val="auto"/>
    </w:rPr>
  </w:style>
  <w:style w:type="paragraph" w:customStyle="1" w:styleId="CM3">
    <w:name w:val="CM3"/>
    <w:basedOn w:val="Default"/>
    <w:next w:val="Default"/>
    <w:uiPriority w:val="99"/>
    <w:rsid w:val="007F7666"/>
    <w:rPr>
      <w:rFonts w:ascii="EUAlbertina" w:hAnsi="EUAlbertina"/>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177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A1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62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772"/>
    <w:pPr>
      <w:ind w:left="720"/>
      <w:contextualSpacing/>
    </w:pPr>
  </w:style>
  <w:style w:type="character" w:customStyle="1" w:styleId="Heading1Char">
    <w:name w:val="Heading 1 Char"/>
    <w:basedOn w:val="DefaultParagraphFont"/>
    <w:link w:val="Heading1"/>
    <w:uiPriority w:val="9"/>
    <w:rsid w:val="002A177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A1772"/>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A1772"/>
    <w:pPr>
      <w:tabs>
        <w:tab w:val="center" w:pos="4153"/>
        <w:tab w:val="right" w:pos="8306"/>
      </w:tabs>
    </w:pPr>
  </w:style>
  <w:style w:type="character" w:customStyle="1" w:styleId="FooterChar">
    <w:name w:val="Footer Char"/>
    <w:basedOn w:val="DefaultParagraphFont"/>
    <w:link w:val="Footer"/>
    <w:uiPriority w:val="99"/>
    <w:rsid w:val="002A1772"/>
  </w:style>
  <w:style w:type="character" w:styleId="PageNumber">
    <w:name w:val="page number"/>
    <w:basedOn w:val="DefaultParagraphFont"/>
    <w:uiPriority w:val="99"/>
    <w:semiHidden/>
    <w:unhideWhenUsed/>
    <w:rsid w:val="002A1772"/>
  </w:style>
  <w:style w:type="paragraph" w:styleId="TOC1">
    <w:name w:val="toc 1"/>
    <w:basedOn w:val="Normal"/>
    <w:next w:val="Normal"/>
    <w:autoRedefine/>
    <w:uiPriority w:val="39"/>
    <w:unhideWhenUsed/>
    <w:rsid w:val="002A1772"/>
    <w:pPr>
      <w:spacing w:before="120"/>
    </w:pPr>
    <w:rPr>
      <w:b/>
      <w:caps/>
      <w:sz w:val="22"/>
      <w:szCs w:val="22"/>
    </w:rPr>
  </w:style>
  <w:style w:type="paragraph" w:styleId="TOC2">
    <w:name w:val="toc 2"/>
    <w:basedOn w:val="Normal"/>
    <w:next w:val="Normal"/>
    <w:autoRedefine/>
    <w:uiPriority w:val="39"/>
    <w:unhideWhenUsed/>
    <w:rsid w:val="002A1772"/>
    <w:pPr>
      <w:ind w:left="240"/>
    </w:pPr>
    <w:rPr>
      <w:smallCaps/>
      <w:sz w:val="22"/>
      <w:szCs w:val="22"/>
    </w:rPr>
  </w:style>
  <w:style w:type="paragraph" w:styleId="TOC3">
    <w:name w:val="toc 3"/>
    <w:basedOn w:val="Normal"/>
    <w:next w:val="Normal"/>
    <w:autoRedefine/>
    <w:uiPriority w:val="39"/>
    <w:unhideWhenUsed/>
    <w:rsid w:val="002A1772"/>
    <w:pPr>
      <w:ind w:left="480"/>
    </w:pPr>
    <w:rPr>
      <w:i/>
      <w:sz w:val="22"/>
      <w:szCs w:val="22"/>
    </w:rPr>
  </w:style>
  <w:style w:type="paragraph" w:styleId="TOC4">
    <w:name w:val="toc 4"/>
    <w:basedOn w:val="Normal"/>
    <w:next w:val="Normal"/>
    <w:autoRedefine/>
    <w:uiPriority w:val="39"/>
    <w:unhideWhenUsed/>
    <w:rsid w:val="002A1772"/>
    <w:pPr>
      <w:ind w:left="720"/>
    </w:pPr>
    <w:rPr>
      <w:sz w:val="18"/>
      <w:szCs w:val="18"/>
    </w:rPr>
  </w:style>
  <w:style w:type="paragraph" w:styleId="TOC5">
    <w:name w:val="toc 5"/>
    <w:basedOn w:val="Normal"/>
    <w:next w:val="Normal"/>
    <w:autoRedefine/>
    <w:uiPriority w:val="39"/>
    <w:unhideWhenUsed/>
    <w:rsid w:val="002A1772"/>
    <w:pPr>
      <w:ind w:left="960"/>
    </w:pPr>
    <w:rPr>
      <w:sz w:val="18"/>
      <w:szCs w:val="18"/>
    </w:rPr>
  </w:style>
  <w:style w:type="paragraph" w:styleId="TOC6">
    <w:name w:val="toc 6"/>
    <w:basedOn w:val="Normal"/>
    <w:next w:val="Normal"/>
    <w:autoRedefine/>
    <w:uiPriority w:val="39"/>
    <w:unhideWhenUsed/>
    <w:rsid w:val="002A1772"/>
    <w:pPr>
      <w:ind w:left="1200"/>
    </w:pPr>
    <w:rPr>
      <w:sz w:val="18"/>
      <w:szCs w:val="18"/>
    </w:rPr>
  </w:style>
  <w:style w:type="paragraph" w:styleId="TOC7">
    <w:name w:val="toc 7"/>
    <w:basedOn w:val="Normal"/>
    <w:next w:val="Normal"/>
    <w:autoRedefine/>
    <w:uiPriority w:val="39"/>
    <w:unhideWhenUsed/>
    <w:rsid w:val="002A1772"/>
    <w:pPr>
      <w:ind w:left="1440"/>
    </w:pPr>
    <w:rPr>
      <w:sz w:val="18"/>
      <w:szCs w:val="18"/>
    </w:rPr>
  </w:style>
  <w:style w:type="paragraph" w:styleId="TOC8">
    <w:name w:val="toc 8"/>
    <w:basedOn w:val="Normal"/>
    <w:next w:val="Normal"/>
    <w:autoRedefine/>
    <w:uiPriority w:val="39"/>
    <w:unhideWhenUsed/>
    <w:rsid w:val="002A1772"/>
    <w:pPr>
      <w:ind w:left="1680"/>
    </w:pPr>
    <w:rPr>
      <w:sz w:val="18"/>
      <w:szCs w:val="18"/>
    </w:rPr>
  </w:style>
  <w:style w:type="paragraph" w:styleId="TOC9">
    <w:name w:val="toc 9"/>
    <w:basedOn w:val="Normal"/>
    <w:next w:val="Normal"/>
    <w:autoRedefine/>
    <w:uiPriority w:val="39"/>
    <w:unhideWhenUsed/>
    <w:rsid w:val="002A1772"/>
    <w:pPr>
      <w:ind w:left="1920"/>
    </w:pPr>
    <w:rPr>
      <w:sz w:val="18"/>
      <w:szCs w:val="18"/>
    </w:rPr>
  </w:style>
  <w:style w:type="paragraph" w:styleId="BalloonText">
    <w:name w:val="Balloon Text"/>
    <w:basedOn w:val="Normal"/>
    <w:link w:val="BalloonTextChar"/>
    <w:uiPriority w:val="99"/>
    <w:semiHidden/>
    <w:unhideWhenUsed/>
    <w:rsid w:val="00BC1F8F"/>
    <w:rPr>
      <w:rFonts w:ascii="Lucida Grande" w:hAnsi="Lucida Grande"/>
      <w:sz w:val="18"/>
      <w:szCs w:val="18"/>
    </w:rPr>
  </w:style>
  <w:style w:type="character" w:customStyle="1" w:styleId="BalloonTextChar">
    <w:name w:val="Balloon Text Char"/>
    <w:basedOn w:val="DefaultParagraphFont"/>
    <w:link w:val="BalloonText"/>
    <w:uiPriority w:val="99"/>
    <w:semiHidden/>
    <w:rsid w:val="00BC1F8F"/>
    <w:rPr>
      <w:rFonts w:ascii="Lucida Grande" w:hAnsi="Lucida Grande"/>
      <w:sz w:val="18"/>
      <w:szCs w:val="18"/>
    </w:rPr>
  </w:style>
  <w:style w:type="paragraph" w:styleId="NormalWeb">
    <w:name w:val="Normal (Web)"/>
    <w:basedOn w:val="Normal"/>
    <w:uiPriority w:val="99"/>
    <w:unhideWhenUsed/>
    <w:rsid w:val="00987A35"/>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267076"/>
    <w:rPr>
      <w:rFonts w:ascii="Times New Roman" w:hAnsi="Times New Roman"/>
      <w:color w:val="404040" w:themeColor="text1" w:themeTint="BF"/>
      <w:sz w:val="20"/>
    </w:rPr>
  </w:style>
  <w:style w:type="character" w:customStyle="1" w:styleId="FootnoteTextChar">
    <w:name w:val="Footnote Text Char"/>
    <w:basedOn w:val="DefaultParagraphFont"/>
    <w:link w:val="FootnoteText"/>
    <w:uiPriority w:val="99"/>
    <w:rsid w:val="00267076"/>
    <w:rPr>
      <w:rFonts w:ascii="Times New Roman" w:hAnsi="Times New Roman"/>
      <w:color w:val="404040" w:themeColor="text1" w:themeTint="BF"/>
      <w:sz w:val="20"/>
    </w:rPr>
  </w:style>
  <w:style w:type="character" w:styleId="FootnoteReference">
    <w:name w:val="footnote reference"/>
    <w:basedOn w:val="DefaultParagraphFont"/>
    <w:uiPriority w:val="99"/>
    <w:unhideWhenUsed/>
    <w:rsid w:val="00267076"/>
    <w:rPr>
      <w:rFonts w:ascii="Times New Roman" w:hAnsi="Times New Roman"/>
      <w:color w:val="404040" w:themeColor="text1" w:themeTint="BF"/>
      <w:sz w:val="20"/>
      <w:vertAlign w:val="superscript"/>
    </w:rPr>
  </w:style>
  <w:style w:type="character" w:styleId="Hyperlink">
    <w:name w:val="Hyperlink"/>
    <w:basedOn w:val="DefaultParagraphFont"/>
    <w:uiPriority w:val="99"/>
    <w:unhideWhenUsed/>
    <w:rsid w:val="001A7BDA"/>
    <w:rPr>
      <w:color w:val="0000FF" w:themeColor="hyperlink"/>
      <w:u w:val="single"/>
    </w:rPr>
  </w:style>
  <w:style w:type="paragraph" w:customStyle="1" w:styleId="Default">
    <w:name w:val="Default"/>
    <w:rsid w:val="00573C30"/>
    <w:pPr>
      <w:widowControl w:val="0"/>
      <w:autoSpaceDE w:val="0"/>
      <w:autoSpaceDN w:val="0"/>
      <w:adjustRightInd w:val="0"/>
    </w:pPr>
    <w:rPr>
      <w:rFonts w:ascii="Times New Roman" w:hAnsi="Times New Roman" w:cs="Times New Roman"/>
      <w:color w:val="000000"/>
      <w:lang w:val="en-US"/>
    </w:rPr>
  </w:style>
  <w:style w:type="character" w:styleId="FollowedHyperlink">
    <w:name w:val="FollowedHyperlink"/>
    <w:basedOn w:val="DefaultParagraphFont"/>
    <w:uiPriority w:val="99"/>
    <w:semiHidden/>
    <w:unhideWhenUsed/>
    <w:rsid w:val="009C3681"/>
    <w:rPr>
      <w:color w:val="800080" w:themeColor="followedHyperlink"/>
      <w:u w:val="single"/>
    </w:rPr>
  </w:style>
  <w:style w:type="character" w:customStyle="1" w:styleId="Heading3Char">
    <w:name w:val="Heading 3 Char"/>
    <w:basedOn w:val="DefaultParagraphFont"/>
    <w:link w:val="Heading3"/>
    <w:uiPriority w:val="9"/>
    <w:rsid w:val="0062627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D2ACF"/>
    <w:pPr>
      <w:tabs>
        <w:tab w:val="center" w:pos="4153"/>
        <w:tab w:val="right" w:pos="8306"/>
      </w:tabs>
    </w:pPr>
  </w:style>
  <w:style w:type="character" w:customStyle="1" w:styleId="HeaderChar">
    <w:name w:val="Header Char"/>
    <w:basedOn w:val="DefaultParagraphFont"/>
    <w:link w:val="Header"/>
    <w:uiPriority w:val="99"/>
    <w:rsid w:val="006D2ACF"/>
  </w:style>
  <w:style w:type="paragraph" w:styleId="Caption">
    <w:name w:val="caption"/>
    <w:basedOn w:val="Normal"/>
    <w:next w:val="Normal"/>
    <w:uiPriority w:val="35"/>
    <w:unhideWhenUsed/>
    <w:qFormat/>
    <w:rsid w:val="00F147CC"/>
    <w:pPr>
      <w:spacing w:after="200"/>
    </w:pPr>
    <w:rPr>
      <w:b/>
      <w:bCs/>
      <w:color w:val="4F81BD" w:themeColor="accent1"/>
      <w:sz w:val="18"/>
      <w:szCs w:val="18"/>
    </w:rPr>
  </w:style>
  <w:style w:type="paragraph" w:customStyle="1" w:styleId="CM1">
    <w:name w:val="CM1"/>
    <w:basedOn w:val="Default"/>
    <w:next w:val="Default"/>
    <w:uiPriority w:val="99"/>
    <w:rsid w:val="007F7666"/>
    <w:rPr>
      <w:rFonts w:ascii="EUAlbertina" w:hAnsi="EUAlbertina"/>
      <w:color w:val="auto"/>
    </w:rPr>
  </w:style>
  <w:style w:type="paragraph" w:customStyle="1" w:styleId="CM3">
    <w:name w:val="CM3"/>
    <w:basedOn w:val="Default"/>
    <w:next w:val="Default"/>
    <w:uiPriority w:val="99"/>
    <w:rsid w:val="007F7666"/>
    <w:rPr>
      <w:rFonts w:ascii="EUAlbertina" w:hAnsi="EUAlberti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2416">
      <w:bodyDiv w:val="1"/>
      <w:marLeft w:val="0"/>
      <w:marRight w:val="0"/>
      <w:marTop w:val="0"/>
      <w:marBottom w:val="0"/>
      <w:divBdr>
        <w:top w:val="none" w:sz="0" w:space="0" w:color="auto"/>
        <w:left w:val="none" w:sz="0" w:space="0" w:color="auto"/>
        <w:bottom w:val="none" w:sz="0" w:space="0" w:color="auto"/>
        <w:right w:val="none" w:sz="0" w:space="0" w:color="auto"/>
      </w:divBdr>
      <w:divsChild>
        <w:div w:id="1340934005">
          <w:marLeft w:val="0"/>
          <w:marRight w:val="0"/>
          <w:marTop w:val="0"/>
          <w:marBottom w:val="0"/>
          <w:divBdr>
            <w:top w:val="none" w:sz="0" w:space="0" w:color="auto"/>
            <w:left w:val="none" w:sz="0" w:space="0" w:color="auto"/>
            <w:bottom w:val="none" w:sz="0" w:space="0" w:color="auto"/>
            <w:right w:val="none" w:sz="0" w:space="0" w:color="auto"/>
          </w:divBdr>
          <w:divsChild>
            <w:div w:id="1884438368">
              <w:marLeft w:val="0"/>
              <w:marRight w:val="0"/>
              <w:marTop w:val="0"/>
              <w:marBottom w:val="0"/>
              <w:divBdr>
                <w:top w:val="none" w:sz="0" w:space="0" w:color="auto"/>
                <w:left w:val="none" w:sz="0" w:space="0" w:color="auto"/>
                <w:bottom w:val="none" w:sz="0" w:space="0" w:color="auto"/>
                <w:right w:val="none" w:sz="0" w:space="0" w:color="auto"/>
              </w:divBdr>
              <w:divsChild>
                <w:div w:id="1218005253">
                  <w:marLeft w:val="0"/>
                  <w:marRight w:val="0"/>
                  <w:marTop w:val="0"/>
                  <w:marBottom w:val="0"/>
                  <w:divBdr>
                    <w:top w:val="none" w:sz="0" w:space="0" w:color="auto"/>
                    <w:left w:val="none" w:sz="0" w:space="0" w:color="auto"/>
                    <w:bottom w:val="none" w:sz="0" w:space="0" w:color="auto"/>
                    <w:right w:val="none" w:sz="0" w:space="0" w:color="auto"/>
                  </w:divBdr>
                  <w:divsChild>
                    <w:div w:id="19481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16585">
      <w:bodyDiv w:val="1"/>
      <w:marLeft w:val="0"/>
      <w:marRight w:val="0"/>
      <w:marTop w:val="0"/>
      <w:marBottom w:val="0"/>
      <w:divBdr>
        <w:top w:val="none" w:sz="0" w:space="0" w:color="auto"/>
        <w:left w:val="none" w:sz="0" w:space="0" w:color="auto"/>
        <w:bottom w:val="none" w:sz="0" w:space="0" w:color="auto"/>
        <w:right w:val="none" w:sz="0" w:space="0" w:color="auto"/>
      </w:divBdr>
      <w:divsChild>
        <w:div w:id="1941331382">
          <w:marLeft w:val="0"/>
          <w:marRight w:val="0"/>
          <w:marTop w:val="0"/>
          <w:marBottom w:val="0"/>
          <w:divBdr>
            <w:top w:val="none" w:sz="0" w:space="0" w:color="auto"/>
            <w:left w:val="none" w:sz="0" w:space="0" w:color="auto"/>
            <w:bottom w:val="none" w:sz="0" w:space="0" w:color="auto"/>
            <w:right w:val="none" w:sz="0" w:space="0" w:color="auto"/>
          </w:divBdr>
          <w:divsChild>
            <w:div w:id="1773087570">
              <w:marLeft w:val="0"/>
              <w:marRight w:val="0"/>
              <w:marTop w:val="0"/>
              <w:marBottom w:val="0"/>
              <w:divBdr>
                <w:top w:val="none" w:sz="0" w:space="0" w:color="auto"/>
                <w:left w:val="none" w:sz="0" w:space="0" w:color="auto"/>
                <w:bottom w:val="none" w:sz="0" w:space="0" w:color="auto"/>
                <w:right w:val="none" w:sz="0" w:space="0" w:color="auto"/>
              </w:divBdr>
              <w:divsChild>
                <w:div w:id="19070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89114">
      <w:bodyDiv w:val="1"/>
      <w:marLeft w:val="0"/>
      <w:marRight w:val="0"/>
      <w:marTop w:val="0"/>
      <w:marBottom w:val="0"/>
      <w:divBdr>
        <w:top w:val="none" w:sz="0" w:space="0" w:color="auto"/>
        <w:left w:val="none" w:sz="0" w:space="0" w:color="auto"/>
        <w:bottom w:val="none" w:sz="0" w:space="0" w:color="auto"/>
        <w:right w:val="none" w:sz="0" w:space="0" w:color="auto"/>
      </w:divBdr>
      <w:divsChild>
        <w:div w:id="575625907">
          <w:marLeft w:val="0"/>
          <w:marRight w:val="0"/>
          <w:marTop w:val="0"/>
          <w:marBottom w:val="0"/>
          <w:divBdr>
            <w:top w:val="none" w:sz="0" w:space="0" w:color="auto"/>
            <w:left w:val="none" w:sz="0" w:space="0" w:color="auto"/>
            <w:bottom w:val="none" w:sz="0" w:space="0" w:color="auto"/>
            <w:right w:val="none" w:sz="0" w:space="0" w:color="auto"/>
          </w:divBdr>
          <w:divsChild>
            <w:div w:id="900872637">
              <w:marLeft w:val="0"/>
              <w:marRight w:val="0"/>
              <w:marTop w:val="0"/>
              <w:marBottom w:val="0"/>
              <w:divBdr>
                <w:top w:val="none" w:sz="0" w:space="0" w:color="auto"/>
                <w:left w:val="none" w:sz="0" w:space="0" w:color="auto"/>
                <w:bottom w:val="none" w:sz="0" w:space="0" w:color="auto"/>
                <w:right w:val="none" w:sz="0" w:space="0" w:color="auto"/>
              </w:divBdr>
              <w:divsChild>
                <w:div w:id="19173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702">
      <w:bodyDiv w:val="1"/>
      <w:marLeft w:val="0"/>
      <w:marRight w:val="0"/>
      <w:marTop w:val="0"/>
      <w:marBottom w:val="0"/>
      <w:divBdr>
        <w:top w:val="none" w:sz="0" w:space="0" w:color="auto"/>
        <w:left w:val="none" w:sz="0" w:space="0" w:color="auto"/>
        <w:bottom w:val="none" w:sz="0" w:space="0" w:color="auto"/>
        <w:right w:val="none" w:sz="0" w:space="0" w:color="auto"/>
      </w:divBdr>
      <w:divsChild>
        <w:div w:id="2088576765">
          <w:marLeft w:val="0"/>
          <w:marRight w:val="0"/>
          <w:marTop w:val="0"/>
          <w:marBottom w:val="0"/>
          <w:divBdr>
            <w:top w:val="none" w:sz="0" w:space="0" w:color="auto"/>
            <w:left w:val="none" w:sz="0" w:space="0" w:color="auto"/>
            <w:bottom w:val="none" w:sz="0" w:space="0" w:color="auto"/>
            <w:right w:val="none" w:sz="0" w:space="0" w:color="auto"/>
          </w:divBdr>
          <w:divsChild>
            <w:div w:id="1099184132">
              <w:marLeft w:val="0"/>
              <w:marRight w:val="0"/>
              <w:marTop w:val="0"/>
              <w:marBottom w:val="0"/>
              <w:divBdr>
                <w:top w:val="none" w:sz="0" w:space="0" w:color="auto"/>
                <w:left w:val="none" w:sz="0" w:space="0" w:color="auto"/>
                <w:bottom w:val="none" w:sz="0" w:space="0" w:color="auto"/>
                <w:right w:val="none" w:sz="0" w:space="0" w:color="auto"/>
              </w:divBdr>
              <w:divsChild>
                <w:div w:id="191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6810">
      <w:bodyDiv w:val="1"/>
      <w:marLeft w:val="0"/>
      <w:marRight w:val="0"/>
      <w:marTop w:val="0"/>
      <w:marBottom w:val="0"/>
      <w:divBdr>
        <w:top w:val="none" w:sz="0" w:space="0" w:color="auto"/>
        <w:left w:val="none" w:sz="0" w:space="0" w:color="auto"/>
        <w:bottom w:val="none" w:sz="0" w:space="0" w:color="auto"/>
        <w:right w:val="none" w:sz="0" w:space="0" w:color="auto"/>
      </w:divBdr>
      <w:divsChild>
        <w:div w:id="1497644829">
          <w:marLeft w:val="0"/>
          <w:marRight w:val="0"/>
          <w:marTop w:val="0"/>
          <w:marBottom w:val="0"/>
          <w:divBdr>
            <w:top w:val="none" w:sz="0" w:space="0" w:color="auto"/>
            <w:left w:val="none" w:sz="0" w:space="0" w:color="auto"/>
            <w:bottom w:val="none" w:sz="0" w:space="0" w:color="auto"/>
            <w:right w:val="none" w:sz="0" w:space="0" w:color="auto"/>
          </w:divBdr>
          <w:divsChild>
            <w:div w:id="459735299">
              <w:marLeft w:val="0"/>
              <w:marRight w:val="0"/>
              <w:marTop w:val="0"/>
              <w:marBottom w:val="0"/>
              <w:divBdr>
                <w:top w:val="none" w:sz="0" w:space="0" w:color="auto"/>
                <w:left w:val="none" w:sz="0" w:space="0" w:color="auto"/>
                <w:bottom w:val="none" w:sz="0" w:space="0" w:color="auto"/>
                <w:right w:val="none" w:sz="0" w:space="0" w:color="auto"/>
              </w:divBdr>
              <w:divsChild>
                <w:div w:id="17820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Colors" Target="diagrams/colors2.xml"/><Relationship Id="rId21" Type="http://schemas.microsoft.com/office/2007/relationships/diagramDrawing" Target="diagrams/drawing2.xml"/><Relationship Id="rId22" Type="http://schemas.openxmlformats.org/officeDocument/2006/relationships/diagramData" Target="diagrams/data3.xml"/><Relationship Id="rId23" Type="http://schemas.openxmlformats.org/officeDocument/2006/relationships/diagramLayout" Target="diagrams/layout3.xml"/><Relationship Id="rId24" Type="http://schemas.openxmlformats.org/officeDocument/2006/relationships/diagramQuickStyle" Target="diagrams/quickStyle3.xml"/><Relationship Id="rId25" Type="http://schemas.openxmlformats.org/officeDocument/2006/relationships/diagramColors" Target="diagrams/colors3.xml"/><Relationship Id="rId26" Type="http://schemas.microsoft.com/office/2007/relationships/diagramDrawing" Target="diagrams/drawing3.xml"/><Relationship Id="rId27" Type="http://schemas.openxmlformats.org/officeDocument/2006/relationships/diagramData" Target="diagrams/data4.xml"/><Relationship Id="rId28" Type="http://schemas.openxmlformats.org/officeDocument/2006/relationships/diagramLayout" Target="diagrams/layout4.xml"/><Relationship Id="rId29" Type="http://schemas.openxmlformats.org/officeDocument/2006/relationships/diagramQuickStyle" Target="diagrams/quickStyle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diagramColors" Target="diagrams/colors4.xml"/><Relationship Id="rId31" Type="http://schemas.microsoft.com/office/2007/relationships/diagramDrawing" Target="diagrams/drawing4.xml"/><Relationship Id="rId32" Type="http://schemas.openxmlformats.org/officeDocument/2006/relationships/diagramData" Target="diagrams/data5.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diagramLayout" Target="diagrams/layout5.xml"/><Relationship Id="rId34" Type="http://schemas.openxmlformats.org/officeDocument/2006/relationships/diagramQuickStyle" Target="diagrams/quickStyle5.xml"/><Relationship Id="rId35" Type="http://schemas.openxmlformats.org/officeDocument/2006/relationships/diagramColors" Target="diagrams/colors5.xml"/><Relationship Id="rId36" Type="http://schemas.microsoft.com/office/2007/relationships/diagramDrawing" Target="diagrams/drawing5.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diagramData" Target="diagrams/data1.xml"/><Relationship Id="rId13" Type="http://schemas.openxmlformats.org/officeDocument/2006/relationships/diagramLayout" Target="diagrams/layout1.xml"/><Relationship Id="rId14" Type="http://schemas.openxmlformats.org/officeDocument/2006/relationships/diagramQuickStyle" Target="diagrams/quickStyle1.xml"/><Relationship Id="rId15" Type="http://schemas.openxmlformats.org/officeDocument/2006/relationships/diagramColors" Target="diagrams/colors1.xml"/><Relationship Id="rId16" Type="http://schemas.microsoft.com/office/2007/relationships/diagramDrawing" Target="diagrams/drawing1.xml"/><Relationship Id="rId17" Type="http://schemas.openxmlformats.org/officeDocument/2006/relationships/diagramData" Target="diagrams/data2.xml"/><Relationship Id="rId18" Type="http://schemas.openxmlformats.org/officeDocument/2006/relationships/diagramLayout" Target="diagrams/layout2.xml"/><Relationship Id="rId19" Type="http://schemas.openxmlformats.org/officeDocument/2006/relationships/diagramQuickStyle" Target="diagrams/quickStyle2.xml"/><Relationship Id="rId37" Type="http://schemas.openxmlformats.org/officeDocument/2006/relationships/hyperlink" Target="http://cor.europa.eu/en/about/Pages/key-facts.aspx" TargetMode="External"/><Relationship Id="rId38" Type="http://schemas.openxmlformats.org/officeDocument/2006/relationships/hyperlink" Target="http://cor.europa.eu/en/about/Documents/Mission%20statement/EN.pdf" TargetMode="External"/><Relationship Id="rId39" Type="http://schemas.openxmlformats.org/officeDocument/2006/relationships/hyperlink" Target="http://europa.eu/legislation_summaries/glossary/" TargetMode="External"/><Relationship Id="rId40" Type="http://schemas.openxmlformats.org/officeDocument/2006/relationships/hyperlink" Target="http://cor.europa.eu/en/documentation/brochures/Documents/committee-of-the-regions-at-a-glance/committee-of-the-regions_English.pdf" TargetMode="External"/><Relationship Id="rId41" Type="http://schemas.openxmlformats.org/officeDocument/2006/relationships/hyperlink" Target="http://www.europarl.europa.eu/aboutparliament/en/0081ddfaa4/MEPs.html" TargetMode="External"/><Relationship Id="rId42" Type="http://schemas.openxmlformats.org/officeDocument/2006/relationships/hyperlink" Target="http://www.ccre.org/en/article/introducing_cemr" TargetMode="External"/><Relationship Id="rId43" Type="http://schemas.openxmlformats.org/officeDocument/2006/relationships/fontTable" Target="fontTable.xml"/><Relationship Id="rId44" Type="http://schemas.openxmlformats.org/officeDocument/2006/relationships/theme" Target="theme/theme1.xml"/></Relationships>
</file>

<file path=word/_rels/footnotes.xml.rels><?xml version="1.0" encoding="UTF-8" standalone="yes"?>
<Relationships xmlns="http://schemas.openxmlformats.org/package/2006/relationships"><Relationship Id="rId11" Type="http://schemas.openxmlformats.org/officeDocument/2006/relationships/hyperlink" Target="http://eur-lex.europa.eu/legal-content/EN/HIS/?uri=CELEX:32014L0024" TargetMode="External"/><Relationship Id="rId12" Type="http://schemas.openxmlformats.org/officeDocument/2006/relationships/hyperlink" Target="http://eur-lex.europa.eu/legal-content/EN/HIS/?uri=CELEX:32014L0024" TargetMode="External"/><Relationship Id="rId13" Type="http://schemas.openxmlformats.org/officeDocument/2006/relationships/hyperlink" Target="http://ec.europa.eu/growth/single-market/public-procurement/index_en.htm" TargetMode="External"/><Relationship Id="rId1" Type="http://schemas.openxmlformats.org/officeDocument/2006/relationships/hyperlink" Target="http://www.referenceworld.com/sage/socialscience/triangulation.pdf" TargetMode="External"/><Relationship Id="rId2" Type="http://schemas.openxmlformats.org/officeDocument/2006/relationships/hyperlink" Target="http://cor.europa.eu/en/about/Pages/key-facts.aspx" TargetMode="External"/><Relationship Id="rId3" Type="http://schemas.openxmlformats.org/officeDocument/2006/relationships/hyperlink" Target="http://cor.europa.eu/en/about/Documents/Mission%20statement/EN.pdf" TargetMode="External"/><Relationship Id="rId4" Type="http://schemas.openxmlformats.org/officeDocument/2006/relationships/hyperlink" Target="http://europa.eu/legislation_summaries/glossary/subsidiarity_en.htm" TargetMode="External"/><Relationship Id="rId5" Type="http://schemas.openxmlformats.org/officeDocument/2006/relationships/hyperlink" Target="http://europa.eu/legislation_summaries/glossary/%20proportionality_en.htm" TargetMode="External"/><Relationship Id="rId6" Type="http://schemas.openxmlformats.org/officeDocument/2006/relationships/hyperlink" Target="http://cor.europa.eu/en/documentation/brochures/Documents/committee-of-the-regions-at-a-glance/committee-of-the-regions_English.pdf" TargetMode="External"/><Relationship Id="rId7" Type="http://schemas.openxmlformats.org/officeDocument/2006/relationships/hyperlink" Target="http://cor.europa.eu/en/documentation/brochures/Documents/committee-of-the-regions-at-a-glance/committee-of-the-regions_English.pdf" TargetMode="External"/><Relationship Id="rId8" Type="http://schemas.openxmlformats.org/officeDocument/2006/relationships/hyperlink" Target="http://www.europarl.europa.eu/aboutparliament/en/0081ddfaa4/MEPs.html" TargetMode="External"/><Relationship Id="rId9" Type="http://schemas.openxmlformats.org/officeDocument/2006/relationships/hyperlink" Target="http://www.europarl.europa.eu/aboutparliament/en/0081f4b3c7/Gesetzgebungsprozess-im-Detail.html" TargetMode="External"/><Relationship Id="rId10" Type="http://schemas.openxmlformats.org/officeDocument/2006/relationships/hyperlink" Target="http://www.europarl.europa.eu/aboutparliament/en/0081f4b3c7/Gesetzgebungsprozess-im-Detail.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0AED0C-17E4-0747-AF15-AF4028999600}" type="doc">
      <dgm:prSet loTypeId="urn:microsoft.com/office/officeart/2005/8/layout/cycle2" loCatId="" qsTypeId="urn:microsoft.com/office/officeart/2005/8/quickstyle/simple4" qsCatId="simple" csTypeId="urn:microsoft.com/office/officeart/2005/8/colors/accent1_2" csCatId="accent1" phldr="1"/>
      <dgm:spPr/>
      <dgm:t>
        <a:bodyPr/>
        <a:lstStyle/>
        <a:p>
          <a:endParaRPr lang="en-US"/>
        </a:p>
      </dgm:t>
    </dgm:pt>
    <dgm:pt modelId="{BCD3925B-415B-B44D-94E4-73C496C796FB}">
      <dgm:prSet phldrT="[Text]" custT="1"/>
      <dgm:spPr>
        <a:solidFill>
          <a:schemeClr val="accent3"/>
        </a:solidFill>
      </dgm:spPr>
      <dgm:t>
        <a:bodyPr/>
        <a:lstStyle/>
        <a:p>
          <a:r>
            <a:rPr lang="en-US" sz="1100">
              <a:latin typeface="Times New Roman"/>
            </a:rPr>
            <a:t>Problem identifica-tion</a:t>
          </a:r>
        </a:p>
      </dgm:t>
    </dgm:pt>
    <dgm:pt modelId="{CFE0D7E2-A69F-FB4F-8A2D-288F73726C36}" type="parTrans" cxnId="{D7B36126-972C-0D4D-ABFC-57BAD2AF5738}">
      <dgm:prSet/>
      <dgm:spPr/>
      <dgm:t>
        <a:bodyPr/>
        <a:lstStyle/>
        <a:p>
          <a:endParaRPr lang="en-US"/>
        </a:p>
      </dgm:t>
    </dgm:pt>
    <dgm:pt modelId="{302621C0-7BC1-FF47-8A25-B013E3B2C256}" type="sibTrans" cxnId="{D7B36126-972C-0D4D-ABFC-57BAD2AF5738}">
      <dgm:prSet/>
      <dgm:spPr>
        <a:solidFill>
          <a:schemeClr val="accent3">
            <a:lumMod val="40000"/>
            <a:lumOff val="60000"/>
          </a:schemeClr>
        </a:solidFill>
      </dgm:spPr>
      <dgm:t>
        <a:bodyPr/>
        <a:lstStyle/>
        <a:p>
          <a:endParaRPr lang="en-US"/>
        </a:p>
      </dgm:t>
    </dgm:pt>
    <dgm:pt modelId="{44700F3B-0CD9-8741-B870-309B899A5FBF}">
      <dgm:prSet phldrT="[Text]" custT="1"/>
      <dgm:spPr>
        <a:solidFill>
          <a:schemeClr val="accent3"/>
        </a:solidFill>
      </dgm:spPr>
      <dgm:t>
        <a:bodyPr/>
        <a:lstStyle/>
        <a:p>
          <a:r>
            <a:rPr lang="en-US" sz="1100">
              <a:latin typeface="Times New Roman"/>
            </a:rPr>
            <a:t>Agenda setting</a:t>
          </a:r>
        </a:p>
      </dgm:t>
    </dgm:pt>
    <dgm:pt modelId="{B0250129-6DDF-0445-9165-A74B0CB819F1}" type="parTrans" cxnId="{6587DD56-2EC5-FB4A-AA8F-E8D7554200EE}">
      <dgm:prSet/>
      <dgm:spPr/>
      <dgm:t>
        <a:bodyPr/>
        <a:lstStyle/>
        <a:p>
          <a:endParaRPr lang="en-US"/>
        </a:p>
      </dgm:t>
    </dgm:pt>
    <dgm:pt modelId="{8FAB9F7E-CDA0-4F4B-B67F-604CB48C788B}" type="sibTrans" cxnId="{6587DD56-2EC5-FB4A-AA8F-E8D7554200EE}">
      <dgm:prSet/>
      <dgm:spPr>
        <a:solidFill>
          <a:schemeClr val="accent3">
            <a:lumMod val="40000"/>
            <a:lumOff val="60000"/>
          </a:schemeClr>
        </a:solidFill>
      </dgm:spPr>
      <dgm:t>
        <a:bodyPr/>
        <a:lstStyle/>
        <a:p>
          <a:endParaRPr lang="en-US"/>
        </a:p>
      </dgm:t>
    </dgm:pt>
    <dgm:pt modelId="{AA5F6D86-2C27-DC43-A446-5238280C9DFD}">
      <dgm:prSet phldrT="[Text]" custT="1"/>
      <dgm:spPr>
        <a:solidFill>
          <a:schemeClr val="accent3"/>
        </a:solidFill>
      </dgm:spPr>
      <dgm:t>
        <a:bodyPr/>
        <a:lstStyle/>
        <a:p>
          <a:r>
            <a:rPr lang="en-US" sz="1100">
              <a:latin typeface="Times New Roman"/>
            </a:rPr>
            <a:t>Policy formula-tion</a:t>
          </a:r>
        </a:p>
      </dgm:t>
    </dgm:pt>
    <dgm:pt modelId="{F0955126-071A-0B42-B13B-D62DA7D89814}" type="parTrans" cxnId="{2A7732C8-9BDD-814F-BA7B-4B2D31CF3046}">
      <dgm:prSet/>
      <dgm:spPr/>
      <dgm:t>
        <a:bodyPr/>
        <a:lstStyle/>
        <a:p>
          <a:endParaRPr lang="en-US"/>
        </a:p>
      </dgm:t>
    </dgm:pt>
    <dgm:pt modelId="{378B0961-6223-1A48-A29A-9A8C097867E9}" type="sibTrans" cxnId="{2A7732C8-9BDD-814F-BA7B-4B2D31CF3046}">
      <dgm:prSet/>
      <dgm:spPr>
        <a:solidFill>
          <a:schemeClr val="accent3">
            <a:lumMod val="40000"/>
            <a:lumOff val="60000"/>
          </a:schemeClr>
        </a:solidFill>
      </dgm:spPr>
      <dgm:t>
        <a:bodyPr/>
        <a:lstStyle/>
        <a:p>
          <a:endParaRPr lang="en-US"/>
        </a:p>
      </dgm:t>
    </dgm:pt>
    <dgm:pt modelId="{1B1FDAE5-1B49-9D47-9B28-5BD0B5BFD3CE}">
      <dgm:prSet phldrT="[Text]" custT="1"/>
      <dgm:spPr>
        <a:solidFill>
          <a:schemeClr val="accent3"/>
        </a:solidFill>
      </dgm:spPr>
      <dgm:t>
        <a:bodyPr/>
        <a:lstStyle/>
        <a:p>
          <a:r>
            <a:rPr lang="en-US" sz="1100">
              <a:latin typeface="Times New Roman"/>
            </a:rPr>
            <a:t>Implemen-tation</a:t>
          </a:r>
        </a:p>
      </dgm:t>
    </dgm:pt>
    <dgm:pt modelId="{A075C804-23C8-3B4A-9DC4-5CCE29232E0D}" type="parTrans" cxnId="{1B02C3A6-0878-5E44-818E-2FA74C3301DA}">
      <dgm:prSet/>
      <dgm:spPr/>
      <dgm:t>
        <a:bodyPr/>
        <a:lstStyle/>
        <a:p>
          <a:endParaRPr lang="en-US"/>
        </a:p>
      </dgm:t>
    </dgm:pt>
    <dgm:pt modelId="{4311421F-D551-7843-BD46-1EFE2E7105DB}" type="sibTrans" cxnId="{1B02C3A6-0878-5E44-818E-2FA74C3301DA}">
      <dgm:prSet/>
      <dgm:spPr>
        <a:solidFill>
          <a:schemeClr val="accent3">
            <a:lumMod val="40000"/>
            <a:lumOff val="60000"/>
          </a:schemeClr>
        </a:solidFill>
      </dgm:spPr>
      <dgm:t>
        <a:bodyPr/>
        <a:lstStyle/>
        <a:p>
          <a:endParaRPr lang="en-US"/>
        </a:p>
      </dgm:t>
    </dgm:pt>
    <dgm:pt modelId="{B4F4E791-5FC5-0948-A6F7-75211861BAC2}">
      <dgm:prSet phldrT="[Text]" custT="1"/>
      <dgm:spPr>
        <a:solidFill>
          <a:schemeClr val="accent3"/>
        </a:solidFill>
      </dgm:spPr>
      <dgm:t>
        <a:bodyPr/>
        <a:lstStyle/>
        <a:p>
          <a:r>
            <a:rPr lang="en-US" sz="1100">
              <a:latin typeface="Times New Roman"/>
            </a:rPr>
            <a:t>Evaluation</a:t>
          </a:r>
        </a:p>
      </dgm:t>
    </dgm:pt>
    <dgm:pt modelId="{2D7599B6-6176-A84C-B990-AAE1994C85AB}" type="parTrans" cxnId="{D390FA62-9047-3A48-B924-C5E289E348B7}">
      <dgm:prSet/>
      <dgm:spPr/>
      <dgm:t>
        <a:bodyPr/>
        <a:lstStyle/>
        <a:p>
          <a:endParaRPr lang="en-US"/>
        </a:p>
      </dgm:t>
    </dgm:pt>
    <dgm:pt modelId="{20E4C4E6-253C-3144-A2F1-08C212EF0512}" type="sibTrans" cxnId="{D390FA62-9047-3A48-B924-C5E289E348B7}">
      <dgm:prSet/>
      <dgm:spPr>
        <a:solidFill>
          <a:schemeClr val="accent3">
            <a:lumMod val="40000"/>
            <a:lumOff val="60000"/>
          </a:schemeClr>
        </a:solidFill>
      </dgm:spPr>
      <dgm:t>
        <a:bodyPr/>
        <a:lstStyle/>
        <a:p>
          <a:endParaRPr lang="en-US"/>
        </a:p>
      </dgm:t>
    </dgm:pt>
    <dgm:pt modelId="{503A9620-1EA2-AB48-BD29-5AC87A512FFA}" type="pres">
      <dgm:prSet presAssocID="{FB0AED0C-17E4-0747-AF15-AF4028999600}" presName="cycle" presStyleCnt="0">
        <dgm:presLayoutVars>
          <dgm:dir/>
          <dgm:resizeHandles val="exact"/>
        </dgm:presLayoutVars>
      </dgm:prSet>
      <dgm:spPr/>
      <dgm:t>
        <a:bodyPr/>
        <a:lstStyle/>
        <a:p>
          <a:endParaRPr lang="en-US"/>
        </a:p>
      </dgm:t>
    </dgm:pt>
    <dgm:pt modelId="{697D2DFB-6DB9-894E-94D9-B08E4130298B}" type="pres">
      <dgm:prSet presAssocID="{BCD3925B-415B-B44D-94E4-73C496C796FB}" presName="node" presStyleLbl="node1" presStyleIdx="0" presStyleCnt="5">
        <dgm:presLayoutVars>
          <dgm:bulletEnabled val="1"/>
        </dgm:presLayoutVars>
      </dgm:prSet>
      <dgm:spPr/>
      <dgm:t>
        <a:bodyPr/>
        <a:lstStyle/>
        <a:p>
          <a:endParaRPr lang="en-US"/>
        </a:p>
      </dgm:t>
    </dgm:pt>
    <dgm:pt modelId="{CCDC07A2-8B0E-4A4C-BA48-FDFDCB9E06D7}" type="pres">
      <dgm:prSet presAssocID="{302621C0-7BC1-FF47-8A25-B013E3B2C256}" presName="sibTrans" presStyleLbl="sibTrans2D1" presStyleIdx="0" presStyleCnt="5"/>
      <dgm:spPr/>
      <dgm:t>
        <a:bodyPr/>
        <a:lstStyle/>
        <a:p>
          <a:endParaRPr lang="en-US"/>
        </a:p>
      </dgm:t>
    </dgm:pt>
    <dgm:pt modelId="{C84762E7-B198-5D43-9726-8FF03AAD2BC0}" type="pres">
      <dgm:prSet presAssocID="{302621C0-7BC1-FF47-8A25-B013E3B2C256}" presName="connectorText" presStyleLbl="sibTrans2D1" presStyleIdx="0" presStyleCnt="5"/>
      <dgm:spPr/>
      <dgm:t>
        <a:bodyPr/>
        <a:lstStyle/>
        <a:p>
          <a:endParaRPr lang="en-US"/>
        </a:p>
      </dgm:t>
    </dgm:pt>
    <dgm:pt modelId="{BE9AC931-8192-3548-A133-98A6A9D3B652}" type="pres">
      <dgm:prSet presAssocID="{44700F3B-0CD9-8741-B870-309B899A5FBF}" presName="node" presStyleLbl="node1" presStyleIdx="1" presStyleCnt="5">
        <dgm:presLayoutVars>
          <dgm:bulletEnabled val="1"/>
        </dgm:presLayoutVars>
      </dgm:prSet>
      <dgm:spPr/>
      <dgm:t>
        <a:bodyPr/>
        <a:lstStyle/>
        <a:p>
          <a:endParaRPr lang="en-US"/>
        </a:p>
      </dgm:t>
    </dgm:pt>
    <dgm:pt modelId="{D576BEA3-496A-764E-A812-AAC688C70E91}" type="pres">
      <dgm:prSet presAssocID="{8FAB9F7E-CDA0-4F4B-B67F-604CB48C788B}" presName="sibTrans" presStyleLbl="sibTrans2D1" presStyleIdx="1" presStyleCnt="5" custLinFactNeighborX="-11290" custLinFactNeighborY="13114"/>
      <dgm:spPr/>
      <dgm:t>
        <a:bodyPr/>
        <a:lstStyle/>
        <a:p>
          <a:endParaRPr lang="en-US"/>
        </a:p>
      </dgm:t>
    </dgm:pt>
    <dgm:pt modelId="{21AF0F7F-2115-9048-9AFB-1E1F2B2CBB6A}" type="pres">
      <dgm:prSet presAssocID="{8FAB9F7E-CDA0-4F4B-B67F-604CB48C788B}" presName="connectorText" presStyleLbl="sibTrans2D1" presStyleIdx="1" presStyleCnt="5"/>
      <dgm:spPr/>
      <dgm:t>
        <a:bodyPr/>
        <a:lstStyle/>
        <a:p>
          <a:endParaRPr lang="en-US"/>
        </a:p>
      </dgm:t>
    </dgm:pt>
    <dgm:pt modelId="{81B9BA45-E613-EF45-B7AC-49A0674F6857}" type="pres">
      <dgm:prSet presAssocID="{AA5F6D86-2C27-DC43-A446-5238280C9DFD}" presName="node" presStyleLbl="node1" presStyleIdx="2" presStyleCnt="5">
        <dgm:presLayoutVars>
          <dgm:bulletEnabled val="1"/>
        </dgm:presLayoutVars>
      </dgm:prSet>
      <dgm:spPr/>
      <dgm:t>
        <a:bodyPr/>
        <a:lstStyle/>
        <a:p>
          <a:endParaRPr lang="en-US"/>
        </a:p>
      </dgm:t>
    </dgm:pt>
    <dgm:pt modelId="{F11A2F72-90BE-0944-BB0A-13F7E1C2CC35}" type="pres">
      <dgm:prSet presAssocID="{378B0961-6223-1A48-A29A-9A8C097867E9}" presName="sibTrans" presStyleLbl="sibTrans2D1" presStyleIdx="2" presStyleCnt="5"/>
      <dgm:spPr/>
      <dgm:t>
        <a:bodyPr/>
        <a:lstStyle/>
        <a:p>
          <a:endParaRPr lang="en-US"/>
        </a:p>
      </dgm:t>
    </dgm:pt>
    <dgm:pt modelId="{3A90B048-80DF-5749-805B-495D754221C3}" type="pres">
      <dgm:prSet presAssocID="{378B0961-6223-1A48-A29A-9A8C097867E9}" presName="connectorText" presStyleLbl="sibTrans2D1" presStyleIdx="2" presStyleCnt="5"/>
      <dgm:spPr/>
      <dgm:t>
        <a:bodyPr/>
        <a:lstStyle/>
        <a:p>
          <a:endParaRPr lang="en-US"/>
        </a:p>
      </dgm:t>
    </dgm:pt>
    <dgm:pt modelId="{04A9EB2E-5296-A84A-9257-32D83A9F5174}" type="pres">
      <dgm:prSet presAssocID="{1B1FDAE5-1B49-9D47-9B28-5BD0B5BFD3CE}" presName="node" presStyleLbl="node1" presStyleIdx="3" presStyleCnt="5">
        <dgm:presLayoutVars>
          <dgm:bulletEnabled val="1"/>
        </dgm:presLayoutVars>
      </dgm:prSet>
      <dgm:spPr/>
      <dgm:t>
        <a:bodyPr/>
        <a:lstStyle/>
        <a:p>
          <a:endParaRPr lang="en-US"/>
        </a:p>
      </dgm:t>
    </dgm:pt>
    <dgm:pt modelId="{72BE23BE-E6D6-414F-AA04-5F756D415D6E}" type="pres">
      <dgm:prSet presAssocID="{4311421F-D551-7843-BD46-1EFE2E7105DB}" presName="sibTrans" presStyleLbl="sibTrans2D1" presStyleIdx="3" presStyleCnt="5"/>
      <dgm:spPr/>
      <dgm:t>
        <a:bodyPr/>
        <a:lstStyle/>
        <a:p>
          <a:endParaRPr lang="en-US"/>
        </a:p>
      </dgm:t>
    </dgm:pt>
    <dgm:pt modelId="{A45B678D-A315-954E-910C-B90126414EA6}" type="pres">
      <dgm:prSet presAssocID="{4311421F-D551-7843-BD46-1EFE2E7105DB}" presName="connectorText" presStyleLbl="sibTrans2D1" presStyleIdx="3" presStyleCnt="5"/>
      <dgm:spPr/>
      <dgm:t>
        <a:bodyPr/>
        <a:lstStyle/>
        <a:p>
          <a:endParaRPr lang="en-US"/>
        </a:p>
      </dgm:t>
    </dgm:pt>
    <dgm:pt modelId="{048A6CD2-4403-7A41-B6FC-511D4934B85A}" type="pres">
      <dgm:prSet presAssocID="{B4F4E791-5FC5-0948-A6F7-75211861BAC2}" presName="node" presStyleLbl="node1" presStyleIdx="4" presStyleCnt="5">
        <dgm:presLayoutVars>
          <dgm:bulletEnabled val="1"/>
        </dgm:presLayoutVars>
      </dgm:prSet>
      <dgm:spPr/>
      <dgm:t>
        <a:bodyPr/>
        <a:lstStyle/>
        <a:p>
          <a:endParaRPr lang="en-US"/>
        </a:p>
      </dgm:t>
    </dgm:pt>
    <dgm:pt modelId="{C92C785E-28BB-2C43-BC23-D29A0FD6CB1B}" type="pres">
      <dgm:prSet presAssocID="{20E4C4E6-253C-3144-A2F1-08C212EF0512}" presName="sibTrans" presStyleLbl="sibTrans2D1" presStyleIdx="4" presStyleCnt="5"/>
      <dgm:spPr/>
      <dgm:t>
        <a:bodyPr/>
        <a:lstStyle/>
        <a:p>
          <a:endParaRPr lang="en-US"/>
        </a:p>
      </dgm:t>
    </dgm:pt>
    <dgm:pt modelId="{3A085F3B-C826-6D49-A048-CA7984FF1699}" type="pres">
      <dgm:prSet presAssocID="{20E4C4E6-253C-3144-A2F1-08C212EF0512}" presName="connectorText" presStyleLbl="sibTrans2D1" presStyleIdx="4" presStyleCnt="5"/>
      <dgm:spPr/>
      <dgm:t>
        <a:bodyPr/>
        <a:lstStyle/>
        <a:p>
          <a:endParaRPr lang="en-US"/>
        </a:p>
      </dgm:t>
    </dgm:pt>
  </dgm:ptLst>
  <dgm:cxnLst>
    <dgm:cxn modelId="{44C7EC45-6267-754E-B878-D03439BF23AD}" type="presOf" srcId="{44700F3B-0CD9-8741-B870-309B899A5FBF}" destId="{BE9AC931-8192-3548-A133-98A6A9D3B652}" srcOrd="0" destOrd="0" presId="urn:microsoft.com/office/officeart/2005/8/layout/cycle2"/>
    <dgm:cxn modelId="{A6CD37E9-D9C8-0744-B018-6B5699E9E7FF}" type="presOf" srcId="{B4F4E791-5FC5-0948-A6F7-75211861BAC2}" destId="{048A6CD2-4403-7A41-B6FC-511D4934B85A}" srcOrd="0" destOrd="0" presId="urn:microsoft.com/office/officeart/2005/8/layout/cycle2"/>
    <dgm:cxn modelId="{0D0C4C4E-3864-C340-92A7-CAC514614293}" type="presOf" srcId="{BCD3925B-415B-B44D-94E4-73C496C796FB}" destId="{697D2DFB-6DB9-894E-94D9-B08E4130298B}" srcOrd="0" destOrd="0" presId="urn:microsoft.com/office/officeart/2005/8/layout/cycle2"/>
    <dgm:cxn modelId="{3CE2D1F2-3322-2D42-A870-B50EF3D93DCF}" type="presOf" srcId="{378B0961-6223-1A48-A29A-9A8C097867E9}" destId="{3A90B048-80DF-5749-805B-495D754221C3}" srcOrd="1" destOrd="0" presId="urn:microsoft.com/office/officeart/2005/8/layout/cycle2"/>
    <dgm:cxn modelId="{6587DD56-2EC5-FB4A-AA8F-E8D7554200EE}" srcId="{FB0AED0C-17E4-0747-AF15-AF4028999600}" destId="{44700F3B-0CD9-8741-B870-309B899A5FBF}" srcOrd="1" destOrd="0" parTransId="{B0250129-6DDF-0445-9165-A74B0CB819F1}" sibTransId="{8FAB9F7E-CDA0-4F4B-B67F-604CB48C788B}"/>
    <dgm:cxn modelId="{E6A35118-0F59-8841-AA3F-6B5C0C672C6E}" type="presOf" srcId="{4311421F-D551-7843-BD46-1EFE2E7105DB}" destId="{A45B678D-A315-954E-910C-B90126414EA6}" srcOrd="1" destOrd="0" presId="urn:microsoft.com/office/officeart/2005/8/layout/cycle2"/>
    <dgm:cxn modelId="{D390FA62-9047-3A48-B924-C5E289E348B7}" srcId="{FB0AED0C-17E4-0747-AF15-AF4028999600}" destId="{B4F4E791-5FC5-0948-A6F7-75211861BAC2}" srcOrd="4" destOrd="0" parTransId="{2D7599B6-6176-A84C-B990-AAE1994C85AB}" sibTransId="{20E4C4E6-253C-3144-A2F1-08C212EF0512}"/>
    <dgm:cxn modelId="{4B76F613-106B-BD4B-B12F-F9D635982E2C}" type="presOf" srcId="{302621C0-7BC1-FF47-8A25-B013E3B2C256}" destId="{CCDC07A2-8B0E-4A4C-BA48-FDFDCB9E06D7}" srcOrd="0" destOrd="0" presId="urn:microsoft.com/office/officeart/2005/8/layout/cycle2"/>
    <dgm:cxn modelId="{86950346-FDF2-1748-8E45-63666EA4C4C9}" type="presOf" srcId="{20E4C4E6-253C-3144-A2F1-08C212EF0512}" destId="{3A085F3B-C826-6D49-A048-CA7984FF1699}" srcOrd="1" destOrd="0" presId="urn:microsoft.com/office/officeart/2005/8/layout/cycle2"/>
    <dgm:cxn modelId="{2A7732C8-9BDD-814F-BA7B-4B2D31CF3046}" srcId="{FB0AED0C-17E4-0747-AF15-AF4028999600}" destId="{AA5F6D86-2C27-DC43-A446-5238280C9DFD}" srcOrd="2" destOrd="0" parTransId="{F0955126-071A-0B42-B13B-D62DA7D89814}" sibTransId="{378B0961-6223-1A48-A29A-9A8C097867E9}"/>
    <dgm:cxn modelId="{FD0B2A5C-E3FA-134B-ACBA-ECA51CC581BB}" type="presOf" srcId="{20E4C4E6-253C-3144-A2F1-08C212EF0512}" destId="{C92C785E-28BB-2C43-BC23-D29A0FD6CB1B}" srcOrd="0" destOrd="0" presId="urn:microsoft.com/office/officeart/2005/8/layout/cycle2"/>
    <dgm:cxn modelId="{29D27726-015A-AC49-BC31-1BFF3BA7BA1B}" type="presOf" srcId="{8FAB9F7E-CDA0-4F4B-B67F-604CB48C788B}" destId="{D576BEA3-496A-764E-A812-AAC688C70E91}" srcOrd="0" destOrd="0" presId="urn:microsoft.com/office/officeart/2005/8/layout/cycle2"/>
    <dgm:cxn modelId="{FFA5A13C-E2A8-8045-BB8F-AD0018F5CAF9}" type="presOf" srcId="{FB0AED0C-17E4-0747-AF15-AF4028999600}" destId="{503A9620-1EA2-AB48-BD29-5AC87A512FFA}" srcOrd="0" destOrd="0" presId="urn:microsoft.com/office/officeart/2005/8/layout/cycle2"/>
    <dgm:cxn modelId="{D7B36126-972C-0D4D-ABFC-57BAD2AF5738}" srcId="{FB0AED0C-17E4-0747-AF15-AF4028999600}" destId="{BCD3925B-415B-B44D-94E4-73C496C796FB}" srcOrd="0" destOrd="0" parTransId="{CFE0D7E2-A69F-FB4F-8A2D-288F73726C36}" sibTransId="{302621C0-7BC1-FF47-8A25-B013E3B2C256}"/>
    <dgm:cxn modelId="{358D5551-289D-E249-A5A0-0239DF9EF820}" type="presOf" srcId="{1B1FDAE5-1B49-9D47-9B28-5BD0B5BFD3CE}" destId="{04A9EB2E-5296-A84A-9257-32D83A9F5174}" srcOrd="0" destOrd="0" presId="urn:microsoft.com/office/officeart/2005/8/layout/cycle2"/>
    <dgm:cxn modelId="{1B02C3A6-0878-5E44-818E-2FA74C3301DA}" srcId="{FB0AED0C-17E4-0747-AF15-AF4028999600}" destId="{1B1FDAE5-1B49-9D47-9B28-5BD0B5BFD3CE}" srcOrd="3" destOrd="0" parTransId="{A075C804-23C8-3B4A-9DC4-5CCE29232E0D}" sibTransId="{4311421F-D551-7843-BD46-1EFE2E7105DB}"/>
    <dgm:cxn modelId="{7D34BF35-E68E-E14E-A0FD-69B5904E3C7B}" type="presOf" srcId="{302621C0-7BC1-FF47-8A25-B013E3B2C256}" destId="{C84762E7-B198-5D43-9726-8FF03AAD2BC0}" srcOrd="1" destOrd="0" presId="urn:microsoft.com/office/officeart/2005/8/layout/cycle2"/>
    <dgm:cxn modelId="{B2EFDA62-27F8-844F-9847-389750B60160}" type="presOf" srcId="{8FAB9F7E-CDA0-4F4B-B67F-604CB48C788B}" destId="{21AF0F7F-2115-9048-9AFB-1E1F2B2CBB6A}" srcOrd="1" destOrd="0" presId="urn:microsoft.com/office/officeart/2005/8/layout/cycle2"/>
    <dgm:cxn modelId="{2E9D6240-B715-7D4D-9FF3-DD5A60AC1E3E}" type="presOf" srcId="{4311421F-D551-7843-BD46-1EFE2E7105DB}" destId="{72BE23BE-E6D6-414F-AA04-5F756D415D6E}" srcOrd="0" destOrd="0" presId="urn:microsoft.com/office/officeart/2005/8/layout/cycle2"/>
    <dgm:cxn modelId="{46F3D973-7FAE-144C-9416-592FFF61ADDA}" type="presOf" srcId="{AA5F6D86-2C27-DC43-A446-5238280C9DFD}" destId="{81B9BA45-E613-EF45-B7AC-49A0674F6857}" srcOrd="0" destOrd="0" presId="urn:microsoft.com/office/officeart/2005/8/layout/cycle2"/>
    <dgm:cxn modelId="{4B0E0AC9-0C12-0543-9E4E-3ABF2D8F2849}" type="presOf" srcId="{378B0961-6223-1A48-A29A-9A8C097867E9}" destId="{F11A2F72-90BE-0944-BB0A-13F7E1C2CC35}" srcOrd="0" destOrd="0" presId="urn:microsoft.com/office/officeart/2005/8/layout/cycle2"/>
    <dgm:cxn modelId="{D054DD40-E1E6-CB4B-BF64-2013EE0BF6F5}" type="presParOf" srcId="{503A9620-1EA2-AB48-BD29-5AC87A512FFA}" destId="{697D2DFB-6DB9-894E-94D9-B08E4130298B}" srcOrd="0" destOrd="0" presId="urn:microsoft.com/office/officeart/2005/8/layout/cycle2"/>
    <dgm:cxn modelId="{A920614A-026E-3D40-AB95-AD6AC52E5379}" type="presParOf" srcId="{503A9620-1EA2-AB48-BD29-5AC87A512FFA}" destId="{CCDC07A2-8B0E-4A4C-BA48-FDFDCB9E06D7}" srcOrd="1" destOrd="0" presId="urn:microsoft.com/office/officeart/2005/8/layout/cycle2"/>
    <dgm:cxn modelId="{6A4D884E-BB0E-C34E-82A1-8D88848E6CCF}" type="presParOf" srcId="{CCDC07A2-8B0E-4A4C-BA48-FDFDCB9E06D7}" destId="{C84762E7-B198-5D43-9726-8FF03AAD2BC0}" srcOrd="0" destOrd="0" presId="urn:microsoft.com/office/officeart/2005/8/layout/cycle2"/>
    <dgm:cxn modelId="{953E3420-76D3-4243-B941-A2165F9C5D0A}" type="presParOf" srcId="{503A9620-1EA2-AB48-BD29-5AC87A512FFA}" destId="{BE9AC931-8192-3548-A133-98A6A9D3B652}" srcOrd="2" destOrd="0" presId="urn:microsoft.com/office/officeart/2005/8/layout/cycle2"/>
    <dgm:cxn modelId="{9A73D5A4-B87A-054B-9DBA-F2C4BBA27FDA}" type="presParOf" srcId="{503A9620-1EA2-AB48-BD29-5AC87A512FFA}" destId="{D576BEA3-496A-764E-A812-AAC688C70E91}" srcOrd="3" destOrd="0" presId="urn:microsoft.com/office/officeart/2005/8/layout/cycle2"/>
    <dgm:cxn modelId="{05C6F9D2-A93C-0E46-A9B7-68D0E1EFDAD4}" type="presParOf" srcId="{D576BEA3-496A-764E-A812-AAC688C70E91}" destId="{21AF0F7F-2115-9048-9AFB-1E1F2B2CBB6A}" srcOrd="0" destOrd="0" presId="urn:microsoft.com/office/officeart/2005/8/layout/cycle2"/>
    <dgm:cxn modelId="{B65AC398-7B76-AC47-AC38-ABFE3947593E}" type="presParOf" srcId="{503A9620-1EA2-AB48-BD29-5AC87A512FFA}" destId="{81B9BA45-E613-EF45-B7AC-49A0674F6857}" srcOrd="4" destOrd="0" presId="urn:microsoft.com/office/officeart/2005/8/layout/cycle2"/>
    <dgm:cxn modelId="{DC530732-E848-CC46-86BD-566D5DED1CFA}" type="presParOf" srcId="{503A9620-1EA2-AB48-BD29-5AC87A512FFA}" destId="{F11A2F72-90BE-0944-BB0A-13F7E1C2CC35}" srcOrd="5" destOrd="0" presId="urn:microsoft.com/office/officeart/2005/8/layout/cycle2"/>
    <dgm:cxn modelId="{4B11DE7D-3797-484C-826F-FE06A68736B0}" type="presParOf" srcId="{F11A2F72-90BE-0944-BB0A-13F7E1C2CC35}" destId="{3A90B048-80DF-5749-805B-495D754221C3}" srcOrd="0" destOrd="0" presId="urn:microsoft.com/office/officeart/2005/8/layout/cycle2"/>
    <dgm:cxn modelId="{04D4B03D-2AA5-6E41-BBF2-9E154C4B3955}" type="presParOf" srcId="{503A9620-1EA2-AB48-BD29-5AC87A512FFA}" destId="{04A9EB2E-5296-A84A-9257-32D83A9F5174}" srcOrd="6" destOrd="0" presId="urn:microsoft.com/office/officeart/2005/8/layout/cycle2"/>
    <dgm:cxn modelId="{4DC95D2A-D4D4-264D-B61E-A832137F3A25}" type="presParOf" srcId="{503A9620-1EA2-AB48-BD29-5AC87A512FFA}" destId="{72BE23BE-E6D6-414F-AA04-5F756D415D6E}" srcOrd="7" destOrd="0" presId="urn:microsoft.com/office/officeart/2005/8/layout/cycle2"/>
    <dgm:cxn modelId="{7CBA47B4-5446-B44C-AEC1-24E9FB5B8C85}" type="presParOf" srcId="{72BE23BE-E6D6-414F-AA04-5F756D415D6E}" destId="{A45B678D-A315-954E-910C-B90126414EA6}" srcOrd="0" destOrd="0" presId="urn:microsoft.com/office/officeart/2005/8/layout/cycle2"/>
    <dgm:cxn modelId="{D40DC8CF-5B4E-6848-86A8-3E9385770F90}" type="presParOf" srcId="{503A9620-1EA2-AB48-BD29-5AC87A512FFA}" destId="{048A6CD2-4403-7A41-B6FC-511D4934B85A}" srcOrd="8" destOrd="0" presId="urn:microsoft.com/office/officeart/2005/8/layout/cycle2"/>
    <dgm:cxn modelId="{D3A6D3BB-0269-8A4A-8070-6985CE7BF606}" type="presParOf" srcId="{503A9620-1EA2-AB48-BD29-5AC87A512FFA}" destId="{C92C785E-28BB-2C43-BC23-D29A0FD6CB1B}" srcOrd="9" destOrd="0" presId="urn:microsoft.com/office/officeart/2005/8/layout/cycle2"/>
    <dgm:cxn modelId="{E65CC856-D720-FC47-A40C-CB46C8CD4943}" type="presParOf" srcId="{C92C785E-28BB-2C43-BC23-D29A0FD6CB1B}" destId="{3A085F3B-C826-6D49-A048-CA7984FF1699}"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CA62BA2-D182-5541-8490-7F1D9296A965}" type="doc">
      <dgm:prSet loTypeId="urn:microsoft.com/office/officeart/2005/8/layout/hList1" loCatId="" qsTypeId="urn:microsoft.com/office/officeart/2005/8/quickstyle/simple4" qsCatId="simple" csTypeId="urn:microsoft.com/office/officeart/2005/8/colors/accent1_2" csCatId="accent1" phldr="1"/>
      <dgm:spPr/>
      <dgm:t>
        <a:bodyPr/>
        <a:lstStyle/>
        <a:p>
          <a:endParaRPr lang="en-US"/>
        </a:p>
      </dgm:t>
    </dgm:pt>
    <dgm:pt modelId="{E7D8245A-164B-EC4D-9149-B98F80F46060}">
      <dgm:prSet phldrT="[Text]"/>
      <dgm:spPr>
        <a:solidFill>
          <a:schemeClr val="accent3"/>
        </a:solidFill>
      </dgm:spPr>
      <dgm:t>
        <a:bodyPr/>
        <a:lstStyle/>
        <a:p>
          <a:r>
            <a:rPr lang="en-US"/>
            <a:t>Type I</a:t>
          </a:r>
        </a:p>
      </dgm:t>
    </dgm:pt>
    <dgm:pt modelId="{9FBF7861-4A6A-AE49-B659-B3813E6AE4C3}" type="parTrans" cxnId="{D1665C6D-A89B-2C47-AA5B-DBB1778F9E64}">
      <dgm:prSet/>
      <dgm:spPr/>
      <dgm:t>
        <a:bodyPr/>
        <a:lstStyle/>
        <a:p>
          <a:endParaRPr lang="en-US"/>
        </a:p>
      </dgm:t>
    </dgm:pt>
    <dgm:pt modelId="{8094F8F4-93B5-F841-8DD6-0EF525969901}" type="sibTrans" cxnId="{D1665C6D-A89B-2C47-AA5B-DBB1778F9E64}">
      <dgm:prSet/>
      <dgm:spPr/>
      <dgm:t>
        <a:bodyPr/>
        <a:lstStyle/>
        <a:p>
          <a:endParaRPr lang="en-US"/>
        </a:p>
      </dgm:t>
    </dgm:pt>
    <dgm:pt modelId="{446FFA36-3040-8944-B536-D8E0901998E7}">
      <dgm:prSet phldrT="[Text]"/>
      <dgm:spPr/>
      <dgm:t>
        <a:bodyPr/>
        <a:lstStyle/>
        <a:p>
          <a:r>
            <a:rPr lang="en-US"/>
            <a:t>multi-task jurisdictions</a:t>
          </a:r>
        </a:p>
      </dgm:t>
    </dgm:pt>
    <dgm:pt modelId="{FF473A3F-6CC8-8540-80C5-BB6E4A8C6BE8}" type="parTrans" cxnId="{A285035A-CF97-5544-A1AB-8E864A8CA21F}">
      <dgm:prSet/>
      <dgm:spPr/>
      <dgm:t>
        <a:bodyPr/>
        <a:lstStyle/>
        <a:p>
          <a:endParaRPr lang="en-US"/>
        </a:p>
      </dgm:t>
    </dgm:pt>
    <dgm:pt modelId="{E633EECD-1EC6-9643-AC65-F08B846CAC92}" type="sibTrans" cxnId="{A285035A-CF97-5544-A1AB-8E864A8CA21F}">
      <dgm:prSet/>
      <dgm:spPr/>
      <dgm:t>
        <a:bodyPr/>
        <a:lstStyle/>
        <a:p>
          <a:endParaRPr lang="en-US"/>
        </a:p>
      </dgm:t>
    </dgm:pt>
    <dgm:pt modelId="{43B649B5-9B5E-4045-B262-098B352FB1A4}">
      <dgm:prSet phldrT="[Text]"/>
      <dgm:spPr/>
      <dgm:t>
        <a:bodyPr/>
        <a:lstStyle/>
        <a:p>
          <a:r>
            <a:rPr lang="en-US"/>
            <a:t>mutually exclusive jurisdictions at any particular level</a:t>
          </a:r>
        </a:p>
      </dgm:t>
    </dgm:pt>
    <dgm:pt modelId="{68760958-C767-2344-9F2F-D2D98CE9AA68}" type="parTrans" cxnId="{113FB199-475B-C048-9801-F5D7C88A6E55}">
      <dgm:prSet/>
      <dgm:spPr/>
      <dgm:t>
        <a:bodyPr/>
        <a:lstStyle/>
        <a:p>
          <a:endParaRPr lang="en-US"/>
        </a:p>
      </dgm:t>
    </dgm:pt>
    <dgm:pt modelId="{EB670E6C-070F-0142-A4BC-123D13961716}" type="sibTrans" cxnId="{113FB199-475B-C048-9801-F5D7C88A6E55}">
      <dgm:prSet/>
      <dgm:spPr/>
      <dgm:t>
        <a:bodyPr/>
        <a:lstStyle/>
        <a:p>
          <a:endParaRPr lang="en-US"/>
        </a:p>
      </dgm:t>
    </dgm:pt>
    <dgm:pt modelId="{211AF562-741A-DC4B-A681-7857EC2429FA}">
      <dgm:prSet phldrT="[Text]"/>
      <dgm:spPr>
        <a:solidFill>
          <a:schemeClr val="accent3"/>
        </a:solidFill>
      </dgm:spPr>
      <dgm:t>
        <a:bodyPr/>
        <a:lstStyle/>
        <a:p>
          <a:r>
            <a:rPr lang="en-US"/>
            <a:t>Type II</a:t>
          </a:r>
        </a:p>
      </dgm:t>
    </dgm:pt>
    <dgm:pt modelId="{FDCBF1FF-434C-3A41-A041-8364F955054A}" type="parTrans" cxnId="{01E0DC31-4700-5745-B151-6D18FE0648E0}">
      <dgm:prSet/>
      <dgm:spPr/>
      <dgm:t>
        <a:bodyPr/>
        <a:lstStyle/>
        <a:p>
          <a:endParaRPr lang="en-US"/>
        </a:p>
      </dgm:t>
    </dgm:pt>
    <dgm:pt modelId="{A091EC91-A328-8D46-9549-59CBB9483120}" type="sibTrans" cxnId="{01E0DC31-4700-5745-B151-6D18FE0648E0}">
      <dgm:prSet/>
      <dgm:spPr/>
      <dgm:t>
        <a:bodyPr/>
        <a:lstStyle/>
        <a:p>
          <a:endParaRPr lang="en-US"/>
        </a:p>
      </dgm:t>
    </dgm:pt>
    <dgm:pt modelId="{631F374D-33E1-614B-BFB2-62D2E1E754DD}">
      <dgm:prSet phldrT="[Text]"/>
      <dgm:spPr/>
      <dgm:t>
        <a:bodyPr/>
        <a:lstStyle/>
        <a:p>
          <a:r>
            <a:rPr lang="en-US"/>
            <a:t>task-specific jurisdictions</a:t>
          </a:r>
        </a:p>
      </dgm:t>
    </dgm:pt>
    <dgm:pt modelId="{8B488A3A-74B3-5241-88DF-FEEE9354B6F9}" type="parTrans" cxnId="{474E4457-A6AA-9F43-887F-1DCF079754C7}">
      <dgm:prSet/>
      <dgm:spPr/>
      <dgm:t>
        <a:bodyPr/>
        <a:lstStyle/>
        <a:p>
          <a:endParaRPr lang="en-US"/>
        </a:p>
      </dgm:t>
    </dgm:pt>
    <dgm:pt modelId="{A9CDFB6B-F1A8-E141-A08D-CCBC863A771C}" type="sibTrans" cxnId="{474E4457-A6AA-9F43-887F-1DCF079754C7}">
      <dgm:prSet/>
      <dgm:spPr/>
      <dgm:t>
        <a:bodyPr/>
        <a:lstStyle/>
        <a:p>
          <a:endParaRPr lang="en-US"/>
        </a:p>
      </dgm:t>
    </dgm:pt>
    <dgm:pt modelId="{1CE10227-ADCB-BD45-B352-389576B30C83}">
      <dgm:prSet phldrT="[Text]"/>
      <dgm:spPr/>
      <dgm:t>
        <a:bodyPr/>
        <a:lstStyle/>
        <a:p>
          <a:r>
            <a:rPr lang="en-US"/>
            <a:t>no limit to the number of jurisdictional levels</a:t>
          </a:r>
        </a:p>
      </dgm:t>
    </dgm:pt>
    <dgm:pt modelId="{B7A45266-9465-0344-837F-EB86916147F9}" type="parTrans" cxnId="{8F215501-EB48-494D-9EF5-BCEAC480AB74}">
      <dgm:prSet/>
      <dgm:spPr/>
      <dgm:t>
        <a:bodyPr/>
        <a:lstStyle/>
        <a:p>
          <a:endParaRPr lang="en-US"/>
        </a:p>
      </dgm:t>
    </dgm:pt>
    <dgm:pt modelId="{00C70D0B-2792-6A4C-95DF-0E4D92F0D50E}" type="sibTrans" cxnId="{8F215501-EB48-494D-9EF5-BCEAC480AB74}">
      <dgm:prSet/>
      <dgm:spPr/>
      <dgm:t>
        <a:bodyPr/>
        <a:lstStyle/>
        <a:p>
          <a:endParaRPr lang="en-US"/>
        </a:p>
      </dgm:t>
    </dgm:pt>
    <dgm:pt modelId="{19CD1287-4C91-254C-AE50-4B55F79639F3}">
      <dgm:prSet phldrT="[Text]"/>
      <dgm:spPr/>
      <dgm:t>
        <a:bodyPr/>
        <a:lstStyle/>
        <a:p>
          <a:r>
            <a:rPr lang="en-US"/>
            <a:t>limited number of jurisdictions</a:t>
          </a:r>
        </a:p>
      </dgm:t>
    </dgm:pt>
    <dgm:pt modelId="{6B491D06-FB29-C141-97BA-DAD66511BC4D}" type="parTrans" cxnId="{FDD5C92F-8C56-3349-956F-D4211639229A}">
      <dgm:prSet/>
      <dgm:spPr/>
      <dgm:t>
        <a:bodyPr/>
        <a:lstStyle/>
        <a:p>
          <a:endParaRPr lang="en-US"/>
        </a:p>
      </dgm:t>
    </dgm:pt>
    <dgm:pt modelId="{9FC68979-ECF6-AC49-9CC4-2AF53D330E0F}" type="sibTrans" cxnId="{FDD5C92F-8C56-3349-956F-D4211639229A}">
      <dgm:prSet/>
      <dgm:spPr/>
      <dgm:t>
        <a:bodyPr/>
        <a:lstStyle/>
        <a:p>
          <a:endParaRPr lang="en-US"/>
        </a:p>
      </dgm:t>
    </dgm:pt>
    <dgm:pt modelId="{E2F46CA4-4CBB-5D4D-904B-7DD8D2EB5317}">
      <dgm:prSet phldrT="[Text]"/>
      <dgm:spPr/>
      <dgm:t>
        <a:bodyPr/>
        <a:lstStyle/>
        <a:p>
          <a:r>
            <a:rPr lang="en-US"/>
            <a:t>jurisdictions organized in a limited number of levels</a:t>
          </a:r>
        </a:p>
      </dgm:t>
    </dgm:pt>
    <dgm:pt modelId="{91E6C2D0-E064-E347-9974-75378DBF3183}" type="parTrans" cxnId="{CE3FB2E7-DCE1-534D-B513-2EED801202FB}">
      <dgm:prSet/>
      <dgm:spPr/>
      <dgm:t>
        <a:bodyPr/>
        <a:lstStyle/>
        <a:p>
          <a:endParaRPr lang="en-US"/>
        </a:p>
      </dgm:t>
    </dgm:pt>
    <dgm:pt modelId="{0DFEF1DD-5F45-DC48-B46F-0850FD1B86C8}" type="sibTrans" cxnId="{CE3FB2E7-DCE1-534D-B513-2EED801202FB}">
      <dgm:prSet/>
      <dgm:spPr/>
      <dgm:t>
        <a:bodyPr/>
        <a:lstStyle/>
        <a:p>
          <a:endParaRPr lang="en-US"/>
        </a:p>
      </dgm:t>
    </dgm:pt>
    <dgm:pt modelId="{57F00B1F-8623-464B-A333-4C7E6DCC9500}">
      <dgm:prSet phldrT="[Text]"/>
      <dgm:spPr/>
      <dgm:t>
        <a:bodyPr/>
        <a:lstStyle/>
        <a:p>
          <a:r>
            <a:rPr lang="en-US"/>
            <a:t>jurisdictions are intended to be permanent</a:t>
          </a:r>
        </a:p>
      </dgm:t>
    </dgm:pt>
    <dgm:pt modelId="{34F5A5A4-C661-9849-93D9-F2828E5E6CB4}" type="parTrans" cxnId="{A98E507B-A82A-E741-9CA6-F23985E14087}">
      <dgm:prSet/>
      <dgm:spPr/>
      <dgm:t>
        <a:bodyPr/>
        <a:lstStyle/>
        <a:p>
          <a:endParaRPr lang="en-US"/>
        </a:p>
      </dgm:t>
    </dgm:pt>
    <dgm:pt modelId="{5FF8D7A4-1AE8-C14D-B70A-A31FE7D55938}" type="sibTrans" cxnId="{A98E507B-A82A-E741-9CA6-F23985E14087}">
      <dgm:prSet/>
      <dgm:spPr/>
      <dgm:t>
        <a:bodyPr/>
        <a:lstStyle/>
        <a:p>
          <a:endParaRPr lang="en-US"/>
        </a:p>
      </dgm:t>
    </dgm:pt>
    <dgm:pt modelId="{6C8906EC-AEBF-A842-AAB9-BAB6B3FF24F5}">
      <dgm:prSet phldrT="[Text]"/>
      <dgm:spPr/>
      <dgm:t>
        <a:bodyPr/>
        <a:lstStyle/>
        <a:p>
          <a:r>
            <a:rPr lang="en-US"/>
            <a:t>overlapping jurisdictions at all levels</a:t>
          </a:r>
        </a:p>
      </dgm:t>
    </dgm:pt>
    <dgm:pt modelId="{D4AA032C-5E22-A040-9A4C-9E0F029681E0}" type="parTrans" cxnId="{E134531E-DF20-AE42-9CB2-21BBC08C3631}">
      <dgm:prSet/>
      <dgm:spPr/>
      <dgm:t>
        <a:bodyPr/>
        <a:lstStyle/>
        <a:p>
          <a:endParaRPr lang="en-US"/>
        </a:p>
      </dgm:t>
    </dgm:pt>
    <dgm:pt modelId="{A0AC1496-632C-3A4F-A2EA-FBAB189A22EC}" type="sibTrans" cxnId="{E134531E-DF20-AE42-9CB2-21BBC08C3631}">
      <dgm:prSet/>
      <dgm:spPr/>
      <dgm:t>
        <a:bodyPr/>
        <a:lstStyle/>
        <a:p>
          <a:endParaRPr lang="en-US"/>
        </a:p>
      </dgm:t>
    </dgm:pt>
    <dgm:pt modelId="{88CA0693-7490-5F40-B41A-245224E3CB77}">
      <dgm:prSet phldrT="[Text]"/>
      <dgm:spPr/>
      <dgm:t>
        <a:bodyPr/>
        <a:lstStyle/>
        <a:p>
          <a:r>
            <a:rPr lang="en-US"/>
            <a:t>unlimited number of jurisdictions</a:t>
          </a:r>
        </a:p>
      </dgm:t>
    </dgm:pt>
    <dgm:pt modelId="{5F1DD3F0-70EA-424F-A65A-65DB1EE02543}" type="parTrans" cxnId="{79F0983B-075C-D448-A80E-1B26A9971193}">
      <dgm:prSet/>
      <dgm:spPr/>
      <dgm:t>
        <a:bodyPr/>
        <a:lstStyle/>
        <a:p>
          <a:endParaRPr lang="en-US"/>
        </a:p>
      </dgm:t>
    </dgm:pt>
    <dgm:pt modelId="{2FBC4ABF-521F-0845-990A-E8BCB1D075FE}" type="sibTrans" cxnId="{79F0983B-075C-D448-A80E-1B26A9971193}">
      <dgm:prSet/>
      <dgm:spPr/>
      <dgm:t>
        <a:bodyPr/>
        <a:lstStyle/>
        <a:p>
          <a:endParaRPr lang="en-US"/>
        </a:p>
      </dgm:t>
    </dgm:pt>
    <dgm:pt modelId="{5C88C9D1-3CE4-5A4B-BBB5-ECF5B3F6B4E3}">
      <dgm:prSet phldrT="[Text]"/>
      <dgm:spPr/>
      <dgm:t>
        <a:bodyPr/>
        <a:lstStyle/>
        <a:p>
          <a:r>
            <a:rPr lang="en-US"/>
            <a:t>jurisdictions are intended to be flexible</a:t>
          </a:r>
        </a:p>
      </dgm:t>
    </dgm:pt>
    <dgm:pt modelId="{9038E1A2-6FB8-494F-9356-3C731665DFBD}" type="parTrans" cxnId="{C14E7EAE-9E16-B34B-8E4B-7371458958B9}">
      <dgm:prSet/>
      <dgm:spPr/>
      <dgm:t>
        <a:bodyPr/>
        <a:lstStyle/>
        <a:p>
          <a:endParaRPr lang="en-US"/>
        </a:p>
      </dgm:t>
    </dgm:pt>
    <dgm:pt modelId="{B5E4BBE1-132D-1C47-A14C-40241BEE4265}" type="sibTrans" cxnId="{C14E7EAE-9E16-B34B-8E4B-7371458958B9}">
      <dgm:prSet/>
      <dgm:spPr/>
      <dgm:t>
        <a:bodyPr/>
        <a:lstStyle/>
        <a:p>
          <a:endParaRPr lang="en-US"/>
        </a:p>
      </dgm:t>
    </dgm:pt>
    <dgm:pt modelId="{1C1ECFEC-E2F7-6D47-85BE-AF905AD9DC10}" type="pres">
      <dgm:prSet presAssocID="{BCA62BA2-D182-5541-8490-7F1D9296A965}" presName="Name0" presStyleCnt="0">
        <dgm:presLayoutVars>
          <dgm:dir/>
          <dgm:animLvl val="lvl"/>
          <dgm:resizeHandles val="exact"/>
        </dgm:presLayoutVars>
      </dgm:prSet>
      <dgm:spPr/>
      <dgm:t>
        <a:bodyPr/>
        <a:lstStyle/>
        <a:p>
          <a:endParaRPr lang="en-US"/>
        </a:p>
      </dgm:t>
    </dgm:pt>
    <dgm:pt modelId="{E72ABAF3-A7E5-874F-81A4-EA2AF6BAA76F}" type="pres">
      <dgm:prSet presAssocID="{E7D8245A-164B-EC4D-9149-B98F80F46060}" presName="composite" presStyleCnt="0"/>
      <dgm:spPr/>
    </dgm:pt>
    <dgm:pt modelId="{9C620D20-C272-4F46-A54D-8F476AC7F29C}" type="pres">
      <dgm:prSet presAssocID="{E7D8245A-164B-EC4D-9149-B98F80F46060}" presName="parTx" presStyleLbl="alignNode1" presStyleIdx="0" presStyleCnt="2">
        <dgm:presLayoutVars>
          <dgm:chMax val="0"/>
          <dgm:chPref val="0"/>
          <dgm:bulletEnabled val="1"/>
        </dgm:presLayoutVars>
      </dgm:prSet>
      <dgm:spPr/>
      <dgm:t>
        <a:bodyPr/>
        <a:lstStyle/>
        <a:p>
          <a:endParaRPr lang="en-US"/>
        </a:p>
      </dgm:t>
    </dgm:pt>
    <dgm:pt modelId="{828874E5-ED2E-DC4E-88DA-3A7E03EFC28D}" type="pres">
      <dgm:prSet presAssocID="{E7D8245A-164B-EC4D-9149-B98F80F46060}" presName="desTx" presStyleLbl="alignAccFollowNode1" presStyleIdx="0" presStyleCnt="2">
        <dgm:presLayoutVars>
          <dgm:bulletEnabled val="1"/>
        </dgm:presLayoutVars>
      </dgm:prSet>
      <dgm:spPr/>
      <dgm:t>
        <a:bodyPr/>
        <a:lstStyle/>
        <a:p>
          <a:endParaRPr lang="en-US"/>
        </a:p>
      </dgm:t>
    </dgm:pt>
    <dgm:pt modelId="{4A19D6AE-D18A-DD47-989E-E34B125D5D52}" type="pres">
      <dgm:prSet presAssocID="{8094F8F4-93B5-F841-8DD6-0EF525969901}" presName="space" presStyleCnt="0"/>
      <dgm:spPr/>
    </dgm:pt>
    <dgm:pt modelId="{6CD8A3BC-3049-AC4A-9E1C-1D71F2ADCB58}" type="pres">
      <dgm:prSet presAssocID="{211AF562-741A-DC4B-A681-7857EC2429FA}" presName="composite" presStyleCnt="0"/>
      <dgm:spPr/>
    </dgm:pt>
    <dgm:pt modelId="{D13C72B2-F8F0-1C4F-93DC-698B812C4B7D}" type="pres">
      <dgm:prSet presAssocID="{211AF562-741A-DC4B-A681-7857EC2429FA}" presName="parTx" presStyleLbl="alignNode1" presStyleIdx="1" presStyleCnt="2">
        <dgm:presLayoutVars>
          <dgm:chMax val="0"/>
          <dgm:chPref val="0"/>
          <dgm:bulletEnabled val="1"/>
        </dgm:presLayoutVars>
      </dgm:prSet>
      <dgm:spPr/>
      <dgm:t>
        <a:bodyPr/>
        <a:lstStyle/>
        <a:p>
          <a:endParaRPr lang="en-US"/>
        </a:p>
      </dgm:t>
    </dgm:pt>
    <dgm:pt modelId="{4DBCD716-8717-7147-9007-800B38B7FCDE}" type="pres">
      <dgm:prSet presAssocID="{211AF562-741A-DC4B-A681-7857EC2429FA}" presName="desTx" presStyleLbl="alignAccFollowNode1" presStyleIdx="1" presStyleCnt="2">
        <dgm:presLayoutVars>
          <dgm:bulletEnabled val="1"/>
        </dgm:presLayoutVars>
      </dgm:prSet>
      <dgm:spPr/>
      <dgm:t>
        <a:bodyPr/>
        <a:lstStyle/>
        <a:p>
          <a:endParaRPr lang="en-US"/>
        </a:p>
      </dgm:t>
    </dgm:pt>
  </dgm:ptLst>
  <dgm:cxnLst>
    <dgm:cxn modelId="{3F18F34D-24A0-7840-ADBF-A243F7BE4557}" type="presOf" srcId="{19CD1287-4C91-254C-AE50-4B55F79639F3}" destId="{828874E5-ED2E-DC4E-88DA-3A7E03EFC28D}" srcOrd="0" destOrd="2" presId="urn:microsoft.com/office/officeart/2005/8/layout/hList1"/>
    <dgm:cxn modelId="{08488602-61C8-DB45-80A0-369BD0FE232B}" type="presOf" srcId="{6C8906EC-AEBF-A842-AAB9-BAB6B3FF24F5}" destId="{4DBCD716-8717-7147-9007-800B38B7FCDE}" srcOrd="0" destOrd="1" presId="urn:microsoft.com/office/officeart/2005/8/layout/hList1"/>
    <dgm:cxn modelId="{113FB199-475B-C048-9801-F5D7C88A6E55}" srcId="{E7D8245A-164B-EC4D-9149-B98F80F46060}" destId="{43B649B5-9B5E-4045-B262-098B352FB1A4}" srcOrd="1" destOrd="0" parTransId="{68760958-C767-2344-9F2F-D2D98CE9AA68}" sibTransId="{EB670E6C-070F-0142-A4BC-123D13961716}"/>
    <dgm:cxn modelId="{71E4490B-101F-8E4D-BE64-2258BAD05711}" type="presOf" srcId="{5C88C9D1-3CE4-5A4B-BBB5-ECF5B3F6B4E3}" destId="{4DBCD716-8717-7147-9007-800B38B7FCDE}" srcOrd="0" destOrd="4" presId="urn:microsoft.com/office/officeart/2005/8/layout/hList1"/>
    <dgm:cxn modelId="{A8A95BA4-BC4B-864C-A6C3-DA4BCBCC3C7F}" type="presOf" srcId="{88CA0693-7490-5F40-B41A-245224E3CB77}" destId="{4DBCD716-8717-7147-9007-800B38B7FCDE}" srcOrd="0" destOrd="2" presId="urn:microsoft.com/office/officeart/2005/8/layout/hList1"/>
    <dgm:cxn modelId="{79F0983B-075C-D448-A80E-1B26A9971193}" srcId="{211AF562-741A-DC4B-A681-7857EC2429FA}" destId="{88CA0693-7490-5F40-B41A-245224E3CB77}" srcOrd="2" destOrd="0" parTransId="{5F1DD3F0-70EA-424F-A65A-65DB1EE02543}" sibTransId="{2FBC4ABF-521F-0845-990A-E8BCB1D075FE}"/>
    <dgm:cxn modelId="{A285035A-CF97-5544-A1AB-8E864A8CA21F}" srcId="{E7D8245A-164B-EC4D-9149-B98F80F46060}" destId="{446FFA36-3040-8944-B536-D8E0901998E7}" srcOrd="0" destOrd="0" parTransId="{FF473A3F-6CC8-8540-80C5-BB6E4A8C6BE8}" sibTransId="{E633EECD-1EC6-9643-AC65-F08B846CAC92}"/>
    <dgm:cxn modelId="{6F2D3FC6-87DC-1649-8093-4E6D9EA8D394}" type="presOf" srcId="{57F00B1F-8623-464B-A333-4C7E6DCC9500}" destId="{828874E5-ED2E-DC4E-88DA-3A7E03EFC28D}" srcOrd="0" destOrd="4" presId="urn:microsoft.com/office/officeart/2005/8/layout/hList1"/>
    <dgm:cxn modelId="{B36A31DC-73B2-5843-9223-66443B68E1F8}" type="presOf" srcId="{446FFA36-3040-8944-B536-D8E0901998E7}" destId="{828874E5-ED2E-DC4E-88DA-3A7E03EFC28D}" srcOrd="0" destOrd="0" presId="urn:microsoft.com/office/officeart/2005/8/layout/hList1"/>
    <dgm:cxn modelId="{D51C90B2-38D7-DA48-9F75-59C42C41F2C6}" type="presOf" srcId="{E7D8245A-164B-EC4D-9149-B98F80F46060}" destId="{9C620D20-C272-4F46-A54D-8F476AC7F29C}" srcOrd="0" destOrd="0" presId="urn:microsoft.com/office/officeart/2005/8/layout/hList1"/>
    <dgm:cxn modelId="{ABCE1F41-7F4B-0B41-B4A5-BD12BBBBC68B}" type="presOf" srcId="{E2F46CA4-4CBB-5D4D-904B-7DD8D2EB5317}" destId="{828874E5-ED2E-DC4E-88DA-3A7E03EFC28D}" srcOrd="0" destOrd="3" presId="urn:microsoft.com/office/officeart/2005/8/layout/hList1"/>
    <dgm:cxn modelId="{B5789048-2519-CF4D-A152-5BE51BC16907}" type="presOf" srcId="{211AF562-741A-DC4B-A681-7857EC2429FA}" destId="{D13C72B2-F8F0-1C4F-93DC-698B812C4B7D}" srcOrd="0" destOrd="0" presId="urn:microsoft.com/office/officeart/2005/8/layout/hList1"/>
    <dgm:cxn modelId="{FDD5C92F-8C56-3349-956F-D4211639229A}" srcId="{E7D8245A-164B-EC4D-9149-B98F80F46060}" destId="{19CD1287-4C91-254C-AE50-4B55F79639F3}" srcOrd="2" destOrd="0" parTransId="{6B491D06-FB29-C141-97BA-DAD66511BC4D}" sibTransId="{9FC68979-ECF6-AC49-9CC4-2AF53D330E0F}"/>
    <dgm:cxn modelId="{0C47FAA1-1ABD-4F45-B586-69C6D73CA739}" type="presOf" srcId="{43B649B5-9B5E-4045-B262-098B352FB1A4}" destId="{828874E5-ED2E-DC4E-88DA-3A7E03EFC28D}" srcOrd="0" destOrd="1" presId="urn:microsoft.com/office/officeart/2005/8/layout/hList1"/>
    <dgm:cxn modelId="{8F215501-EB48-494D-9EF5-BCEAC480AB74}" srcId="{211AF562-741A-DC4B-A681-7857EC2429FA}" destId="{1CE10227-ADCB-BD45-B352-389576B30C83}" srcOrd="3" destOrd="0" parTransId="{B7A45266-9465-0344-837F-EB86916147F9}" sibTransId="{00C70D0B-2792-6A4C-95DF-0E4D92F0D50E}"/>
    <dgm:cxn modelId="{C14E7EAE-9E16-B34B-8E4B-7371458958B9}" srcId="{211AF562-741A-DC4B-A681-7857EC2429FA}" destId="{5C88C9D1-3CE4-5A4B-BBB5-ECF5B3F6B4E3}" srcOrd="4" destOrd="0" parTransId="{9038E1A2-6FB8-494F-9356-3C731665DFBD}" sibTransId="{B5E4BBE1-132D-1C47-A14C-40241BEE4265}"/>
    <dgm:cxn modelId="{01E0DC31-4700-5745-B151-6D18FE0648E0}" srcId="{BCA62BA2-D182-5541-8490-7F1D9296A965}" destId="{211AF562-741A-DC4B-A681-7857EC2429FA}" srcOrd="1" destOrd="0" parTransId="{FDCBF1FF-434C-3A41-A041-8364F955054A}" sibTransId="{A091EC91-A328-8D46-9549-59CBB9483120}"/>
    <dgm:cxn modelId="{CE3FB2E7-DCE1-534D-B513-2EED801202FB}" srcId="{E7D8245A-164B-EC4D-9149-B98F80F46060}" destId="{E2F46CA4-4CBB-5D4D-904B-7DD8D2EB5317}" srcOrd="3" destOrd="0" parTransId="{91E6C2D0-E064-E347-9974-75378DBF3183}" sibTransId="{0DFEF1DD-5F45-DC48-B46F-0850FD1B86C8}"/>
    <dgm:cxn modelId="{0C83BA3E-A75E-6045-8042-A6B887C6CCF2}" type="presOf" srcId="{1CE10227-ADCB-BD45-B352-389576B30C83}" destId="{4DBCD716-8717-7147-9007-800B38B7FCDE}" srcOrd="0" destOrd="3" presId="urn:microsoft.com/office/officeart/2005/8/layout/hList1"/>
    <dgm:cxn modelId="{E68573ED-25A7-644B-90B8-28251AA0A10C}" type="presOf" srcId="{BCA62BA2-D182-5541-8490-7F1D9296A965}" destId="{1C1ECFEC-E2F7-6D47-85BE-AF905AD9DC10}" srcOrd="0" destOrd="0" presId="urn:microsoft.com/office/officeart/2005/8/layout/hList1"/>
    <dgm:cxn modelId="{E134531E-DF20-AE42-9CB2-21BBC08C3631}" srcId="{211AF562-741A-DC4B-A681-7857EC2429FA}" destId="{6C8906EC-AEBF-A842-AAB9-BAB6B3FF24F5}" srcOrd="1" destOrd="0" parTransId="{D4AA032C-5E22-A040-9A4C-9E0F029681E0}" sibTransId="{A0AC1496-632C-3A4F-A2EA-FBAB189A22EC}"/>
    <dgm:cxn modelId="{9F644C47-585A-F243-8523-24E21ED6DAC4}" type="presOf" srcId="{631F374D-33E1-614B-BFB2-62D2E1E754DD}" destId="{4DBCD716-8717-7147-9007-800B38B7FCDE}" srcOrd="0" destOrd="0" presId="urn:microsoft.com/office/officeart/2005/8/layout/hList1"/>
    <dgm:cxn modelId="{D1665C6D-A89B-2C47-AA5B-DBB1778F9E64}" srcId="{BCA62BA2-D182-5541-8490-7F1D9296A965}" destId="{E7D8245A-164B-EC4D-9149-B98F80F46060}" srcOrd="0" destOrd="0" parTransId="{9FBF7861-4A6A-AE49-B659-B3813E6AE4C3}" sibTransId="{8094F8F4-93B5-F841-8DD6-0EF525969901}"/>
    <dgm:cxn modelId="{A98E507B-A82A-E741-9CA6-F23985E14087}" srcId="{E7D8245A-164B-EC4D-9149-B98F80F46060}" destId="{57F00B1F-8623-464B-A333-4C7E6DCC9500}" srcOrd="4" destOrd="0" parTransId="{34F5A5A4-C661-9849-93D9-F2828E5E6CB4}" sibTransId="{5FF8D7A4-1AE8-C14D-B70A-A31FE7D55938}"/>
    <dgm:cxn modelId="{474E4457-A6AA-9F43-887F-1DCF079754C7}" srcId="{211AF562-741A-DC4B-A681-7857EC2429FA}" destId="{631F374D-33E1-614B-BFB2-62D2E1E754DD}" srcOrd="0" destOrd="0" parTransId="{8B488A3A-74B3-5241-88DF-FEEE9354B6F9}" sibTransId="{A9CDFB6B-F1A8-E141-A08D-CCBC863A771C}"/>
    <dgm:cxn modelId="{30F61653-DCFB-4544-9486-F7B1C619248E}" type="presParOf" srcId="{1C1ECFEC-E2F7-6D47-85BE-AF905AD9DC10}" destId="{E72ABAF3-A7E5-874F-81A4-EA2AF6BAA76F}" srcOrd="0" destOrd="0" presId="urn:microsoft.com/office/officeart/2005/8/layout/hList1"/>
    <dgm:cxn modelId="{ABA82B49-5438-814D-8251-370EABD0BF23}" type="presParOf" srcId="{E72ABAF3-A7E5-874F-81A4-EA2AF6BAA76F}" destId="{9C620D20-C272-4F46-A54D-8F476AC7F29C}" srcOrd="0" destOrd="0" presId="urn:microsoft.com/office/officeart/2005/8/layout/hList1"/>
    <dgm:cxn modelId="{43086C95-7A32-6549-94AE-443A2A7E76A0}" type="presParOf" srcId="{E72ABAF3-A7E5-874F-81A4-EA2AF6BAA76F}" destId="{828874E5-ED2E-DC4E-88DA-3A7E03EFC28D}" srcOrd="1" destOrd="0" presId="urn:microsoft.com/office/officeart/2005/8/layout/hList1"/>
    <dgm:cxn modelId="{9EA9E89C-56A9-DD4C-90E7-C189C57E6209}" type="presParOf" srcId="{1C1ECFEC-E2F7-6D47-85BE-AF905AD9DC10}" destId="{4A19D6AE-D18A-DD47-989E-E34B125D5D52}" srcOrd="1" destOrd="0" presId="urn:microsoft.com/office/officeart/2005/8/layout/hList1"/>
    <dgm:cxn modelId="{F6B1C956-0244-A747-A75F-3A686C3118DA}" type="presParOf" srcId="{1C1ECFEC-E2F7-6D47-85BE-AF905AD9DC10}" destId="{6CD8A3BC-3049-AC4A-9E1C-1D71F2ADCB58}" srcOrd="2" destOrd="0" presId="urn:microsoft.com/office/officeart/2005/8/layout/hList1"/>
    <dgm:cxn modelId="{A54B0691-4623-5D4D-8A32-2DE2EBC1D4F5}" type="presParOf" srcId="{6CD8A3BC-3049-AC4A-9E1C-1D71F2ADCB58}" destId="{D13C72B2-F8F0-1C4F-93DC-698B812C4B7D}" srcOrd="0" destOrd="0" presId="urn:microsoft.com/office/officeart/2005/8/layout/hList1"/>
    <dgm:cxn modelId="{B3462BAB-A0CF-0042-B167-EE545E4FBA9C}" type="presParOf" srcId="{6CD8A3BC-3049-AC4A-9E1C-1D71F2ADCB58}" destId="{4DBCD716-8717-7147-9007-800B38B7FCDE}"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A629196-5A5C-2945-BD1B-C6AD0F0D2A3F}" type="doc">
      <dgm:prSet loTypeId="urn:microsoft.com/office/officeart/2005/8/layout/cycle2" loCatId="" qsTypeId="urn:microsoft.com/office/officeart/2005/8/quickstyle/simple4" qsCatId="simple" csTypeId="urn:microsoft.com/office/officeart/2005/8/colors/accent3_5" csCatId="accent3" phldr="1"/>
      <dgm:spPr/>
      <dgm:t>
        <a:bodyPr/>
        <a:lstStyle/>
        <a:p>
          <a:endParaRPr lang="en-US"/>
        </a:p>
      </dgm:t>
    </dgm:pt>
    <dgm:pt modelId="{B3CF0510-8E4B-E64C-BF8F-F7EF73D69EB1}">
      <dgm:prSet phldrT="[Text]" custT="1"/>
      <dgm:spPr>
        <a:pattFill prst="pct10">
          <a:fgClr>
            <a:schemeClr val="bg1"/>
          </a:fgClr>
          <a:bgClr>
            <a:schemeClr val="accent3"/>
          </a:bgClr>
        </a:pattFill>
      </dgm:spPr>
      <dgm:t>
        <a:bodyPr/>
        <a:lstStyle/>
        <a:p>
          <a:r>
            <a:rPr lang="en-US" sz="1200">
              <a:latin typeface="Times New Roman"/>
            </a:rPr>
            <a:t>Initiative by the Commission</a:t>
          </a:r>
        </a:p>
      </dgm:t>
    </dgm:pt>
    <dgm:pt modelId="{B4A7BD85-D6CD-EC41-95D9-49B2F59D5C20}" type="parTrans" cxnId="{BB68BFDD-68D2-804D-91A3-2FD9B1B27857}">
      <dgm:prSet/>
      <dgm:spPr/>
      <dgm:t>
        <a:bodyPr/>
        <a:lstStyle/>
        <a:p>
          <a:endParaRPr lang="en-US"/>
        </a:p>
      </dgm:t>
    </dgm:pt>
    <dgm:pt modelId="{DB9B2E6E-3AF3-F44D-A710-C5DDF8788121}" type="sibTrans" cxnId="{BB68BFDD-68D2-804D-91A3-2FD9B1B27857}">
      <dgm:prSet/>
      <dgm:spPr>
        <a:solidFill>
          <a:schemeClr val="accent3">
            <a:lumMod val="60000"/>
            <a:lumOff val="40000"/>
          </a:schemeClr>
        </a:solidFill>
      </dgm:spPr>
      <dgm:t>
        <a:bodyPr/>
        <a:lstStyle/>
        <a:p>
          <a:endParaRPr lang="en-US"/>
        </a:p>
      </dgm:t>
    </dgm:pt>
    <dgm:pt modelId="{233D8B73-7F7E-DB42-A2D7-6D548D9AEE16}">
      <dgm:prSet phldrT="[Text]" custT="1"/>
      <dgm:spPr>
        <a:solidFill>
          <a:schemeClr val="accent3">
            <a:lumMod val="60000"/>
            <a:lumOff val="40000"/>
          </a:schemeClr>
        </a:solidFill>
      </dgm:spPr>
      <dgm:t>
        <a:bodyPr/>
        <a:lstStyle/>
        <a:p>
          <a:r>
            <a:rPr lang="en-US" sz="1200">
              <a:latin typeface="Times New Roman"/>
            </a:rPr>
            <a:t>Parliament</a:t>
          </a:r>
        </a:p>
      </dgm:t>
    </dgm:pt>
    <dgm:pt modelId="{E90DF07F-53F0-8F4A-92B2-1B7E6AA1CD4E}" type="parTrans" cxnId="{170B3A72-18F2-9949-B62B-A2B7E05B20CD}">
      <dgm:prSet/>
      <dgm:spPr/>
      <dgm:t>
        <a:bodyPr/>
        <a:lstStyle/>
        <a:p>
          <a:endParaRPr lang="en-US"/>
        </a:p>
      </dgm:t>
    </dgm:pt>
    <dgm:pt modelId="{502F3017-75D4-2943-BBDF-C837758DB077}" type="sibTrans" cxnId="{170B3A72-18F2-9949-B62B-A2B7E05B20CD}">
      <dgm:prSet/>
      <dgm:spPr>
        <a:solidFill>
          <a:schemeClr val="accent3">
            <a:lumMod val="60000"/>
            <a:lumOff val="40000"/>
          </a:schemeClr>
        </a:solidFill>
      </dgm:spPr>
      <dgm:t>
        <a:bodyPr/>
        <a:lstStyle/>
        <a:p>
          <a:endParaRPr lang="en-US"/>
        </a:p>
      </dgm:t>
    </dgm:pt>
    <dgm:pt modelId="{6324D57B-33E5-6E40-BEA5-1ECBAFC25128}">
      <dgm:prSet phldrT="[Text]" custT="1"/>
      <dgm:spPr>
        <a:solidFill>
          <a:schemeClr val="accent3">
            <a:lumMod val="60000"/>
            <a:lumOff val="40000"/>
          </a:schemeClr>
        </a:solidFill>
      </dgm:spPr>
      <dgm:t>
        <a:bodyPr/>
        <a:lstStyle/>
        <a:p>
          <a:r>
            <a:rPr lang="en-US" sz="1200">
              <a:latin typeface="Times New Roman"/>
            </a:rPr>
            <a:t>Member States</a:t>
          </a:r>
        </a:p>
      </dgm:t>
    </dgm:pt>
    <dgm:pt modelId="{31E99CBC-54D3-644F-BF13-0443FC0F7FD1}" type="parTrans" cxnId="{EE14EA04-3AFD-4241-8372-E54559A70238}">
      <dgm:prSet/>
      <dgm:spPr/>
      <dgm:t>
        <a:bodyPr/>
        <a:lstStyle/>
        <a:p>
          <a:endParaRPr lang="en-US"/>
        </a:p>
      </dgm:t>
    </dgm:pt>
    <dgm:pt modelId="{3110DA85-93EB-EA4F-9893-A8FB71718B1E}" type="sibTrans" cxnId="{EE14EA04-3AFD-4241-8372-E54559A70238}">
      <dgm:prSet/>
      <dgm:spPr>
        <a:pattFill prst="pct10">
          <a:fgClr>
            <a:schemeClr val="bg1"/>
          </a:fgClr>
          <a:bgClr>
            <a:schemeClr val="accent3"/>
          </a:bgClr>
        </a:pattFill>
      </dgm:spPr>
      <dgm:t>
        <a:bodyPr/>
        <a:lstStyle/>
        <a:p>
          <a:endParaRPr lang="en-US"/>
        </a:p>
      </dgm:t>
    </dgm:pt>
    <dgm:pt modelId="{7BF8AF71-18AB-D344-83FB-982A046A145C}">
      <dgm:prSet phldrT="[Text]" custT="1"/>
      <dgm:spPr>
        <a:solidFill>
          <a:schemeClr val="accent3">
            <a:lumMod val="60000"/>
            <a:lumOff val="40000"/>
          </a:schemeClr>
        </a:solidFill>
      </dgm:spPr>
      <dgm:t>
        <a:bodyPr/>
        <a:lstStyle/>
        <a:p>
          <a:r>
            <a:rPr lang="en-US" sz="1200">
              <a:latin typeface="Times New Roman"/>
            </a:rPr>
            <a:t>Public's Initiative</a:t>
          </a:r>
        </a:p>
      </dgm:t>
    </dgm:pt>
    <dgm:pt modelId="{52F06D90-788A-A244-8ECA-AF137E3D25E2}" type="parTrans" cxnId="{8A3C47A2-A7A3-6140-9077-5224E34A9E99}">
      <dgm:prSet/>
      <dgm:spPr/>
      <dgm:t>
        <a:bodyPr/>
        <a:lstStyle/>
        <a:p>
          <a:endParaRPr lang="en-US"/>
        </a:p>
      </dgm:t>
    </dgm:pt>
    <dgm:pt modelId="{64F45F8B-F0A0-264D-A944-ECD27D15A08A}" type="sibTrans" cxnId="{8A3C47A2-A7A3-6140-9077-5224E34A9E99}">
      <dgm:prSet/>
      <dgm:spPr>
        <a:solidFill>
          <a:schemeClr val="accent3">
            <a:lumMod val="60000"/>
            <a:lumOff val="40000"/>
          </a:schemeClr>
        </a:solidFill>
      </dgm:spPr>
      <dgm:t>
        <a:bodyPr/>
        <a:lstStyle/>
        <a:p>
          <a:endParaRPr lang="en-US"/>
        </a:p>
      </dgm:t>
    </dgm:pt>
    <dgm:pt modelId="{BD24EA3A-3F93-E245-9BFA-3ACA12E3A64D}">
      <dgm:prSet phldrT="[Text]" custT="1"/>
      <dgm:spPr>
        <a:solidFill>
          <a:schemeClr val="accent3">
            <a:lumMod val="60000"/>
            <a:lumOff val="40000"/>
          </a:schemeClr>
        </a:solidFill>
      </dgm:spPr>
      <dgm:t>
        <a:bodyPr/>
        <a:lstStyle/>
        <a:p>
          <a:r>
            <a:rPr lang="en-US" sz="1200">
              <a:latin typeface="Times New Roman"/>
            </a:rPr>
            <a:t>Central Bank</a:t>
          </a:r>
        </a:p>
      </dgm:t>
    </dgm:pt>
    <dgm:pt modelId="{FA61B25D-3AC2-7B43-89B6-9FCB256AB3A5}" type="parTrans" cxnId="{AB48215D-BB39-444B-8348-3E4B90B21B1E}">
      <dgm:prSet/>
      <dgm:spPr/>
      <dgm:t>
        <a:bodyPr/>
        <a:lstStyle/>
        <a:p>
          <a:endParaRPr lang="en-US"/>
        </a:p>
      </dgm:t>
    </dgm:pt>
    <dgm:pt modelId="{BB063527-4016-9C46-9636-BC5B3E19BAB0}" type="sibTrans" cxnId="{AB48215D-BB39-444B-8348-3E4B90B21B1E}">
      <dgm:prSet/>
      <dgm:spPr>
        <a:solidFill>
          <a:schemeClr val="accent3">
            <a:lumMod val="60000"/>
            <a:lumOff val="40000"/>
          </a:schemeClr>
        </a:solidFill>
      </dgm:spPr>
      <dgm:t>
        <a:bodyPr/>
        <a:lstStyle/>
        <a:p>
          <a:endParaRPr lang="en-US"/>
        </a:p>
      </dgm:t>
    </dgm:pt>
    <dgm:pt modelId="{A79EEAE3-4A71-B441-8B44-949D04622673}">
      <dgm:prSet phldrT="[Text]" custT="1"/>
      <dgm:spPr>
        <a:pattFill prst="pct10">
          <a:fgClr>
            <a:schemeClr val="bg1"/>
          </a:fgClr>
          <a:bgClr>
            <a:schemeClr val="accent3"/>
          </a:bgClr>
        </a:pattFill>
      </dgm:spPr>
      <dgm:t>
        <a:bodyPr/>
        <a:lstStyle/>
        <a:p>
          <a:r>
            <a:rPr lang="en-US" sz="1200">
              <a:latin typeface="Times New Roman"/>
            </a:rPr>
            <a:t>Parliament </a:t>
          </a:r>
          <a:r>
            <a:rPr lang="en-US" sz="1200"/>
            <a:t>Hearing</a:t>
          </a:r>
        </a:p>
      </dgm:t>
    </dgm:pt>
    <dgm:pt modelId="{6B94E7DF-417B-C847-9326-5F8781A48528}" type="parTrans" cxnId="{80E1D284-91F7-0F44-B770-01D1A9DF23B9}">
      <dgm:prSet/>
      <dgm:spPr/>
      <dgm:t>
        <a:bodyPr/>
        <a:lstStyle/>
        <a:p>
          <a:endParaRPr lang="en-US"/>
        </a:p>
      </dgm:t>
    </dgm:pt>
    <dgm:pt modelId="{B35A58F9-84DF-644C-AB67-8E05A14585CD}" type="sibTrans" cxnId="{80E1D284-91F7-0F44-B770-01D1A9DF23B9}">
      <dgm:prSet/>
      <dgm:spPr>
        <a:solidFill>
          <a:schemeClr val="accent3">
            <a:lumMod val="60000"/>
            <a:lumOff val="40000"/>
          </a:schemeClr>
        </a:solidFill>
      </dgm:spPr>
      <dgm:t>
        <a:bodyPr/>
        <a:lstStyle/>
        <a:p>
          <a:endParaRPr lang="en-US"/>
        </a:p>
      </dgm:t>
    </dgm:pt>
    <dgm:pt modelId="{2A0E3F6A-87AB-2442-AB8E-34754B5950CC}">
      <dgm:prSet phldrT="[Text]" custT="1"/>
      <dgm:spPr>
        <a:solidFill>
          <a:schemeClr val="accent3">
            <a:lumMod val="60000"/>
            <a:lumOff val="40000"/>
          </a:schemeClr>
        </a:solidFill>
      </dgm:spPr>
      <dgm:t>
        <a:bodyPr/>
        <a:lstStyle/>
        <a:p>
          <a:r>
            <a:rPr lang="en-US" sz="1200">
              <a:latin typeface="Times New Roman"/>
            </a:rPr>
            <a:t>CoR</a:t>
          </a:r>
        </a:p>
      </dgm:t>
    </dgm:pt>
    <dgm:pt modelId="{2A864D2E-2728-5D42-A993-CAAFD9536107}" type="parTrans" cxnId="{49620E8B-AD1F-944F-B675-4AC18453FA23}">
      <dgm:prSet/>
      <dgm:spPr/>
      <dgm:t>
        <a:bodyPr/>
        <a:lstStyle/>
        <a:p>
          <a:endParaRPr lang="en-US"/>
        </a:p>
      </dgm:t>
    </dgm:pt>
    <dgm:pt modelId="{0516049B-4715-C640-A187-13BEEF0DC277}" type="sibTrans" cxnId="{49620E8B-AD1F-944F-B675-4AC18453FA23}">
      <dgm:prSet/>
      <dgm:spPr>
        <a:pattFill prst="pct10">
          <a:fgClr>
            <a:schemeClr val="bg1"/>
          </a:fgClr>
          <a:bgClr>
            <a:schemeClr val="accent3"/>
          </a:bgClr>
        </a:pattFill>
      </dgm:spPr>
      <dgm:t>
        <a:bodyPr/>
        <a:lstStyle/>
        <a:p>
          <a:endParaRPr lang="en-US"/>
        </a:p>
      </dgm:t>
    </dgm:pt>
    <dgm:pt modelId="{73D53710-8134-8043-98D8-6D6BDE890918}">
      <dgm:prSet phldrT="[Text]" custT="1"/>
      <dgm:spPr>
        <a:solidFill>
          <a:schemeClr val="accent3">
            <a:lumMod val="60000"/>
            <a:lumOff val="40000"/>
          </a:schemeClr>
        </a:solidFill>
      </dgm:spPr>
      <dgm:t>
        <a:bodyPr/>
        <a:lstStyle/>
        <a:p>
          <a:r>
            <a:rPr lang="en-US" sz="1200">
              <a:latin typeface="Times New Roman"/>
            </a:rPr>
            <a:t>Lobbying/ Interest Groups</a:t>
          </a:r>
        </a:p>
      </dgm:t>
    </dgm:pt>
    <dgm:pt modelId="{8A44D553-5546-D64B-AEFA-77C6BCBAE393}" type="parTrans" cxnId="{250CD696-A1D6-7E46-844B-D050A28D0F68}">
      <dgm:prSet/>
      <dgm:spPr/>
      <dgm:t>
        <a:bodyPr/>
        <a:lstStyle/>
        <a:p>
          <a:endParaRPr lang="en-US"/>
        </a:p>
      </dgm:t>
    </dgm:pt>
    <dgm:pt modelId="{C0A08FFD-5BC9-F944-ACC7-836322923187}" type="sibTrans" cxnId="{250CD696-A1D6-7E46-844B-D050A28D0F68}">
      <dgm:prSet/>
      <dgm:spPr>
        <a:solidFill>
          <a:schemeClr val="accent3">
            <a:lumMod val="60000"/>
            <a:lumOff val="40000"/>
          </a:schemeClr>
        </a:solidFill>
      </dgm:spPr>
      <dgm:t>
        <a:bodyPr/>
        <a:lstStyle/>
        <a:p>
          <a:endParaRPr lang="en-US"/>
        </a:p>
      </dgm:t>
    </dgm:pt>
    <dgm:pt modelId="{14784E9C-2ED4-6247-9225-7F939272F988}">
      <dgm:prSet phldrT="[Text]" custT="1"/>
      <dgm:spPr>
        <a:pattFill prst="pct10">
          <a:fgClr>
            <a:schemeClr val="bg1"/>
          </a:fgClr>
          <a:bgClr>
            <a:schemeClr val="accent3"/>
          </a:bgClr>
        </a:pattFill>
      </dgm:spPr>
      <dgm:t>
        <a:bodyPr/>
        <a:lstStyle/>
        <a:p>
          <a:r>
            <a:rPr lang="en-US" sz="1200">
              <a:latin typeface="Times New Roman"/>
            </a:rPr>
            <a:t>Council Hearing</a:t>
          </a:r>
        </a:p>
      </dgm:t>
    </dgm:pt>
    <dgm:pt modelId="{3D500E24-8A28-9B43-BF39-16398F03A66F}" type="parTrans" cxnId="{D752272C-CA08-7742-A0D2-4B5106C2A6DC}">
      <dgm:prSet/>
      <dgm:spPr/>
      <dgm:t>
        <a:bodyPr/>
        <a:lstStyle/>
        <a:p>
          <a:endParaRPr lang="en-US"/>
        </a:p>
      </dgm:t>
    </dgm:pt>
    <dgm:pt modelId="{27FBC944-EE36-A344-9593-970A64CC4BA4}" type="sibTrans" cxnId="{D752272C-CA08-7742-A0D2-4B5106C2A6DC}">
      <dgm:prSet/>
      <dgm:spPr>
        <a:pattFill prst="pct10">
          <a:fgClr>
            <a:schemeClr val="bg1"/>
          </a:fgClr>
          <a:bgClr>
            <a:schemeClr val="accent3"/>
          </a:bgClr>
        </a:pattFill>
      </dgm:spPr>
      <dgm:t>
        <a:bodyPr/>
        <a:lstStyle/>
        <a:p>
          <a:endParaRPr lang="en-US"/>
        </a:p>
      </dgm:t>
    </dgm:pt>
    <dgm:pt modelId="{1AD230AF-98EC-834E-B7B0-C13E91156D34}">
      <dgm:prSet phldrT="[Text]" custT="1"/>
      <dgm:spPr>
        <a:pattFill prst="pct10">
          <a:fgClr>
            <a:schemeClr val="bg1"/>
          </a:fgClr>
          <a:bgClr>
            <a:schemeClr val="accent3"/>
          </a:bgClr>
        </a:pattFill>
      </dgm:spPr>
      <dgm:t>
        <a:bodyPr/>
        <a:lstStyle/>
        <a:p>
          <a:r>
            <a:rPr lang="en-US" sz="800">
              <a:latin typeface="Times New Roman"/>
            </a:rPr>
            <a:t>Accepts</a:t>
          </a:r>
        </a:p>
      </dgm:t>
    </dgm:pt>
    <dgm:pt modelId="{EF6F55FC-75BF-2F4D-A0D7-C8BB41A80B09}" type="parTrans" cxnId="{F18EE2A9-57F6-B34C-9142-9E329E4B2549}">
      <dgm:prSet/>
      <dgm:spPr/>
      <dgm:t>
        <a:bodyPr/>
        <a:lstStyle/>
        <a:p>
          <a:endParaRPr lang="en-US"/>
        </a:p>
      </dgm:t>
    </dgm:pt>
    <dgm:pt modelId="{0DE18AE4-8230-8F43-AF2F-0077881A4AF9}" type="sibTrans" cxnId="{F18EE2A9-57F6-B34C-9142-9E329E4B2549}">
      <dgm:prSet/>
      <dgm:spPr>
        <a:pattFill prst="pct10">
          <a:fgClr>
            <a:schemeClr val="bg1"/>
          </a:fgClr>
          <a:bgClr>
            <a:schemeClr val="accent3"/>
          </a:bgClr>
        </a:pattFill>
      </dgm:spPr>
      <dgm:t>
        <a:bodyPr/>
        <a:lstStyle/>
        <a:p>
          <a:endParaRPr lang="en-US"/>
        </a:p>
      </dgm:t>
    </dgm:pt>
    <dgm:pt modelId="{EF32E5D1-DAE8-8342-B837-1242616D9308}">
      <dgm:prSet phldrT="[Text]" custT="1"/>
      <dgm:spPr>
        <a:pattFill prst="pct10">
          <a:fgClr>
            <a:schemeClr val="bg1"/>
          </a:fgClr>
          <a:bgClr>
            <a:schemeClr val="accent3"/>
          </a:bgClr>
        </a:pattFill>
      </dgm:spPr>
      <dgm:t>
        <a:bodyPr/>
        <a:lstStyle/>
        <a:p>
          <a:r>
            <a:rPr lang="en-US" sz="800">
              <a:latin typeface="Times New Roman"/>
            </a:rPr>
            <a:t>Rejects</a:t>
          </a:r>
        </a:p>
      </dgm:t>
    </dgm:pt>
    <dgm:pt modelId="{12633D31-FA87-D24C-BFCA-F10C5CECB843}" type="parTrans" cxnId="{E4A0C63C-6428-DD46-9832-B3D5841C99D5}">
      <dgm:prSet/>
      <dgm:spPr/>
      <dgm:t>
        <a:bodyPr/>
        <a:lstStyle/>
        <a:p>
          <a:endParaRPr lang="en-US"/>
        </a:p>
      </dgm:t>
    </dgm:pt>
    <dgm:pt modelId="{701D565A-00B3-724E-BF35-C89141731C61}" type="sibTrans" cxnId="{E4A0C63C-6428-DD46-9832-B3D5841C99D5}">
      <dgm:prSet/>
      <dgm:spPr>
        <a:solidFill>
          <a:schemeClr val="accent3">
            <a:lumMod val="60000"/>
            <a:lumOff val="40000"/>
          </a:schemeClr>
        </a:solidFill>
      </dgm:spPr>
      <dgm:t>
        <a:bodyPr/>
        <a:lstStyle/>
        <a:p>
          <a:endParaRPr lang="en-US"/>
        </a:p>
      </dgm:t>
    </dgm:pt>
    <dgm:pt modelId="{737CDD9F-053F-3A44-A465-A37C85F22EAE}" type="pres">
      <dgm:prSet presAssocID="{EA629196-5A5C-2945-BD1B-C6AD0F0D2A3F}" presName="cycle" presStyleCnt="0">
        <dgm:presLayoutVars>
          <dgm:dir/>
          <dgm:resizeHandles val="exact"/>
        </dgm:presLayoutVars>
      </dgm:prSet>
      <dgm:spPr/>
      <dgm:t>
        <a:bodyPr/>
        <a:lstStyle/>
        <a:p>
          <a:endParaRPr lang="en-US"/>
        </a:p>
      </dgm:t>
    </dgm:pt>
    <dgm:pt modelId="{D1692533-CFA0-594F-B3C6-D94086997AE1}" type="pres">
      <dgm:prSet presAssocID="{B3CF0510-8E4B-E64C-BF8F-F7EF73D69EB1}" presName="node" presStyleLbl="node1" presStyleIdx="0" presStyleCnt="11" custScaleX="162312" custScaleY="140358">
        <dgm:presLayoutVars>
          <dgm:bulletEnabled val="1"/>
        </dgm:presLayoutVars>
      </dgm:prSet>
      <dgm:spPr/>
      <dgm:t>
        <a:bodyPr/>
        <a:lstStyle/>
        <a:p>
          <a:endParaRPr lang="en-US"/>
        </a:p>
      </dgm:t>
    </dgm:pt>
    <dgm:pt modelId="{C7440D39-FDF4-F643-88FB-834022F9CC87}" type="pres">
      <dgm:prSet presAssocID="{DB9B2E6E-3AF3-F44D-A710-C5DDF8788121}" presName="sibTrans" presStyleLbl="sibTrans2D1" presStyleIdx="0" presStyleCnt="11" custAng="13062004" custScaleX="58513" custScaleY="130688" custLinFactY="123779" custLinFactNeighborX="28372" custLinFactNeighborY="200000"/>
      <dgm:spPr>
        <a:prstGeom prst="leftRightArrow">
          <a:avLst/>
        </a:prstGeom>
      </dgm:spPr>
      <dgm:t>
        <a:bodyPr/>
        <a:lstStyle/>
        <a:p>
          <a:endParaRPr lang="en-US"/>
        </a:p>
      </dgm:t>
    </dgm:pt>
    <dgm:pt modelId="{C43C73BC-3E00-C943-8EDB-0DD17036D412}" type="pres">
      <dgm:prSet presAssocID="{DB9B2E6E-3AF3-F44D-A710-C5DDF8788121}" presName="connectorText" presStyleLbl="sibTrans2D1" presStyleIdx="0" presStyleCnt="11"/>
      <dgm:spPr/>
      <dgm:t>
        <a:bodyPr/>
        <a:lstStyle/>
        <a:p>
          <a:endParaRPr lang="en-US"/>
        </a:p>
      </dgm:t>
    </dgm:pt>
    <dgm:pt modelId="{54DAD978-5822-2849-85B8-C32FC3EE07DD}" type="pres">
      <dgm:prSet presAssocID="{2A0E3F6A-87AB-2442-AB8E-34754B5950CC}" presName="node" presStyleLbl="node1" presStyleIdx="1" presStyleCnt="11" custScaleX="104272" custScaleY="104272" custRadScaleRad="41343" custRadScaleInc="-1087027">
        <dgm:presLayoutVars>
          <dgm:bulletEnabled val="1"/>
        </dgm:presLayoutVars>
      </dgm:prSet>
      <dgm:spPr/>
      <dgm:t>
        <a:bodyPr/>
        <a:lstStyle/>
        <a:p>
          <a:endParaRPr lang="en-US"/>
        </a:p>
      </dgm:t>
    </dgm:pt>
    <dgm:pt modelId="{C8DDFF0C-8D9E-944B-B3F5-E5624CC26C75}" type="pres">
      <dgm:prSet presAssocID="{0516049B-4715-C640-A187-13BEEF0DC277}" presName="sibTrans" presStyleLbl="sibTrans2D1" presStyleIdx="1" presStyleCnt="11" custAng="13094961" custScaleX="183086" custScaleY="249767" custLinFactX="183388" custLinFactY="-247711" custLinFactNeighborX="200000" custLinFactNeighborY="-300000"/>
      <dgm:spPr>
        <a:prstGeom prst="stripedRightArrow">
          <a:avLst/>
        </a:prstGeom>
      </dgm:spPr>
      <dgm:t>
        <a:bodyPr/>
        <a:lstStyle/>
        <a:p>
          <a:endParaRPr lang="en-US"/>
        </a:p>
      </dgm:t>
    </dgm:pt>
    <dgm:pt modelId="{10C76678-0B82-1F44-AE8A-BC8B8D5780E2}" type="pres">
      <dgm:prSet presAssocID="{0516049B-4715-C640-A187-13BEEF0DC277}" presName="connectorText" presStyleLbl="sibTrans2D1" presStyleIdx="1" presStyleCnt="11"/>
      <dgm:spPr/>
      <dgm:t>
        <a:bodyPr/>
        <a:lstStyle/>
        <a:p>
          <a:endParaRPr lang="en-US"/>
        </a:p>
      </dgm:t>
    </dgm:pt>
    <dgm:pt modelId="{90B1C1F5-EB01-374F-96FF-36BB38D970DF}" type="pres">
      <dgm:prSet presAssocID="{73D53710-8134-8043-98D8-6D6BDE890918}" presName="node" presStyleLbl="node1" presStyleIdx="2" presStyleCnt="11" custScaleX="104272" custScaleY="104272" custRadScaleRad="85186" custRadScaleInc="-921504">
        <dgm:presLayoutVars>
          <dgm:bulletEnabled val="1"/>
        </dgm:presLayoutVars>
      </dgm:prSet>
      <dgm:spPr/>
      <dgm:t>
        <a:bodyPr/>
        <a:lstStyle/>
        <a:p>
          <a:endParaRPr lang="en-US"/>
        </a:p>
      </dgm:t>
    </dgm:pt>
    <dgm:pt modelId="{94ABE37C-3697-8F48-B07D-F4E4CBDCF578}" type="pres">
      <dgm:prSet presAssocID="{C0A08FFD-5BC9-F944-ACC7-836322923187}" presName="sibTrans" presStyleLbl="sibTrans2D1" presStyleIdx="2" presStyleCnt="11" custAng="8815822" custScaleX="124357" custScaleY="128412" custLinFactY="-131491" custLinFactNeighborX="-1092" custLinFactNeighborY="-200000"/>
      <dgm:spPr>
        <a:prstGeom prst="leftRightArrow">
          <a:avLst/>
        </a:prstGeom>
      </dgm:spPr>
      <dgm:t>
        <a:bodyPr/>
        <a:lstStyle/>
        <a:p>
          <a:endParaRPr lang="en-US"/>
        </a:p>
      </dgm:t>
    </dgm:pt>
    <dgm:pt modelId="{D3DCC47A-555C-3849-9C71-3CF771F8FBA0}" type="pres">
      <dgm:prSet presAssocID="{C0A08FFD-5BC9-F944-ACC7-836322923187}" presName="connectorText" presStyleLbl="sibTrans2D1" presStyleIdx="2" presStyleCnt="11"/>
      <dgm:spPr/>
      <dgm:t>
        <a:bodyPr/>
        <a:lstStyle/>
        <a:p>
          <a:endParaRPr lang="en-US"/>
        </a:p>
      </dgm:t>
    </dgm:pt>
    <dgm:pt modelId="{33BFDD29-1DEA-CF40-B5E2-CF1847B53231}" type="pres">
      <dgm:prSet presAssocID="{14784E9C-2ED4-6247-9225-7F939272F988}" presName="node" presStyleLbl="node1" presStyleIdx="3" presStyleCnt="11" custScaleX="165601" custScaleY="136091" custRadScaleRad="79037" custRadScaleInc="297837">
        <dgm:presLayoutVars>
          <dgm:bulletEnabled val="1"/>
        </dgm:presLayoutVars>
      </dgm:prSet>
      <dgm:spPr/>
      <dgm:t>
        <a:bodyPr/>
        <a:lstStyle/>
        <a:p>
          <a:endParaRPr lang="en-US"/>
        </a:p>
      </dgm:t>
    </dgm:pt>
    <dgm:pt modelId="{D32925F2-2F4A-4847-806B-9007C7A301C6}" type="pres">
      <dgm:prSet presAssocID="{27FBC944-EE36-A344-9593-970A64CC4BA4}" presName="sibTrans" presStyleLbl="sibTrans2D1" presStyleIdx="3" presStyleCnt="11" custAng="12943099" custScaleX="87611" custLinFactX="-9213" custLinFactY="296290" custLinFactNeighborX="-100000" custLinFactNeighborY="300000"/>
      <dgm:spPr/>
      <dgm:t>
        <a:bodyPr/>
        <a:lstStyle/>
        <a:p>
          <a:endParaRPr lang="en-US"/>
        </a:p>
      </dgm:t>
    </dgm:pt>
    <dgm:pt modelId="{FA00A050-709D-C647-A468-FE2BD9244D3A}" type="pres">
      <dgm:prSet presAssocID="{27FBC944-EE36-A344-9593-970A64CC4BA4}" presName="connectorText" presStyleLbl="sibTrans2D1" presStyleIdx="3" presStyleCnt="11"/>
      <dgm:spPr/>
      <dgm:t>
        <a:bodyPr/>
        <a:lstStyle/>
        <a:p>
          <a:endParaRPr lang="en-US"/>
        </a:p>
      </dgm:t>
    </dgm:pt>
    <dgm:pt modelId="{5A251509-C028-1549-BF66-2FAB391B1D6D}" type="pres">
      <dgm:prSet presAssocID="{A79EEAE3-4A71-B441-8B44-949D04622673}" presName="node" presStyleLbl="node1" presStyleIdx="4" presStyleCnt="11" custScaleX="165602" custScaleY="136090" custRadScaleRad="45834" custRadScaleInc="-370637">
        <dgm:presLayoutVars>
          <dgm:bulletEnabled val="1"/>
        </dgm:presLayoutVars>
      </dgm:prSet>
      <dgm:spPr/>
      <dgm:t>
        <a:bodyPr/>
        <a:lstStyle/>
        <a:p>
          <a:endParaRPr lang="en-US"/>
        </a:p>
      </dgm:t>
    </dgm:pt>
    <dgm:pt modelId="{AE85CC7D-9C4B-FE4A-9ECA-9A1D27712FF0}" type="pres">
      <dgm:prSet presAssocID="{B35A58F9-84DF-644C-AB67-8E05A14585CD}" presName="sibTrans" presStyleLbl="sibTrans2D1" presStyleIdx="4" presStyleCnt="11" custAng="20862633" custScaleX="45699" custScaleY="125734" custLinFactX="51716" custLinFactY="-100000" custLinFactNeighborX="100000" custLinFactNeighborY="-172258"/>
      <dgm:spPr/>
      <dgm:t>
        <a:bodyPr/>
        <a:lstStyle/>
        <a:p>
          <a:endParaRPr lang="en-US"/>
        </a:p>
      </dgm:t>
    </dgm:pt>
    <dgm:pt modelId="{A6391058-A201-6942-8DB3-D68C12CF1524}" type="pres">
      <dgm:prSet presAssocID="{B35A58F9-84DF-644C-AB67-8E05A14585CD}" presName="connectorText" presStyleLbl="sibTrans2D1" presStyleIdx="4" presStyleCnt="11"/>
      <dgm:spPr/>
      <dgm:t>
        <a:bodyPr/>
        <a:lstStyle/>
        <a:p>
          <a:endParaRPr lang="en-US"/>
        </a:p>
      </dgm:t>
    </dgm:pt>
    <dgm:pt modelId="{855FC710-8588-C647-8332-6B50636C35CF}" type="pres">
      <dgm:prSet presAssocID="{233D8B73-7F7E-DB42-A2D7-6D548D9AEE16}" presName="node" presStyleLbl="node1" presStyleIdx="5" presStyleCnt="11" custScaleX="104272" custScaleY="104272" custRadScaleRad="113889" custRadScaleInc="920767">
        <dgm:presLayoutVars>
          <dgm:bulletEnabled val="1"/>
        </dgm:presLayoutVars>
      </dgm:prSet>
      <dgm:spPr/>
      <dgm:t>
        <a:bodyPr/>
        <a:lstStyle/>
        <a:p>
          <a:endParaRPr lang="en-US"/>
        </a:p>
      </dgm:t>
    </dgm:pt>
    <dgm:pt modelId="{54B5CB1A-D110-B24C-9796-8B664D8FB3F2}" type="pres">
      <dgm:prSet presAssocID="{502F3017-75D4-2943-BBDF-C837758DB077}" presName="sibTrans" presStyleLbl="sibTrans2D1" presStyleIdx="5" presStyleCnt="11" custAng="1272715" custScaleX="36579" custScaleY="140904" custLinFactY="-100000" custLinFactNeighborX="-66857" custLinFactNeighborY="-181870"/>
      <dgm:spPr/>
      <dgm:t>
        <a:bodyPr/>
        <a:lstStyle/>
        <a:p>
          <a:endParaRPr lang="en-US"/>
        </a:p>
      </dgm:t>
    </dgm:pt>
    <dgm:pt modelId="{29F5FB84-B681-6740-B225-1993FFD4F525}" type="pres">
      <dgm:prSet presAssocID="{502F3017-75D4-2943-BBDF-C837758DB077}" presName="connectorText" presStyleLbl="sibTrans2D1" presStyleIdx="5" presStyleCnt="11"/>
      <dgm:spPr/>
      <dgm:t>
        <a:bodyPr/>
        <a:lstStyle/>
        <a:p>
          <a:endParaRPr lang="en-US"/>
        </a:p>
      </dgm:t>
    </dgm:pt>
    <dgm:pt modelId="{3E4F4D90-B6F3-A94B-BC58-9F8EA017E593}" type="pres">
      <dgm:prSet presAssocID="{6324D57B-33E5-6E40-BEA5-1ECBAFC25128}" presName="node" presStyleLbl="node1" presStyleIdx="6" presStyleCnt="11" custScaleX="104272" custScaleY="104272" custRadScaleRad="120981" custRadScaleInc="-896917">
        <dgm:presLayoutVars>
          <dgm:bulletEnabled val="1"/>
        </dgm:presLayoutVars>
      </dgm:prSet>
      <dgm:spPr/>
      <dgm:t>
        <a:bodyPr/>
        <a:lstStyle/>
        <a:p>
          <a:endParaRPr lang="en-US"/>
        </a:p>
      </dgm:t>
    </dgm:pt>
    <dgm:pt modelId="{9ACC6B5C-6933-B54C-BA4F-F4A89BFEE0EA}" type="pres">
      <dgm:prSet presAssocID="{3110DA85-93EB-EA4F-9893-A8FB71718B1E}" presName="sibTrans" presStyleLbl="sibTrans2D1" presStyleIdx="6" presStyleCnt="11" custAng="10800039" custScaleX="581990" custScaleY="222944" custLinFactX="-700000" custLinFactY="500000" custLinFactNeighborX="-717326" custLinFactNeighborY="510790"/>
      <dgm:spPr>
        <a:prstGeom prst="stripedRightArrow">
          <a:avLst/>
        </a:prstGeom>
      </dgm:spPr>
      <dgm:t>
        <a:bodyPr/>
        <a:lstStyle/>
        <a:p>
          <a:endParaRPr lang="en-US"/>
        </a:p>
      </dgm:t>
    </dgm:pt>
    <dgm:pt modelId="{D13DEFB1-91E4-A448-BF66-F188656F4C09}" type="pres">
      <dgm:prSet presAssocID="{3110DA85-93EB-EA4F-9893-A8FB71718B1E}" presName="connectorText" presStyleLbl="sibTrans2D1" presStyleIdx="6" presStyleCnt="11"/>
      <dgm:spPr/>
      <dgm:t>
        <a:bodyPr/>
        <a:lstStyle/>
        <a:p>
          <a:endParaRPr lang="en-US"/>
        </a:p>
      </dgm:t>
    </dgm:pt>
    <dgm:pt modelId="{B18D4372-C15D-7044-B1C4-6080118523B9}" type="pres">
      <dgm:prSet presAssocID="{7BF8AF71-18AB-D344-83FB-982A046A145C}" presName="node" presStyleLbl="node1" presStyleIdx="7" presStyleCnt="11" custScaleX="104272" custScaleY="104272" custRadScaleRad="154779" custRadScaleInc="1023221">
        <dgm:presLayoutVars>
          <dgm:bulletEnabled val="1"/>
        </dgm:presLayoutVars>
      </dgm:prSet>
      <dgm:spPr/>
      <dgm:t>
        <a:bodyPr/>
        <a:lstStyle/>
        <a:p>
          <a:endParaRPr lang="en-US"/>
        </a:p>
      </dgm:t>
    </dgm:pt>
    <dgm:pt modelId="{76CEC215-7441-8347-A720-4FD27BF7B79A}" type="pres">
      <dgm:prSet presAssocID="{64F45F8B-F0A0-264D-A944-ECD27D15A08A}" presName="sibTrans" presStyleLbl="sibTrans2D1" presStyleIdx="7" presStyleCnt="11" custAng="1502648" custFlipVert="1" custScaleX="29394" custScaleY="140774" custLinFactNeighborX="62833" custLinFactNeighborY="97972"/>
      <dgm:spPr/>
      <dgm:t>
        <a:bodyPr/>
        <a:lstStyle/>
        <a:p>
          <a:endParaRPr lang="en-US"/>
        </a:p>
      </dgm:t>
    </dgm:pt>
    <dgm:pt modelId="{44BBCA36-26EE-E942-AF56-20FD732F558C}" type="pres">
      <dgm:prSet presAssocID="{64F45F8B-F0A0-264D-A944-ECD27D15A08A}" presName="connectorText" presStyleLbl="sibTrans2D1" presStyleIdx="7" presStyleCnt="11"/>
      <dgm:spPr/>
      <dgm:t>
        <a:bodyPr/>
        <a:lstStyle/>
        <a:p>
          <a:endParaRPr lang="en-US"/>
        </a:p>
      </dgm:t>
    </dgm:pt>
    <dgm:pt modelId="{893A70F8-F5F9-7D4A-86F6-6916350DCD35}" type="pres">
      <dgm:prSet presAssocID="{BD24EA3A-3F93-E245-9BFA-3ACA12E3A64D}" presName="node" presStyleLbl="node1" presStyleIdx="8" presStyleCnt="11" custScaleX="104272" custScaleY="104272" custRadScaleRad="149651" custRadScaleInc="398351">
        <dgm:presLayoutVars>
          <dgm:bulletEnabled val="1"/>
        </dgm:presLayoutVars>
      </dgm:prSet>
      <dgm:spPr/>
      <dgm:t>
        <a:bodyPr/>
        <a:lstStyle/>
        <a:p>
          <a:endParaRPr lang="en-US"/>
        </a:p>
      </dgm:t>
    </dgm:pt>
    <dgm:pt modelId="{53B57A4F-4198-E048-9A1B-CF7EC5C99E4F}" type="pres">
      <dgm:prSet presAssocID="{BB063527-4016-9C46-9636-BC5B3E19BAB0}" presName="sibTrans" presStyleLbl="sibTrans2D1" presStyleIdx="8" presStyleCnt="11" custAng="16426742" custScaleX="20868" custScaleY="152120" custLinFactY="-284151" custLinFactNeighborX="-5072" custLinFactNeighborY="-300000"/>
      <dgm:spPr/>
      <dgm:t>
        <a:bodyPr/>
        <a:lstStyle/>
        <a:p>
          <a:endParaRPr lang="en-US"/>
        </a:p>
      </dgm:t>
    </dgm:pt>
    <dgm:pt modelId="{808A1AAC-C521-F748-A615-B11EB7B445EE}" type="pres">
      <dgm:prSet presAssocID="{BB063527-4016-9C46-9636-BC5B3E19BAB0}" presName="connectorText" presStyleLbl="sibTrans2D1" presStyleIdx="8" presStyleCnt="11"/>
      <dgm:spPr/>
      <dgm:t>
        <a:bodyPr/>
        <a:lstStyle/>
        <a:p>
          <a:endParaRPr lang="en-US"/>
        </a:p>
      </dgm:t>
    </dgm:pt>
    <dgm:pt modelId="{74C8349B-DE40-EA47-9B0B-1BE9B1F9CDA9}" type="pres">
      <dgm:prSet presAssocID="{1AD230AF-98EC-834E-B7B0-C13E91156D34}" presName="node" presStyleLbl="node1" presStyleIdx="9" presStyleCnt="11" custScaleX="63507" custScaleY="63507" custRadScaleRad="120160" custRadScaleInc="-748606">
        <dgm:presLayoutVars>
          <dgm:bulletEnabled val="1"/>
        </dgm:presLayoutVars>
      </dgm:prSet>
      <dgm:spPr/>
      <dgm:t>
        <a:bodyPr/>
        <a:lstStyle/>
        <a:p>
          <a:endParaRPr lang="en-US"/>
        </a:p>
      </dgm:t>
    </dgm:pt>
    <dgm:pt modelId="{DD0122F4-A948-3840-87F1-7CF04CB8602F}" type="pres">
      <dgm:prSet presAssocID="{0DE18AE4-8230-8F43-AF2F-0077881A4AF9}" presName="sibTrans" presStyleLbl="sibTrans2D1" presStyleIdx="9" presStyleCnt="11" custAng="3135684" custScaleX="53534" custLinFactX="14439" custLinFactY="-43730" custLinFactNeighborX="100000" custLinFactNeighborY="-100000"/>
      <dgm:spPr/>
      <dgm:t>
        <a:bodyPr/>
        <a:lstStyle/>
        <a:p>
          <a:endParaRPr lang="en-US"/>
        </a:p>
      </dgm:t>
    </dgm:pt>
    <dgm:pt modelId="{DC525CD9-DBB8-CD44-8F9E-131E8A5DEC3D}" type="pres">
      <dgm:prSet presAssocID="{0DE18AE4-8230-8F43-AF2F-0077881A4AF9}" presName="connectorText" presStyleLbl="sibTrans2D1" presStyleIdx="9" presStyleCnt="11"/>
      <dgm:spPr/>
      <dgm:t>
        <a:bodyPr/>
        <a:lstStyle/>
        <a:p>
          <a:endParaRPr lang="en-US"/>
        </a:p>
      </dgm:t>
    </dgm:pt>
    <dgm:pt modelId="{7E6B2A41-7035-F14D-AB18-259F2D6299F5}" type="pres">
      <dgm:prSet presAssocID="{EF32E5D1-DAE8-8342-B837-1242616D9308}" presName="node" presStyleLbl="node1" presStyleIdx="10" presStyleCnt="11" custScaleX="63507" custScaleY="63489" custRadScaleRad="138817" custRadScaleInc="1094711">
        <dgm:presLayoutVars>
          <dgm:bulletEnabled val="1"/>
        </dgm:presLayoutVars>
      </dgm:prSet>
      <dgm:spPr/>
      <dgm:t>
        <a:bodyPr/>
        <a:lstStyle/>
        <a:p>
          <a:endParaRPr lang="en-US"/>
        </a:p>
      </dgm:t>
    </dgm:pt>
    <dgm:pt modelId="{F673C193-7A1B-9D40-BCFB-64A89BC7EF7A}" type="pres">
      <dgm:prSet presAssocID="{701D565A-00B3-724E-BF35-C89141731C61}" presName="sibTrans" presStyleLbl="sibTrans2D1" presStyleIdx="10" presStyleCnt="11" custAng="19820249" custScaleX="28639" custScaleY="137678" custLinFactNeighborX="-92256" custLinFactNeighborY="-53363"/>
      <dgm:spPr>
        <a:prstGeom prst="leftRightArrow">
          <a:avLst/>
        </a:prstGeom>
      </dgm:spPr>
      <dgm:t>
        <a:bodyPr/>
        <a:lstStyle/>
        <a:p>
          <a:endParaRPr lang="en-US"/>
        </a:p>
      </dgm:t>
    </dgm:pt>
    <dgm:pt modelId="{9F82DD29-6138-DA41-8FB2-5339CFE23069}" type="pres">
      <dgm:prSet presAssocID="{701D565A-00B3-724E-BF35-C89141731C61}" presName="connectorText" presStyleLbl="sibTrans2D1" presStyleIdx="10" presStyleCnt="11"/>
      <dgm:spPr/>
      <dgm:t>
        <a:bodyPr/>
        <a:lstStyle/>
        <a:p>
          <a:endParaRPr lang="en-US"/>
        </a:p>
      </dgm:t>
    </dgm:pt>
  </dgm:ptLst>
  <dgm:cxnLst>
    <dgm:cxn modelId="{367889B7-4B1C-CF4C-A515-52CF19D01041}" type="presOf" srcId="{C0A08FFD-5BC9-F944-ACC7-836322923187}" destId="{D3DCC47A-555C-3849-9C71-3CF771F8FBA0}" srcOrd="1" destOrd="0" presId="urn:microsoft.com/office/officeart/2005/8/layout/cycle2"/>
    <dgm:cxn modelId="{B1125075-AE15-C441-B0AB-4BD6E8799AC7}" type="presOf" srcId="{B35A58F9-84DF-644C-AB67-8E05A14585CD}" destId="{AE85CC7D-9C4B-FE4A-9ECA-9A1D27712FF0}" srcOrd="0" destOrd="0" presId="urn:microsoft.com/office/officeart/2005/8/layout/cycle2"/>
    <dgm:cxn modelId="{16E3F389-7DE4-A747-B25C-B681E99A58DB}" type="presOf" srcId="{BB063527-4016-9C46-9636-BC5B3E19BAB0}" destId="{53B57A4F-4198-E048-9A1B-CF7EC5C99E4F}" srcOrd="0" destOrd="0" presId="urn:microsoft.com/office/officeart/2005/8/layout/cycle2"/>
    <dgm:cxn modelId="{6EB6FC2F-E5AB-FD49-A071-8B8DD1BF6EA9}" type="presOf" srcId="{0516049B-4715-C640-A187-13BEEF0DC277}" destId="{C8DDFF0C-8D9E-944B-B3F5-E5624CC26C75}" srcOrd="0" destOrd="0" presId="urn:microsoft.com/office/officeart/2005/8/layout/cycle2"/>
    <dgm:cxn modelId="{8299A88E-D072-DC46-985F-A4B8A38EB7B0}" type="presOf" srcId="{27FBC944-EE36-A344-9593-970A64CC4BA4}" destId="{FA00A050-709D-C647-A468-FE2BD9244D3A}" srcOrd="1" destOrd="0" presId="urn:microsoft.com/office/officeart/2005/8/layout/cycle2"/>
    <dgm:cxn modelId="{767D46FB-4B07-F349-BE47-D129430F182F}" type="presOf" srcId="{73D53710-8134-8043-98D8-6D6BDE890918}" destId="{90B1C1F5-EB01-374F-96FF-36BB38D970DF}" srcOrd="0" destOrd="0" presId="urn:microsoft.com/office/officeart/2005/8/layout/cycle2"/>
    <dgm:cxn modelId="{AB48215D-BB39-444B-8348-3E4B90B21B1E}" srcId="{EA629196-5A5C-2945-BD1B-C6AD0F0D2A3F}" destId="{BD24EA3A-3F93-E245-9BFA-3ACA12E3A64D}" srcOrd="8" destOrd="0" parTransId="{FA61B25D-3AC2-7B43-89B6-9FCB256AB3A5}" sibTransId="{BB063527-4016-9C46-9636-BC5B3E19BAB0}"/>
    <dgm:cxn modelId="{8A3C47A2-A7A3-6140-9077-5224E34A9E99}" srcId="{EA629196-5A5C-2945-BD1B-C6AD0F0D2A3F}" destId="{7BF8AF71-18AB-D344-83FB-982A046A145C}" srcOrd="7" destOrd="0" parTransId="{52F06D90-788A-A244-8ECA-AF137E3D25E2}" sibTransId="{64F45F8B-F0A0-264D-A944-ECD27D15A08A}"/>
    <dgm:cxn modelId="{CF87EAB7-3567-284E-A220-240D54747247}" type="presOf" srcId="{701D565A-00B3-724E-BF35-C89141731C61}" destId="{F673C193-7A1B-9D40-BCFB-64A89BC7EF7A}" srcOrd="0" destOrd="0" presId="urn:microsoft.com/office/officeart/2005/8/layout/cycle2"/>
    <dgm:cxn modelId="{414A0FBA-9128-E643-9008-D21979FB8747}" type="presOf" srcId="{B3CF0510-8E4B-E64C-BF8F-F7EF73D69EB1}" destId="{D1692533-CFA0-594F-B3C6-D94086997AE1}" srcOrd="0" destOrd="0" presId="urn:microsoft.com/office/officeart/2005/8/layout/cycle2"/>
    <dgm:cxn modelId="{38CFE5C2-E08B-BE4D-AF93-4F641B45E20D}" type="presOf" srcId="{C0A08FFD-5BC9-F944-ACC7-836322923187}" destId="{94ABE37C-3697-8F48-B07D-F4E4CBDCF578}" srcOrd="0" destOrd="0" presId="urn:microsoft.com/office/officeart/2005/8/layout/cycle2"/>
    <dgm:cxn modelId="{03329160-CF25-8B42-AC49-9C8A05E6E532}" type="presOf" srcId="{2A0E3F6A-87AB-2442-AB8E-34754B5950CC}" destId="{54DAD978-5822-2849-85B8-C32FC3EE07DD}" srcOrd="0" destOrd="0" presId="urn:microsoft.com/office/officeart/2005/8/layout/cycle2"/>
    <dgm:cxn modelId="{1D853E9C-9DAE-854D-A515-19C0471A5B43}" type="presOf" srcId="{701D565A-00B3-724E-BF35-C89141731C61}" destId="{9F82DD29-6138-DA41-8FB2-5339CFE23069}" srcOrd="1" destOrd="0" presId="urn:microsoft.com/office/officeart/2005/8/layout/cycle2"/>
    <dgm:cxn modelId="{F18EE2A9-57F6-B34C-9142-9E329E4B2549}" srcId="{EA629196-5A5C-2945-BD1B-C6AD0F0D2A3F}" destId="{1AD230AF-98EC-834E-B7B0-C13E91156D34}" srcOrd="9" destOrd="0" parTransId="{EF6F55FC-75BF-2F4D-A0D7-C8BB41A80B09}" sibTransId="{0DE18AE4-8230-8F43-AF2F-0077881A4AF9}"/>
    <dgm:cxn modelId="{9757E86A-A509-A244-AE01-D1FE58D411E4}" type="presOf" srcId="{27FBC944-EE36-A344-9593-970A64CC4BA4}" destId="{D32925F2-2F4A-4847-806B-9007C7A301C6}" srcOrd="0" destOrd="0" presId="urn:microsoft.com/office/officeart/2005/8/layout/cycle2"/>
    <dgm:cxn modelId="{E3078B78-D8E5-AE4A-A270-70C79BE46D63}" type="presOf" srcId="{EA629196-5A5C-2945-BD1B-C6AD0F0D2A3F}" destId="{737CDD9F-053F-3A44-A465-A37C85F22EAE}" srcOrd="0" destOrd="0" presId="urn:microsoft.com/office/officeart/2005/8/layout/cycle2"/>
    <dgm:cxn modelId="{0174F31C-0593-EC46-86A2-1C9AEF344EE2}" type="presOf" srcId="{EF32E5D1-DAE8-8342-B837-1242616D9308}" destId="{7E6B2A41-7035-F14D-AB18-259F2D6299F5}" srcOrd="0" destOrd="0" presId="urn:microsoft.com/office/officeart/2005/8/layout/cycle2"/>
    <dgm:cxn modelId="{C8F462E5-02D8-7744-A987-8DBC125E8CDD}" type="presOf" srcId="{0DE18AE4-8230-8F43-AF2F-0077881A4AF9}" destId="{DC525CD9-DBB8-CD44-8F9E-131E8A5DEC3D}" srcOrd="1" destOrd="0" presId="urn:microsoft.com/office/officeart/2005/8/layout/cycle2"/>
    <dgm:cxn modelId="{D262A68A-11EE-B24E-B1DE-C578DA7D9F97}" type="presOf" srcId="{1AD230AF-98EC-834E-B7B0-C13E91156D34}" destId="{74C8349B-DE40-EA47-9B0B-1BE9B1F9CDA9}" srcOrd="0" destOrd="0" presId="urn:microsoft.com/office/officeart/2005/8/layout/cycle2"/>
    <dgm:cxn modelId="{49620E8B-AD1F-944F-B675-4AC18453FA23}" srcId="{EA629196-5A5C-2945-BD1B-C6AD0F0D2A3F}" destId="{2A0E3F6A-87AB-2442-AB8E-34754B5950CC}" srcOrd="1" destOrd="0" parTransId="{2A864D2E-2728-5D42-A993-CAAFD9536107}" sibTransId="{0516049B-4715-C640-A187-13BEEF0DC277}"/>
    <dgm:cxn modelId="{250CD696-A1D6-7E46-844B-D050A28D0F68}" srcId="{EA629196-5A5C-2945-BD1B-C6AD0F0D2A3F}" destId="{73D53710-8134-8043-98D8-6D6BDE890918}" srcOrd="2" destOrd="0" parTransId="{8A44D553-5546-D64B-AEFA-77C6BCBAE393}" sibTransId="{C0A08FFD-5BC9-F944-ACC7-836322923187}"/>
    <dgm:cxn modelId="{EE14EA04-3AFD-4241-8372-E54559A70238}" srcId="{EA629196-5A5C-2945-BD1B-C6AD0F0D2A3F}" destId="{6324D57B-33E5-6E40-BEA5-1ECBAFC25128}" srcOrd="6" destOrd="0" parTransId="{31E99CBC-54D3-644F-BF13-0443FC0F7FD1}" sibTransId="{3110DA85-93EB-EA4F-9893-A8FB71718B1E}"/>
    <dgm:cxn modelId="{BB68BFDD-68D2-804D-91A3-2FD9B1B27857}" srcId="{EA629196-5A5C-2945-BD1B-C6AD0F0D2A3F}" destId="{B3CF0510-8E4B-E64C-BF8F-F7EF73D69EB1}" srcOrd="0" destOrd="0" parTransId="{B4A7BD85-D6CD-EC41-95D9-49B2F59D5C20}" sibTransId="{DB9B2E6E-3AF3-F44D-A710-C5DDF8788121}"/>
    <dgm:cxn modelId="{702F87AB-8097-C943-9A17-170F0D29BD83}" type="presOf" srcId="{64F45F8B-F0A0-264D-A944-ECD27D15A08A}" destId="{76CEC215-7441-8347-A720-4FD27BF7B79A}" srcOrd="0" destOrd="0" presId="urn:microsoft.com/office/officeart/2005/8/layout/cycle2"/>
    <dgm:cxn modelId="{C5B29389-5457-CF42-A86F-12CCD65360DA}" type="presOf" srcId="{6324D57B-33E5-6E40-BEA5-1ECBAFC25128}" destId="{3E4F4D90-B6F3-A94B-BC58-9F8EA017E593}" srcOrd="0" destOrd="0" presId="urn:microsoft.com/office/officeart/2005/8/layout/cycle2"/>
    <dgm:cxn modelId="{8FF033DA-B3EC-FE43-9FA0-E92ED3682D2D}" type="presOf" srcId="{DB9B2E6E-3AF3-F44D-A710-C5DDF8788121}" destId="{C7440D39-FDF4-F643-88FB-834022F9CC87}" srcOrd="0" destOrd="0" presId="urn:microsoft.com/office/officeart/2005/8/layout/cycle2"/>
    <dgm:cxn modelId="{DFEE0A82-9656-4F4C-A4CA-AF48BB57640F}" type="presOf" srcId="{64F45F8B-F0A0-264D-A944-ECD27D15A08A}" destId="{44BBCA36-26EE-E942-AF56-20FD732F558C}" srcOrd="1" destOrd="0" presId="urn:microsoft.com/office/officeart/2005/8/layout/cycle2"/>
    <dgm:cxn modelId="{1447BE82-8569-7E49-96C4-BB505E651FF7}" type="presOf" srcId="{B35A58F9-84DF-644C-AB67-8E05A14585CD}" destId="{A6391058-A201-6942-8DB3-D68C12CF1524}" srcOrd="1" destOrd="0" presId="urn:microsoft.com/office/officeart/2005/8/layout/cycle2"/>
    <dgm:cxn modelId="{EA01574A-5F1A-F547-99E6-E53A0303CAD5}" type="presOf" srcId="{502F3017-75D4-2943-BBDF-C837758DB077}" destId="{54B5CB1A-D110-B24C-9796-8B664D8FB3F2}" srcOrd="0" destOrd="0" presId="urn:microsoft.com/office/officeart/2005/8/layout/cycle2"/>
    <dgm:cxn modelId="{5681BDF9-2E63-AF47-B469-999CA3EF1235}" type="presOf" srcId="{0516049B-4715-C640-A187-13BEEF0DC277}" destId="{10C76678-0B82-1F44-AE8A-BC8B8D5780E2}" srcOrd="1" destOrd="0" presId="urn:microsoft.com/office/officeart/2005/8/layout/cycle2"/>
    <dgm:cxn modelId="{AAC5469F-D459-514A-9D33-653ED3CB0205}" type="presOf" srcId="{233D8B73-7F7E-DB42-A2D7-6D548D9AEE16}" destId="{855FC710-8588-C647-8332-6B50636C35CF}" srcOrd="0" destOrd="0" presId="urn:microsoft.com/office/officeart/2005/8/layout/cycle2"/>
    <dgm:cxn modelId="{170B3A72-18F2-9949-B62B-A2B7E05B20CD}" srcId="{EA629196-5A5C-2945-BD1B-C6AD0F0D2A3F}" destId="{233D8B73-7F7E-DB42-A2D7-6D548D9AEE16}" srcOrd="5" destOrd="0" parTransId="{E90DF07F-53F0-8F4A-92B2-1B7E6AA1CD4E}" sibTransId="{502F3017-75D4-2943-BBDF-C837758DB077}"/>
    <dgm:cxn modelId="{80E1D284-91F7-0F44-B770-01D1A9DF23B9}" srcId="{EA629196-5A5C-2945-BD1B-C6AD0F0D2A3F}" destId="{A79EEAE3-4A71-B441-8B44-949D04622673}" srcOrd="4" destOrd="0" parTransId="{6B94E7DF-417B-C847-9326-5F8781A48528}" sibTransId="{B35A58F9-84DF-644C-AB67-8E05A14585CD}"/>
    <dgm:cxn modelId="{64121829-F217-B64C-873B-1F82E3E7EC71}" type="presOf" srcId="{502F3017-75D4-2943-BBDF-C837758DB077}" destId="{29F5FB84-B681-6740-B225-1993FFD4F525}" srcOrd="1" destOrd="0" presId="urn:microsoft.com/office/officeart/2005/8/layout/cycle2"/>
    <dgm:cxn modelId="{B759CDB6-3AD1-A54D-9EB8-23DFE62A94F0}" type="presOf" srcId="{DB9B2E6E-3AF3-F44D-A710-C5DDF8788121}" destId="{C43C73BC-3E00-C943-8EDB-0DD17036D412}" srcOrd="1" destOrd="0" presId="urn:microsoft.com/office/officeart/2005/8/layout/cycle2"/>
    <dgm:cxn modelId="{070F5D02-20AD-6C42-92F3-F047AF2462B6}" type="presOf" srcId="{BB063527-4016-9C46-9636-BC5B3E19BAB0}" destId="{808A1AAC-C521-F748-A615-B11EB7B445EE}" srcOrd="1" destOrd="0" presId="urn:microsoft.com/office/officeart/2005/8/layout/cycle2"/>
    <dgm:cxn modelId="{4DFEF171-BAD9-CF4D-A19D-CDD5BB50B806}" type="presOf" srcId="{BD24EA3A-3F93-E245-9BFA-3ACA12E3A64D}" destId="{893A70F8-F5F9-7D4A-86F6-6916350DCD35}" srcOrd="0" destOrd="0" presId="urn:microsoft.com/office/officeart/2005/8/layout/cycle2"/>
    <dgm:cxn modelId="{160A5173-D75B-B940-9DC2-858096446D05}" type="presOf" srcId="{0DE18AE4-8230-8F43-AF2F-0077881A4AF9}" destId="{DD0122F4-A948-3840-87F1-7CF04CB8602F}" srcOrd="0" destOrd="0" presId="urn:microsoft.com/office/officeart/2005/8/layout/cycle2"/>
    <dgm:cxn modelId="{995DA990-DC33-C446-BD20-5DD28F799103}" type="presOf" srcId="{14784E9C-2ED4-6247-9225-7F939272F988}" destId="{33BFDD29-1DEA-CF40-B5E2-CF1847B53231}" srcOrd="0" destOrd="0" presId="urn:microsoft.com/office/officeart/2005/8/layout/cycle2"/>
    <dgm:cxn modelId="{E4A0C63C-6428-DD46-9832-B3D5841C99D5}" srcId="{EA629196-5A5C-2945-BD1B-C6AD0F0D2A3F}" destId="{EF32E5D1-DAE8-8342-B837-1242616D9308}" srcOrd="10" destOrd="0" parTransId="{12633D31-FA87-D24C-BFCA-F10C5CECB843}" sibTransId="{701D565A-00B3-724E-BF35-C89141731C61}"/>
    <dgm:cxn modelId="{A3513B21-C57B-4A4B-9428-D370067911E7}" type="presOf" srcId="{3110DA85-93EB-EA4F-9893-A8FB71718B1E}" destId="{D13DEFB1-91E4-A448-BF66-F188656F4C09}" srcOrd="1" destOrd="0" presId="urn:microsoft.com/office/officeart/2005/8/layout/cycle2"/>
    <dgm:cxn modelId="{A7F5D1E2-7C1A-B44B-A13F-A0AA1AF117C9}" type="presOf" srcId="{A79EEAE3-4A71-B441-8B44-949D04622673}" destId="{5A251509-C028-1549-BF66-2FAB391B1D6D}" srcOrd="0" destOrd="0" presId="urn:microsoft.com/office/officeart/2005/8/layout/cycle2"/>
    <dgm:cxn modelId="{187C1B7C-862A-A047-AFD6-D72A6E4A1F0B}" type="presOf" srcId="{3110DA85-93EB-EA4F-9893-A8FB71718B1E}" destId="{9ACC6B5C-6933-B54C-BA4F-F4A89BFEE0EA}" srcOrd="0" destOrd="0" presId="urn:microsoft.com/office/officeart/2005/8/layout/cycle2"/>
    <dgm:cxn modelId="{8E44EB1D-ABB0-B346-9E8C-00158EC4F660}" type="presOf" srcId="{7BF8AF71-18AB-D344-83FB-982A046A145C}" destId="{B18D4372-C15D-7044-B1C4-6080118523B9}" srcOrd="0" destOrd="0" presId="urn:microsoft.com/office/officeart/2005/8/layout/cycle2"/>
    <dgm:cxn modelId="{D752272C-CA08-7742-A0D2-4B5106C2A6DC}" srcId="{EA629196-5A5C-2945-BD1B-C6AD0F0D2A3F}" destId="{14784E9C-2ED4-6247-9225-7F939272F988}" srcOrd="3" destOrd="0" parTransId="{3D500E24-8A28-9B43-BF39-16398F03A66F}" sibTransId="{27FBC944-EE36-A344-9593-970A64CC4BA4}"/>
    <dgm:cxn modelId="{090CEF20-5D43-B345-B11E-A9DCA7EF69FF}" type="presParOf" srcId="{737CDD9F-053F-3A44-A465-A37C85F22EAE}" destId="{D1692533-CFA0-594F-B3C6-D94086997AE1}" srcOrd="0" destOrd="0" presId="urn:microsoft.com/office/officeart/2005/8/layout/cycle2"/>
    <dgm:cxn modelId="{F830C68A-15CE-9D4D-AAB9-C983ED0C8BA9}" type="presParOf" srcId="{737CDD9F-053F-3A44-A465-A37C85F22EAE}" destId="{C7440D39-FDF4-F643-88FB-834022F9CC87}" srcOrd="1" destOrd="0" presId="urn:microsoft.com/office/officeart/2005/8/layout/cycle2"/>
    <dgm:cxn modelId="{294B366C-F28A-AB43-AC18-5A03A643E49F}" type="presParOf" srcId="{C7440D39-FDF4-F643-88FB-834022F9CC87}" destId="{C43C73BC-3E00-C943-8EDB-0DD17036D412}" srcOrd="0" destOrd="0" presId="urn:microsoft.com/office/officeart/2005/8/layout/cycle2"/>
    <dgm:cxn modelId="{C5D82AC6-A31D-EC42-9909-438C2FE884D6}" type="presParOf" srcId="{737CDD9F-053F-3A44-A465-A37C85F22EAE}" destId="{54DAD978-5822-2849-85B8-C32FC3EE07DD}" srcOrd="2" destOrd="0" presId="urn:microsoft.com/office/officeart/2005/8/layout/cycle2"/>
    <dgm:cxn modelId="{0EBC5B6D-45BB-E544-933D-EF06BE2EA266}" type="presParOf" srcId="{737CDD9F-053F-3A44-A465-A37C85F22EAE}" destId="{C8DDFF0C-8D9E-944B-B3F5-E5624CC26C75}" srcOrd="3" destOrd="0" presId="urn:microsoft.com/office/officeart/2005/8/layout/cycle2"/>
    <dgm:cxn modelId="{607C8F8B-3D82-8843-9A11-41111FA4D9DB}" type="presParOf" srcId="{C8DDFF0C-8D9E-944B-B3F5-E5624CC26C75}" destId="{10C76678-0B82-1F44-AE8A-BC8B8D5780E2}" srcOrd="0" destOrd="0" presId="urn:microsoft.com/office/officeart/2005/8/layout/cycle2"/>
    <dgm:cxn modelId="{5FB6F74A-0D3F-7943-B57F-3AF1966CCD76}" type="presParOf" srcId="{737CDD9F-053F-3A44-A465-A37C85F22EAE}" destId="{90B1C1F5-EB01-374F-96FF-36BB38D970DF}" srcOrd="4" destOrd="0" presId="urn:microsoft.com/office/officeart/2005/8/layout/cycle2"/>
    <dgm:cxn modelId="{E564AE6E-A032-2749-8DB0-AC30D96CE3BD}" type="presParOf" srcId="{737CDD9F-053F-3A44-A465-A37C85F22EAE}" destId="{94ABE37C-3697-8F48-B07D-F4E4CBDCF578}" srcOrd="5" destOrd="0" presId="urn:microsoft.com/office/officeart/2005/8/layout/cycle2"/>
    <dgm:cxn modelId="{6D0B7FD2-2FEC-BD49-AA03-83A7DDA01753}" type="presParOf" srcId="{94ABE37C-3697-8F48-B07D-F4E4CBDCF578}" destId="{D3DCC47A-555C-3849-9C71-3CF771F8FBA0}" srcOrd="0" destOrd="0" presId="urn:microsoft.com/office/officeart/2005/8/layout/cycle2"/>
    <dgm:cxn modelId="{F2A0536D-18FD-0A4F-BFB5-AE1E65F71BDD}" type="presParOf" srcId="{737CDD9F-053F-3A44-A465-A37C85F22EAE}" destId="{33BFDD29-1DEA-CF40-B5E2-CF1847B53231}" srcOrd="6" destOrd="0" presId="urn:microsoft.com/office/officeart/2005/8/layout/cycle2"/>
    <dgm:cxn modelId="{28A3FC00-58CE-DA4E-BF26-C1978C945D8A}" type="presParOf" srcId="{737CDD9F-053F-3A44-A465-A37C85F22EAE}" destId="{D32925F2-2F4A-4847-806B-9007C7A301C6}" srcOrd="7" destOrd="0" presId="urn:microsoft.com/office/officeart/2005/8/layout/cycle2"/>
    <dgm:cxn modelId="{D51AC774-4AAC-BB44-A488-2EDB06C726BC}" type="presParOf" srcId="{D32925F2-2F4A-4847-806B-9007C7A301C6}" destId="{FA00A050-709D-C647-A468-FE2BD9244D3A}" srcOrd="0" destOrd="0" presId="urn:microsoft.com/office/officeart/2005/8/layout/cycle2"/>
    <dgm:cxn modelId="{B3ECB5A6-0F25-6C4D-B101-098A88F88051}" type="presParOf" srcId="{737CDD9F-053F-3A44-A465-A37C85F22EAE}" destId="{5A251509-C028-1549-BF66-2FAB391B1D6D}" srcOrd="8" destOrd="0" presId="urn:microsoft.com/office/officeart/2005/8/layout/cycle2"/>
    <dgm:cxn modelId="{264D6FEB-5E84-5542-BFA4-7F5001CD07A1}" type="presParOf" srcId="{737CDD9F-053F-3A44-A465-A37C85F22EAE}" destId="{AE85CC7D-9C4B-FE4A-9ECA-9A1D27712FF0}" srcOrd="9" destOrd="0" presId="urn:microsoft.com/office/officeart/2005/8/layout/cycle2"/>
    <dgm:cxn modelId="{209CE656-E42D-8844-8F2B-EA5E728F8D79}" type="presParOf" srcId="{AE85CC7D-9C4B-FE4A-9ECA-9A1D27712FF0}" destId="{A6391058-A201-6942-8DB3-D68C12CF1524}" srcOrd="0" destOrd="0" presId="urn:microsoft.com/office/officeart/2005/8/layout/cycle2"/>
    <dgm:cxn modelId="{9733A069-E166-9E44-B166-06A9CAAF5F3D}" type="presParOf" srcId="{737CDD9F-053F-3A44-A465-A37C85F22EAE}" destId="{855FC710-8588-C647-8332-6B50636C35CF}" srcOrd="10" destOrd="0" presId="urn:microsoft.com/office/officeart/2005/8/layout/cycle2"/>
    <dgm:cxn modelId="{41714B32-FF9D-4340-8666-238092A41C84}" type="presParOf" srcId="{737CDD9F-053F-3A44-A465-A37C85F22EAE}" destId="{54B5CB1A-D110-B24C-9796-8B664D8FB3F2}" srcOrd="11" destOrd="0" presId="urn:microsoft.com/office/officeart/2005/8/layout/cycle2"/>
    <dgm:cxn modelId="{3DA851D3-8D35-AA4A-868B-F8A4957FFD4A}" type="presParOf" srcId="{54B5CB1A-D110-B24C-9796-8B664D8FB3F2}" destId="{29F5FB84-B681-6740-B225-1993FFD4F525}" srcOrd="0" destOrd="0" presId="urn:microsoft.com/office/officeart/2005/8/layout/cycle2"/>
    <dgm:cxn modelId="{BF0A9CDF-8AAD-B045-89EE-E904309B9EAA}" type="presParOf" srcId="{737CDD9F-053F-3A44-A465-A37C85F22EAE}" destId="{3E4F4D90-B6F3-A94B-BC58-9F8EA017E593}" srcOrd="12" destOrd="0" presId="urn:microsoft.com/office/officeart/2005/8/layout/cycle2"/>
    <dgm:cxn modelId="{B2991405-3C37-8F4D-8B23-62735314CB1C}" type="presParOf" srcId="{737CDD9F-053F-3A44-A465-A37C85F22EAE}" destId="{9ACC6B5C-6933-B54C-BA4F-F4A89BFEE0EA}" srcOrd="13" destOrd="0" presId="urn:microsoft.com/office/officeart/2005/8/layout/cycle2"/>
    <dgm:cxn modelId="{FC9DD67C-0E10-8544-A4F1-2B6028DC6D51}" type="presParOf" srcId="{9ACC6B5C-6933-B54C-BA4F-F4A89BFEE0EA}" destId="{D13DEFB1-91E4-A448-BF66-F188656F4C09}" srcOrd="0" destOrd="0" presId="urn:microsoft.com/office/officeart/2005/8/layout/cycle2"/>
    <dgm:cxn modelId="{5F3686BD-05CA-F745-A47E-F790084B0EAB}" type="presParOf" srcId="{737CDD9F-053F-3A44-A465-A37C85F22EAE}" destId="{B18D4372-C15D-7044-B1C4-6080118523B9}" srcOrd="14" destOrd="0" presId="urn:microsoft.com/office/officeart/2005/8/layout/cycle2"/>
    <dgm:cxn modelId="{DCFA67D2-551C-BA49-9EF4-2700F12224B4}" type="presParOf" srcId="{737CDD9F-053F-3A44-A465-A37C85F22EAE}" destId="{76CEC215-7441-8347-A720-4FD27BF7B79A}" srcOrd="15" destOrd="0" presId="urn:microsoft.com/office/officeart/2005/8/layout/cycle2"/>
    <dgm:cxn modelId="{8E9E93A2-E202-1B48-A79D-62D6CAC1EA13}" type="presParOf" srcId="{76CEC215-7441-8347-A720-4FD27BF7B79A}" destId="{44BBCA36-26EE-E942-AF56-20FD732F558C}" srcOrd="0" destOrd="0" presId="urn:microsoft.com/office/officeart/2005/8/layout/cycle2"/>
    <dgm:cxn modelId="{ECDEC204-4A8F-0E4C-8BB7-6428772016B2}" type="presParOf" srcId="{737CDD9F-053F-3A44-A465-A37C85F22EAE}" destId="{893A70F8-F5F9-7D4A-86F6-6916350DCD35}" srcOrd="16" destOrd="0" presId="urn:microsoft.com/office/officeart/2005/8/layout/cycle2"/>
    <dgm:cxn modelId="{78123B2B-97E7-E746-8FA3-BACDD0F18BC8}" type="presParOf" srcId="{737CDD9F-053F-3A44-A465-A37C85F22EAE}" destId="{53B57A4F-4198-E048-9A1B-CF7EC5C99E4F}" srcOrd="17" destOrd="0" presId="urn:microsoft.com/office/officeart/2005/8/layout/cycle2"/>
    <dgm:cxn modelId="{ACFACDCD-5242-8E4C-9D04-C04777FA5283}" type="presParOf" srcId="{53B57A4F-4198-E048-9A1B-CF7EC5C99E4F}" destId="{808A1AAC-C521-F748-A615-B11EB7B445EE}" srcOrd="0" destOrd="0" presId="urn:microsoft.com/office/officeart/2005/8/layout/cycle2"/>
    <dgm:cxn modelId="{BB5B208F-260F-4748-B4DF-2092EF57E744}" type="presParOf" srcId="{737CDD9F-053F-3A44-A465-A37C85F22EAE}" destId="{74C8349B-DE40-EA47-9B0B-1BE9B1F9CDA9}" srcOrd="18" destOrd="0" presId="urn:microsoft.com/office/officeart/2005/8/layout/cycle2"/>
    <dgm:cxn modelId="{9AC22A70-34B6-C34B-A63B-38C0B6EC8D6C}" type="presParOf" srcId="{737CDD9F-053F-3A44-A465-A37C85F22EAE}" destId="{DD0122F4-A948-3840-87F1-7CF04CB8602F}" srcOrd="19" destOrd="0" presId="urn:microsoft.com/office/officeart/2005/8/layout/cycle2"/>
    <dgm:cxn modelId="{76055F54-885C-E842-B62D-18BFEDCD34D7}" type="presParOf" srcId="{DD0122F4-A948-3840-87F1-7CF04CB8602F}" destId="{DC525CD9-DBB8-CD44-8F9E-131E8A5DEC3D}" srcOrd="0" destOrd="0" presId="urn:microsoft.com/office/officeart/2005/8/layout/cycle2"/>
    <dgm:cxn modelId="{5F643A0B-794C-3945-8A82-C06B322BC023}" type="presParOf" srcId="{737CDD9F-053F-3A44-A465-A37C85F22EAE}" destId="{7E6B2A41-7035-F14D-AB18-259F2D6299F5}" srcOrd="20" destOrd="0" presId="urn:microsoft.com/office/officeart/2005/8/layout/cycle2"/>
    <dgm:cxn modelId="{E2A10F2C-ED65-0648-A842-92D1DD9F7756}" type="presParOf" srcId="{737CDD9F-053F-3A44-A465-A37C85F22EAE}" destId="{F673C193-7A1B-9D40-BCFB-64A89BC7EF7A}" srcOrd="21" destOrd="0" presId="urn:microsoft.com/office/officeart/2005/8/layout/cycle2"/>
    <dgm:cxn modelId="{874066E8-9FE8-104C-9C91-6F53AB40D4E9}" type="presParOf" srcId="{F673C193-7A1B-9D40-BCFB-64A89BC7EF7A}" destId="{9F82DD29-6138-DA41-8FB2-5339CFE23069}" srcOrd="0" destOrd="0" presId="urn:microsoft.com/office/officeart/2005/8/layout/cycle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787442C-A3DA-AF48-92BF-AE9F46D8C289}" type="doc">
      <dgm:prSet loTypeId="urn:microsoft.com/office/officeart/2005/8/layout/chevron1" loCatId="" qsTypeId="urn:microsoft.com/office/officeart/2005/8/quickstyle/simple4" qsCatId="simple" csTypeId="urn:microsoft.com/office/officeart/2005/8/colors/accent3_4" csCatId="accent3" phldr="1"/>
      <dgm:spPr/>
    </dgm:pt>
    <dgm:pt modelId="{8B330733-2CDB-A649-A4B4-D71206EA6F59}">
      <dgm:prSet phldrT="[Text]" custT="1"/>
      <dgm:spPr/>
      <dgm:t>
        <a:bodyPr/>
        <a:lstStyle/>
        <a:p>
          <a:r>
            <a:rPr lang="en-US" sz="1000">
              <a:latin typeface="Times New Roman"/>
            </a:rPr>
            <a:t>20.12.11 - Commission proposal</a:t>
          </a:r>
        </a:p>
      </dgm:t>
    </dgm:pt>
    <dgm:pt modelId="{EE4D7CFE-1CCC-694D-963D-D5623D83AD61}" type="parTrans" cxnId="{1A6E56BD-05FB-D34A-B4C2-CED3E6891BFE}">
      <dgm:prSet/>
      <dgm:spPr/>
      <dgm:t>
        <a:bodyPr/>
        <a:lstStyle/>
        <a:p>
          <a:endParaRPr lang="en-US"/>
        </a:p>
      </dgm:t>
    </dgm:pt>
    <dgm:pt modelId="{8612EE62-EC54-034C-8396-11DB10F83593}" type="sibTrans" cxnId="{1A6E56BD-05FB-D34A-B4C2-CED3E6891BFE}">
      <dgm:prSet/>
      <dgm:spPr/>
      <dgm:t>
        <a:bodyPr/>
        <a:lstStyle/>
        <a:p>
          <a:endParaRPr lang="en-US"/>
        </a:p>
      </dgm:t>
    </dgm:pt>
    <dgm:pt modelId="{B293BE83-913B-024C-86E8-B55EB362BAFE}">
      <dgm:prSet phldrT="[Text]" custT="1"/>
      <dgm:spPr/>
      <dgm:t>
        <a:bodyPr/>
        <a:lstStyle/>
        <a:p>
          <a:r>
            <a:rPr lang="en-US" sz="1000">
              <a:latin typeface="Times New Roman"/>
            </a:rPr>
            <a:t>20.02.12 - Council discussion I</a:t>
          </a:r>
        </a:p>
      </dgm:t>
    </dgm:pt>
    <dgm:pt modelId="{ECA7EBED-A564-7D4C-83D7-FF09A82D5E03}" type="parTrans" cxnId="{1CFB0779-CE48-5940-8504-8D076406D093}">
      <dgm:prSet/>
      <dgm:spPr/>
      <dgm:t>
        <a:bodyPr/>
        <a:lstStyle/>
        <a:p>
          <a:endParaRPr lang="en-US"/>
        </a:p>
      </dgm:t>
    </dgm:pt>
    <dgm:pt modelId="{120F7964-C13B-0348-9241-F50B1772A8CC}" type="sibTrans" cxnId="{1CFB0779-CE48-5940-8504-8D076406D093}">
      <dgm:prSet/>
      <dgm:spPr/>
      <dgm:t>
        <a:bodyPr/>
        <a:lstStyle/>
        <a:p>
          <a:endParaRPr lang="en-US"/>
        </a:p>
      </dgm:t>
    </dgm:pt>
    <dgm:pt modelId="{A12810C2-6A62-BB4B-A050-FAE6C74594EE}">
      <dgm:prSet phldrT="[Text]" custT="1"/>
      <dgm:spPr/>
      <dgm:t>
        <a:bodyPr/>
        <a:lstStyle/>
        <a:p>
          <a:r>
            <a:rPr lang="en-US" sz="1000">
              <a:latin typeface="Times New Roman"/>
            </a:rPr>
            <a:t>26.04.12 - EESC opinion</a:t>
          </a:r>
        </a:p>
      </dgm:t>
    </dgm:pt>
    <dgm:pt modelId="{D923AF43-84B0-3B4F-9F89-5B17394095BF}" type="parTrans" cxnId="{DD207874-589F-724F-A364-C46C8D137CDB}">
      <dgm:prSet/>
      <dgm:spPr/>
      <dgm:t>
        <a:bodyPr/>
        <a:lstStyle/>
        <a:p>
          <a:endParaRPr lang="en-US"/>
        </a:p>
      </dgm:t>
    </dgm:pt>
    <dgm:pt modelId="{2758E8FD-467A-D647-BDC1-41C813F8DCF0}" type="sibTrans" cxnId="{DD207874-589F-724F-A364-C46C8D137CDB}">
      <dgm:prSet/>
      <dgm:spPr/>
      <dgm:t>
        <a:bodyPr/>
        <a:lstStyle/>
        <a:p>
          <a:endParaRPr lang="en-US"/>
        </a:p>
      </dgm:t>
    </dgm:pt>
    <dgm:pt modelId="{49D307CB-4FEF-B541-864F-38CFB710CF66}">
      <dgm:prSet phldrT="[Text]" custT="1"/>
      <dgm:spPr/>
      <dgm:t>
        <a:bodyPr/>
        <a:lstStyle/>
        <a:p>
          <a:r>
            <a:rPr lang="en-US" sz="1000">
              <a:latin typeface="Times New Roman"/>
            </a:rPr>
            <a:t>30.05.12 - Council discussion II</a:t>
          </a:r>
        </a:p>
      </dgm:t>
    </dgm:pt>
    <dgm:pt modelId="{C7DF2338-33BA-B94B-B201-534BD3E83CCC}" type="parTrans" cxnId="{698ADABC-6114-7B4B-85F8-1ADFF44E9C5E}">
      <dgm:prSet/>
      <dgm:spPr/>
      <dgm:t>
        <a:bodyPr/>
        <a:lstStyle/>
        <a:p>
          <a:endParaRPr lang="en-US"/>
        </a:p>
      </dgm:t>
    </dgm:pt>
    <dgm:pt modelId="{33B7986B-625F-5A45-BA55-A763EE24EDE2}" type="sibTrans" cxnId="{698ADABC-6114-7B4B-85F8-1ADFF44E9C5E}">
      <dgm:prSet/>
      <dgm:spPr/>
      <dgm:t>
        <a:bodyPr/>
        <a:lstStyle/>
        <a:p>
          <a:endParaRPr lang="en-US"/>
        </a:p>
      </dgm:t>
    </dgm:pt>
    <dgm:pt modelId="{9043B3F1-AE0E-6945-A915-702EA5CB1AE1}">
      <dgm:prSet phldrT="[Text]" custT="1"/>
      <dgm:spPr/>
      <dgm:t>
        <a:bodyPr/>
        <a:lstStyle/>
        <a:p>
          <a:r>
            <a:rPr lang="en-US" sz="1000">
              <a:latin typeface="Times New Roman"/>
            </a:rPr>
            <a:t>09.10.12 - CoR opinion</a:t>
          </a:r>
        </a:p>
      </dgm:t>
    </dgm:pt>
    <dgm:pt modelId="{9873EE80-194D-EC4C-B624-0B26A0D32940}" type="parTrans" cxnId="{5B374DAE-747D-8648-A6E8-CC89CD2B9487}">
      <dgm:prSet/>
      <dgm:spPr/>
      <dgm:t>
        <a:bodyPr/>
        <a:lstStyle/>
        <a:p>
          <a:endParaRPr lang="en-US"/>
        </a:p>
      </dgm:t>
    </dgm:pt>
    <dgm:pt modelId="{6A2C6DF9-D37A-2F48-BDAC-B1A8E60C3AFF}" type="sibTrans" cxnId="{5B374DAE-747D-8648-A6E8-CC89CD2B9487}">
      <dgm:prSet/>
      <dgm:spPr/>
      <dgm:t>
        <a:bodyPr/>
        <a:lstStyle/>
        <a:p>
          <a:endParaRPr lang="en-US"/>
        </a:p>
      </dgm:t>
    </dgm:pt>
    <dgm:pt modelId="{9139DAE6-9028-614B-8BBA-96D759D08077}" type="pres">
      <dgm:prSet presAssocID="{7787442C-A3DA-AF48-92BF-AE9F46D8C289}" presName="Name0" presStyleCnt="0">
        <dgm:presLayoutVars>
          <dgm:dir/>
          <dgm:animLvl val="lvl"/>
          <dgm:resizeHandles val="exact"/>
        </dgm:presLayoutVars>
      </dgm:prSet>
      <dgm:spPr/>
    </dgm:pt>
    <dgm:pt modelId="{D358C9FF-AF99-DC47-B58D-618B4F50FD1E}" type="pres">
      <dgm:prSet presAssocID="{8B330733-2CDB-A649-A4B4-D71206EA6F59}" presName="parTxOnly" presStyleLbl="node1" presStyleIdx="0" presStyleCnt="5">
        <dgm:presLayoutVars>
          <dgm:chMax val="0"/>
          <dgm:chPref val="0"/>
          <dgm:bulletEnabled val="1"/>
        </dgm:presLayoutVars>
      </dgm:prSet>
      <dgm:spPr/>
      <dgm:t>
        <a:bodyPr/>
        <a:lstStyle/>
        <a:p>
          <a:endParaRPr lang="en-US"/>
        </a:p>
      </dgm:t>
    </dgm:pt>
    <dgm:pt modelId="{293A9D5C-A4F4-1342-B369-742A37427590}" type="pres">
      <dgm:prSet presAssocID="{8612EE62-EC54-034C-8396-11DB10F83593}" presName="parTxOnlySpace" presStyleCnt="0"/>
      <dgm:spPr/>
    </dgm:pt>
    <dgm:pt modelId="{E5E215AF-8EBB-8C44-B2EE-A9DC5E4459A4}" type="pres">
      <dgm:prSet presAssocID="{B293BE83-913B-024C-86E8-B55EB362BAFE}" presName="parTxOnly" presStyleLbl="node1" presStyleIdx="1" presStyleCnt="5">
        <dgm:presLayoutVars>
          <dgm:chMax val="0"/>
          <dgm:chPref val="0"/>
          <dgm:bulletEnabled val="1"/>
        </dgm:presLayoutVars>
      </dgm:prSet>
      <dgm:spPr/>
      <dgm:t>
        <a:bodyPr/>
        <a:lstStyle/>
        <a:p>
          <a:endParaRPr lang="en-US"/>
        </a:p>
      </dgm:t>
    </dgm:pt>
    <dgm:pt modelId="{936A736E-E789-E845-B125-01EBF937614D}" type="pres">
      <dgm:prSet presAssocID="{120F7964-C13B-0348-9241-F50B1772A8CC}" presName="parTxOnlySpace" presStyleCnt="0"/>
      <dgm:spPr/>
    </dgm:pt>
    <dgm:pt modelId="{9439FF15-77DB-564D-8F70-3906F0D559FD}" type="pres">
      <dgm:prSet presAssocID="{A12810C2-6A62-BB4B-A050-FAE6C74594EE}" presName="parTxOnly" presStyleLbl="node1" presStyleIdx="2" presStyleCnt="5">
        <dgm:presLayoutVars>
          <dgm:chMax val="0"/>
          <dgm:chPref val="0"/>
          <dgm:bulletEnabled val="1"/>
        </dgm:presLayoutVars>
      </dgm:prSet>
      <dgm:spPr/>
      <dgm:t>
        <a:bodyPr/>
        <a:lstStyle/>
        <a:p>
          <a:endParaRPr lang="en-US"/>
        </a:p>
      </dgm:t>
    </dgm:pt>
    <dgm:pt modelId="{B78126EA-B9E4-DF46-AF40-E584BFAD5D2B}" type="pres">
      <dgm:prSet presAssocID="{2758E8FD-467A-D647-BDC1-41C813F8DCF0}" presName="parTxOnlySpace" presStyleCnt="0"/>
      <dgm:spPr/>
    </dgm:pt>
    <dgm:pt modelId="{01040489-5A91-CC4C-8A67-BB655FB9C20E}" type="pres">
      <dgm:prSet presAssocID="{49D307CB-4FEF-B541-864F-38CFB710CF66}" presName="parTxOnly" presStyleLbl="node1" presStyleIdx="3" presStyleCnt="5">
        <dgm:presLayoutVars>
          <dgm:chMax val="0"/>
          <dgm:chPref val="0"/>
          <dgm:bulletEnabled val="1"/>
        </dgm:presLayoutVars>
      </dgm:prSet>
      <dgm:spPr/>
      <dgm:t>
        <a:bodyPr/>
        <a:lstStyle/>
        <a:p>
          <a:endParaRPr lang="en-US"/>
        </a:p>
      </dgm:t>
    </dgm:pt>
    <dgm:pt modelId="{5794670D-38F5-0645-84B4-30A25CCBDCFA}" type="pres">
      <dgm:prSet presAssocID="{33B7986B-625F-5A45-BA55-A763EE24EDE2}" presName="parTxOnlySpace" presStyleCnt="0"/>
      <dgm:spPr/>
    </dgm:pt>
    <dgm:pt modelId="{20B7C899-9B5E-014C-ACCE-FE972381B331}" type="pres">
      <dgm:prSet presAssocID="{9043B3F1-AE0E-6945-A915-702EA5CB1AE1}" presName="parTxOnly" presStyleLbl="node1" presStyleIdx="4" presStyleCnt="5">
        <dgm:presLayoutVars>
          <dgm:chMax val="0"/>
          <dgm:chPref val="0"/>
          <dgm:bulletEnabled val="1"/>
        </dgm:presLayoutVars>
      </dgm:prSet>
      <dgm:spPr/>
      <dgm:t>
        <a:bodyPr/>
        <a:lstStyle/>
        <a:p>
          <a:endParaRPr lang="en-US"/>
        </a:p>
      </dgm:t>
    </dgm:pt>
  </dgm:ptLst>
  <dgm:cxnLst>
    <dgm:cxn modelId="{5F4179B7-9255-D644-ADA1-7DCBD1599B66}" type="presOf" srcId="{9043B3F1-AE0E-6945-A915-702EA5CB1AE1}" destId="{20B7C899-9B5E-014C-ACCE-FE972381B331}" srcOrd="0" destOrd="0" presId="urn:microsoft.com/office/officeart/2005/8/layout/chevron1"/>
    <dgm:cxn modelId="{366DA143-8AD0-C340-93BE-B7739F089B94}" type="presOf" srcId="{7787442C-A3DA-AF48-92BF-AE9F46D8C289}" destId="{9139DAE6-9028-614B-8BBA-96D759D08077}" srcOrd="0" destOrd="0" presId="urn:microsoft.com/office/officeart/2005/8/layout/chevron1"/>
    <dgm:cxn modelId="{6DD57C6C-DE13-7B44-B90D-4DE3DA36E817}" type="presOf" srcId="{8B330733-2CDB-A649-A4B4-D71206EA6F59}" destId="{D358C9FF-AF99-DC47-B58D-618B4F50FD1E}" srcOrd="0" destOrd="0" presId="urn:microsoft.com/office/officeart/2005/8/layout/chevron1"/>
    <dgm:cxn modelId="{9FA69BCF-913F-394B-B7D0-037BD65A0862}" type="presOf" srcId="{B293BE83-913B-024C-86E8-B55EB362BAFE}" destId="{E5E215AF-8EBB-8C44-B2EE-A9DC5E4459A4}" srcOrd="0" destOrd="0" presId="urn:microsoft.com/office/officeart/2005/8/layout/chevron1"/>
    <dgm:cxn modelId="{698ADABC-6114-7B4B-85F8-1ADFF44E9C5E}" srcId="{7787442C-A3DA-AF48-92BF-AE9F46D8C289}" destId="{49D307CB-4FEF-B541-864F-38CFB710CF66}" srcOrd="3" destOrd="0" parTransId="{C7DF2338-33BA-B94B-B201-534BD3E83CCC}" sibTransId="{33B7986B-625F-5A45-BA55-A763EE24EDE2}"/>
    <dgm:cxn modelId="{1CFB0779-CE48-5940-8504-8D076406D093}" srcId="{7787442C-A3DA-AF48-92BF-AE9F46D8C289}" destId="{B293BE83-913B-024C-86E8-B55EB362BAFE}" srcOrd="1" destOrd="0" parTransId="{ECA7EBED-A564-7D4C-83D7-FF09A82D5E03}" sibTransId="{120F7964-C13B-0348-9241-F50B1772A8CC}"/>
    <dgm:cxn modelId="{5B374DAE-747D-8648-A6E8-CC89CD2B9487}" srcId="{7787442C-A3DA-AF48-92BF-AE9F46D8C289}" destId="{9043B3F1-AE0E-6945-A915-702EA5CB1AE1}" srcOrd="4" destOrd="0" parTransId="{9873EE80-194D-EC4C-B624-0B26A0D32940}" sibTransId="{6A2C6DF9-D37A-2F48-BDAC-B1A8E60C3AFF}"/>
    <dgm:cxn modelId="{1A6E56BD-05FB-D34A-B4C2-CED3E6891BFE}" srcId="{7787442C-A3DA-AF48-92BF-AE9F46D8C289}" destId="{8B330733-2CDB-A649-A4B4-D71206EA6F59}" srcOrd="0" destOrd="0" parTransId="{EE4D7CFE-1CCC-694D-963D-D5623D83AD61}" sibTransId="{8612EE62-EC54-034C-8396-11DB10F83593}"/>
    <dgm:cxn modelId="{73D92D88-1C46-CC41-8214-16EEAD19D679}" type="presOf" srcId="{A12810C2-6A62-BB4B-A050-FAE6C74594EE}" destId="{9439FF15-77DB-564D-8F70-3906F0D559FD}" srcOrd="0" destOrd="0" presId="urn:microsoft.com/office/officeart/2005/8/layout/chevron1"/>
    <dgm:cxn modelId="{5FD00139-AB4A-544C-86D2-4F9C0066BA22}" type="presOf" srcId="{49D307CB-4FEF-B541-864F-38CFB710CF66}" destId="{01040489-5A91-CC4C-8A67-BB655FB9C20E}" srcOrd="0" destOrd="0" presId="urn:microsoft.com/office/officeart/2005/8/layout/chevron1"/>
    <dgm:cxn modelId="{DD207874-589F-724F-A364-C46C8D137CDB}" srcId="{7787442C-A3DA-AF48-92BF-AE9F46D8C289}" destId="{A12810C2-6A62-BB4B-A050-FAE6C74594EE}" srcOrd="2" destOrd="0" parTransId="{D923AF43-84B0-3B4F-9F89-5B17394095BF}" sibTransId="{2758E8FD-467A-D647-BDC1-41C813F8DCF0}"/>
    <dgm:cxn modelId="{CD9FD0B0-5178-4A4E-82CB-3AF06C280CED}" type="presParOf" srcId="{9139DAE6-9028-614B-8BBA-96D759D08077}" destId="{D358C9FF-AF99-DC47-B58D-618B4F50FD1E}" srcOrd="0" destOrd="0" presId="urn:microsoft.com/office/officeart/2005/8/layout/chevron1"/>
    <dgm:cxn modelId="{DD0D6B38-0EE2-FC43-A43A-E1F13C661E45}" type="presParOf" srcId="{9139DAE6-9028-614B-8BBA-96D759D08077}" destId="{293A9D5C-A4F4-1342-B369-742A37427590}" srcOrd="1" destOrd="0" presId="urn:microsoft.com/office/officeart/2005/8/layout/chevron1"/>
    <dgm:cxn modelId="{6FBB0C8C-5C09-3840-86AF-54F33F91C982}" type="presParOf" srcId="{9139DAE6-9028-614B-8BBA-96D759D08077}" destId="{E5E215AF-8EBB-8C44-B2EE-A9DC5E4459A4}" srcOrd="2" destOrd="0" presId="urn:microsoft.com/office/officeart/2005/8/layout/chevron1"/>
    <dgm:cxn modelId="{7964B416-1DD1-8543-BC52-80D6FBE41AD1}" type="presParOf" srcId="{9139DAE6-9028-614B-8BBA-96D759D08077}" destId="{936A736E-E789-E845-B125-01EBF937614D}" srcOrd="3" destOrd="0" presId="urn:microsoft.com/office/officeart/2005/8/layout/chevron1"/>
    <dgm:cxn modelId="{761D27AB-368B-4A46-AC8A-17D523B1BE18}" type="presParOf" srcId="{9139DAE6-9028-614B-8BBA-96D759D08077}" destId="{9439FF15-77DB-564D-8F70-3906F0D559FD}" srcOrd="4" destOrd="0" presId="urn:microsoft.com/office/officeart/2005/8/layout/chevron1"/>
    <dgm:cxn modelId="{E98727C9-4235-BC47-B4F3-9A605AB5DBD9}" type="presParOf" srcId="{9139DAE6-9028-614B-8BBA-96D759D08077}" destId="{B78126EA-B9E4-DF46-AF40-E584BFAD5D2B}" srcOrd="5" destOrd="0" presId="urn:microsoft.com/office/officeart/2005/8/layout/chevron1"/>
    <dgm:cxn modelId="{835629E2-0CD1-B34E-941B-F53B3D53C3B1}" type="presParOf" srcId="{9139DAE6-9028-614B-8BBA-96D759D08077}" destId="{01040489-5A91-CC4C-8A67-BB655FB9C20E}" srcOrd="6" destOrd="0" presId="urn:microsoft.com/office/officeart/2005/8/layout/chevron1"/>
    <dgm:cxn modelId="{5A51349F-312A-B44E-8E8A-87A39E158AE1}" type="presParOf" srcId="{9139DAE6-9028-614B-8BBA-96D759D08077}" destId="{5794670D-38F5-0645-84B4-30A25CCBDCFA}" srcOrd="7" destOrd="0" presId="urn:microsoft.com/office/officeart/2005/8/layout/chevron1"/>
    <dgm:cxn modelId="{F74FC477-67F6-B544-8ADD-BB5CF9A621F6}" type="presParOf" srcId="{9139DAE6-9028-614B-8BBA-96D759D08077}" destId="{20B7C899-9B5E-014C-ACCE-FE972381B331}" srcOrd="8" destOrd="0" presId="urn:microsoft.com/office/officeart/2005/8/layout/chevro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1ED40B5-E00C-1F4B-A515-8BDAB1EDE278}" type="doc">
      <dgm:prSet loTypeId="urn:microsoft.com/office/officeart/2005/8/layout/chevron1" loCatId="" qsTypeId="urn:microsoft.com/office/officeart/2005/8/quickstyle/simple4" qsCatId="simple" csTypeId="urn:microsoft.com/office/officeart/2005/8/colors/accent3_4" csCatId="accent3" phldr="1"/>
      <dgm:spPr/>
    </dgm:pt>
    <dgm:pt modelId="{79B89946-CD52-E249-87A2-D8691AB70A7D}">
      <dgm:prSet phldrT="[Text]" custT="1"/>
      <dgm:spPr/>
      <dgm:t>
        <a:bodyPr/>
        <a:lstStyle/>
        <a:p>
          <a:r>
            <a:rPr lang="en-US" sz="1000">
              <a:latin typeface="Times New Roman"/>
            </a:rPr>
            <a:t>10.12.12 - Council discussion III</a:t>
          </a:r>
        </a:p>
      </dgm:t>
    </dgm:pt>
    <dgm:pt modelId="{610EDF24-C4B7-154A-A602-7E9C86FE5BE2}" type="parTrans" cxnId="{B3FA0745-3C24-604B-A6E1-7D4495BE19F3}">
      <dgm:prSet/>
      <dgm:spPr/>
      <dgm:t>
        <a:bodyPr/>
        <a:lstStyle/>
        <a:p>
          <a:endParaRPr lang="en-US"/>
        </a:p>
      </dgm:t>
    </dgm:pt>
    <dgm:pt modelId="{ADF3296F-69F9-6448-8A62-35AED864F50E}" type="sibTrans" cxnId="{B3FA0745-3C24-604B-A6E1-7D4495BE19F3}">
      <dgm:prSet/>
      <dgm:spPr/>
      <dgm:t>
        <a:bodyPr/>
        <a:lstStyle/>
        <a:p>
          <a:endParaRPr lang="en-US"/>
        </a:p>
      </dgm:t>
    </dgm:pt>
    <dgm:pt modelId="{49FF41BB-8577-8D48-BDEA-48696390392C}">
      <dgm:prSet phldrT="[Text]" custT="1"/>
      <dgm:spPr/>
      <dgm:t>
        <a:bodyPr/>
        <a:lstStyle/>
        <a:p>
          <a:r>
            <a:rPr lang="en-US" sz="1000">
              <a:latin typeface="Times New Roman"/>
            </a:rPr>
            <a:t>15.01.14 - 1st reading Parliament</a:t>
          </a:r>
        </a:p>
      </dgm:t>
    </dgm:pt>
    <dgm:pt modelId="{49EEA966-F6D1-7E4C-AD38-35AED407FD35}" type="parTrans" cxnId="{0471F813-3248-1D46-8D04-C52CA0449EDF}">
      <dgm:prSet/>
      <dgm:spPr/>
      <dgm:t>
        <a:bodyPr/>
        <a:lstStyle/>
        <a:p>
          <a:endParaRPr lang="en-US"/>
        </a:p>
      </dgm:t>
    </dgm:pt>
    <dgm:pt modelId="{1C0767E3-B560-DF4F-86DE-BBFC79780F2F}" type="sibTrans" cxnId="{0471F813-3248-1D46-8D04-C52CA0449EDF}">
      <dgm:prSet/>
      <dgm:spPr/>
      <dgm:t>
        <a:bodyPr/>
        <a:lstStyle/>
        <a:p>
          <a:endParaRPr lang="en-US"/>
        </a:p>
      </dgm:t>
    </dgm:pt>
    <dgm:pt modelId="{DB9B0080-D675-1A41-8BA3-FD7626CA6808}">
      <dgm:prSet phldrT="[Text]" custT="1"/>
      <dgm:spPr/>
      <dgm:t>
        <a:bodyPr/>
        <a:lstStyle/>
        <a:p>
          <a:r>
            <a:rPr lang="en-US" sz="1000">
              <a:latin typeface="Times New Roman"/>
            </a:rPr>
            <a:t>15.01.14 - Commission position</a:t>
          </a:r>
        </a:p>
      </dgm:t>
    </dgm:pt>
    <dgm:pt modelId="{C8E51C0C-89A0-9B4A-A07A-BDC0E3C77750}" type="parTrans" cxnId="{60D7EA68-0E0A-9349-BB83-8AEA3735264E}">
      <dgm:prSet/>
      <dgm:spPr/>
      <dgm:t>
        <a:bodyPr/>
        <a:lstStyle/>
        <a:p>
          <a:endParaRPr lang="en-US"/>
        </a:p>
      </dgm:t>
    </dgm:pt>
    <dgm:pt modelId="{7A675D44-C9B6-2348-984D-536A4AB9DAFE}" type="sibTrans" cxnId="{60D7EA68-0E0A-9349-BB83-8AEA3735264E}">
      <dgm:prSet/>
      <dgm:spPr/>
      <dgm:t>
        <a:bodyPr/>
        <a:lstStyle/>
        <a:p>
          <a:endParaRPr lang="en-US"/>
        </a:p>
      </dgm:t>
    </dgm:pt>
    <dgm:pt modelId="{C0A652DB-B97F-A34B-8C73-1C2621DF69D0}">
      <dgm:prSet phldrT="[Text]" custT="1"/>
      <dgm:spPr/>
      <dgm:t>
        <a:bodyPr/>
        <a:lstStyle/>
        <a:p>
          <a:r>
            <a:rPr lang="en-US" sz="1000">
              <a:latin typeface="Times New Roman"/>
            </a:rPr>
            <a:t>11.02. 14 - 1st reading Council</a:t>
          </a:r>
        </a:p>
      </dgm:t>
    </dgm:pt>
    <dgm:pt modelId="{BAF982E0-893D-7847-BE52-BD8D30690651}" type="parTrans" cxnId="{873D6030-35AB-2F48-B4AF-B994F218A1D5}">
      <dgm:prSet/>
      <dgm:spPr/>
      <dgm:t>
        <a:bodyPr/>
        <a:lstStyle/>
        <a:p>
          <a:endParaRPr lang="en-US"/>
        </a:p>
      </dgm:t>
    </dgm:pt>
    <dgm:pt modelId="{B49107CD-F676-CB4D-B82D-975014C02D63}" type="sibTrans" cxnId="{873D6030-35AB-2F48-B4AF-B994F218A1D5}">
      <dgm:prSet/>
      <dgm:spPr/>
      <dgm:t>
        <a:bodyPr/>
        <a:lstStyle/>
        <a:p>
          <a:endParaRPr lang="en-US"/>
        </a:p>
      </dgm:t>
    </dgm:pt>
    <dgm:pt modelId="{AF1C5481-93B1-CC46-A90F-DCD0F3B49169}">
      <dgm:prSet phldrT="[Text]" custT="1"/>
      <dgm:spPr/>
      <dgm:t>
        <a:bodyPr/>
        <a:lstStyle/>
        <a:p>
          <a:r>
            <a:rPr lang="en-US" sz="1000">
              <a:latin typeface="Times New Roman"/>
            </a:rPr>
            <a:t>26.02.14 - Signing</a:t>
          </a:r>
        </a:p>
      </dgm:t>
    </dgm:pt>
    <dgm:pt modelId="{87603570-FEA5-F64B-81A2-A8229B43AF38}" type="parTrans" cxnId="{76C1113F-5EB4-2A44-8CE2-133CD6C3BD8B}">
      <dgm:prSet/>
      <dgm:spPr/>
      <dgm:t>
        <a:bodyPr/>
        <a:lstStyle/>
        <a:p>
          <a:endParaRPr lang="en-US"/>
        </a:p>
      </dgm:t>
    </dgm:pt>
    <dgm:pt modelId="{E0720559-A02A-0E4F-B0C0-0A053853DB9F}" type="sibTrans" cxnId="{76C1113F-5EB4-2A44-8CE2-133CD6C3BD8B}">
      <dgm:prSet/>
      <dgm:spPr/>
      <dgm:t>
        <a:bodyPr/>
        <a:lstStyle/>
        <a:p>
          <a:endParaRPr lang="en-US"/>
        </a:p>
      </dgm:t>
    </dgm:pt>
    <dgm:pt modelId="{49F62D0A-9DCF-3348-9ABF-B3F2B77B8AA0}" type="pres">
      <dgm:prSet presAssocID="{11ED40B5-E00C-1F4B-A515-8BDAB1EDE278}" presName="Name0" presStyleCnt="0">
        <dgm:presLayoutVars>
          <dgm:dir/>
          <dgm:animLvl val="lvl"/>
          <dgm:resizeHandles val="exact"/>
        </dgm:presLayoutVars>
      </dgm:prSet>
      <dgm:spPr/>
    </dgm:pt>
    <dgm:pt modelId="{CE6750AD-2A3C-4D46-9EEA-8B1B9C3672BA}" type="pres">
      <dgm:prSet presAssocID="{79B89946-CD52-E249-87A2-D8691AB70A7D}" presName="parTxOnly" presStyleLbl="node1" presStyleIdx="0" presStyleCnt="5">
        <dgm:presLayoutVars>
          <dgm:chMax val="0"/>
          <dgm:chPref val="0"/>
          <dgm:bulletEnabled val="1"/>
        </dgm:presLayoutVars>
      </dgm:prSet>
      <dgm:spPr/>
      <dgm:t>
        <a:bodyPr/>
        <a:lstStyle/>
        <a:p>
          <a:endParaRPr lang="en-US"/>
        </a:p>
      </dgm:t>
    </dgm:pt>
    <dgm:pt modelId="{0CA1E214-49A5-984D-BA62-A4AFBC294C70}" type="pres">
      <dgm:prSet presAssocID="{ADF3296F-69F9-6448-8A62-35AED864F50E}" presName="parTxOnlySpace" presStyleCnt="0"/>
      <dgm:spPr/>
    </dgm:pt>
    <dgm:pt modelId="{D504B929-EF52-3843-AC30-777DC2A6F4FA}" type="pres">
      <dgm:prSet presAssocID="{49FF41BB-8577-8D48-BDEA-48696390392C}" presName="parTxOnly" presStyleLbl="node1" presStyleIdx="1" presStyleCnt="5">
        <dgm:presLayoutVars>
          <dgm:chMax val="0"/>
          <dgm:chPref val="0"/>
          <dgm:bulletEnabled val="1"/>
        </dgm:presLayoutVars>
      </dgm:prSet>
      <dgm:spPr/>
      <dgm:t>
        <a:bodyPr/>
        <a:lstStyle/>
        <a:p>
          <a:endParaRPr lang="en-US"/>
        </a:p>
      </dgm:t>
    </dgm:pt>
    <dgm:pt modelId="{BD2C540D-40FF-5F47-8A39-25D3F8655D5E}" type="pres">
      <dgm:prSet presAssocID="{1C0767E3-B560-DF4F-86DE-BBFC79780F2F}" presName="parTxOnlySpace" presStyleCnt="0"/>
      <dgm:spPr/>
    </dgm:pt>
    <dgm:pt modelId="{A7FE787E-5DA2-CE4A-80C1-7CC4EA12F580}" type="pres">
      <dgm:prSet presAssocID="{DB9B0080-D675-1A41-8BA3-FD7626CA6808}" presName="parTxOnly" presStyleLbl="node1" presStyleIdx="2" presStyleCnt="5">
        <dgm:presLayoutVars>
          <dgm:chMax val="0"/>
          <dgm:chPref val="0"/>
          <dgm:bulletEnabled val="1"/>
        </dgm:presLayoutVars>
      </dgm:prSet>
      <dgm:spPr/>
      <dgm:t>
        <a:bodyPr/>
        <a:lstStyle/>
        <a:p>
          <a:endParaRPr lang="en-US"/>
        </a:p>
      </dgm:t>
    </dgm:pt>
    <dgm:pt modelId="{6AA76CEA-81D0-8843-8ADA-7A256EA1D92C}" type="pres">
      <dgm:prSet presAssocID="{7A675D44-C9B6-2348-984D-536A4AB9DAFE}" presName="parTxOnlySpace" presStyleCnt="0"/>
      <dgm:spPr/>
    </dgm:pt>
    <dgm:pt modelId="{B0C47E09-5AB9-F845-9FC0-EFF9EE083204}" type="pres">
      <dgm:prSet presAssocID="{C0A652DB-B97F-A34B-8C73-1C2621DF69D0}" presName="parTxOnly" presStyleLbl="node1" presStyleIdx="3" presStyleCnt="5">
        <dgm:presLayoutVars>
          <dgm:chMax val="0"/>
          <dgm:chPref val="0"/>
          <dgm:bulletEnabled val="1"/>
        </dgm:presLayoutVars>
      </dgm:prSet>
      <dgm:spPr/>
      <dgm:t>
        <a:bodyPr/>
        <a:lstStyle/>
        <a:p>
          <a:endParaRPr lang="en-US"/>
        </a:p>
      </dgm:t>
    </dgm:pt>
    <dgm:pt modelId="{98BED6D4-1050-4E45-B7A7-E566A98DCCF0}" type="pres">
      <dgm:prSet presAssocID="{B49107CD-F676-CB4D-B82D-975014C02D63}" presName="parTxOnlySpace" presStyleCnt="0"/>
      <dgm:spPr/>
    </dgm:pt>
    <dgm:pt modelId="{BB55D1BF-1648-BA49-BF20-6451753E39ED}" type="pres">
      <dgm:prSet presAssocID="{AF1C5481-93B1-CC46-A90F-DCD0F3B49169}" presName="parTxOnly" presStyleLbl="node1" presStyleIdx="4" presStyleCnt="5">
        <dgm:presLayoutVars>
          <dgm:chMax val="0"/>
          <dgm:chPref val="0"/>
          <dgm:bulletEnabled val="1"/>
        </dgm:presLayoutVars>
      </dgm:prSet>
      <dgm:spPr/>
      <dgm:t>
        <a:bodyPr/>
        <a:lstStyle/>
        <a:p>
          <a:endParaRPr lang="en-US"/>
        </a:p>
      </dgm:t>
    </dgm:pt>
  </dgm:ptLst>
  <dgm:cxnLst>
    <dgm:cxn modelId="{76C1113F-5EB4-2A44-8CE2-133CD6C3BD8B}" srcId="{11ED40B5-E00C-1F4B-A515-8BDAB1EDE278}" destId="{AF1C5481-93B1-CC46-A90F-DCD0F3B49169}" srcOrd="4" destOrd="0" parTransId="{87603570-FEA5-F64B-81A2-A8229B43AF38}" sibTransId="{E0720559-A02A-0E4F-B0C0-0A053853DB9F}"/>
    <dgm:cxn modelId="{0A47D0FF-4961-584E-9DF9-62B6CFC92259}" type="presOf" srcId="{79B89946-CD52-E249-87A2-D8691AB70A7D}" destId="{CE6750AD-2A3C-4D46-9EEA-8B1B9C3672BA}" srcOrd="0" destOrd="0" presId="urn:microsoft.com/office/officeart/2005/8/layout/chevron1"/>
    <dgm:cxn modelId="{21339435-051C-834C-B8F8-D29274908BEB}" type="presOf" srcId="{AF1C5481-93B1-CC46-A90F-DCD0F3B49169}" destId="{BB55D1BF-1648-BA49-BF20-6451753E39ED}" srcOrd="0" destOrd="0" presId="urn:microsoft.com/office/officeart/2005/8/layout/chevron1"/>
    <dgm:cxn modelId="{0471F813-3248-1D46-8D04-C52CA0449EDF}" srcId="{11ED40B5-E00C-1F4B-A515-8BDAB1EDE278}" destId="{49FF41BB-8577-8D48-BDEA-48696390392C}" srcOrd="1" destOrd="0" parTransId="{49EEA966-F6D1-7E4C-AD38-35AED407FD35}" sibTransId="{1C0767E3-B560-DF4F-86DE-BBFC79780F2F}"/>
    <dgm:cxn modelId="{15D67788-FDCB-A640-8EF2-D3E435DAFC33}" type="presOf" srcId="{49FF41BB-8577-8D48-BDEA-48696390392C}" destId="{D504B929-EF52-3843-AC30-777DC2A6F4FA}" srcOrd="0" destOrd="0" presId="urn:microsoft.com/office/officeart/2005/8/layout/chevron1"/>
    <dgm:cxn modelId="{B3FA0745-3C24-604B-A6E1-7D4495BE19F3}" srcId="{11ED40B5-E00C-1F4B-A515-8BDAB1EDE278}" destId="{79B89946-CD52-E249-87A2-D8691AB70A7D}" srcOrd="0" destOrd="0" parTransId="{610EDF24-C4B7-154A-A602-7E9C86FE5BE2}" sibTransId="{ADF3296F-69F9-6448-8A62-35AED864F50E}"/>
    <dgm:cxn modelId="{AD1DCDFD-997D-CF4F-BE15-ADA974E234B0}" type="presOf" srcId="{11ED40B5-E00C-1F4B-A515-8BDAB1EDE278}" destId="{49F62D0A-9DCF-3348-9ABF-B3F2B77B8AA0}" srcOrd="0" destOrd="0" presId="urn:microsoft.com/office/officeart/2005/8/layout/chevron1"/>
    <dgm:cxn modelId="{873D6030-35AB-2F48-B4AF-B994F218A1D5}" srcId="{11ED40B5-E00C-1F4B-A515-8BDAB1EDE278}" destId="{C0A652DB-B97F-A34B-8C73-1C2621DF69D0}" srcOrd="3" destOrd="0" parTransId="{BAF982E0-893D-7847-BE52-BD8D30690651}" sibTransId="{B49107CD-F676-CB4D-B82D-975014C02D63}"/>
    <dgm:cxn modelId="{DB6BBFD8-0B12-E546-AF16-8255669BAF90}" type="presOf" srcId="{C0A652DB-B97F-A34B-8C73-1C2621DF69D0}" destId="{B0C47E09-5AB9-F845-9FC0-EFF9EE083204}" srcOrd="0" destOrd="0" presId="urn:microsoft.com/office/officeart/2005/8/layout/chevron1"/>
    <dgm:cxn modelId="{60D7EA68-0E0A-9349-BB83-8AEA3735264E}" srcId="{11ED40B5-E00C-1F4B-A515-8BDAB1EDE278}" destId="{DB9B0080-D675-1A41-8BA3-FD7626CA6808}" srcOrd="2" destOrd="0" parTransId="{C8E51C0C-89A0-9B4A-A07A-BDC0E3C77750}" sibTransId="{7A675D44-C9B6-2348-984D-536A4AB9DAFE}"/>
    <dgm:cxn modelId="{EAABA481-7140-BA4B-8477-D175CD1C063D}" type="presOf" srcId="{DB9B0080-D675-1A41-8BA3-FD7626CA6808}" destId="{A7FE787E-5DA2-CE4A-80C1-7CC4EA12F580}" srcOrd="0" destOrd="0" presId="urn:microsoft.com/office/officeart/2005/8/layout/chevron1"/>
    <dgm:cxn modelId="{DF155D0D-2D32-E54D-BE5A-BCF7B2B2CF9F}" type="presParOf" srcId="{49F62D0A-9DCF-3348-9ABF-B3F2B77B8AA0}" destId="{CE6750AD-2A3C-4D46-9EEA-8B1B9C3672BA}" srcOrd="0" destOrd="0" presId="urn:microsoft.com/office/officeart/2005/8/layout/chevron1"/>
    <dgm:cxn modelId="{666009B9-5774-014C-9F6B-0D7F2A84151C}" type="presParOf" srcId="{49F62D0A-9DCF-3348-9ABF-B3F2B77B8AA0}" destId="{0CA1E214-49A5-984D-BA62-A4AFBC294C70}" srcOrd="1" destOrd="0" presId="urn:microsoft.com/office/officeart/2005/8/layout/chevron1"/>
    <dgm:cxn modelId="{C7F21679-527A-DA41-8A51-8DCB0DE73F64}" type="presParOf" srcId="{49F62D0A-9DCF-3348-9ABF-B3F2B77B8AA0}" destId="{D504B929-EF52-3843-AC30-777DC2A6F4FA}" srcOrd="2" destOrd="0" presId="urn:microsoft.com/office/officeart/2005/8/layout/chevron1"/>
    <dgm:cxn modelId="{70258728-EDEE-A24A-8504-18F56A8486B5}" type="presParOf" srcId="{49F62D0A-9DCF-3348-9ABF-B3F2B77B8AA0}" destId="{BD2C540D-40FF-5F47-8A39-25D3F8655D5E}" srcOrd="3" destOrd="0" presId="urn:microsoft.com/office/officeart/2005/8/layout/chevron1"/>
    <dgm:cxn modelId="{71B48569-A83E-E042-AA4F-D9CB6B2B2B2F}" type="presParOf" srcId="{49F62D0A-9DCF-3348-9ABF-B3F2B77B8AA0}" destId="{A7FE787E-5DA2-CE4A-80C1-7CC4EA12F580}" srcOrd="4" destOrd="0" presId="urn:microsoft.com/office/officeart/2005/8/layout/chevron1"/>
    <dgm:cxn modelId="{5DD84AC0-571A-2E41-A9F4-BBF5EF385E32}" type="presParOf" srcId="{49F62D0A-9DCF-3348-9ABF-B3F2B77B8AA0}" destId="{6AA76CEA-81D0-8843-8ADA-7A256EA1D92C}" srcOrd="5" destOrd="0" presId="urn:microsoft.com/office/officeart/2005/8/layout/chevron1"/>
    <dgm:cxn modelId="{4E47CDE8-2C58-4440-A5BE-0235C82BEB0F}" type="presParOf" srcId="{49F62D0A-9DCF-3348-9ABF-B3F2B77B8AA0}" destId="{B0C47E09-5AB9-F845-9FC0-EFF9EE083204}" srcOrd="6" destOrd="0" presId="urn:microsoft.com/office/officeart/2005/8/layout/chevron1"/>
    <dgm:cxn modelId="{6271FBEE-6A9D-5040-A53B-4B6A568BBD8B}" type="presParOf" srcId="{49F62D0A-9DCF-3348-9ABF-B3F2B77B8AA0}" destId="{98BED6D4-1050-4E45-B7A7-E566A98DCCF0}" srcOrd="7" destOrd="0" presId="urn:microsoft.com/office/officeart/2005/8/layout/chevron1"/>
    <dgm:cxn modelId="{1DBEF3BC-81A1-3246-9015-760457FBC94B}" type="presParOf" srcId="{49F62D0A-9DCF-3348-9ABF-B3F2B77B8AA0}" destId="{BB55D1BF-1648-BA49-BF20-6451753E39ED}" srcOrd="8" destOrd="0" presId="urn:microsoft.com/office/officeart/2005/8/layout/chevron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7D2DFB-6DB9-894E-94D9-B08E4130298B}">
      <dsp:nvSpPr>
        <dsp:cNvPr id="0" name=""/>
        <dsp:cNvSpPr/>
      </dsp:nvSpPr>
      <dsp:spPr>
        <a:xfrm>
          <a:off x="1133735" y="77139"/>
          <a:ext cx="932929" cy="932929"/>
        </a:xfrm>
        <a:prstGeom prst="ellipse">
          <a:avLst/>
        </a:prstGeom>
        <a:solidFill>
          <a:schemeClr val="accent3"/>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a:rPr>
            <a:t>Problem identifica-tion</a:t>
          </a:r>
        </a:p>
      </dsp:txBody>
      <dsp:txXfrm>
        <a:off x="1270359" y="213763"/>
        <a:ext cx="659681" cy="659681"/>
      </dsp:txXfrm>
    </dsp:sp>
    <dsp:sp modelId="{CCDC07A2-8B0E-4A4C-BA48-FDFDCB9E06D7}">
      <dsp:nvSpPr>
        <dsp:cNvPr id="0" name=""/>
        <dsp:cNvSpPr/>
      </dsp:nvSpPr>
      <dsp:spPr>
        <a:xfrm rot="2160000">
          <a:off x="2037182" y="793755"/>
          <a:ext cx="248015" cy="314863"/>
        </a:xfrm>
        <a:prstGeom prst="rightArrow">
          <a:avLst>
            <a:gd name="adj1" fmla="val 60000"/>
            <a:gd name="adj2" fmla="val 50000"/>
          </a:avLst>
        </a:prstGeom>
        <a:solidFill>
          <a:schemeClr val="accent3">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2044287" y="834861"/>
        <a:ext cx="173611" cy="188917"/>
      </dsp:txXfrm>
    </dsp:sp>
    <dsp:sp modelId="{BE9AC931-8192-3548-A133-98A6A9D3B652}">
      <dsp:nvSpPr>
        <dsp:cNvPr id="0" name=""/>
        <dsp:cNvSpPr/>
      </dsp:nvSpPr>
      <dsp:spPr>
        <a:xfrm>
          <a:off x="2267073" y="900557"/>
          <a:ext cx="932929" cy="932929"/>
        </a:xfrm>
        <a:prstGeom prst="ellipse">
          <a:avLst/>
        </a:prstGeom>
        <a:solidFill>
          <a:schemeClr val="accent3"/>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a:rPr>
            <a:t>Agenda setting</a:t>
          </a:r>
        </a:p>
      </dsp:txBody>
      <dsp:txXfrm>
        <a:off x="2403697" y="1037181"/>
        <a:ext cx="659681" cy="659681"/>
      </dsp:txXfrm>
    </dsp:sp>
    <dsp:sp modelId="{D576BEA3-496A-764E-A812-AAC688C70E91}">
      <dsp:nvSpPr>
        <dsp:cNvPr id="0" name=""/>
        <dsp:cNvSpPr/>
      </dsp:nvSpPr>
      <dsp:spPr>
        <a:xfrm rot="6480000">
          <a:off x="2367249" y="1910365"/>
          <a:ext cx="248015" cy="314863"/>
        </a:xfrm>
        <a:prstGeom prst="rightArrow">
          <a:avLst>
            <a:gd name="adj1" fmla="val 60000"/>
            <a:gd name="adj2" fmla="val 50000"/>
          </a:avLst>
        </a:prstGeom>
        <a:solidFill>
          <a:schemeClr val="accent3">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2415947" y="1937957"/>
        <a:ext cx="173611" cy="188917"/>
      </dsp:txXfrm>
    </dsp:sp>
    <dsp:sp modelId="{81B9BA45-E613-EF45-B7AC-49A0674F6857}">
      <dsp:nvSpPr>
        <dsp:cNvPr id="0" name=""/>
        <dsp:cNvSpPr/>
      </dsp:nvSpPr>
      <dsp:spPr>
        <a:xfrm>
          <a:off x="1834176" y="2232876"/>
          <a:ext cx="932929" cy="932929"/>
        </a:xfrm>
        <a:prstGeom prst="ellipse">
          <a:avLst/>
        </a:prstGeom>
        <a:solidFill>
          <a:schemeClr val="accent3"/>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a:rPr>
            <a:t>Policy formula-tion</a:t>
          </a:r>
        </a:p>
      </dsp:txBody>
      <dsp:txXfrm>
        <a:off x="1970800" y="2369500"/>
        <a:ext cx="659681" cy="659681"/>
      </dsp:txXfrm>
    </dsp:sp>
    <dsp:sp modelId="{F11A2F72-90BE-0944-BB0A-13F7E1C2CC35}">
      <dsp:nvSpPr>
        <dsp:cNvPr id="0" name=""/>
        <dsp:cNvSpPr/>
      </dsp:nvSpPr>
      <dsp:spPr>
        <a:xfrm rot="10800000">
          <a:off x="1483211" y="2541908"/>
          <a:ext cx="248015" cy="314863"/>
        </a:xfrm>
        <a:prstGeom prst="rightArrow">
          <a:avLst>
            <a:gd name="adj1" fmla="val 60000"/>
            <a:gd name="adj2" fmla="val 50000"/>
          </a:avLst>
        </a:prstGeom>
        <a:solidFill>
          <a:schemeClr val="accent3">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1557615" y="2604881"/>
        <a:ext cx="173611" cy="188917"/>
      </dsp:txXfrm>
    </dsp:sp>
    <dsp:sp modelId="{04A9EB2E-5296-A84A-9257-32D83A9F5174}">
      <dsp:nvSpPr>
        <dsp:cNvPr id="0" name=""/>
        <dsp:cNvSpPr/>
      </dsp:nvSpPr>
      <dsp:spPr>
        <a:xfrm>
          <a:off x="433294" y="2232876"/>
          <a:ext cx="932929" cy="932929"/>
        </a:xfrm>
        <a:prstGeom prst="ellipse">
          <a:avLst/>
        </a:prstGeom>
        <a:solidFill>
          <a:schemeClr val="accent3"/>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a:rPr>
            <a:t>Implemen-tation</a:t>
          </a:r>
        </a:p>
      </dsp:txBody>
      <dsp:txXfrm>
        <a:off x="569918" y="2369500"/>
        <a:ext cx="659681" cy="659681"/>
      </dsp:txXfrm>
    </dsp:sp>
    <dsp:sp modelId="{72BE23BE-E6D6-414F-AA04-5F756D415D6E}">
      <dsp:nvSpPr>
        <dsp:cNvPr id="0" name=""/>
        <dsp:cNvSpPr/>
      </dsp:nvSpPr>
      <dsp:spPr>
        <a:xfrm rot="15120000">
          <a:off x="561472" y="1882425"/>
          <a:ext cx="248015" cy="314863"/>
        </a:xfrm>
        <a:prstGeom prst="rightArrow">
          <a:avLst>
            <a:gd name="adj1" fmla="val 60000"/>
            <a:gd name="adj2" fmla="val 50000"/>
          </a:avLst>
        </a:prstGeom>
        <a:solidFill>
          <a:schemeClr val="accent3">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610170" y="1980779"/>
        <a:ext cx="173611" cy="188917"/>
      </dsp:txXfrm>
    </dsp:sp>
    <dsp:sp modelId="{048A6CD2-4403-7A41-B6FC-511D4934B85A}">
      <dsp:nvSpPr>
        <dsp:cNvPr id="0" name=""/>
        <dsp:cNvSpPr/>
      </dsp:nvSpPr>
      <dsp:spPr>
        <a:xfrm>
          <a:off x="397" y="900557"/>
          <a:ext cx="932929" cy="932929"/>
        </a:xfrm>
        <a:prstGeom prst="ellipse">
          <a:avLst/>
        </a:prstGeom>
        <a:solidFill>
          <a:schemeClr val="accent3"/>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a:rPr>
            <a:t>Evaluation</a:t>
          </a:r>
        </a:p>
      </dsp:txBody>
      <dsp:txXfrm>
        <a:off x="137021" y="1037181"/>
        <a:ext cx="659681" cy="659681"/>
      </dsp:txXfrm>
    </dsp:sp>
    <dsp:sp modelId="{C92C785E-28BB-2C43-BC23-D29A0FD6CB1B}">
      <dsp:nvSpPr>
        <dsp:cNvPr id="0" name=""/>
        <dsp:cNvSpPr/>
      </dsp:nvSpPr>
      <dsp:spPr>
        <a:xfrm rot="19440000">
          <a:off x="903844" y="802007"/>
          <a:ext cx="248015" cy="314863"/>
        </a:xfrm>
        <a:prstGeom prst="rightArrow">
          <a:avLst>
            <a:gd name="adj1" fmla="val 60000"/>
            <a:gd name="adj2" fmla="val 50000"/>
          </a:avLst>
        </a:prstGeom>
        <a:solidFill>
          <a:schemeClr val="accent3">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910949" y="886847"/>
        <a:ext cx="173611" cy="1889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620D20-C272-4F46-A54D-8F476AC7F29C}">
      <dsp:nvSpPr>
        <dsp:cNvPr id="0" name=""/>
        <dsp:cNvSpPr/>
      </dsp:nvSpPr>
      <dsp:spPr>
        <a:xfrm>
          <a:off x="25" y="106672"/>
          <a:ext cx="2462826" cy="432000"/>
        </a:xfrm>
        <a:prstGeom prst="rect">
          <a:avLst/>
        </a:prstGeom>
        <a:solidFill>
          <a:schemeClr val="accent3"/>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US" sz="1500" kern="1200"/>
            <a:t>Type I</a:t>
          </a:r>
        </a:p>
      </dsp:txBody>
      <dsp:txXfrm>
        <a:off x="25" y="106672"/>
        <a:ext cx="2462826" cy="432000"/>
      </dsp:txXfrm>
    </dsp:sp>
    <dsp:sp modelId="{828874E5-ED2E-DC4E-88DA-3A7E03EFC28D}">
      <dsp:nvSpPr>
        <dsp:cNvPr id="0" name=""/>
        <dsp:cNvSpPr/>
      </dsp:nvSpPr>
      <dsp:spPr>
        <a:xfrm>
          <a:off x="25" y="538672"/>
          <a:ext cx="2462826" cy="242932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kern="1200"/>
            <a:t>multi-task jurisdictions</a:t>
          </a:r>
        </a:p>
        <a:p>
          <a:pPr marL="114300" lvl="1" indent="-114300" algn="l" defTabSz="666750">
            <a:lnSpc>
              <a:spcPct val="90000"/>
            </a:lnSpc>
            <a:spcBef>
              <a:spcPct val="0"/>
            </a:spcBef>
            <a:spcAft>
              <a:spcPct val="15000"/>
            </a:spcAft>
            <a:buChar char="••"/>
          </a:pPr>
          <a:r>
            <a:rPr lang="en-US" sz="1500" kern="1200"/>
            <a:t>mutually exclusive jurisdictions at any particular level</a:t>
          </a:r>
        </a:p>
        <a:p>
          <a:pPr marL="114300" lvl="1" indent="-114300" algn="l" defTabSz="666750">
            <a:lnSpc>
              <a:spcPct val="90000"/>
            </a:lnSpc>
            <a:spcBef>
              <a:spcPct val="0"/>
            </a:spcBef>
            <a:spcAft>
              <a:spcPct val="15000"/>
            </a:spcAft>
            <a:buChar char="••"/>
          </a:pPr>
          <a:r>
            <a:rPr lang="en-US" sz="1500" kern="1200"/>
            <a:t>limited number of jurisdictions</a:t>
          </a:r>
        </a:p>
        <a:p>
          <a:pPr marL="114300" lvl="1" indent="-114300" algn="l" defTabSz="666750">
            <a:lnSpc>
              <a:spcPct val="90000"/>
            </a:lnSpc>
            <a:spcBef>
              <a:spcPct val="0"/>
            </a:spcBef>
            <a:spcAft>
              <a:spcPct val="15000"/>
            </a:spcAft>
            <a:buChar char="••"/>
          </a:pPr>
          <a:r>
            <a:rPr lang="en-US" sz="1500" kern="1200"/>
            <a:t>jurisdictions organized in a limited number of levels</a:t>
          </a:r>
        </a:p>
        <a:p>
          <a:pPr marL="114300" lvl="1" indent="-114300" algn="l" defTabSz="666750">
            <a:lnSpc>
              <a:spcPct val="90000"/>
            </a:lnSpc>
            <a:spcBef>
              <a:spcPct val="0"/>
            </a:spcBef>
            <a:spcAft>
              <a:spcPct val="15000"/>
            </a:spcAft>
            <a:buChar char="••"/>
          </a:pPr>
          <a:r>
            <a:rPr lang="en-US" sz="1500" kern="1200"/>
            <a:t>jurisdictions are intended to be permanent</a:t>
          </a:r>
        </a:p>
      </dsp:txBody>
      <dsp:txXfrm>
        <a:off x="25" y="538672"/>
        <a:ext cx="2462826" cy="2429325"/>
      </dsp:txXfrm>
    </dsp:sp>
    <dsp:sp modelId="{D13C72B2-F8F0-1C4F-93DC-698B812C4B7D}">
      <dsp:nvSpPr>
        <dsp:cNvPr id="0" name=""/>
        <dsp:cNvSpPr/>
      </dsp:nvSpPr>
      <dsp:spPr>
        <a:xfrm>
          <a:off x="2807647" y="106672"/>
          <a:ext cx="2462826" cy="432000"/>
        </a:xfrm>
        <a:prstGeom prst="rect">
          <a:avLst/>
        </a:prstGeom>
        <a:solidFill>
          <a:schemeClr val="accent3"/>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US" sz="1500" kern="1200"/>
            <a:t>Type II</a:t>
          </a:r>
        </a:p>
      </dsp:txBody>
      <dsp:txXfrm>
        <a:off x="2807647" y="106672"/>
        <a:ext cx="2462826" cy="432000"/>
      </dsp:txXfrm>
    </dsp:sp>
    <dsp:sp modelId="{4DBCD716-8717-7147-9007-800B38B7FCDE}">
      <dsp:nvSpPr>
        <dsp:cNvPr id="0" name=""/>
        <dsp:cNvSpPr/>
      </dsp:nvSpPr>
      <dsp:spPr>
        <a:xfrm>
          <a:off x="2807647" y="538672"/>
          <a:ext cx="2462826" cy="242932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kern="1200"/>
            <a:t>task-specific jurisdictions</a:t>
          </a:r>
        </a:p>
        <a:p>
          <a:pPr marL="114300" lvl="1" indent="-114300" algn="l" defTabSz="666750">
            <a:lnSpc>
              <a:spcPct val="90000"/>
            </a:lnSpc>
            <a:spcBef>
              <a:spcPct val="0"/>
            </a:spcBef>
            <a:spcAft>
              <a:spcPct val="15000"/>
            </a:spcAft>
            <a:buChar char="••"/>
          </a:pPr>
          <a:r>
            <a:rPr lang="en-US" sz="1500" kern="1200"/>
            <a:t>overlapping jurisdictions at all levels</a:t>
          </a:r>
        </a:p>
        <a:p>
          <a:pPr marL="114300" lvl="1" indent="-114300" algn="l" defTabSz="666750">
            <a:lnSpc>
              <a:spcPct val="90000"/>
            </a:lnSpc>
            <a:spcBef>
              <a:spcPct val="0"/>
            </a:spcBef>
            <a:spcAft>
              <a:spcPct val="15000"/>
            </a:spcAft>
            <a:buChar char="••"/>
          </a:pPr>
          <a:r>
            <a:rPr lang="en-US" sz="1500" kern="1200"/>
            <a:t>unlimited number of jurisdictions</a:t>
          </a:r>
        </a:p>
        <a:p>
          <a:pPr marL="114300" lvl="1" indent="-114300" algn="l" defTabSz="666750">
            <a:lnSpc>
              <a:spcPct val="90000"/>
            </a:lnSpc>
            <a:spcBef>
              <a:spcPct val="0"/>
            </a:spcBef>
            <a:spcAft>
              <a:spcPct val="15000"/>
            </a:spcAft>
            <a:buChar char="••"/>
          </a:pPr>
          <a:r>
            <a:rPr lang="en-US" sz="1500" kern="1200"/>
            <a:t>no limit to the number of jurisdictional levels</a:t>
          </a:r>
        </a:p>
        <a:p>
          <a:pPr marL="114300" lvl="1" indent="-114300" algn="l" defTabSz="666750">
            <a:lnSpc>
              <a:spcPct val="90000"/>
            </a:lnSpc>
            <a:spcBef>
              <a:spcPct val="0"/>
            </a:spcBef>
            <a:spcAft>
              <a:spcPct val="15000"/>
            </a:spcAft>
            <a:buChar char="••"/>
          </a:pPr>
          <a:r>
            <a:rPr lang="en-US" sz="1500" kern="1200"/>
            <a:t>jurisdictions are intended to be flexible</a:t>
          </a:r>
        </a:p>
      </dsp:txBody>
      <dsp:txXfrm>
        <a:off x="2807647" y="538672"/>
        <a:ext cx="2462826" cy="24293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692533-CFA0-594F-B3C6-D94086997AE1}">
      <dsp:nvSpPr>
        <dsp:cNvPr id="0" name=""/>
        <dsp:cNvSpPr/>
      </dsp:nvSpPr>
      <dsp:spPr>
        <a:xfrm>
          <a:off x="1819596" y="480002"/>
          <a:ext cx="1357133" cy="1173570"/>
        </a:xfrm>
        <a:prstGeom prst="ellipse">
          <a:avLst/>
        </a:prstGeom>
        <a:pattFill prst="pct10">
          <a:fgClr>
            <a:schemeClr val="bg1"/>
          </a:fgClr>
          <a:bgClr>
            <a:schemeClr val="accent3"/>
          </a:bgClr>
        </a:patt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a:rPr>
            <a:t>Initiative by the Commission</a:t>
          </a:r>
        </a:p>
      </dsp:txBody>
      <dsp:txXfrm>
        <a:off x="2018344" y="651867"/>
        <a:ext cx="959637" cy="829840"/>
      </dsp:txXfrm>
    </dsp:sp>
    <dsp:sp modelId="{C7440D39-FDF4-F643-88FB-834022F9CC87}">
      <dsp:nvSpPr>
        <dsp:cNvPr id="0" name=""/>
        <dsp:cNvSpPr/>
      </dsp:nvSpPr>
      <dsp:spPr>
        <a:xfrm rot="19062242">
          <a:off x="2217180" y="3335575"/>
          <a:ext cx="622949" cy="368791"/>
        </a:xfrm>
        <a:prstGeom prst="leftRightArrow">
          <a:avLst/>
        </a:prstGeom>
        <a:solidFill>
          <a:schemeClr val="accent3">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10800000">
        <a:off x="2231581" y="3446560"/>
        <a:ext cx="512312" cy="221275"/>
      </dsp:txXfrm>
    </dsp:sp>
    <dsp:sp modelId="{54DAD978-5822-2849-85B8-C32FC3EE07DD}">
      <dsp:nvSpPr>
        <dsp:cNvPr id="0" name=""/>
        <dsp:cNvSpPr/>
      </dsp:nvSpPr>
      <dsp:spPr>
        <a:xfrm>
          <a:off x="1535237" y="3618437"/>
          <a:ext cx="871845" cy="871845"/>
        </a:xfrm>
        <a:prstGeom prst="ellipse">
          <a:avLst/>
        </a:prstGeom>
        <a:solidFill>
          <a:schemeClr val="accent3">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a:rPr>
            <a:t>CoR</a:t>
          </a:r>
        </a:p>
      </dsp:txBody>
      <dsp:txXfrm>
        <a:off x="1662916" y="3746116"/>
        <a:ext cx="616487" cy="616487"/>
      </dsp:txXfrm>
    </dsp:sp>
    <dsp:sp modelId="{C8DDFF0C-8D9E-944B-B3F5-E5624CC26C75}">
      <dsp:nvSpPr>
        <dsp:cNvPr id="0" name=""/>
        <dsp:cNvSpPr/>
      </dsp:nvSpPr>
      <dsp:spPr>
        <a:xfrm rot="4316380">
          <a:off x="2489953" y="1707101"/>
          <a:ext cx="748201" cy="704824"/>
        </a:xfrm>
        <a:prstGeom prst="stripedRightArrow">
          <a:avLst/>
        </a:prstGeom>
        <a:pattFill prst="pct10">
          <a:fgClr>
            <a:schemeClr val="bg1"/>
          </a:fgClr>
          <a:bgClr>
            <a:schemeClr val="accent3"/>
          </a:bgClr>
        </a:patt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en-US" sz="3000" kern="1200"/>
        </a:p>
      </dsp:txBody>
      <dsp:txXfrm rot="10800000">
        <a:off x="2562900" y="1747551"/>
        <a:ext cx="536754" cy="422894"/>
      </dsp:txXfrm>
    </dsp:sp>
    <dsp:sp modelId="{90B1C1F5-EB01-374F-96FF-36BB38D970DF}">
      <dsp:nvSpPr>
        <dsp:cNvPr id="0" name=""/>
        <dsp:cNvSpPr/>
      </dsp:nvSpPr>
      <dsp:spPr>
        <a:xfrm>
          <a:off x="168261" y="2707111"/>
          <a:ext cx="871845" cy="871845"/>
        </a:xfrm>
        <a:prstGeom prst="ellipse">
          <a:avLst/>
        </a:prstGeom>
        <a:solidFill>
          <a:schemeClr val="accent3">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a:rPr>
            <a:t>Lobbying/ Interest Groups</a:t>
          </a:r>
        </a:p>
      </dsp:txBody>
      <dsp:txXfrm>
        <a:off x="295940" y="2834790"/>
        <a:ext cx="616487" cy="616487"/>
      </dsp:txXfrm>
    </dsp:sp>
    <dsp:sp modelId="{94ABE37C-3697-8F48-B07D-F4E4CBDCF578}">
      <dsp:nvSpPr>
        <dsp:cNvPr id="0" name=""/>
        <dsp:cNvSpPr/>
      </dsp:nvSpPr>
      <dsp:spPr>
        <a:xfrm rot="10600145">
          <a:off x="1171344" y="2771678"/>
          <a:ext cx="1449325" cy="362369"/>
        </a:xfrm>
        <a:prstGeom prst="leftRightArrow">
          <a:avLst/>
        </a:prstGeom>
        <a:solidFill>
          <a:schemeClr val="accent3">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1279963" y="2840994"/>
        <a:ext cx="1340614" cy="217421"/>
      </dsp:txXfrm>
    </dsp:sp>
    <dsp:sp modelId="{33BFDD29-1DEA-CF40-B5E2-CF1847B53231}">
      <dsp:nvSpPr>
        <dsp:cNvPr id="0" name=""/>
        <dsp:cNvSpPr/>
      </dsp:nvSpPr>
      <dsp:spPr>
        <a:xfrm>
          <a:off x="2768194" y="4205867"/>
          <a:ext cx="1384633" cy="1137892"/>
        </a:xfrm>
        <a:prstGeom prst="ellipse">
          <a:avLst/>
        </a:prstGeom>
        <a:pattFill prst="pct10">
          <a:fgClr>
            <a:schemeClr val="bg1"/>
          </a:fgClr>
          <a:bgClr>
            <a:schemeClr val="accent3"/>
          </a:bgClr>
        </a:patt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a:rPr>
            <a:t>Council Hearing</a:t>
          </a:r>
        </a:p>
      </dsp:txBody>
      <dsp:txXfrm>
        <a:off x="2970969" y="4372507"/>
        <a:ext cx="979083" cy="804612"/>
      </dsp:txXfrm>
    </dsp:sp>
    <dsp:sp modelId="{D32925F2-2F4A-4847-806B-9007C7A301C6}">
      <dsp:nvSpPr>
        <dsp:cNvPr id="0" name=""/>
        <dsp:cNvSpPr/>
      </dsp:nvSpPr>
      <dsp:spPr>
        <a:xfrm rot="7543093">
          <a:off x="2905180" y="5415355"/>
          <a:ext cx="317954" cy="282192"/>
        </a:xfrm>
        <a:prstGeom prst="rightArrow">
          <a:avLst>
            <a:gd name="adj1" fmla="val 60000"/>
            <a:gd name="adj2" fmla="val 50000"/>
          </a:avLst>
        </a:prstGeom>
        <a:pattFill prst="pct10">
          <a:fgClr>
            <a:schemeClr val="bg1"/>
          </a:fgClr>
          <a:bgClr>
            <a:schemeClr val="accent3"/>
          </a:bgClr>
        </a:patt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2972221" y="5437426"/>
        <a:ext cx="233296" cy="169316"/>
      </dsp:txXfrm>
    </dsp:sp>
    <dsp:sp modelId="{5A251509-C028-1549-BF66-2FAB391B1D6D}">
      <dsp:nvSpPr>
        <dsp:cNvPr id="0" name=""/>
        <dsp:cNvSpPr/>
      </dsp:nvSpPr>
      <dsp:spPr>
        <a:xfrm>
          <a:off x="2768187" y="2383235"/>
          <a:ext cx="1384641" cy="1137884"/>
        </a:xfrm>
        <a:prstGeom prst="ellipse">
          <a:avLst/>
        </a:prstGeom>
        <a:pattFill prst="pct10">
          <a:fgClr>
            <a:schemeClr val="bg1"/>
          </a:fgClr>
          <a:bgClr>
            <a:schemeClr val="accent3"/>
          </a:bgClr>
        </a:patt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a:rPr>
            <a:t>Parliament </a:t>
          </a:r>
          <a:r>
            <a:rPr lang="en-US" sz="1200" kern="1200"/>
            <a:t>Hearing</a:t>
          </a:r>
        </a:p>
      </dsp:txBody>
      <dsp:txXfrm>
        <a:off x="2970963" y="2549874"/>
        <a:ext cx="979089" cy="804606"/>
      </dsp:txXfrm>
    </dsp:sp>
    <dsp:sp modelId="{AE85CC7D-9C4B-FE4A-9ECA-9A1D27712FF0}">
      <dsp:nvSpPr>
        <dsp:cNvPr id="0" name=""/>
        <dsp:cNvSpPr/>
      </dsp:nvSpPr>
      <dsp:spPr>
        <a:xfrm rot="11694963">
          <a:off x="3384488" y="1254562"/>
          <a:ext cx="491757" cy="354812"/>
        </a:xfrm>
        <a:prstGeom prst="rightArrow">
          <a:avLst>
            <a:gd name="adj1" fmla="val 60000"/>
            <a:gd name="adj2" fmla="val 50000"/>
          </a:avLst>
        </a:prstGeom>
        <a:solidFill>
          <a:schemeClr val="accent3">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10800000">
        <a:off x="3489139" y="1339224"/>
        <a:ext cx="385313" cy="212888"/>
      </dsp:txXfrm>
    </dsp:sp>
    <dsp:sp modelId="{855FC710-8588-C647-8332-6B50636C35CF}">
      <dsp:nvSpPr>
        <dsp:cNvPr id="0" name=""/>
        <dsp:cNvSpPr/>
      </dsp:nvSpPr>
      <dsp:spPr>
        <a:xfrm>
          <a:off x="244210" y="1086998"/>
          <a:ext cx="871845" cy="871845"/>
        </a:xfrm>
        <a:prstGeom prst="ellipse">
          <a:avLst/>
        </a:prstGeom>
        <a:solidFill>
          <a:schemeClr val="accent3">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a:rPr>
            <a:t>Parliament</a:t>
          </a:r>
        </a:p>
      </dsp:txBody>
      <dsp:txXfrm>
        <a:off x="371889" y="1214677"/>
        <a:ext cx="616487" cy="616487"/>
      </dsp:txXfrm>
    </dsp:sp>
    <dsp:sp modelId="{54B5CB1A-D110-B24C-9796-8B664D8FB3F2}">
      <dsp:nvSpPr>
        <dsp:cNvPr id="0" name=""/>
        <dsp:cNvSpPr/>
      </dsp:nvSpPr>
      <dsp:spPr>
        <a:xfrm rot="1295181">
          <a:off x="1217231" y="541056"/>
          <a:ext cx="581864" cy="397620"/>
        </a:xfrm>
        <a:prstGeom prst="rightArrow">
          <a:avLst>
            <a:gd name="adj1" fmla="val 60000"/>
            <a:gd name="adj2" fmla="val 50000"/>
          </a:avLst>
        </a:prstGeom>
        <a:solidFill>
          <a:schemeClr val="accent3">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a:off x="1221414" y="598637"/>
        <a:ext cx="462578" cy="238572"/>
      </dsp:txXfrm>
    </dsp:sp>
    <dsp:sp modelId="{3E4F4D90-B6F3-A94B-BC58-9F8EA017E593}">
      <dsp:nvSpPr>
        <dsp:cNvPr id="0" name=""/>
        <dsp:cNvSpPr/>
      </dsp:nvSpPr>
      <dsp:spPr>
        <a:xfrm>
          <a:off x="4117306" y="1112309"/>
          <a:ext cx="871845" cy="871845"/>
        </a:xfrm>
        <a:prstGeom prst="ellipse">
          <a:avLst/>
        </a:prstGeom>
        <a:solidFill>
          <a:schemeClr val="accent3">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a:rPr>
            <a:t>Member States</a:t>
          </a:r>
        </a:p>
      </dsp:txBody>
      <dsp:txXfrm>
        <a:off x="4244985" y="1239988"/>
        <a:ext cx="616487" cy="616487"/>
      </dsp:txXfrm>
    </dsp:sp>
    <dsp:sp modelId="{9ACC6B5C-6933-B54C-BA4F-F4A89BFEE0EA}">
      <dsp:nvSpPr>
        <dsp:cNvPr id="0" name=""/>
        <dsp:cNvSpPr/>
      </dsp:nvSpPr>
      <dsp:spPr>
        <a:xfrm rot="5400000">
          <a:off x="3164541" y="3575731"/>
          <a:ext cx="473095" cy="629131"/>
        </a:xfrm>
        <a:prstGeom prst="stripedRightArrow">
          <a:avLst/>
        </a:prstGeom>
        <a:pattFill prst="pct10">
          <a:fgClr>
            <a:schemeClr val="bg1"/>
          </a:fgClr>
          <a:bgClr>
            <a:schemeClr val="accent3"/>
          </a:bgClr>
        </a:patt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200150">
            <a:lnSpc>
              <a:spcPct val="90000"/>
            </a:lnSpc>
            <a:spcBef>
              <a:spcPct val="0"/>
            </a:spcBef>
            <a:spcAft>
              <a:spcPct val="35000"/>
            </a:spcAft>
          </a:pPr>
          <a:endParaRPr lang="en-US" sz="2700" kern="1200"/>
        </a:p>
      </dsp:txBody>
      <dsp:txXfrm rot="10800000">
        <a:off x="3235505" y="3630593"/>
        <a:ext cx="331167" cy="377479"/>
      </dsp:txXfrm>
    </dsp:sp>
    <dsp:sp modelId="{B18D4372-C15D-7044-B1C4-6080118523B9}">
      <dsp:nvSpPr>
        <dsp:cNvPr id="0" name=""/>
        <dsp:cNvSpPr/>
      </dsp:nvSpPr>
      <dsp:spPr>
        <a:xfrm>
          <a:off x="4117295" y="87088"/>
          <a:ext cx="871845" cy="871845"/>
        </a:xfrm>
        <a:prstGeom prst="ellipse">
          <a:avLst/>
        </a:prstGeom>
        <a:solidFill>
          <a:schemeClr val="accent3">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a:rPr>
            <a:t>Public's Initiative</a:t>
          </a:r>
        </a:p>
      </dsp:txBody>
      <dsp:txXfrm>
        <a:off x="4244974" y="214767"/>
        <a:ext cx="616487" cy="616487"/>
      </dsp:txXfrm>
    </dsp:sp>
    <dsp:sp modelId="{76CEC215-7441-8347-A720-4FD27BF7B79A}">
      <dsp:nvSpPr>
        <dsp:cNvPr id="0" name=""/>
        <dsp:cNvSpPr/>
      </dsp:nvSpPr>
      <dsp:spPr>
        <a:xfrm rot="9274872" flipV="1">
          <a:off x="3427394" y="588484"/>
          <a:ext cx="467570" cy="397253"/>
        </a:xfrm>
        <a:prstGeom prst="rightArrow">
          <a:avLst>
            <a:gd name="adj1" fmla="val 60000"/>
            <a:gd name="adj2" fmla="val 50000"/>
          </a:avLst>
        </a:prstGeom>
        <a:solidFill>
          <a:schemeClr val="accent3">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10800000">
        <a:off x="3540802" y="642358"/>
        <a:ext cx="348394" cy="238351"/>
      </dsp:txXfrm>
    </dsp:sp>
    <dsp:sp modelId="{893A70F8-F5F9-7D4A-86F6-6916350DCD35}">
      <dsp:nvSpPr>
        <dsp:cNvPr id="0" name=""/>
        <dsp:cNvSpPr/>
      </dsp:nvSpPr>
      <dsp:spPr>
        <a:xfrm>
          <a:off x="244208" y="61761"/>
          <a:ext cx="871845" cy="871845"/>
        </a:xfrm>
        <a:prstGeom prst="ellipse">
          <a:avLst/>
        </a:prstGeom>
        <a:solidFill>
          <a:schemeClr val="accent3">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a:rPr>
            <a:t>Central Bank</a:t>
          </a:r>
        </a:p>
      </dsp:txBody>
      <dsp:txXfrm>
        <a:off x="371887" y="189440"/>
        <a:ext cx="616487" cy="616487"/>
      </dsp:txXfrm>
    </dsp:sp>
    <dsp:sp modelId="{53B57A4F-4198-E048-9A1B-CF7EC5C99E4F}">
      <dsp:nvSpPr>
        <dsp:cNvPr id="0" name=""/>
        <dsp:cNvSpPr/>
      </dsp:nvSpPr>
      <dsp:spPr>
        <a:xfrm rot="20514782">
          <a:off x="1352053" y="1368890"/>
          <a:ext cx="572456" cy="429271"/>
        </a:xfrm>
        <a:prstGeom prst="rightArrow">
          <a:avLst>
            <a:gd name="adj1" fmla="val 60000"/>
            <a:gd name="adj2" fmla="val 50000"/>
          </a:avLst>
        </a:prstGeom>
        <a:solidFill>
          <a:schemeClr val="accent3">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1355235" y="1474735"/>
        <a:ext cx="443675" cy="257563"/>
      </dsp:txXfrm>
    </dsp:sp>
    <dsp:sp modelId="{74C8349B-DE40-EA47-9B0B-1BE9B1F9CDA9}">
      <dsp:nvSpPr>
        <dsp:cNvPr id="0" name=""/>
        <dsp:cNvSpPr/>
      </dsp:nvSpPr>
      <dsp:spPr>
        <a:xfrm>
          <a:off x="2603564" y="5686674"/>
          <a:ext cx="530998" cy="530998"/>
        </a:xfrm>
        <a:prstGeom prst="ellipse">
          <a:avLst/>
        </a:prstGeom>
        <a:pattFill prst="pct10">
          <a:fgClr>
            <a:schemeClr val="bg1"/>
          </a:fgClr>
          <a:bgClr>
            <a:schemeClr val="accent3"/>
          </a:bgClr>
        </a:patt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Times New Roman"/>
            </a:rPr>
            <a:t>Accepts</a:t>
          </a:r>
        </a:p>
      </dsp:txBody>
      <dsp:txXfrm>
        <a:off x="2681327" y="5764437"/>
        <a:ext cx="375472" cy="375472"/>
      </dsp:txXfrm>
    </dsp:sp>
    <dsp:sp modelId="{DD0122F4-A948-3840-87F1-7CF04CB8602F}">
      <dsp:nvSpPr>
        <dsp:cNvPr id="0" name=""/>
        <dsp:cNvSpPr/>
      </dsp:nvSpPr>
      <dsp:spPr>
        <a:xfrm rot="2943330">
          <a:off x="3906105" y="5368568"/>
          <a:ext cx="230822" cy="282192"/>
        </a:xfrm>
        <a:prstGeom prst="rightArrow">
          <a:avLst>
            <a:gd name="adj1" fmla="val 60000"/>
            <a:gd name="adj2" fmla="val 50000"/>
          </a:avLst>
        </a:prstGeom>
        <a:pattFill prst="pct10">
          <a:fgClr>
            <a:schemeClr val="bg1"/>
          </a:fgClr>
          <a:bgClr>
            <a:schemeClr val="accent3"/>
          </a:bgClr>
        </a:patt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3918039" y="5398853"/>
        <a:ext cx="161575" cy="169316"/>
      </dsp:txXfrm>
    </dsp:sp>
    <dsp:sp modelId="{7E6B2A41-7035-F14D-AB18-259F2D6299F5}">
      <dsp:nvSpPr>
        <dsp:cNvPr id="0" name=""/>
        <dsp:cNvSpPr/>
      </dsp:nvSpPr>
      <dsp:spPr>
        <a:xfrm>
          <a:off x="3945986" y="5611558"/>
          <a:ext cx="530998" cy="530848"/>
        </a:xfrm>
        <a:prstGeom prst="ellipse">
          <a:avLst/>
        </a:prstGeom>
        <a:pattFill prst="pct10">
          <a:fgClr>
            <a:schemeClr val="bg1"/>
          </a:fgClr>
          <a:bgClr>
            <a:schemeClr val="accent3"/>
          </a:bgClr>
        </a:patt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Times New Roman"/>
            </a:rPr>
            <a:t>Rejects</a:t>
          </a:r>
        </a:p>
      </dsp:txBody>
      <dsp:txXfrm>
        <a:off x="4023749" y="5689299"/>
        <a:ext cx="375472" cy="375366"/>
      </dsp:txXfrm>
    </dsp:sp>
    <dsp:sp modelId="{F673C193-7A1B-9D40-BCFB-64A89BC7EF7A}">
      <dsp:nvSpPr>
        <dsp:cNvPr id="0" name=""/>
        <dsp:cNvSpPr/>
      </dsp:nvSpPr>
      <dsp:spPr>
        <a:xfrm rot="13243939">
          <a:off x="1033469" y="3342401"/>
          <a:ext cx="644408" cy="388517"/>
        </a:xfrm>
        <a:prstGeom prst="leftRightArrow">
          <a:avLst/>
        </a:prstGeom>
        <a:solidFill>
          <a:schemeClr val="accent3">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rot="10800000">
        <a:off x="1135907" y="3458132"/>
        <a:ext cx="527853" cy="2331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58C9FF-AF99-DC47-B58D-618B4F50FD1E}">
      <dsp:nvSpPr>
        <dsp:cNvPr id="0" name=""/>
        <dsp:cNvSpPr/>
      </dsp:nvSpPr>
      <dsp:spPr>
        <a:xfrm>
          <a:off x="1282" y="174110"/>
          <a:ext cx="1141338" cy="456535"/>
        </a:xfrm>
        <a:prstGeom prst="chevron">
          <a:avLst/>
        </a:prstGeom>
        <a:gradFill rotWithShape="0">
          <a:gsLst>
            <a:gs pos="0">
              <a:schemeClr val="accent3">
                <a:shade val="50000"/>
                <a:hueOff val="0"/>
                <a:satOff val="0"/>
                <a:lumOff val="0"/>
                <a:alphaOff val="0"/>
                <a:tint val="100000"/>
                <a:shade val="100000"/>
                <a:satMod val="130000"/>
              </a:schemeClr>
            </a:gs>
            <a:gs pos="100000">
              <a:schemeClr val="accent3">
                <a:shade val="5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latin typeface="Times New Roman"/>
            </a:rPr>
            <a:t>20.12.11 - Commission proposal</a:t>
          </a:r>
        </a:p>
      </dsp:txBody>
      <dsp:txXfrm>
        <a:off x="229550" y="174110"/>
        <a:ext cx="684803" cy="456535"/>
      </dsp:txXfrm>
    </dsp:sp>
    <dsp:sp modelId="{E5E215AF-8EBB-8C44-B2EE-A9DC5E4459A4}">
      <dsp:nvSpPr>
        <dsp:cNvPr id="0" name=""/>
        <dsp:cNvSpPr/>
      </dsp:nvSpPr>
      <dsp:spPr>
        <a:xfrm>
          <a:off x="1028486" y="174110"/>
          <a:ext cx="1141338" cy="456535"/>
        </a:xfrm>
        <a:prstGeom prst="chevron">
          <a:avLst/>
        </a:prstGeom>
        <a:gradFill rotWithShape="0">
          <a:gsLst>
            <a:gs pos="0">
              <a:schemeClr val="accent3">
                <a:shade val="50000"/>
                <a:hueOff val="107022"/>
                <a:satOff val="-1708"/>
                <a:lumOff val="16443"/>
                <a:alphaOff val="0"/>
                <a:tint val="100000"/>
                <a:shade val="100000"/>
                <a:satMod val="130000"/>
              </a:schemeClr>
            </a:gs>
            <a:gs pos="100000">
              <a:schemeClr val="accent3">
                <a:shade val="50000"/>
                <a:hueOff val="107022"/>
                <a:satOff val="-1708"/>
                <a:lumOff val="16443"/>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latin typeface="Times New Roman"/>
            </a:rPr>
            <a:t>20.02.12 - Council discussion I</a:t>
          </a:r>
        </a:p>
      </dsp:txBody>
      <dsp:txXfrm>
        <a:off x="1256754" y="174110"/>
        <a:ext cx="684803" cy="456535"/>
      </dsp:txXfrm>
    </dsp:sp>
    <dsp:sp modelId="{9439FF15-77DB-564D-8F70-3906F0D559FD}">
      <dsp:nvSpPr>
        <dsp:cNvPr id="0" name=""/>
        <dsp:cNvSpPr/>
      </dsp:nvSpPr>
      <dsp:spPr>
        <a:xfrm>
          <a:off x="2055690" y="174110"/>
          <a:ext cx="1141338" cy="456535"/>
        </a:xfrm>
        <a:prstGeom prst="chevron">
          <a:avLst/>
        </a:prstGeom>
        <a:gradFill rotWithShape="0">
          <a:gsLst>
            <a:gs pos="0">
              <a:schemeClr val="accent3">
                <a:shade val="50000"/>
                <a:hueOff val="214045"/>
                <a:satOff val="-3415"/>
                <a:lumOff val="32886"/>
                <a:alphaOff val="0"/>
                <a:tint val="100000"/>
                <a:shade val="100000"/>
                <a:satMod val="130000"/>
              </a:schemeClr>
            </a:gs>
            <a:gs pos="100000">
              <a:schemeClr val="accent3">
                <a:shade val="50000"/>
                <a:hueOff val="214045"/>
                <a:satOff val="-3415"/>
                <a:lumOff val="32886"/>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latin typeface="Times New Roman"/>
            </a:rPr>
            <a:t>26.04.12 - EESC opinion</a:t>
          </a:r>
        </a:p>
      </dsp:txBody>
      <dsp:txXfrm>
        <a:off x="2283958" y="174110"/>
        <a:ext cx="684803" cy="456535"/>
      </dsp:txXfrm>
    </dsp:sp>
    <dsp:sp modelId="{01040489-5A91-CC4C-8A67-BB655FB9C20E}">
      <dsp:nvSpPr>
        <dsp:cNvPr id="0" name=""/>
        <dsp:cNvSpPr/>
      </dsp:nvSpPr>
      <dsp:spPr>
        <a:xfrm>
          <a:off x="3082895" y="174110"/>
          <a:ext cx="1141338" cy="456535"/>
        </a:xfrm>
        <a:prstGeom prst="chevron">
          <a:avLst/>
        </a:prstGeom>
        <a:gradFill rotWithShape="0">
          <a:gsLst>
            <a:gs pos="0">
              <a:schemeClr val="accent3">
                <a:shade val="50000"/>
                <a:hueOff val="214045"/>
                <a:satOff val="-3415"/>
                <a:lumOff val="32886"/>
                <a:alphaOff val="0"/>
                <a:tint val="100000"/>
                <a:shade val="100000"/>
                <a:satMod val="130000"/>
              </a:schemeClr>
            </a:gs>
            <a:gs pos="100000">
              <a:schemeClr val="accent3">
                <a:shade val="50000"/>
                <a:hueOff val="214045"/>
                <a:satOff val="-3415"/>
                <a:lumOff val="32886"/>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latin typeface="Times New Roman"/>
            </a:rPr>
            <a:t>30.05.12 - Council discussion II</a:t>
          </a:r>
        </a:p>
      </dsp:txBody>
      <dsp:txXfrm>
        <a:off x="3311163" y="174110"/>
        <a:ext cx="684803" cy="456535"/>
      </dsp:txXfrm>
    </dsp:sp>
    <dsp:sp modelId="{20B7C899-9B5E-014C-ACCE-FE972381B331}">
      <dsp:nvSpPr>
        <dsp:cNvPr id="0" name=""/>
        <dsp:cNvSpPr/>
      </dsp:nvSpPr>
      <dsp:spPr>
        <a:xfrm>
          <a:off x="4110099" y="174110"/>
          <a:ext cx="1141338" cy="456535"/>
        </a:xfrm>
        <a:prstGeom prst="chevron">
          <a:avLst/>
        </a:prstGeom>
        <a:gradFill rotWithShape="0">
          <a:gsLst>
            <a:gs pos="0">
              <a:schemeClr val="accent3">
                <a:shade val="50000"/>
                <a:hueOff val="107022"/>
                <a:satOff val="-1708"/>
                <a:lumOff val="16443"/>
                <a:alphaOff val="0"/>
                <a:tint val="100000"/>
                <a:shade val="100000"/>
                <a:satMod val="130000"/>
              </a:schemeClr>
            </a:gs>
            <a:gs pos="100000">
              <a:schemeClr val="accent3">
                <a:shade val="50000"/>
                <a:hueOff val="107022"/>
                <a:satOff val="-1708"/>
                <a:lumOff val="16443"/>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latin typeface="Times New Roman"/>
            </a:rPr>
            <a:t>09.10.12 - CoR opinion</a:t>
          </a:r>
        </a:p>
      </dsp:txBody>
      <dsp:txXfrm>
        <a:off x="4338367" y="174110"/>
        <a:ext cx="684803" cy="45653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6750AD-2A3C-4D46-9EEA-8B1B9C3672BA}">
      <dsp:nvSpPr>
        <dsp:cNvPr id="0" name=""/>
        <dsp:cNvSpPr/>
      </dsp:nvSpPr>
      <dsp:spPr>
        <a:xfrm>
          <a:off x="1282" y="171993"/>
          <a:ext cx="1141338" cy="456535"/>
        </a:xfrm>
        <a:prstGeom prst="chevron">
          <a:avLst/>
        </a:prstGeom>
        <a:gradFill rotWithShape="0">
          <a:gsLst>
            <a:gs pos="0">
              <a:schemeClr val="accent3">
                <a:shade val="50000"/>
                <a:hueOff val="0"/>
                <a:satOff val="0"/>
                <a:lumOff val="0"/>
                <a:alphaOff val="0"/>
                <a:tint val="100000"/>
                <a:shade val="100000"/>
                <a:satMod val="130000"/>
              </a:schemeClr>
            </a:gs>
            <a:gs pos="100000">
              <a:schemeClr val="accent3">
                <a:shade val="5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latin typeface="Times New Roman"/>
            </a:rPr>
            <a:t>10.12.12 - Council discussion III</a:t>
          </a:r>
        </a:p>
      </dsp:txBody>
      <dsp:txXfrm>
        <a:off x="229550" y="171993"/>
        <a:ext cx="684803" cy="456535"/>
      </dsp:txXfrm>
    </dsp:sp>
    <dsp:sp modelId="{D504B929-EF52-3843-AC30-777DC2A6F4FA}">
      <dsp:nvSpPr>
        <dsp:cNvPr id="0" name=""/>
        <dsp:cNvSpPr/>
      </dsp:nvSpPr>
      <dsp:spPr>
        <a:xfrm>
          <a:off x="1028486" y="171993"/>
          <a:ext cx="1141338" cy="456535"/>
        </a:xfrm>
        <a:prstGeom prst="chevron">
          <a:avLst/>
        </a:prstGeom>
        <a:gradFill rotWithShape="0">
          <a:gsLst>
            <a:gs pos="0">
              <a:schemeClr val="accent3">
                <a:shade val="50000"/>
                <a:hueOff val="107022"/>
                <a:satOff val="-1708"/>
                <a:lumOff val="16443"/>
                <a:alphaOff val="0"/>
                <a:tint val="100000"/>
                <a:shade val="100000"/>
                <a:satMod val="130000"/>
              </a:schemeClr>
            </a:gs>
            <a:gs pos="100000">
              <a:schemeClr val="accent3">
                <a:shade val="50000"/>
                <a:hueOff val="107022"/>
                <a:satOff val="-1708"/>
                <a:lumOff val="16443"/>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latin typeface="Times New Roman"/>
            </a:rPr>
            <a:t>15.01.14 - 1st reading Parliament</a:t>
          </a:r>
        </a:p>
      </dsp:txBody>
      <dsp:txXfrm>
        <a:off x="1256754" y="171993"/>
        <a:ext cx="684803" cy="456535"/>
      </dsp:txXfrm>
    </dsp:sp>
    <dsp:sp modelId="{A7FE787E-5DA2-CE4A-80C1-7CC4EA12F580}">
      <dsp:nvSpPr>
        <dsp:cNvPr id="0" name=""/>
        <dsp:cNvSpPr/>
      </dsp:nvSpPr>
      <dsp:spPr>
        <a:xfrm>
          <a:off x="2055690" y="171993"/>
          <a:ext cx="1141338" cy="456535"/>
        </a:xfrm>
        <a:prstGeom prst="chevron">
          <a:avLst/>
        </a:prstGeom>
        <a:gradFill rotWithShape="0">
          <a:gsLst>
            <a:gs pos="0">
              <a:schemeClr val="accent3">
                <a:shade val="50000"/>
                <a:hueOff val="214045"/>
                <a:satOff val="-3415"/>
                <a:lumOff val="32886"/>
                <a:alphaOff val="0"/>
                <a:tint val="100000"/>
                <a:shade val="100000"/>
                <a:satMod val="130000"/>
              </a:schemeClr>
            </a:gs>
            <a:gs pos="100000">
              <a:schemeClr val="accent3">
                <a:shade val="50000"/>
                <a:hueOff val="214045"/>
                <a:satOff val="-3415"/>
                <a:lumOff val="32886"/>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latin typeface="Times New Roman"/>
            </a:rPr>
            <a:t>15.01.14 - Commission position</a:t>
          </a:r>
        </a:p>
      </dsp:txBody>
      <dsp:txXfrm>
        <a:off x="2283958" y="171993"/>
        <a:ext cx="684803" cy="456535"/>
      </dsp:txXfrm>
    </dsp:sp>
    <dsp:sp modelId="{B0C47E09-5AB9-F845-9FC0-EFF9EE083204}">
      <dsp:nvSpPr>
        <dsp:cNvPr id="0" name=""/>
        <dsp:cNvSpPr/>
      </dsp:nvSpPr>
      <dsp:spPr>
        <a:xfrm>
          <a:off x="3082895" y="171993"/>
          <a:ext cx="1141338" cy="456535"/>
        </a:xfrm>
        <a:prstGeom prst="chevron">
          <a:avLst/>
        </a:prstGeom>
        <a:gradFill rotWithShape="0">
          <a:gsLst>
            <a:gs pos="0">
              <a:schemeClr val="accent3">
                <a:shade val="50000"/>
                <a:hueOff val="214045"/>
                <a:satOff val="-3415"/>
                <a:lumOff val="32886"/>
                <a:alphaOff val="0"/>
                <a:tint val="100000"/>
                <a:shade val="100000"/>
                <a:satMod val="130000"/>
              </a:schemeClr>
            </a:gs>
            <a:gs pos="100000">
              <a:schemeClr val="accent3">
                <a:shade val="50000"/>
                <a:hueOff val="214045"/>
                <a:satOff val="-3415"/>
                <a:lumOff val="32886"/>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latin typeface="Times New Roman"/>
            </a:rPr>
            <a:t>11.02. 14 - 1st reading Council</a:t>
          </a:r>
        </a:p>
      </dsp:txBody>
      <dsp:txXfrm>
        <a:off x="3311163" y="171993"/>
        <a:ext cx="684803" cy="456535"/>
      </dsp:txXfrm>
    </dsp:sp>
    <dsp:sp modelId="{BB55D1BF-1648-BA49-BF20-6451753E39ED}">
      <dsp:nvSpPr>
        <dsp:cNvPr id="0" name=""/>
        <dsp:cNvSpPr/>
      </dsp:nvSpPr>
      <dsp:spPr>
        <a:xfrm>
          <a:off x="4110099" y="171993"/>
          <a:ext cx="1141338" cy="456535"/>
        </a:xfrm>
        <a:prstGeom prst="chevron">
          <a:avLst/>
        </a:prstGeom>
        <a:gradFill rotWithShape="0">
          <a:gsLst>
            <a:gs pos="0">
              <a:schemeClr val="accent3">
                <a:shade val="50000"/>
                <a:hueOff val="107022"/>
                <a:satOff val="-1708"/>
                <a:lumOff val="16443"/>
                <a:alphaOff val="0"/>
                <a:tint val="100000"/>
                <a:shade val="100000"/>
                <a:satMod val="130000"/>
              </a:schemeClr>
            </a:gs>
            <a:gs pos="100000">
              <a:schemeClr val="accent3">
                <a:shade val="50000"/>
                <a:hueOff val="107022"/>
                <a:satOff val="-1708"/>
                <a:lumOff val="16443"/>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latin typeface="Times New Roman"/>
            </a:rPr>
            <a:t>26.02.14 - Signing</a:t>
          </a:r>
        </a:p>
      </dsp:txBody>
      <dsp:txXfrm>
        <a:off x="4338367" y="171993"/>
        <a:ext cx="684803" cy="45653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731F-2C03-964B-A0DC-5577EA68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18127</Words>
  <Characters>94988</Characters>
  <Application>Microsoft Macintosh Word</Application>
  <DocSecurity>0</DocSecurity>
  <Lines>1759</Lines>
  <Paragraphs>344</Paragraphs>
  <ScaleCrop>false</ScaleCrop>
  <Company/>
  <LinksUpToDate>false</LinksUpToDate>
  <CharactersWithSpaces>112771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Honig</dc:creator>
  <cp:keywords/>
  <dc:description/>
  <cp:lastModifiedBy>Holle Honig</cp:lastModifiedBy>
  <cp:revision>2</cp:revision>
  <dcterms:created xsi:type="dcterms:W3CDTF">2015-03-30T04:40:00Z</dcterms:created>
  <dcterms:modified xsi:type="dcterms:W3CDTF">2015-03-30T04:40:00Z</dcterms:modified>
</cp:coreProperties>
</file>