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7C" w:rsidRDefault="004B65E0" w:rsidP="00941B7C">
      <w:r>
        <w:t xml:space="preserve">Cand. merc. aud. </w:t>
      </w:r>
    </w:p>
    <w:p w:rsidR="00941B7C" w:rsidRDefault="00941B7C" w:rsidP="00941B7C">
      <w:r>
        <w:t>Aalborg Universitet</w:t>
      </w:r>
    </w:p>
    <w:p w:rsidR="004B65E0" w:rsidRDefault="004B65E0" w:rsidP="00941B7C">
      <w:r>
        <w:t>Afleveret februar 2009</w:t>
      </w:r>
    </w:p>
    <w:p w:rsidR="004B65E0" w:rsidRDefault="004B65E0" w:rsidP="004B65E0">
      <w:r>
        <w:t>Kandidatafhandling 7.-10. semester</w:t>
      </w:r>
    </w:p>
    <w:p w:rsidR="004B65E0" w:rsidRDefault="004B65E0" w:rsidP="00941B7C">
      <w:pPr>
        <w:jc w:val="center"/>
        <w:rPr>
          <w:b/>
          <w:shadow/>
          <w:sz w:val="32"/>
          <w:szCs w:val="32"/>
        </w:rPr>
      </w:pPr>
    </w:p>
    <w:p w:rsidR="00C565FB" w:rsidRDefault="00C565FB" w:rsidP="00941B7C">
      <w:pPr>
        <w:jc w:val="center"/>
        <w:rPr>
          <w:b/>
          <w:shadow/>
          <w:sz w:val="32"/>
          <w:szCs w:val="32"/>
        </w:rPr>
      </w:pPr>
    </w:p>
    <w:p w:rsidR="00C565FB" w:rsidRDefault="00C565FB" w:rsidP="00941B7C">
      <w:pPr>
        <w:jc w:val="center"/>
        <w:rPr>
          <w:b/>
          <w:shadow/>
          <w:sz w:val="32"/>
          <w:szCs w:val="32"/>
        </w:rPr>
      </w:pPr>
    </w:p>
    <w:p w:rsidR="004B65E0" w:rsidRDefault="004B65E0" w:rsidP="00941B7C">
      <w:pPr>
        <w:jc w:val="center"/>
        <w:rPr>
          <w:b/>
          <w:shadow/>
          <w:sz w:val="32"/>
          <w:szCs w:val="32"/>
        </w:rPr>
      </w:pPr>
    </w:p>
    <w:p w:rsidR="00941B7C" w:rsidRPr="004B65E0" w:rsidRDefault="00941B7C" w:rsidP="00941B7C">
      <w:pPr>
        <w:jc w:val="center"/>
        <w:rPr>
          <w:b/>
          <w:shadow/>
          <w:sz w:val="96"/>
          <w:szCs w:val="96"/>
        </w:rPr>
      </w:pPr>
      <w:r w:rsidRPr="004B65E0">
        <w:rPr>
          <w:b/>
          <w:shadow/>
          <w:sz w:val="96"/>
          <w:szCs w:val="96"/>
        </w:rPr>
        <w:t>Generationsskifte</w:t>
      </w:r>
      <w:r w:rsidRPr="004B65E0">
        <w:rPr>
          <w:b/>
          <w:shadow/>
          <w:sz w:val="96"/>
          <w:szCs w:val="96"/>
        </w:rPr>
        <w:br/>
        <w:t>i</w:t>
      </w:r>
      <w:r w:rsidRPr="004B65E0">
        <w:rPr>
          <w:b/>
          <w:shadow/>
          <w:sz w:val="96"/>
          <w:szCs w:val="96"/>
        </w:rPr>
        <w:br/>
        <w:t>interessentskaber</w:t>
      </w:r>
    </w:p>
    <w:p w:rsidR="00B50258" w:rsidRDefault="00B50258" w:rsidP="00B50258">
      <w:pPr>
        <w:ind w:left="720"/>
      </w:pPr>
    </w:p>
    <w:p w:rsidR="004B65E0" w:rsidRDefault="004B65E0" w:rsidP="00C565FB"/>
    <w:p w:rsidR="004B65E0" w:rsidRDefault="004B65E0" w:rsidP="00B50258">
      <w:pPr>
        <w:ind w:left="720"/>
      </w:pPr>
    </w:p>
    <w:p w:rsidR="00C565FB" w:rsidRDefault="00C565FB" w:rsidP="00B50258">
      <w:pPr>
        <w:ind w:left="720"/>
      </w:pPr>
    </w:p>
    <w:p w:rsidR="004B65E0" w:rsidRDefault="004B65E0" w:rsidP="00B50258">
      <w:pPr>
        <w:ind w:left="720"/>
      </w:pPr>
    </w:p>
    <w:tbl>
      <w:tblPr>
        <w:tblW w:w="0" w:type="auto"/>
        <w:tblLook w:val="04A0"/>
      </w:tblPr>
      <w:tblGrid>
        <w:gridCol w:w="2881"/>
        <w:gridCol w:w="2881"/>
        <w:gridCol w:w="2882"/>
      </w:tblGrid>
      <w:tr w:rsidR="00974F32" w:rsidTr="00C565FB">
        <w:tc>
          <w:tcPr>
            <w:tcW w:w="2881" w:type="dxa"/>
          </w:tcPr>
          <w:p w:rsidR="004B65E0" w:rsidRPr="00C565FB" w:rsidRDefault="00C565FB" w:rsidP="00C565FB">
            <w:pPr>
              <w:rPr>
                <w:rFonts w:ascii="Times New Roman" w:eastAsia="Times New Roman" w:hAnsi="Times New Roman"/>
                <w:b/>
              </w:rPr>
            </w:pPr>
            <w:r w:rsidRPr="00C565FB">
              <w:rPr>
                <w:rFonts w:ascii="Times New Roman" w:eastAsia="Times New Roman" w:hAnsi="Times New Roman"/>
                <w:b/>
              </w:rPr>
              <w:t>Studerende:</w:t>
            </w:r>
          </w:p>
          <w:p w:rsidR="00C565FB" w:rsidRPr="00C565FB" w:rsidRDefault="00C565FB" w:rsidP="00C565FB">
            <w:pPr>
              <w:rPr>
                <w:rFonts w:ascii="Times New Roman" w:eastAsia="Times New Roman" w:hAnsi="Times New Roman"/>
              </w:rPr>
            </w:pPr>
          </w:p>
          <w:p w:rsidR="00C565FB" w:rsidRPr="00C565FB" w:rsidRDefault="00C565FB" w:rsidP="00C565FB">
            <w:pPr>
              <w:rPr>
                <w:rFonts w:ascii="Times New Roman" w:eastAsia="Times New Roman" w:hAnsi="Times New Roman"/>
              </w:rPr>
            </w:pPr>
          </w:p>
          <w:p w:rsidR="00C565FB" w:rsidRPr="00C565FB" w:rsidRDefault="00C565FB" w:rsidP="00C565FB">
            <w:pPr>
              <w:rPr>
                <w:rFonts w:ascii="Times New Roman" w:eastAsia="Times New Roman" w:hAnsi="Times New Roman"/>
              </w:rPr>
            </w:pPr>
            <w:r w:rsidRPr="00C565FB">
              <w:rPr>
                <w:rFonts w:ascii="Times New Roman" w:eastAsia="Times New Roman" w:hAnsi="Times New Roman"/>
              </w:rPr>
              <w:t>Pernille Miller</w:t>
            </w:r>
          </w:p>
        </w:tc>
        <w:tc>
          <w:tcPr>
            <w:tcW w:w="2881" w:type="dxa"/>
          </w:tcPr>
          <w:p w:rsidR="004B65E0" w:rsidRPr="00C565FB" w:rsidRDefault="004B65E0" w:rsidP="00C565FB">
            <w:pPr>
              <w:rPr>
                <w:rFonts w:ascii="Times New Roman" w:eastAsia="Times New Roman" w:hAnsi="Times New Roman"/>
              </w:rPr>
            </w:pPr>
          </w:p>
          <w:p w:rsidR="00C565FB" w:rsidRPr="00C565FB" w:rsidRDefault="00C565FB" w:rsidP="00C565FB">
            <w:pPr>
              <w:rPr>
                <w:rFonts w:ascii="Times New Roman" w:eastAsia="Times New Roman" w:hAnsi="Times New Roman"/>
              </w:rPr>
            </w:pPr>
          </w:p>
          <w:p w:rsidR="00C565FB" w:rsidRPr="00C565FB" w:rsidRDefault="00C565FB" w:rsidP="00C565FB">
            <w:pPr>
              <w:rPr>
                <w:rFonts w:ascii="Times New Roman" w:eastAsia="Times New Roman" w:hAnsi="Times New Roman"/>
              </w:rPr>
            </w:pPr>
          </w:p>
          <w:p w:rsidR="00C565FB" w:rsidRPr="00C565FB" w:rsidRDefault="00C565FB" w:rsidP="00C565FB">
            <w:pPr>
              <w:rPr>
                <w:rFonts w:ascii="Times New Roman" w:eastAsia="Times New Roman" w:hAnsi="Times New Roman"/>
              </w:rPr>
            </w:pPr>
            <w:r w:rsidRPr="00C565FB">
              <w:rPr>
                <w:rFonts w:ascii="Times New Roman" w:eastAsia="Times New Roman" w:hAnsi="Times New Roman"/>
              </w:rPr>
              <w:t>Jane Holm Jensen</w:t>
            </w:r>
          </w:p>
        </w:tc>
        <w:tc>
          <w:tcPr>
            <w:tcW w:w="2882" w:type="dxa"/>
          </w:tcPr>
          <w:p w:rsidR="004B65E0" w:rsidRPr="00C565FB" w:rsidRDefault="00C565FB" w:rsidP="00C565FB">
            <w:pPr>
              <w:rPr>
                <w:rFonts w:ascii="Times New Roman" w:eastAsia="Times New Roman" w:hAnsi="Times New Roman"/>
                <w:b/>
              </w:rPr>
            </w:pPr>
            <w:r w:rsidRPr="00C565FB">
              <w:rPr>
                <w:rFonts w:ascii="Times New Roman" w:eastAsia="Times New Roman" w:hAnsi="Times New Roman"/>
                <w:b/>
              </w:rPr>
              <w:t>Vejleder:</w:t>
            </w:r>
          </w:p>
          <w:p w:rsidR="00C565FB" w:rsidRPr="00C565FB" w:rsidRDefault="00C565FB" w:rsidP="00C565FB">
            <w:pPr>
              <w:rPr>
                <w:rFonts w:ascii="Times New Roman" w:eastAsia="Times New Roman" w:hAnsi="Times New Roman"/>
              </w:rPr>
            </w:pPr>
          </w:p>
          <w:p w:rsidR="00C565FB" w:rsidRPr="00C565FB" w:rsidRDefault="00C565FB" w:rsidP="00C565FB">
            <w:pPr>
              <w:rPr>
                <w:rFonts w:ascii="Times New Roman" w:eastAsia="Times New Roman" w:hAnsi="Times New Roman"/>
              </w:rPr>
            </w:pPr>
          </w:p>
          <w:p w:rsidR="00C565FB" w:rsidRPr="00C565FB" w:rsidRDefault="00C565FB" w:rsidP="00C565FB">
            <w:pPr>
              <w:rPr>
                <w:rFonts w:ascii="Times New Roman" w:eastAsia="Times New Roman" w:hAnsi="Times New Roman"/>
              </w:rPr>
            </w:pPr>
            <w:r w:rsidRPr="00C565FB">
              <w:rPr>
                <w:rFonts w:ascii="Times New Roman" w:eastAsia="Times New Roman" w:hAnsi="Times New Roman"/>
              </w:rPr>
              <w:t>Henrik V. Andersen</w:t>
            </w:r>
          </w:p>
        </w:tc>
      </w:tr>
    </w:tbl>
    <w:p w:rsidR="0001202B" w:rsidRDefault="0001202B" w:rsidP="00941B7C"/>
    <w:p w:rsidR="007A35E5" w:rsidRDefault="007A35E5" w:rsidP="00AF4FDF">
      <w:pPr>
        <w:pStyle w:val="Overskrift"/>
        <w:spacing w:line="360" w:lineRule="auto"/>
      </w:pPr>
      <w:r>
        <w:lastRenderedPageBreak/>
        <w:t>Indholdsfortegnelse</w:t>
      </w:r>
    </w:p>
    <w:p w:rsidR="006911F3" w:rsidRDefault="00012FAC">
      <w:pPr>
        <w:pStyle w:val="Indholdsfortegnelse1"/>
        <w:tabs>
          <w:tab w:val="right" w:leader="dot" w:pos="8494"/>
        </w:tabs>
        <w:rPr>
          <w:rFonts w:asciiTheme="minorHAnsi" w:eastAsiaTheme="minorEastAsia" w:hAnsiTheme="minorHAnsi" w:cstheme="minorBidi"/>
          <w:noProof/>
          <w:sz w:val="22"/>
          <w:lang w:eastAsia="da-DK"/>
        </w:rPr>
      </w:pPr>
      <w:r>
        <w:fldChar w:fldCharType="begin"/>
      </w:r>
      <w:r w:rsidR="00EF4B92">
        <w:instrText xml:space="preserve"> TOC \o "1-6" \h \z \u </w:instrText>
      </w:r>
      <w:r>
        <w:fldChar w:fldCharType="separate"/>
      </w:r>
      <w:hyperlink w:anchor="_Toc221546174" w:history="1">
        <w:r w:rsidR="006911F3" w:rsidRPr="00C50158">
          <w:rPr>
            <w:rStyle w:val="Hyperlink"/>
            <w:noProof/>
          </w:rPr>
          <w:t>1. Indledning (Pernille og Jane)</w:t>
        </w:r>
        <w:r w:rsidR="006911F3">
          <w:rPr>
            <w:noProof/>
            <w:webHidden/>
          </w:rPr>
          <w:tab/>
        </w:r>
        <w:r w:rsidR="006911F3">
          <w:rPr>
            <w:noProof/>
            <w:webHidden/>
          </w:rPr>
          <w:fldChar w:fldCharType="begin"/>
        </w:r>
        <w:r w:rsidR="006911F3">
          <w:rPr>
            <w:noProof/>
            <w:webHidden/>
          </w:rPr>
          <w:instrText xml:space="preserve"> PAGEREF _Toc221546174 \h </w:instrText>
        </w:r>
        <w:r w:rsidR="006911F3">
          <w:rPr>
            <w:noProof/>
            <w:webHidden/>
          </w:rPr>
        </w:r>
        <w:r w:rsidR="006911F3">
          <w:rPr>
            <w:noProof/>
            <w:webHidden/>
          </w:rPr>
          <w:fldChar w:fldCharType="separate"/>
        </w:r>
        <w:r w:rsidR="000F066D">
          <w:rPr>
            <w:noProof/>
            <w:webHidden/>
          </w:rPr>
          <w:t>6</w:t>
        </w:r>
        <w:r w:rsidR="006911F3">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175" w:history="1">
        <w:r w:rsidRPr="00C50158">
          <w:rPr>
            <w:rStyle w:val="Hyperlink"/>
            <w:noProof/>
          </w:rPr>
          <w:t>1.1 Problemstillinger og hovedspørgsmål (Pernille og Jane)</w:t>
        </w:r>
        <w:r>
          <w:rPr>
            <w:noProof/>
            <w:webHidden/>
          </w:rPr>
          <w:tab/>
        </w:r>
        <w:r>
          <w:rPr>
            <w:noProof/>
            <w:webHidden/>
          </w:rPr>
          <w:fldChar w:fldCharType="begin"/>
        </w:r>
        <w:r>
          <w:rPr>
            <w:noProof/>
            <w:webHidden/>
          </w:rPr>
          <w:instrText xml:space="preserve"> PAGEREF _Toc221546175 \h </w:instrText>
        </w:r>
        <w:r>
          <w:rPr>
            <w:noProof/>
            <w:webHidden/>
          </w:rPr>
        </w:r>
        <w:r>
          <w:rPr>
            <w:noProof/>
            <w:webHidden/>
          </w:rPr>
          <w:fldChar w:fldCharType="separate"/>
        </w:r>
        <w:r w:rsidR="000F066D">
          <w:rPr>
            <w:noProof/>
            <w:webHidden/>
          </w:rPr>
          <w:t>9</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176" w:history="1">
        <w:r w:rsidRPr="00C50158">
          <w:rPr>
            <w:rStyle w:val="Hyperlink"/>
            <w:noProof/>
          </w:rPr>
          <w:t>1.2 Afgrænsninger (Pernille og Jane)</w:t>
        </w:r>
        <w:r>
          <w:rPr>
            <w:noProof/>
            <w:webHidden/>
          </w:rPr>
          <w:tab/>
        </w:r>
        <w:r>
          <w:rPr>
            <w:noProof/>
            <w:webHidden/>
          </w:rPr>
          <w:fldChar w:fldCharType="begin"/>
        </w:r>
        <w:r>
          <w:rPr>
            <w:noProof/>
            <w:webHidden/>
          </w:rPr>
          <w:instrText xml:space="preserve"> PAGEREF _Toc221546176 \h </w:instrText>
        </w:r>
        <w:r>
          <w:rPr>
            <w:noProof/>
            <w:webHidden/>
          </w:rPr>
        </w:r>
        <w:r>
          <w:rPr>
            <w:noProof/>
            <w:webHidden/>
          </w:rPr>
          <w:fldChar w:fldCharType="separate"/>
        </w:r>
        <w:r w:rsidR="000F066D">
          <w:rPr>
            <w:noProof/>
            <w:webHidden/>
          </w:rPr>
          <w:t>10</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177" w:history="1">
        <w:r w:rsidRPr="00C50158">
          <w:rPr>
            <w:rStyle w:val="Hyperlink"/>
            <w:noProof/>
          </w:rPr>
          <w:t>1.3 Opgaven i et større perspektiv (Pernille)</w:t>
        </w:r>
        <w:r>
          <w:rPr>
            <w:noProof/>
            <w:webHidden/>
          </w:rPr>
          <w:tab/>
        </w:r>
        <w:r>
          <w:rPr>
            <w:noProof/>
            <w:webHidden/>
          </w:rPr>
          <w:fldChar w:fldCharType="begin"/>
        </w:r>
        <w:r>
          <w:rPr>
            <w:noProof/>
            <w:webHidden/>
          </w:rPr>
          <w:instrText xml:space="preserve"> PAGEREF _Toc221546177 \h </w:instrText>
        </w:r>
        <w:r>
          <w:rPr>
            <w:noProof/>
            <w:webHidden/>
          </w:rPr>
        </w:r>
        <w:r>
          <w:rPr>
            <w:noProof/>
            <w:webHidden/>
          </w:rPr>
          <w:fldChar w:fldCharType="separate"/>
        </w:r>
        <w:r w:rsidR="000F066D">
          <w:rPr>
            <w:noProof/>
            <w:webHidden/>
          </w:rPr>
          <w:t>11</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78" w:history="1">
        <w:r w:rsidRPr="00C50158">
          <w:rPr>
            <w:rStyle w:val="Hyperlink"/>
            <w:noProof/>
          </w:rPr>
          <w:t>1.3.1 Skatteretligt virksomhedsbegreb (Pernille)</w:t>
        </w:r>
        <w:r>
          <w:rPr>
            <w:noProof/>
            <w:webHidden/>
          </w:rPr>
          <w:tab/>
        </w:r>
        <w:r>
          <w:rPr>
            <w:noProof/>
            <w:webHidden/>
          </w:rPr>
          <w:fldChar w:fldCharType="begin"/>
        </w:r>
        <w:r>
          <w:rPr>
            <w:noProof/>
            <w:webHidden/>
          </w:rPr>
          <w:instrText xml:space="preserve"> PAGEREF _Toc221546178 \h </w:instrText>
        </w:r>
        <w:r>
          <w:rPr>
            <w:noProof/>
            <w:webHidden/>
          </w:rPr>
        </w:r>
        <w:r>
          <w:rPr>
            <w:noProof/>
            <w:webHidden/>
          </w:rPr>
          <w:fldChar w:fldCharType="separate"/>
        </w:r>
        <w:r w:rsidR="000F066D">
          <w:rPr>
            <w:noProof/>
            <w:webHidden/>
          </w:rPr>
          <w:t>12</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79" w:history="1">
        <w:r w:rsidRPr="00C50158">
          <w:rPr>
            <w:rStyle w:val="Hyperlink"/>
            <w:noProof/>
          </w:rPr>
          <w:t>1.3.2 Skatteretlig succession (Pernille)</w:t>
        </w:r>
        <w:r>
          <w:rPr>
            <w:noProof/>
            <w:webHidden/>
          </w:rPr>
          <w:tab/>
        </w:r>
        <w:r>
          <w:rPr>
            <w:noProof/>
            <w:webHidden/>
          </w:rPr>
          <w:fldChar w:fldCharType="begin"/>
        </w:r>
        <w:r>
          <w:rPr>
            <w:noProof/>
            <w:webHidden/>
          </w:rPr>
          <w:instrText xml:space="preserve"> PAGEREF _Toc221546179 \h </w:instrText>
        </w:r>
        <w:r>
          <w:rPr>
            <w:noProof/>
            <w:webHidden/>
          </w:rPr>
        </w:r>
        <w:r>
          <w:rPr>
            <w:noProof/>
            <w:webHidden/>
          </w:rPr>
          <w:fldChar w:fldCharType="separate"/>
        </w:r>
        <w:r w:rsidR="000F066D">
          <w:rPr>
            <w:noProof/>
            <w:webHidden/>
          </w:rPr>
          <w:t>15</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80" w:history="1">
        <w:r w:rsidRPr="00C50158">
          <w:rPr>
            <w:rStyle w:val="Hyperlink"/>
            <w:noProof/>
          </w:rPr>
          <w:t>1.3.3 Skattebegunstiget generationsskifte (Pernille)</w:t>
        </w:r>
        <w:r>
          <w:rPr>
            <w:noProof/>
            <w:webHidden/>
          </w:rPr>
          <w:tab/>
        </w:r>
        <w:r>
          <w:rPr>
            <w:noProof/>
            <w:webHidden/>
          </w:rPr>
          <w:fldChar w:fldCharType="begin"/>
        </w:r>
        <w:r>
          <w:rPr>
            <w:noProof/>
            <w:webHidden/>
          </w:rPr>
          <w:instrText xml:space="preserve"> PAGEREF _Toc221546180 \h </w:instrText>
        </w:r>
        <w:r>
          <w:rPr>
            <w:noProof/>
            <w:webHidden/>
          </w:rPr>
        </w:r>
        <w:r>
          <w:rPr>
            <w:noProof/>
            <w:webHidden/>
          </w:rPr>
          <w:fldChar w:fldCharType="separate"/>
        </w:r>
        <w:r w:rsidR="000F066D">
          <w:rPr>
            <w:noProof/>
            <w:webHidden/>
          </w:rPr>
          <w:t>16</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81" w:history="1">
        <w:r w:rsidRPr="00C50158">
          <w:rPr>
            <w:rStyle w:val="Hyperlink"/>
            <w:noProof/>
          </w:rPr>
          <w:t>1.3.4 Andre overvejelser ved generationsskifte (Pernille)</w:t>
        </w:r>
        <w:r>
          <w:rPr>
            <w:noProof/>
            <w:webHidden/>
          </w:rPr>
          <w:tab/>
        </w:r>
        <w:r>
          <w:rPr>
            <w:noProof/>
            <w:webHidden/>
          </w:rPr>
          <w:fldChar w:fldCharType="begin"/>
        </w:r>
        <w:r>
          <w:rPr>
            <w:noProof/>
            <w:webHidden/>
          </w:rPr>
          <w:instrText xml:space="preserve"> PAGEREF _Toc221546181 \h </w:instrText>
        </w:r>
        <w:r>
          <w:rPr>
            <w:noProof/>
            <w:webHidden/>
          </w:rPr>
        </w:r>
        <w:r>
          <w:rPr>
            <w:noProof/>
            <w:webHidden/>
          </w:rPr>
          <w:fldChar w:fldCharType="separate"/>
        </w:r>
        <w:r w:rsidR="000F066D">
          <w:rPr>
            <w:noProof/>
            <w:webHidden/>
          </w:rPr>
          <w:t>19</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182" w:history="1">
        <w:r w:rsidRPr="00C50158">
          <w:rPr>
            <w:rStyle w:val="Hyperlink"/>
            <w:noProof/>
          </w:rPr>
          <w:t>1.4 Metodevalg og disposition (Pernille og Jane)</w:t>
        </w:r>
        <w:r>
          <w:rPr>
            <w:noProof/>
            <w:webHidden/>
          </w:rPr>
          <w:tab/>
        </w:r>
        <w:r>
          <w:rPr>
            <w:noProof/>
            <w:webHidden/>
          </w:rPr>
          <w:fldChar w:fldCharType="begin"/>
        </w:r>
        <w:r>
          <w:rPr>
            <w:noProof/>
            <w:webHidden/>
          </w:rPr>
          <w:instrText xml:space="preserve"> PAGEREF _Toc221546182 \h </w:instrText>
        </w:r>
        <w:r>
          <w:rPr>
            <w:noProof/>
            <w:webHidden/>
          </w:rPr>
        </w:r>
        <w:r>
          <w:rPr>
            <w:noProof/>
            <w:webHidden/>
          </w:rPr>
          <w:fldChar w:fldCharType="separate"/>
        </w:r>
        <w:r w:rsidR="000F066D">
          <w:rPr>
            <w:noProof/>
            <w:webHidden/>
          </w:rPr>
          <w:t>20</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183" w:history="1">
        <w:r w:rsidRPr="00C50158">
          <w:rPr>
            <w:rStyle w:val="Hyperlink"/>
            <w:noProof/>
          </w:rPr>
          <w:t>2. Interessentskab (Pernille)</w:t>
        </w:r>
        <w:r>
          <w:rPr>
            <w:noProof/>
            <w:webHidden/>
          </w:rPr>
          <w:tab/>
        </w:r>
        <w:r>
          <w:rPr>
            <w:noProof/>
            <w:webHidden/>
          </w:rPr>
          <w:fldChar w:fldCharType="begin"/>
        </w:r>
        <w:r>
          <w:rPr>
            <w:noProof/>
            <w:webHidden/>
          </w:rPr>
          <w:instrText xml:space="preserve"> PAGEREF _Toc221546183 \h </w:instrText>
        </w:r>
        <w:r>
          <w:rPr>
            <w:noProof/>
            <w:webHidden/>
          </w:rPr>
        </w:r>
        <w:r>
          <w:rPr>
            <w:noProof/>
            <w:webHidden/>
          </w:rPr>
          <w:fldChar w:fldCharType="separate"/>
        </w:r>
        <w:r w:rsidR="000F066D">
          <w:rPr>
            <w:noProof/>
            <w:webHidden/>
          </w:rPr>
          <w:t>24</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184" w:history="1">
        <w:r w:rsidRPr="00C50158">
          <w:rPr>
            <w:rStyle w:val="Hyperlink"/>
            <w:noProof/>
          </w:rPr>
          <w:t>2.1 Interessentskab generelt (Pernille)</w:t>
        </w:r>
        <w:r>
          <w:rPr>
            <w:noProof/>
            <w:webHidden/>
          </w:rPr>
          <w:tab/>
        </w:r>
        <w:r>
          <w:rPr>
            <w:noProof/>
            <w:webHidden/>
          </w:rPr>
          <w:fldChar w:fldCharType="begin"/>
        </w:r>
        <w:r>
          <w:rPr>
            <w:noProof/>
            <w:webHidden/>
          </w:rPr>
          <w:instrText xml:space="preserve"> PAGEREF _Toc221546184 \h </w:instrText>
        </w:r>
        <w:r>
          <w:rPr>
            <w:noProof/>
            <w:webHidden/>
          </w:rPr>
        </w:r>
        <w:r>
          <w:rPr>
            <w:noProof/>
            <w:webHidden/>
          </w:rPr>
          <w:fldChar w:fldCharType="separate"/>
        </w:r>
        <w:r w:rsidR="000F066D">
          <w:rPr>
            <w:noProof/>
            <w:webHidden/>
          </w:rPr>
          <w:t>24</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185" w:history="1">
        <w:r w:rsidRPr="00C50158">
          <w:rPr>
            <w:rStyle w:val="Hyperlink"/>
            <w:noProof/>
          </w:rPr>
          <w:t>2.2. Beskatning af over/underskud i interessentskaber (Pernille)</w:t>
        </w:r>
        <w:r>
          <w:rPr>
            <w:noProof/>
            <w:webHidden/>
          </w:rPr>
          <w:tab/>
        </w:r>
        <w:r>
          <w:rPr>
            <w:noProof/>
            <w:webHidden/>
          </w:rPr>
          <w:fldChar w:fldCharType="begin"/>
        </w:r>
        <w:r>
          <w:rPr>
            <w:noProof/>
            <w:webHidden/>
          </w:rPr>
          <w:instrText xml:space="preserve"> PAGEREF _Toc221546185 \h </w:instrText>
        </w:r>
        <w:r>
          <w:rPr>
            <w:noProof/>
            <w:webHidden/>
          </w:rPr>
        </w:r>
        <w:r>
          <w:rPr>
            <w:noProof/>
            <w:webHidden/>
          </w:rPr>
          <w:fldChar w:fldCharType="separate"/>
        </w:r>
        <w:r w:rsidR="000F066D">
          <w:rPr>
            <w:noProof/>
            <w:webHidden/>
          </w:rPr>
          <w:t>27</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186" w:history="1">
        <w:r w:rsidRPr="00C50158">
          <w:rPr>
            <w:rStyle w:val="Hyperlink"/>
            <w:noProof/>
          </w:rPr>
          <w:t>2.3 Beskatning ved afståelse/delafståelse af interessentskab (Pernille)</w:t>
        </w:r>
        <w:r>
          <w:rPr>
            <w:noProof/>
            <w:webHidden/>
          </w:rPr>
          <w:tab/>
        </w:r>
        <w:r>
          <w:rPr>
            <w:noProof/>
            <w:webHidden/>
          </w:rPr>
          <w:fldChar w:fldCharType="begin"/>
        </w:r>
        <w:r>
          <w:rPr>
            <w:noProof/>
            <w:webHidden/>
          </w:rPr>
          <w:instrText xml:space="preserve"> PAGEREF _Toc221546186 \h </w:instrText>
        </w:r>
        <w:r>
          <w:rPr>
            <w:noProof/>
            <w:webHidden/>
          </w:rPr>
        </w:r>
        <w:r>
          <w:rPr>
            <w:noProof/>
            <w:webHidden/>
          </w:rPr>
          <w:fldChar w:fldCharType="separate"/>
        </w:r>
        <w:r w:rsidR="000F066D">
          <w:rPr>
            <w:noProof/>
            <w:webHidden/>
          </w:rPr>
          <w:t>30</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187" w:history="1">
        <w:r w:rsidRPr="00C50158">
          <w:rPr>
            <w:rStyle w:val="Hyperlink"/>
            <w:noProof/>
          </w:rPr>
          <w:t>3. Generationsskiftemodeller i personligt regi (Jane)</w:t>
        </w:r>
        <w:r>
          <w:rPr>
            <w:noProof/>
            <w:webHidden/>
          </w:rPr>
          <w:tab/>
        </w:r>
        <w:r>
          <w:rPr>
            <w:noProof/>
            <w:webHidden/>
          </w:rPr>
          <w:fldChar w:fldCharType="begin"/>
        </w:r>
        <w:r>
          <w:rPr>
            <w:noProof/>
            <w:webHidden/>
          </w:rPr>
          <w:instrText xml:space="preserve"> PAGEREF _Toc221546187 \h </w:instrText>
        </w:r>
        <w:r>
          <w:rPr>
            <w:noProof/>
            <w:webHidden/>
          </w:rPr>
        </w:r>
        <w:r>
          <w:rPr>
            <w:noProof/>
            <w:webHidden/>
          </w:rPr>
          <w:fldChar w:fldCharType="separate"/>
        </w:r>
        <w:r w:rsidR="000F066D">
          <w:rPr>
            <w:noProof/>
            <w:webHidden/>
          </w:rPr>
          <w:t>33</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188" w:history="1">
        <w:r w:rsidRPr="00C50158">
          <w:rPr>
            <w:rStyle w:val="Hyperlink"/>
            <w:noProof/>
          </w:rPr>
          <w:t>3.1 Beskattet overdragelse (Jane)</w:t>
        </w:r>
        <w:r>
          <w:rPr>
            <w:noProof/>
            <w:webHidden/>
          </w:rPr>
          <w:tab/>
        </w:r>
        <w:r>
          <w:rPr>
            <w:noProof/>
            <w:webHidden/>
          </w:rPr>
          <w:fldChar w:fldCharType="begin"/>
        </w:r>
        <w:r>
          <w:rPr>
            <w:noProof/>
            <w:webHidden/>
          </w:rPr>
          <w:instrText xml:space="preserve"> PAGEREF _Toc221546188 \h </w:instrText>
        </w:r>
        <w:r>
          <w:rPr>
            <w:noProof/>
            <w:webHidden/>
          </w:rPr>
        </w:r>
        <w:r>
          <w:rPr>
            <w:noProof/>
            <w:webHidden/>
          </w:rPr>
          <w:fldChar w:fldCharType="separate"/>
        </w:r>
        <w:r w:rsidR="000F066D">
          <w:rPr>
            <w:noProof/>
            <w:webHidden/>
          </w:rPr>
          <w:t>33</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89" w:history="1">
        <w:r w:rsidRPr="00C50158">
          <w:rPr>
            <w:rStyle w:val="Hyperlink"/>
            <w:noProof/>
          </w:rPr>
          <w:t>3.1.1 Goodwill (Jane)</w:t>
        </w:r>
        <w:r>
          <w:rPr>
            <w:noProof/>
            <w:webHidden/>
          </w:rPr>
          <w:tab/>
        </w:r>
        <w:r>
          <w:rPr>
            <w:noProof/>
            <w:webHidden/>
          </w:rPr>
          <w:fldChar w:fldCharType="begin"/>
        </w:r>
        <w:r>
          <w:rPr>
            <w:noProof/>
            <w:webHidden/>
          </w:rPr>
          <w:instrText xml:space="preserve"> PAGEREF _Toc221546189 \h </w:instrText>
        </w:r>
        <w:r>
          <w:rPr>
            <w:noProof/>
            <w:webHidden/>
          </w:rPr>
        </w:r>
        <w:r>
          <w:rPr>
            <w:noProof/>
            <w:webHidden/>
          </w:rPr>
          <w:fldChar w:fldCharType="separate"/>
        </w:r>
        <w:r w:rsidR="000F066D">
          <w:rPr>
            <w:noProof/>
            <w:webHidden/>
          </w:rPr>
          <w:t>34</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190" w:history="1">
        <w:r w:rsidRPr="00C50158">
          <w:rPr>
            <w:rStyle w:val="Hyperlink"/>
            <w:noProof/>
          </w:rPr>
          <w:t>3.1.1.1 Beskatning af fortjeneste ved afståelse af goodwill (Jane)</w:t>
        </w:r>
        <w:r>
          <w:rPr>
            <w:noProof/>
            <w:webHidden/>
          </w:rPr>
          <w:tab/>
        </w:r>
        <w:r>
          <w:rPr>
            <w:noProof/>
            <w:webHidden/>
          </w:rPr>
          <w:fldChar w:fldCharType="begin"/>
        </w:r>
        <w:r>
          <w:rPr>
            <w:noProof/>
            <w:webHidden/>
          </w:rPr>
          <w:instrText xml:space="preserve"> PAGEREF _Toc221546190 \h </w:instrText>
        </w:r>
        <w:r>
          <w:rPr>
            <w:noProof/>
            <w:webHidden/>
          </w:rPr>
        </w:r>
        <w:r>
          <w:rPr>
            <w:noProof/>
            <w:webHidden/>
          </w:rPr>
          <w:fldChar w:fldCharType="separate"/>
        </w:r>
        <w:r w:rsidR="000F066D">
          <w:rPr>
            <w:noProof/>
            <w:webHidden/>
          </w:rPr>
          <w:t>39</w:t>
        </w:r>
        <w:r>
          <w:rPr>
            <w:noProof/>
            <w:webHidden/>
          </w:rPr>
          <w:fldChar w:fldCharType="end"/>
        </w:r>
      </w:hyperlink>
    </w:p>
    <w:p w:rsidR="006911F3" w:rsidRDefault="006911F3">
      <w:pPr>
        <w:pStyle w:val="Indholdsfortegnelse5"/>
        <w:tabs>
          <w:tab w:val="right" w:leader="dot" w:pos="8494"/>
        </w:tabs>
        <w:rPr>
          <w:rFonts w:asciiTheme="minorHAnsi" w:eastAsiaTheme="minorEastAsia" w:hAnsiTheme="minorHAnsi" w:cstheme="minorBidi"/>
          <w:noProof/>
          <w:sz w:val="22"/>
          <w:lang w:eastAsia="da-DK"/>
        </w:rPr>
      </w:pPr>
      <w:hyperlink w:anchor="_Toc221546191" w:history="1">
        <w:r w:rsidRPr="00C50158">
          <w:rPr>
            <w:rStyle w:val="Hyperlink"/>
            <w:noProof/>
          </w:rPr>
          <w:t>3.1.1.1.1 Henstand med skattebetaling (Jane)</w:t>
        </w:r>
        <w:r>
          <w:rPr>
            <w:noProof/>
            <w:webHidden/>
          </w:rPr>
          <w:tab/>
        </w:r>
        <w:r>
          <w:rPr>
            <w:noProof/>
            <w:webHidden/>
          </w:rPr>
          <w:fldChar w:fldCharType="begin"/>
        </w:r>
        <w:r>
          <w:rPr>
            <w:noProof/>
            <w:webHidden/>
          </w:rPr>
          <w:instrText xml:space="preserve"> PAGEREF _Toc221546191 \h </w:instrText>
        </w:r>
        <w:r>
          <w:rPr>
            <w:noProof/>
            <w:webHidden/>
          </w:rPr>
        </w:r>
        <w:r>
          <w:rPr>
            <w:noProof/>
            <w:webHidden/>
          </w:rPr>
          <w:fldChar w:fldCharType="separate"/>
        </w:r>
        <w:r w:rsidR="000F066D">
          <w:rPr>
            <w:noProof/>
            <w:webHidden/>
          </w:rPr>
          <w:t>40</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92" w:history="1">
        <w:r w:rsidRPr="00C50158">
          <w:rPr>
            <w:rStyle w:val="Hyperlink"/>
            <w:noProof/>
          </w:rPr>
          <w:t>3.1.2 Ejendom (Jane)</w:t>
        </w:r>
        <w:r>
          <w:rPr>
            <w:noProof/>
            <w:webHidden/>
          </w:rPr>
          <w:tab/>
        </w:r>
        <w:r>
          <w:rPr>
            <w:noProof/>
            <w:webHidden/>
          </w:rPr>
          <w:fldChar w:fldCharType="begin"/>
        </w:r>
        <w:r>
          <w:rPr>
            <w:noProof/>
            <w:webHidden/>
          </w:rPr>
          <w:instrText xml:space="preserve"> PAGEREF _Toc221546192 \h </w:instrText>
        </w:r>
        <w:r>
          <w:rPr>
            <w:noProof/>
            <w:webHidden/>
          </w:rPr>
        </w:r>
        <w:r>
          <w:rPr>
            <w:noProof/>
            <w:webHidden/>
          </w:rPr>
          <w:fldChar w:fldCharType="separate"/>
        </w:r>
        <w:r w:rsidR="000F066D">
          <w:rPr>
            <w:noProof/>
            <w:webHidden/>
          </w:rPr>
          <w:t>43</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93" w:history="1">
        <w:r w:rsidRPr="00C50158">
          <w:rPr>
            <w:rStyle w:val="Hyperlink"/>
            <w:noProof/>
          </w:rPr>
          <w:t>3.1.3 Driftsmidler (Jane)</w:t>
        </w:r>
        <w:r>
          <w:rPr>
            <w:noProof/>
            <w:webHidden/>
          </w:rPr>
          <w:tab/>
        </w:r>
        <w:r>
          <w:rPr>
            <w:noProof/>
            <w:webHidden/>
          </w:rPr>
          <w:fldChar w:fldCharType="begin"/>
        </w:r>
        <w:r>
          <w:rPr>
            <w:noProof/>
            <w:webHidden/>
          </w:rPr>
          <w:instrText xml:space="preserve"> PAGEREF _Toc221546193 \h </w:instrText>
        </w:r>
        <w:r>
          <w:rPr>
            <w:noProof/>
            <w:webHidden/>
          </w:rPr>
        </w:r>
        <w:r>
          <w:rPr>
            <w:noProof/>
            <w:webHidden/>
          </w:rPr>
          <w:fldChar w:fldCharType="separate"/>
        </w:r>
        <w:r w:rsidR="000F066D">
          <w:rPr>
            <w:noProof/>
            <w:webHidden/>
          </w:rPr>
          <w:t>46</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94" w:history="1">
        <w:r w:rsidRPr="00C50158">
          <w:rPr>
            <w:rStyle w:val="Hyperlink"/>
            <w:noProof/>
          </w:rPr>
          <w:t>3.1.4 Øvrige aktiver og gæld (Jane)</w:t>
        </w:r>
        <w:r>
          <w:rPr>
            <w:noProof/>
            <w:webHidden/>
          </w:rPr>
          <w:tab/>
        </w:r>
        <w:r>
          <w:rPr>
            <w:noProof/>
            <w:webHidden/>
          </w:rPr>
          <w:fldChar w:fldCharType="begin"/>
        </w:r>
        <w:r>
          <w:rPr>
            <w:noProof/>
            <w:webHidden/>
          </w:rPr>
          <w:instrText xml:space="preserve"> PAGEREF _Toc221546194 \h </w:instrText>
        </w:r>
        <w:r>
          <w:rPr>
            <w:noProof/>
            <w:webHidden/>
          </w:rPr>
        </w:r>
        <w:r>
          <w:rPr>
            <w:noProof/>
            <w:webHidden/>
          </w:rPr>
          <w:fldChar w:fldCharType="separate"/>
        </w:r>
        <w:r w:rsidR="000F066D">
          <w:rPr>
            <w:noProof/>
            <w:webHidden/>
          </w:rPr>
          <w:t>47</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95" w:history="1">
        <w:r w:rsidRPr="00C50158">
          <w:rPr>
            <w:rStyle w:val="Hyperlink"/>
            <w:noProof/>
          </w:rPr>
          <w:t>3.1.5 Opsparet overskud (Jane)</w:t>
        </w:r>
        <w:r>
          <w:rPr>
            <w:noProof/>
            <w:webHidden/>
          </w:rPr>
          <w:tab/>
        </w:r>
        <w:r>
          <w:rPr>
            <w:noProof/>
            <w:webHidden/>
          </w:rPr>
          <w:fldChar w:fldCharType="begin"/>
        </w:r>
        <w:r>
          <w:rPr>
            <w:noProof/>
            <w:webHidden/>
          </w:rPr>
          <w:instrText xml:space="preserve"> PAGEREF _Toc221546195 \h </w:instrText>
        </w:r>
        <w:r>
          <w:rPr>
            <w:noProof/>
            <w:webHidden/>
          </w:rPr>
        </w:r>
        <w:r>
          <w:rPr>
            <w:noProof/>
            <w:webHidden/>
          </w:rPr>
          <w:fldChar w:fldCharType="separate"/>
        </w:r>
        <w:r w:rsidR="000F066D">
          <w:rPr>
            <w:noProof/>
            <w:webHidden/>
          </w:rPr>
          <w:t>49</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96" w:history="1">
        <w:r w:rsidRPr="00C50158">
          <w:rPr>
            <w:rStyle w:val="Hyperlink"/>
            <w:noProof/>
          </w:rPr>
          <w:t>3.1.6 Caseregnskab beregning af overdragelse (Jane)</w:t>
        </w:r>
        <w:r>
          <w:rPr>
            <w:noProof/>
            <w:webHidden/>
          </w:rPr>
          <w:tab/>
        </w:r>
        <w:r>
          <w:rPr>
            <w:noProof/>
            <w:webHidden/>
          </w:rPr>
          <w:fldChar w:fldCharType="begin"/>
        </w:r>
        <w:r>
          <w:rPr>
            <w:noProof/>
            <w:webHidden/>
          </w:rPr>
          <w:instrText xml:space="preserve"> PAGEREF _Toc221546196 \h </w:instrText>
        </w:r>
        <w:r>
          <w:rPr>
            <w:noProof/>
            <w:webHidden/>
          </w:rPr>
        </w:r>
        <w:r>
          <w:rPr>
            <w:noProof/>
            <w:webHidden/>
          </w:rPr>
          <w:fldChar w:fldCharType="separate"/>
        </w:r>
        <w:r w:rsidR="000F066D">
          <w:rPr>
            <w:noProof/>
            <w:webHidden/>
          </w:rPr>
          <w:t>50</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197" w:history="1">
        <w:r w:rsidRPr="00C50158">
          <w:rPr>
            <w:rStyle w:val="Hyperlink"/>
            <w:noProof/>
          </w:rPr>
          <w:t>3.1.6.1 Overdragelse ved køb af ideel andel, skattemæssige konsekvenser herved (Jane)</w:t>
        </w:r>
        <w:r>
          <w:rPr>
            <w:noProof/>
            <w:webHidden/>
          </w:rPr>
          <w:tab/>
        </w:r>
        <w:r>
          <w:rPr>
            <w:noProof/>
            <w:webHidden/>
          </w:rPr>
          <w:fldChar w:fldCharType="begin"/>
        </w:r>
        <w:r>
          <w:rPr>
            <w:noProof/>
            <w:webHidden/>
          </w:rPr>
          <w:instrText xml:space="preserve"> PAGEREF _Toc221546197 \h </w:instrText>
        </w:r>
        <w:r>
          <w:rPr>
            <w:noProof/>
            <w:webHidden/>
          </w:rPr>
        </w:r>
        <w:r>
          <w:rPr>
            <w:noProof/>
            <w:webHidden/>
          </w:rPr>
          <w:fldChar w:fldCharType="separate"/>
        </w:r>
        <w:r w:rsidR="000F066D">
          <w:rPr>
            <w:noProof/>
            <w:webHidden/>
          </w:rPr>
          <w:t>50</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198" w:history="1">
        <w:r w:rsidRPr="00C50158">
          <w:rPr>
            <w:rStyle w:val="Hyperlink"/>
            <w:noProof/>
          </w:rPr>
          <w:t>3.1.6.2 Overdragelse ved optagelse af en interessent (Jane)</w:t>
        </w:r>
        <w:r>
          <w:rPr>
            <w:noProof/>
            <w:webHidden/>
          </w:rPr>
          <w:tab/>
        </w:r>
        <w:r>
          <w:rPr>
            <w:noProof/>
            <w:webHidden/>
          </w:rPr>
          <w:fldChar w:fldCharType="begin"/>
        </w:r>
        <w:r>
          <w:rPr>
            <w:noProof/>
            <w:webHidden/>
          </w:rPr>
          <w:instrText xml:space="preserve"> PAGEREF _Toc221546198 \h </w:instrText>
        </w:r>
        <w:r>
          <w:rPr>
            <w:noProof/>
            <w:webHidden/>
          </w:rPr>
        </w:r>
        <w:r>
          <w:rPr>
            <w:noProof/>
            <w:webHidden/>
          </w:rPr>
          <w:fldChar w:fldCharType="separate"/>
        </w:r>
        <w:r w:rsidR="000F066D">
          <w:rPr>
            <w:noProof/>
            <w:webHidden/>
          </w:rPr>
          <w:t>54</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199" w:history="1">
        <w:r w:rsidRPr="00C50158">
          <w:rPr>
            <w:rStyle w:val="Hyperlink"/>
            <w:noProof/>
          </w:rPr>
          <w:t>3.1.7 Fordele ved en beskattet overdragelse. (Jane)</w:t>
        </w:r>
        <w:r>
          <w:rPr>
            <w:noProof/>
            <w:webHidden/>
          </w:rPr>
          <w:tab/>
        </w:r>
        <w:r>
          <w:rPr>
            <w:noProof/>
            <w:webHidden/>
          </w:rPr>
          <w:fldChar w:fldCharType="begin"/>
        </w:r>
        <w:r>
          <w:rPr>
            <w:noProof/>
            <w:webHidden/>
          </w:rPr>
          <w:instrText xml:space="preserve"> PAGEREF _Toc221546199 \h </w:instrText>
        </w:r>
        <w:r>
          <w:rPr>
            <w:noProof/>
            <w:webHidden/>
          </w:rPr>
        </w:r>
        <w:r>
          <w:rPr>
            <w:noProof/>
            <w:webHidden/>
          </w:rPr>
          <w:fldChar w:fldCharType="separate"/>
        </w:r>
        <w:r w:rsidR="000F066D">
          <w:rPr>
            <w:noProof/>
            <w:webHidden/>
          </w:rPr>
          <w:t>59</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00" w:history="1">
        <w:r w:rsidRPr="00C50158">
          <w:rPr>
            <w:rStyle w:val="Hyperlink"/>
            <w:noProof/>
          </w:rPr>
          <w:t>3.1.8 Indskud på pensionsordninger (Jane)</w:t>
        </w:r>
        <w:r>
          <w:rPr>
            <w:noProof/>
            <w:webHidden/>
          </w:rPr>
          <w:tab/>
        </w:r>
        <w:r>
          <w:rPr>
            <w:noProof/>
            <w:webHidden/>
          </w:rPr>
          <w:fldChar w:fldCharType="begin"/>
        </w:r>
        <w:r>
          <w:rPr>
            <w:noProof/>
            <w:webHidden/>
          </w:rPr>
          <w:instrText xml:space="preserve"> PAGEREF _Toc221546200 \h </w:instrText>
        </w:r>
        <w:r>
          <w:rPr>
            <w:noProof/>
            <w:webHidden/>
          </w:rPr>
        </w:r>
        <w:r>
          <w:rPr>
            <w:noProof/>
            <w:webHidden/>
          </w:rPr>
          <w:fldChar w:fldCharType="separate"/>
        </w:r>
        <w:r w:rsidR="000F066D">
          <w:rPr>
            <w:noProof/>
            <w:webHidden/>
          </w:rPr>
          <w:t>60</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01" w:history="1">
        <w:r w:rsidRPr="00C50158">
          <w:rPr>
            <w:rStyle w:val="Hyperlink"/>
            <w:noProof/>
          </w:rPr>
          <w:t>3.1.8.1 Ophørspension (Jane)</w:t>
        </w:r>
        <w:r>
          <w:rPr>
            <w:noProof/>
            <w:webHidden/>
          </w:rPr>
          <w:tab/>
        </w:r>
        <w:r>
          <w:rPr>
            <w:noProof/>
            <w:webHidden/>
          </w:rPr>
          <w:fldChar w:fldCharType="begin"/>
        </w:r>
        <w:r>
          <w:rPr>
            <w:noProof/>
            <w:webHidden/>
          </w:rPr>
          <w:instrText xml:space="preserve"> PAGEREF _Toc221546201 \h </w:instrText>
        </w:r>
        <w:r>
          <w:rPr>
            <w:noProof/>
            <w:webHidden/>
          </w:rPr>
        </w:r>
        <w:r>
          <w:rPr>
            <w:noProof/>
            <w:webHidden/>
          </w:rPr>
          <w:fldChar w:fldCharType="separate"/>
        </w:r>
        <w:r w:rsidR="000F066D">
          <w:rPr>
            <w:noProof/>
            <w:webHidden/>
          </w:rPr>
          <w:t>61</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02" w:history="1">
        <w:r w:rsidRPr="00C50158">
          <w:rPr>
            <w:rStyle w:val="Hyperlink"/>
            <w:noProof/>
          </w:rPr>
          <w:t>3.1.9 Caseregnskab indskud på pensionsordninger ved beskattet overdragelse (Jane)</w:t>
        </w:r>
        <w:r>
          <w:rPr>
            <w:noProof/>
            <w:webHidden/>
          </w:rPr>
          <w:tab/>
        </w:r>
        <w:r>
          <w:rPr>
            <w:noProof/>
            <w:webHidden/>
          </w:rPr>
          <w:fldChar w:fldCharType="begin"/>
        </w:r>
        <w:r>
          <w:rPr>
            <w:noProof/>
            <w:webHidden/>
          </w:rPr>
          <w:instrText xml:space="preserve"> PAGEREF _Toc221546202 \h </w:instrText>
        </w:r>
        <w:r>
          <w:rPr>
            <w:noProof/>
            <w:webHidden/>
          </w:rPr>
        </w:r>
        <w:r>
          <w:rPr>
            <w:noProof/>
            <w:webHidden/>
          </w:rPr>
          <w:fldChar w:fldCharType="separate"/>
        </w:r>
        <w:r w:rsidR="000F066D">
          <w:rPr>
            <w:noProof/>
            <w:webHidden/>
          </w:rPr>
          <w:t>62</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03" w:history="1">
        <w:r w:rsidRPr="00C50158">
          <w:rPr>
            <w:rStyle w:val="Hyperlink"/>
            <w:noProof/>
          </w:rPr>
          <w:t>3.1.10 Indskud på etableringskonto eller iværksætterkonto (Jane)</w:t>
        </w:r>
        <w:r>
          <w:rPr>
            <w:noProof/>
            <w:webHidden/>
          </w:rPr>
          <w:tab/>
        </w:r>
        <w:r>
          <w:rPr>
            <w:noProof/>
            <w:webHidden/>
          </w:rPr>
          <w:fldChar w:fldCharType="begin"/>
        </w:r>
        <w:r>
          <w:rPr>
            <w:noProof/>
            <w:webHidden/>
          </w:rPr>
          <w:instrText xml:space="preserve"> PAGEREF _Toc221546203 \h </w:instrText>
        </w:r>
        <w:r>
          <w:rPr>
            <w:noProof/>
            <w:webHidden/>
          </w:rPr>
        </w:r>
        <w:r>
          <w:rPr>
            <w:noProof/>
            <w:webHidden/>
          </w:rPr>
          <w:fldChar w:fldCharType="separate"/>
        </w:r>
        <w:r w:rsidR="000F066D">
          <w:rPr>
            <w:noProof/>
            <w:webHidden/>
          </w:rPr>
          <w:t>64</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04" w:history="1">
        <w:r w:rsidRPr="00C50158">
          <w:rPr>
            <w:rStyle w:val="Hyperlink"/>
            <w:noProof/>
          </w:rPr>
          <w:t>3.1.11 Erhververens stilling ved beskattet overdragelse (Jane)</w:t>
        </w:r>
        <w:r>
          <w:rPr>
            <w:noProof/>
            <w:webHidden/>
          </w:rPr>
          <w:tab/>
        </w:r>
        <w:r>
          <w:rPr>
            <w:noProof/>
            <w:webHidden/>
          </w:rPr>
          <w:fldChar w:fldCharType="begin"/>
        </w:r>
        <w:r>
          <w:rPr>
            <w:noProof/>
            <w:webHidden/>
          </w:rPr>
          <w:instrText xml:space="preserve"> PAGEREF _Toc221546204 \h </w:instrText>
        </w:r>
        <w:r>
          <w:rPr>
            <w:noProof/>
            <w:webHidden/>
          </w:rPr>
        </w:r>
        <w:r>
          <w:rPr>
            <w:noProof/>
            <w:webHidden/>
          </w:rPr>
          <w:fldChar w:fldCharType="separate"/>
        </w:r>
        <w:r w:rsidR="000F066D">
          <w:rPr>
            <w:noProof/>
            <w:webHidden/>
          </w:rPr>
          <w:t>66</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05" w:history="1">
        <w:r w:rsidRPr="00C50158">
          <w:rPr>
            <w:rStyle w:val="Hyperlink"/>
            <w:noProof/>
          </w:rPr>
          <w:t>3.1.12 Beskattet overdragelse – opsummering (Jane)</w:t>
        </w:r>
        <w:r>
          <w:rPr>
            <w:noProof/>
            <w:webHidden/>
          </w:rPr>
          <w:tab/>
        </w:r>
        <w:r>
          <w:rPr>
            <w:noProof/>
            <w:webHidden/>
          </w:rPr>
          <w:fldChar w:fldCharType="begin"/>
        </w:r>
        <w:r>
          <w:rPr>
            <w:noProof/>
            <w:webHidden/>
          </w:rPr>
          <w:instrText xml:space="preserve"> PAGEREF _Toc221546205 \h </w:instrText>
        </w:r>
        <w:r>
          <w:rPr>
            <w:noProof/>
            <w:webHidden/>
          </w:rPr>
        </w:r>
        <w:r>
          <w:rPr>
            <w:noProof/>
            <w:webHidden/>
          </w:rPr>
          <w:fldChar w:fldCharType="separate"/>
        </w:r>
        <w:r w:rsidR="000F066D">
          <w:rPr>
            <w:noProof/>
            <w:webHidden/>
          </w:rPr>
          <w:t>67</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06" w:history="1">
        <w:r w:rsidRPr="00C50158">
          <w:rPr>
            <w:rStyle w:val="Hyperlink"/>
            <w:noProof/>
          </w:rPr>
          <w:t>3.2 Succession med nærtstående efter reglerne i KSL (Jane)</w:t>
        </w:r>
        <w:r>
          <w:rPr>
            <w:noProof/>
            <w:webHidden/>
          </w:rPr>
          <w:tab/>
        </w:r>
        <w:r>
          <w:rPr>
            <w:noProof/>
            <w:webHidden/>
          </w:rPr>
          <w:fldChar w:fldCharType="begin"/>
        </w:r>
        <w:r>
          <w:rPr>
            <w:noProof/>
            <w:webHidden/>
          </w:rPr>
          <w:instrText xml:space="preserve"> PAGEREF _Toc221546206 \h </w:instrText>
        </w:r>
        <w:r>
          <w:rPr>
            <w:noProof/>
            <w:webHidden/>
          </w:rPr>
        </w:r>
        <w:r>
          <w:rPr>
            <w:noProof/>
            <w:webHidden/>
          </w:rPr>
          <w:fldChar w:fldCharType="separate"/>
        </w:r>
        <w:r w:rsidR="000F066D">
          <w:rPr>
            <w:noProof/>
            <w:webHidden/>
          </w:rPr>
          <w:t>67</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07" w:history="1">
        <w:r w:rsidRPr="00C50158">
          <w:rPr>
            <w:rStyle w:val="Hyperlink"/>
            <w:noProof/>
          </w:rPr>
          <w:t>3.2.1 Gaveafgiftsberegning og passivpost (Jane)</w:t>
        </w:r>
        <w:r>
          <w:rPr>
            <w:noProof/>
            <w:webHidden/>
          </w:rPr>
          <w:tab/>
        </w:r>
        <w:r>
          <w:rPr>
            <w:noProof/>
            <w:webHidden/>
          </w:rPr>
          <w:fldChar w:fldCharType="begin"/>
        </w:r>
        <w:r>
          <w:rPr>
            <w:noProof/>
            <w:webHidden/>
          </w:rPr>
          <w:instrText xml:space="preserve"> PAGEREF _Toc221546207 \h </w:instrText>
        </w:r>
        <w:r>
          <w:rPr>
            <w:noProof/>
            <w:webHidden/>
          </w:rPr>
        </w:r>
        <w:r>
          <w:rPr>
            <w:noProof/>
            <w:webHidden/>
          </w:rPr>
          <w:fldChar w:fldCharType="separate"/>
        </w:r>
        <w:r w:rsidR="000F066D">
          <w:rPr>
            <w:noProof/>
            <w:webHidden/>
          </w:rPr>
          <w:t>71</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08" w:history="1">
        <w:r w:rsidRPr="00C50158">
          <w:rPr>
            <w:rStyle w:val="Hyperlink"/>
            <w:noProof/>
          </w:rPr>
          <w:t>3.2.2 Caseregnskab overdragelse med succession (Jane)</w:t>
        </w:r>
        <w:r>
          <w:rPr>
            <w:noProof/>
            <w:webHidden/>
          </w:rPr>
          <w:tab/>
        </w:r>
        <w:r>
          <w:rPr>
            <w:noProof/>
            <w:webHidden/>
          </w:rPr>
          <w:fldChar w:fldCharType="begin"/>
        </w:r>
        <w:r>
          <w:rPr>
            <w:noProof/>
            <w:webHidden/>
          </w:rPr>
          <w:instrText xml:space="preserve"> PAGEREF _Toc221546208 \h </w:instrText>
        </w:r>
        <w:r>
          <w:rPr>
            <w:noProof/>
            <w:webHidden/>
          </w:rPr>
        </w:r>
        <w:r>
          <w:rPr>
            <w:noProof/>
            <w:webHidden/>
          </w:rPr>
          <w:fldChar w:fldCharType="separate"/>
        </w:r>
        <w:r w:rsidR="000F066D">
          <w:rPr>
            <w:noProof/>
            <w:webHidden/>
          </w:rPr>
          <w:t>74</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09" w:history="1">
        <w:r w:rsidRPr="00C50158">
          <w:rPr>
            <w:rStyle w:val="Hyperlink"/>
            <w:noProof/>
          </w:rPr>
          <w:t>3.2.2.1 Andre forhold (Jane)</w:t>
        </w:r>
        <w:r>
          <w:rPr>
            <w:noProof/>
            <w:webHidden/>
          </w:rPr>
          <w:tab/>
        </w:r>
        <w:r>
          <w:rPr>
            <w:noProof/>
            <w:webHidden/>
          </w:rPr>
          <w:fldChar w:fldCharType="begin"/>
        </w:r>
        <w:r>
          <w:rPr>
            <w:noProof/>
            <w:webHidden/>
          </w:rPr>
          <w:instrText xml:space="preserve"> PAGEREF _Toc221546209 \h </w:instrText>
        </w:r>
        <w:r>
          <w:rPr>
            <w:noProof/>
            <w:webHidden/>
          </w:rPr>
        </w:r>
        <w:r>
          <w:rPr>
            <w:noProof/>
            <w:webHidden/>
          </w:rPr>
          <w:fldChar w:fldCharType="separate"/>
        </w:r>
        <w:r w:rsidR="000F066D">
          <w:rPr>
            <w:noProof/>
            <w:webHidden/>
          </w:rPr>
          <w:t>77</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10" w:history="1">
        <w:r w:rsidRPr="00C50158">
          <w:rPr>
            <w:rStyle w:val="Hyperlink"/>
            <w:noProof/>
          </w:rPr>
          <w:t>3.2.3 Overdragelse med succession – opsummering (Jane)</w:t>
        </w:r>
        <w:r>
          <w:rPr>
            <w:noProof/>
            <w:webHidden/>
          </w:rPr>
          <w:tab/>
        </w:r>
        <w:r>
          <w:rPr>
            <w:noProof/>
            <w:webHidden/>
          </w:rPr>
          <w:fldChar w:fldCharType="begin"/>
        </w:r>
        <w:r>
          <w:rPr>
            <w:noProof/>
            <w:webHidden/>
          </w:rPr>
          <w:instrText xml:space="preserve"> PAGEREF _Toc221546210 \h </w:instrText>
        </w:r>
        <w:r>
          <w:rPr>
            <w:noProof/>
            <w:webHidden/>
          </w:rPr>
        </w:r>
        <w:r>
          <w:rPr>
            <w:noProof/>
            <w:webHidden/>
          </w:rPr>
          <w:fldChar w:fldCharType="separate"/>
        </w:r>
        <w:r w:rsidR="000F066D">
          <w:rPr>
            <w:noProof/>
            <w:webHidden/>
          </w:rPr>
          <w:t>77</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11" w:history="1">
        <w:r w:rsidRPr="00C50158">
          <w:rPr>
            <w:rStyle w:val="Hyperlink"/>
            <w:noProof/>
          </w:rPr>
          <w:t>3.3 Delkonklusion på beskattet / overdragelse med succession (Jane)</w:t>
        </w:r>
        <w:r>
          <w:rPr>
            <w:noProof/>
            <w:webHidden/>
          </w:rPr>
          <w:tab/>
        </w:r>
        <w:r>
          <w:rPr>
            <w:noProof/>
            <w:webHidden/>
          </w:rPr>
          <w:fldChar w:fldCharType="begin"/>
        </w:r>
        <w:r>
          <w:rPr>
            <w:noProof/>
            <w:webHidden/>
          </w:rPr>
          <w:instrText xml:space="preserve"> PAGEREF _Toc221546211 \h </w:instrText>
        </w:r>
        <w:r>
          <w:rPr>
            <w:noProof/>
            <w:webHidden/>
          </w:rPr>
        </w:r>
        <w:r>
          <w:rPr>
            <w:noProof/>
            <w:webHidden/>
          </w:rPr>
          <w:fldChar w:fldCharType="separate"/>
        </w:r>
        <w:r w:rsidR="000F066D">
          <w:rPr>
            <w:noProof/>
            <w:webHidden/>
          </w:rPr>
          <w:t>78</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12" w:history="1">
        <w:r w:rsidRPr="00C50158">
          <w:rPr>
            <w:rStyle w:val="Hyperlink"/>
            <w:noProof/>
          </w:rPr>
          <w:t>4. Generationsskifte i selskabsform (Pernille)</w:t>
        </w:r>
        <w:r>
          <w:rPr>
            <w:noProof/>
            <w:webHidden/>
          </w:rPr>
          <w:tab/>
        </w:r>
        <w:r>
          <w:rPr>
            <w:noProof/>
            <w:webHidden/>
          </w:rPr>
          <w:fldChar w:fldCharType="begin"/>
        </w:r>
        <w:r>
          <w:rPr>
            <w:noProof/>
            <w:webHidden/>
          </w:rPr>
          <w:instrText xml:space="preserve"> PAGEREF _Toc221546212 \h </w:instrText>
        </w:r>
        <w:r>
          <w:rPr>
            <w:noProof/>
            <w:webHidden/>
          </w:rPr>
        </w:r>
        <w:r>
          <w:rPr>
            <w:noProof/>
            <w:webHidden/>
          </w:rPr>
          <w:fldChar w:fldCharType="separate"/>
        </w:r>
        <w:r w:rsidR="000F066D">
          <w:rPr>
            <w:noProof/>
            <w:webHidden/>
          </w:rPr>
          <w:t>80</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13" w:history="1">
        <w:r w:rsidRPr="00C50158">
          <w:rPr>
            <w:rStyle w:val="Hyperlink"/>
            <w:noProof/>
          </w:rPr>
          <w:t>4.1 Virksomhedsomdannelse (Pernille)</w:t>
        </w:r>
        <w:r>
          <w:rPr>
            <w:noProof/>
            <w:webHidden/>
          </w:rPr>
          <w:tab/>
        </w:r>
        <w:r>
          <w:rPr>
            <w:noProof/>
            <w:webHidden/>
          </w:rPr>
          <w:fldChar w:fldCharType="begin"/>
        </w:r>
        <w:r>
          <w:rPr>
            <w:noProof/>
            <w:webHidden/>
          </w:rPr>
          <w:instrText xml:space="preserve"> PAGEREF _Toc221546213 \h </w:instrText>
        </w:r>
        <w:r>
          <w:rPr>
            <w:noProof/>
            <w:webHidden/>
          </w:rPr>
        </w:r>
        <w:r>
          <w:rPr>
            <w:noProof/>
            <w:webHidden/>
          </w:rPr>
          <w:fldChar w:fldCharType="separate"/>
        </w:r>
        <w:r w:rsidR="000F066D">
          <w:rPr>
            <w:noProof/>
            <w:webHidden/>
          </w:rPr>
          <w:t>80</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14" w:history="1">
        <w:r w:rsidRPr="00C50158">
          <w:rPr>
            <w:rStyle w:val="Hyperlink"/>
            <w:noProof/>
          </w:rPr>
          <w:t>4.1.1 Skattepligtig virksomhedsomdannelse (Pernille)</w:t>
        </w:r>
        <w:r>
          <w:rPr>
            <w:noProof/>
            <w:webHidden/>
          </w:rPr>
          <w:tab/>
        </w:r>
        <w:r>
          <w:rPr>
            <w:noProof/>
            <w:webHidden/>
          </w:rPr>
          <w:fldChar w:fldCharType="begin"/>
        </w:r>
        <w:r>
          <w:rPr>
            <w:noProof/>
            <w:webHidden/>
          </w:rPr>
          <w:instrText xml:space="preserve"> PAGEREF _Toc221546214 \h </w:instrText>
        </w:r>
        <w:r>
          <w:rPr>
            <w:noProof/>
            <w:webHidden/>
          </w:rPr>
        </w:r>
        <w:r>
          <w:rPr>
            <w:noProof/>
            <w:webHidden/>
          </w:rPr>
          <w:fldChar w:fldCharType="separate"/>
        </w:r>
        <w:r w:rsidR="000F066D">
          <w:rPr>
            <w:noProof/>
            <w:webHidden/>
          </w:rPr>
          <w:t>80</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15" w:history="1">
        <w:r w:rsidRPr="00C50158">
          <w:rPr>
            <w:rStyle w:val="Hyperlink"/>
            <w:noProof/>
          </w:rPr>
          <w:t>4.1.2 Skattefri virksomhedsomdannelse (Pernille)</w:t>
        </w:r>
        <w:r>
          <w:rPr>
            <w:noProof/>
            <w:webHidden/>
          </w:rPr>
          <w:tab/>
        </w:r>
        <w:r>
          <w:rPr>
            <w:noProof/>
            <w:webHidden/>
          </w:rPr>
          <w:fldChar w:fldCharType="begin"/>
        </w:r>
        <w:r>
          <w:rPr>
            <w:noProof/>
            <w:webHidden/>
          </w:rPr>
          <w:instrText xml:space="preserve"> PAGEREF _Toc221546215 \h </w:instrText>
        </w:r>
        <w:r>
          <w:rPr>
            <w:noProof/>
            <w:webHidden/>
          </w:rPr>
        </w:r>
        <w:r>
          <w:rPr>
            <w:noProof/>
            <w:webHidden/>
          </w:rPr>
          <w:fldChar w:fldCharType="separate"/>
        </w:r>
        <w:r w:rsidR="000F066D">
          <w:rPr>
            <w:noProof/>
            <w:webHidden/>
          </w:rPr>
          <w:t>83</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16" w:history="1">
        <w:r w:rsidRPr="00C50158">
          <w:rPr>
            <w:rStyle w:val="Hyperlink"/>
            <w:noProof/>
          </w:rPr>
          <w:t>4.1.2.1 Krav til ejeren og selskabet (Pernille)</w:t>
        </w:r>
        <w:r>
          <w:rPr>
            <w:noProof/>
            <w:webHidden/>
          </w:rPr>
          <w:tab/>
        </w:r>
        <w:r>
          <w:rPr>
            <w:noProof/>
            <w:webHidden/>
          </w:rPr>
          <w:fldChar w:fldCharType="begin"/>
        </w:r>
        <w:r>
          <w:rPr>
            <w:noProof/>
            <w:webHidden/>
          </w:rPr>
          <w:instrText xml:space="preserve"> PAGEREF _Toc221546216 \h </w:instrText>
        </w:r>
        <w:r>
          <w:rPr>
            <w:noProof/>
            <w:webHidden/>
          </w:rPr>
        </w:r>
        <w:r>
          <w:rPr>
            <w:noProof/>
            <w:webHidden/>
          </w:rPr>
          <w:fldChar w:fldCharType="separate"/>
        </w:r>
        <w:r w:rsidR="000F066D">
          <w:rPr>
            <w:noProof/>
            <w:webHidden/>
          </w:rPr>
          <w:t>84</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17" w:history="1">
        <w:r w:rsidRPr="00C50158">
          <w:rPr>
            <w:rStyle w:val="Hyperlink"/>
            <w:noProof/>
          </w:rPr>
          <w:t>4.1.2.2 Krav til virksomheden (Pernille)</w:t>
        </w:r>
        <w:r>
          <w:rPr>
            <w:noProof/>
            <w:webHidden/>
          </w:rPr>
          <w:tab/>
        </w:r>
        <w:r>
          <w:rPr>
            <w:noProof/>
            <w:webHidden/>
          </w:rPr>
          <w:fldChar w:fldCharType="begin"/>
        </w:r>
        <w:r>
          <w:rPr>
            <w:noProof/>
            <w:webHidden/>
          </w:rPr>
          <w:instrText xml:space="preserve"> PAGEREF _Toc221546217 \h </w:instrText>
        </w:r>
        <w:r>
          <w:rPr>
            <w:noProof/>
            <w:webHidden/>
          </w:rPr>
        </w:r>
        <w:r>
          <w:rPr>
            <w:noProof/>
            <w:webHidden/>
          </w:rPr>
          <w:fldChar w:fldCharType="separate"/>
        </w:r>
        <w:r w:rsidR="000F066D">
          <w:rPr>
            <w:noProof/>
            <w:webHidden/>
          </w:rPr>
          <w:t>84</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18" w:history="1">
        <w:r w:rsidRPr="00C50158">
          <w:rPr>
            <w:rStyle w:val="Hyperlink"/>
            <w:noProof/>
          </w:rPr>
          <w:t>4.1.2.3 Krav til omdannelsesvederlaget (Pernille)</w:t>
        </w:r>
        <w:r>
          <w:rPr>
            <w:noProof/>
            <w:webHidden/>
          </w:rPr>
          <w:tab/>
        </w:r>
        <w:r>
          <w:rPr>
            <w:noProof/>
            <w:webHidden/>
          </w:rPr>
          <w:fldChar w:fldCharType="begin"/>
        </w:r>
        <w:r>
          <w:rPr>
            <w:noProof/>
            <w:webHidden/>
          </w:rPr>
          <w:instrText xml:space="preserve"> PAGEREF _Toc221546218 \h </w:instrText>
        </w:r>
        <w:r>
          <w:rPr>
            <w:noProof/>
            <w:webHidden/>
          </w:rPr>
        </w:r>
        <w:r>
          <w:rPr>
            <w:noProof/>
            <w:webHidden/>
          </w:rPr>
          <w:fldChar w:fldCharType="separate"/>
        </w:r>
        <w:r w:rsidR="000F066D">
          <w:rPr>
            <w:noProof/>
            <w:webHidden/>
          </w:rPr>
          <w:t>88</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19" w:history="1">
        <w:r w:rsidRPr="00C50158">
          <w:rPr>
            <w:rStyle w:val="Hyperlink"/>
            <w:noProof/>
          </w:rPr>
          <w:t>4.1.2.4 Krav til den formelle gennemførelse af omdannelsen (Pernille)</w:t>
        </w:r>
        <w:r>
          <w:rPr>
            <w:noProof/>
            <w:webHidden/>
          </w:rPr>
          <w:tab/>
        </w:r>
        <w:r>
          <w:rPr>
            <w:noProof/>
            <w:webHidden/>
          </w:rPr>
          <w:fldChar w:fldCharType="begin"/>
        </w:r>
        <w:r>
          <w:rPr>
            <w:noProof/>
            <w:webHidden/>
          </w:rPr>
          <w:instrText xml:space="preserve"> PAGEREF _Toc221546219 \h </w:instrText>
        </w:r>
        <w:r>
          <w:rPr>
            <w:noProof/>
            <w:webHidden/>
          </w:rPr>
        </w:r>
        <w:r>
          <w:rPr>
            <w:noProof/>
            <w:webHidden/>
          </w:rPr>
          <w:fldChar w:fldCharType="separate"/>
        </w:r>
        <w:r w:rsidR="000F066D">
          <w:rPr>
            <w:noProof/>
            <w:webHidden/>
          </w:rPr>
          <w:t>89</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20" w:history="1">
        <w:r w:rsidRPr="00C50158">
          <w:rPr>
            <w:rStyle w:val="Hyperlink"/>
            <w:noProof/>
          </w:rPr>
          <w:t>4.1.2.5 Specielle krav til interessentskaber og andre virksomheder med flere ejere (Pernille)</w:t>
        </w:r>
        <w:r>
          <w:rPr>
            <w:noProof/>
            <w:webHidden/>
          </w:rPr>
          <w:tab/>
        </w:r>
        <w:r>
          <w:rPr>
            <w:noProof/>
            <w:webHidden/>
          </w:rPr>
          <w:fldChar w:fldCharType="begin"/>
        </w:r>
        <w:r>
          <w:rPr>
            <w:noProof/>
            <w:webHidden/>
          </w:rPr>
          <w:instrText xml:space="preserve"> PAGEREF _Toc221546220 \h </w:instrText>
        </w:r>
        <w:r>
          <w:rPr>
            <w:noProof/>
            <w:webHidden/>
          </w:rPr>
        </w:r>
        <w:r>
          <w:rPr>
            <w:noProof/>
            <w:webHidden/>
          </w:rPr>
          <w:fldChar w:fldCharType="separate"/>
        </w:r>
        <w:r w:rsidR="000F066D">
          <w:rPr>
            <w:noProof/>
            <w:webHidden/>
          </w:rPr>
          <w:t>89</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21" w:history="1">
        <w:r w:rsidRPr="00C50158">
          <w:rPr>
            <w:rStyle w:val="Hyperlink"/>
            <w:noProof/>
          </w:rPr>
          <w:t>4.1.3 Caseregnskab omdannelse af virksomhed (Pernille)</w:t>
        </w:r>
        <w:r>
          <w:rPr>
            <w:noProof/>
            <w:webHidden/>
          </w:rPr>
          <w:tab/>
        </w:r>
        <w:r>
          <w:rPr>
            <w:noProof/>
            <w:webHidden/>
          </w:rPr>
          <w:fldChar w:fldCharType="begin"/>
        </w:r>
        <w:r>
          <w:rPr>
            <w:noProof/>
            <w:webHidden/>
          </w:rPr>
          <w:instrText xml:space="preserve"> PAGEREF _Toc221546221 \h </w:instrText>
        </w:r>
        <w:r>
          <w:rPr>
            <w:noProof/>
            <w:webHidden/>
          </w:rPr>
        </w:r>
        <w:r>
          <w:rPr>
            <w:noProof/>
            <w:webHidden/>
          </w:rPr>
          <w:fldChar w:fldCharType="separate"/>
        </w:r>
        <w:r w:rsidR="000F066D">
          <w:rPr>
            <w:noProof/>
            <w:webHidden/>
          </w:rPr>
          <w:t>90</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22" w:history="1">
        <w:r w:rsidRPr="00C50158">
          <w:rPr>
            <w:rStyle w:val="Hyperlink"/>
            <w:noProof/>
          </w:rPr>
          <w:t>4.1.4 Sammenligning af skattepligtig og skattefri virksomhedsomdannelse (Pernille)</w:t>
        </w:r>
        <w:r>
          <w:rPr>
            <w:noProof/>
            <w:webHidden/>
          </w:rPr>
          <w:tab/>
        </w:r>
        <w:r>
          <w:rPr>
            <w:noProof/>
            <w:webHidden/>
          </w:rPr>
          <w:fldChar w:fldCharType="begin"/>
        </w:r>
        <w:r>
          <w:rPr>
            <w:noProof/>
            <w:webHidden/>
          </w:rPr>
          <w:instrText xml:space="preserve"> PAGEREF _Toc221546222 \h </w:instrText>
        </w:r>
        <w:r>
          <w:rPr>
            <w:noProof/>
            <w:webHidden/>
          </w:rPr>
        </w:r>
        <w:r>
          <w:rPr>
            <w:noProof/>
            <w:webHidden/>
          </w:rPr>
          <w:fldChar w:fldCharType="separate"/>
        </w:r>
        <w:r w:rsidR="000F066D">
          <w:rPr>
            <w:noProof/>
            <w:webHidden/>
          </w:rPr>
          <w:t>93</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23" w:history="1">
        <w:r w:rsidRPr="00C50158">
          <w:rPr>
            <w:rStyle w:val="Hyperlink"/>
            <w:noProof/>
          </w:rPr>
          <w:t>4.2 Overdragelse af selskab ved succession (Pernille)</w:t>
        </w:r>
        <w:r>
          <w:rPr>
            <w:noProof/>
            <w:webHidden/>
          </w:rPr>
          <w:tab/>
        </w:r>
        <w:r>
          <w:rPr>
            <w:noProof/>
            <w:webHidden/>
          </w:rPr>
          <w:fldChar w:fldCharType="begin"/>
        </w:r>
        <w:r>
          <w:rPr>
            <w:noProof/>
            <w:webHidden/>
          </w:rPr>
          <w:instrText xml:space="preserve"> PAGEREF _Toc221546223 \h </w:instrText>
        </w:r>
        <w:r>
          <w:rPr>
            <w:noProof/>
            <w:webHidden/>
          </w:rPr>
        </w:r>
        <w:r>
          <w:rPr>
            <w:noProof/>
            <w:webHidden/>
          </w:rPr>
          <w:fldChar w:fldCharType="separate"/>
        </w:r>
        <w:r w:rsidR="000F066D">
          <w:rPr>
            <w:noProof/>
            <w:webHidden/>
          </w:rPr>
          <w:t>94</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24" w:history="1">
        <w:r w:rsidRPr="00C50158">
          <w:rPr>
            <w:rStyle w:val="Hyperlink"/>
            <w:noProof/>
          </w:rPr>
          <w:t>4.2.1 Krav for at benytte successionsreglerne (Pernille)</w:t>
        </w:r>
        <w:r>
          <w:rPr>
            <w:noProof/>
            <w:webHidden/>
          </w:rPr>
          <w:tab/>
        </w:r>
        <w:r>
          <w:rPr>
            <w:noProof/>
            <w:webHidden/>
          </w:rPr>
          <w:fldChar w:fldCharType="begin"/>
        </w:r>
        <w:r>
          <w:rPr>
            <w:noProof/>
            <w:webHidden/>
          </w:rPr>
          <w:instrText xml:space="preserve"> PAGEREF _Toc221546224 \h </w:instrText>
        </w:r>
        <w:r>
          <w:rPr>
            <w:noProof/>
            <w:webHidden/>
          </w:rPr>
        </w:r>
        <w:r>
          <w:rPr>
            <w:noProof/>
            <w:webHidden/>
          </w:rPr>
          <w:fldChar w:fldCharType="separate"/>
        </w:r>
        <w:r w:rsidR="000F066D">
          <w:rPr>
            <w:noProof/>
            <w:webHidden/>
          </w:rPr>
          <w:t>95</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25" w:history="1">
        <w:r w:rsidRPr="00C50158">
          <w:rPr>
            <w:rStyle w:val="Hyperlink"/>
            <w:noProof/>
          </w:rPr>
          <w:t>4.2.2 Konsekvens for overdrageren og erhververen (Pernille)</w:t>
        </w:r>
        <w:r>
          <w:rPr>
            <w:noProof/>
            <w:webHidden/>
          </w:rPr>
          <w:tab/>
        </w:r>
        <w:r>
          <w:rPr>
            <w:noProof/>
            <w:webHidden/>
          </w:rPr>
          <w:fldChar w:fldCharType="begin"/>
        </w:r>
        <w:r>
          <w:rPr>
            <w:noProof/>
            <w:webHidden/>
          </w:rPr>
          <w:instrText xml:space="preserve"> PAGEREF _Toc221546225 \h </w:instrText>
        </w:r>
        <w:r>
          <w:rPr>
            <w:noProof/>
            <w:webHidden/>
          </w:rPr>
        </w:r>
        <w:r>
          <w:rPr>
            <w:noProof/>
            <w:webHidden/>
          </w:rPr>
          <w:fldChar w:fldCharType="separate"/>
        </w:r>
        <w:r w:rsidR="000F066D">
          <w:rPr>
            <w:noProof/>
            <w:webHidden/>
          </w:rPr>
          <w:t>99</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26" w:history="1">
        <w:r w:rsidRPr="00C50158">
          <w:rPr>
            <w:rStyle w:val="Hyperlink"/>
            <w:noProof/>
          </w:rPr>
          <w:t>4.2.3 Værdiansættelse af aktier/anparter (Pernille)</w:t>
        </w:r>
        <w:r>
          <w:rPr>
            <w:noProof/>
            <w:webHidden/>
          </w:rPr>
          <w:tab/>
        </w:r>
        <w:r>
          <w:rPr>
            <w:noProof/>
            <w:webHidden/>
          </w:rPr>
          <w:fldChar w:fldCharType="begin"/>
        </w:r>
        <w:r>
          <w:rPr>
            <w:noProof/>
            <w:webHidden/>
          </w:rPr>
          <w:instrText xml:space="preserve"> PAGEREF _Toc221546226 \h </w:instrText>
        </w:r>
        <w:r>
          <w:rPr>
            <w:noProof/>
            <w:webHidden/>
          </w:rPr>
        </w:r>
        <w:r>
          <w:rPr>
            <w:noProof/>
            <w:webHidden/>
          </w:rPr>
          <w:fldChar w:fldCharType="separate"/>
        </w:r>
        <w:r w:rsidR="000F066D">
          <w:rPr>
            <w:noProof/>
            <w:webHidden/>
          </w:rPr>
          <w:t>100</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27" w:history="1">
        <w:r w:rsidRPr="00C50158">
          <w:rPr>
            <w:rStyle w:val="Hyperlink"/>
            <w:noProof/>
          </w:rPr>
          <w:t>4.2.4 Kapitalafkastordningen for aktiekøb (Pernille)</w:t>
        </w:r>
        <w:r>
          <w:rPr>
            <w:noProof/>
            <w:webHidden/>
          </w:rPr>
          <w:tab/>
        </w:r>
        <w:r>
          <w:rPr>
            <w:noProof/>
            <w:webHidden/>
          </w:rPr>
          <w:fldChar w:fldCharType="begin"/>
        </w:r>
        <w:r>
          <w:rPr>
            <w:noProof/>
            <w:webHidden/>
          </w:rPr>
          <w:instrText xml:space="preserve"> PAGEREF _Toc221546227 \h </w:instrText>
        </w:r>
        <w:r>
          <w:rPr>
            <w:noProof/>
            <w:webHidden/>
          </w:rPr>
        </w:r>
        <w:r>
          <w:rPr>
            <w:noProof/>
            <w:webHidden/>
          </w:rPr>
          <w:fldChar w:fldCharType="separate"/>
        </w:r>
        <w:r w:rsidR="000F066D">
          <w:rPr>
            <w:noProof/>
            <w:webHidden/>
          </w:rPr>
          <w:t>104</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28" w:history="1">
        <w:r w:rsidRPr="00C50158">
          <w:rPr>
            <w:rStyle w:val="Hyperlink"/>
            <w:noProof/>
          </w:rPr>
          <w:t>4.2.5 Fordele og ulemper ved succession i aktier (Pernille)</w:t>
        </w:r>
        <w:r>
          <w:rPr>
            <w:noProof/>
            <w:webHidden/>
          </w:rPr>
          <w:tab/>
        </w:r>
        <w:r>
          <w:rPr>
            <w:noProof/>
            <w:webHidden/>
          </w:rPr>
          <w:fldChar w:fldCharType="begin"/>
        </w:r>
        <w:r>
          <w:rPr>
            <w:noProof/>
            <w:webHidden/>
          </w:rPr>
          <w:instrText xml:space="preserve"> PAGEREF _Toc221546228 \h </w:instrText>
        </w:r>
        <w:r>
          <w:rPr>
            <w:noProof/>
            <w:webHidden/>
          </w:rPr>
        </w:r>
        <w:r>
          <w:rPr>
            <w:noProof/>
            <w:webHidden/>
          </w:rPr>
          <w:fldChar w:fldCharType="separate"/>
        </w:r>
        <w:r w:rsidR="000F066D">
          <w:rPr>
            <w:noProof/>
            <w:webHidden/>
          </w:rPr>
          <w:t>106</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29" w:history="1">
        <w:r w:rsidRPr="00C50158">
          <w:rPr>
            <w:rStyle w:val="Hyperlink"/>
            <w:noProof/>
          </w:rPr>
          <w:t>4.3 Omstrukturering af selskab for at generationsskifte (Pernille og Jane)</w:t>
        </w:r>
        <w:r>
          <w:rPr>
            <w:noProof/>
            <w:webHidden/>
          </w:rPr>
          <w:tab/>
        </w:r>
        <w:r>
          <w:rPr>
            <w:noProof/>
            <w:webHidden/>
          </w:rPr>
          <w:fldChar w:fldCharType="begin"/>
        </w:r>
        <w:r>
          <w:rPr>
            <w:noProof/>
            <w:webHidden/>
          </w:rPr>
          <w:instrText xml:space="preserve"> PAGEREF _Toc221546229 \h </w:instrText>
        </w:r>
        <w:r>
          <w:rPr>
            <w:noProof/>
            <w:webHidden/>
          </w:rPr>
        </w:r>
        <w:r>
          <w:rPr>
            <w:noProof/>
            <w:webHidden/>
          </w:rPr>
          <w:fldChar w:fldCharType="separate"/>
        </w:r>
        <w:r w:rsidR="000F066D">
          <w:rPr>
            <w:noProof/>
            <w:webHidden/>
          </w:rPr>
          <w:t>106</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30" w:history="1">
        <w:r w:rsidRPr="00C50158">
          <w:rPr>
            <w:rStyle w:val="Hyperlink"/>
            <w:noProof/>
          </w:rPr>
          <w:t>4.3.1 Skattefri aktieombytning (Pernille)</w:t>
        </w:r>
        <w:r>
          <w:rPr>
            <w:noProof/>
            <w:webHidden/>
          </w:rPr>
          <w:tab/>
        </w:r>
        <w:r>
          <w:rPr>
            <w:noProof/>
            <w:webHidden/>
          </w:rPr>
          <w:fldChar w:fldCharType="begin"/>
        </w:r>
        <w:r>
          <w:rPr>
            <w:noProof/>
            <w:webHidden/>
          </w:rPr>
          <w:instrText xml:space="preserve"> PAGEREF _Toc221546230 \h </w:instrText>
        </w:r>
        <w:r>
          <w:rPr>
            <w:noProof/>
            <w:webHidden/>
          </w:rPr>
        </w:r>
        <w:r>
          <w:rPr>
            <w:noProof/>
            <w:webHidden/>
          </w:rPr>
          <w:fldChar w:fldCharType="separate"/>
        </w:r>
        <w:r w:rsidR="000F066D">
          <w:rPr>
            <w:noProof/>
            <w:webHidden/>
          </w:rPr>
          <w:t>107</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31" w:history="1">
        <w:r w:rsidRPr="00C50158">
          <w:rPr>
            <w:rStyle w:val="Hyperlink"/>
            <w:noProof/>
          </w:rPr>
          <w:t>4.3.1.1 Betingelse for skattefri aktieombytning (Pernille)</w:t>
        </w:r>
        <w:r>
          <w:rPr>
            <w:noProof/>
            <w:webHidden/>
          </w:rPr>
          <w:tab/>
        </w:r>
        <w:r>
          <w:rPr>
            <w:noProof/>
            <w:webHidden/>
          </w:rPr>
          <w:fldChar w:fldCharType="begin"/>
        </w:r>
        <w:r>
          <w:rPr>
            <w:noProof/>
            <w:webHidden/>
          </w:rPr>
          <w:instrText xml:space="preserve"> PAGEREF _Toc221546231 \h </w:instrText>
        </w:r>
        <w:r>
          <w:rPr>
            <w:noProof/>
            <w:webHidden/>
          </w:rPr>
        </w:r>
        <w:r>
          <w:rPr>
            <w:noProof/>
            <w:webHidden/>
          </w:rPr>
          <w:fldChar w:fldCharType="separate"/>
        </w:r>
        <w:r w:rsidR="000F066D">
          <w:rPr>
            <w:noProof/>
            <w:webHidden/>
          </w:rPr>
          <w:t>108</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32" w:history="1">
        <w:r w:rsidRPr="00C50158">
          <w:rPr>
            <w:rStyle w:val="Hyperlink"/>
            <w:noProof/>
          </w:rPr>
          <w:t>4.3.1.2 Skattefri aktieombytning uden tilladelse (Pernille)</w:t>
        </w:r>
        <w:r>
          <w:rPr>
            <w:noProof/>
            <w:webHidden/>
          </w:rPr>
          <w:tab/>
        </w:r>
        <w:r>
          <w:rPr>
            <w:noProof/>
            <w:webHidden/>
          </w:rPr>
          <w:fldChar w:fldCharType="begin"/>
        </w:r>
        <w:r>
          <w:rPr>
            <w:noProof/>
            <w:webHidden/>
          </w:rPr>
          <w:instrText xml:space="preserve"> PAGEREF _Toc221546232 \h </w:instrText>
        </w:r>
        <w:r>
          <w:rPr>
            <w:noProof/>
            <w:webHidden/>
          </w:rPr>
        </w:r>
        <w:r>
          <w:rPr>
            <w:noProof/>
            <w:webHidden/>
          </w:rPr>
          <w:fldChar w:fldCharType="separate"/>
        </w:r>
        <w:r w:rsidR="000F066D">
          <w:rPr>
            <w:noProof/>
            <w:webHidden/>
          </w:rPr>
          <w:t>109</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33" w:history="1">
        <w:r w:rsidRPr="00C50158">
          <w:rPr>
            <w:rStyle w:val="Hyperlink"/>
            <w:noProof/>
          </w:rPr>
          <w:t>4.3.1.3 Skattefri aktieombytning med tilladelse (Pernille)</w:t>
        </w:r>
        <w:r>
          <w:rPr>
            <w:noProof/>
            <w:webHidden/>
          </w:rPr>
          <w:tab/>
        </w:r>
        <w:r>
          <w:rPr>
            <w:noProof/>
            <w:webHidden/>
          </w:rPr>
          <w:fldChar w:fldCharType="begin"/>
        </w:r>
        <w:r>
          <w:rPr>
            <w:noProof/>
            <w:webHidden/>
          </w:rPr>
          <w:instrText xml:space="preserve"> PAGEREF _Toc221546233 \h </w:instrText>
        </w:r>
        <w:r>
          <w:rPr>
            <w:noProof/>
            <w:webHidden/>
          </w:rPr>
        </w:r>
        <w:r>
          <w:rPr>
            <w:noProof/>
            <w:webHidden/>
          </w:rPr>
          <w:fldChar w:fldCharType="separate"/>
        </w:r>
        <w:r w:rsidR="000F066D">
          <w:rPr>
            <w:noProof/>
            <w:webHidden/>
          </w:rPr>
          <w:t>111</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34" w:history="1">
        <w:r w:rsidRPr="00C50158">
          <w:rPr>
            <w:rStyle w:val="Hyperlink"/>
            <w:noProof/>
          </w:rPr>
          <w:t>4.3.2 Skattefri tilførsel af aktiver (Pernille)</w:t>
        </w:r>
        <w:r>
          <w:rPr>
            <w:noProof/>
            <w:webHidden/>
          </w:rPr>
          <w:tab/>
        </w:r>
        <w:r>
          <w:rPr>
            <w:noProof/>
            <w:webHidden/>
          </w:rPr>
          <w:fldChar w:fldCharType="begin"/>
        </w:r>
        <w:r>
          <w:rPr>
            <w:noProof/>
            <w:webHidden/>
          </w:rPr>
          <w:instrText xml:space="preserve"> PAGEREF _Toc221546234 \h </w:instrText>
        </w:r>
        <w:r>
          <w:rPr>
            <w:noProof/>
            <w:webHidden/>
          </w:rPr>
        </w:r>
        <w:r>
          <w:rPr>
            <w:noProof/>
            <w:webHidden/>
          </w:rPr>
          <w:fldChar w:fldCharType="separate"/>
        </w:r>
        <w:r w:rsidR="000F066D">
          <w:rPr>
            <w:noProof/>
            <w:webHidden/>
          </w:rPr>
          <w:t>112</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35" w:history="1">
        <w:r w:rsidRPr="00C50158">
          <w:rPr>
            <w:rStyle w:val="Hyperlink"/>
            <w:noProof/>
          </w:rPr>
          <w:t>4.3.2.1 Skattefri tilførsel af aktiver, betingelser og konsekvenser (Pernille)</w:t>
        </w:r>
        <w:r>
          <w:rPr>
            <w:noProof/>
            <w:webHidden/>
          </w:rPr>
          <w:tab/>
        </w:r>
        <w:r>
          <w:rPr>
            <w:noProof/>
            <w:webHidden/>
          </w:rPr>
          <w:fldChar w:fldCharType="begin"/>
        </w:r>
        <w:r>
          <w:rPr>
            <w:noProof/>
            <w:webHidden/>
          </w:rPr>
          <w:instrText xml:space="preserve"> PAGEREF _Toc221546235 \h </w:instrText>
        </w:r>
        <w:r>
          <w:rPr>
            <w:noProof/>
            <w:webHidden/>
          </w:rPr>
        </w:r>
        <w:r>
          <w:rPr>
            <w:noProof/>
            <w:webHidden/>
          </w:rPr>
          <w:fldChar w:fldCharType="separate"/>
        </w:r>
        <w:r w:rsidR="000F066D">
          <w:rPr>
            <w:noProof/>
            <w:webHidden/>
          </w:rPr>
          <w:t>112</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36" w:history="1">
        <w:r w:rsidRPr="00C50158">
          <w:rPr>
            <w:rStyle w:val="Hyperlink"/>
            <w:noProof/>
          </w:rPr>
          <w:t>4.3.2.2 Skattefri tilførsel uden tilladelse (Pernille)</w:t>
        </w:r>
        <w:r>
          <w:rPr>
            <w:noProof/>
            <w:webHidden/>
          </w:rPr>
          <w:tab/>
        </w:r>
        <w:r>
          <w:rPr>
            <w:noProof/>
            <w:webHidden/>
          </w:rPr>
          <w:fldChar w:fldCharType="begin"/>
        </w:r>
        <w:r>
          <w:rPr>
            <w:noProof/>
            <w:webHidden/>
          </w:rPr>
          <w:instrText xml:space="preserve"> PAGEREF _Toc221546236 \h </w:instrText>
        </w:r>
        <w:r>
          <w:rPr>
            <w:noProof/>
            <w:webHidden/>
          </w:rPr>
        </w:r>
        <w:r>
          <w:rPr>
            <w:noProof/>
            <w:webHidden/>
          </w:rPr>
          <w:fldChar w:fldCharType="separate"/>
        </w:r>
        <w:r w:rsidR="000F066D">
          <w:rPr>
            <w:noProof/>
            <w:webHidden/>
          </w:rPr>
          <w:t>114</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37" w:history="1">
        <w:r w:rsidRPr="00C50158">
          <w:rPr>
            <w:rStyle w:val="Hyperlink"/>
            <w:noProof/>
          </w:rPr>
          <w:t>4.3.2.3 Skattefri tilførsel med tilladelse (Pernille)</w:t>
        </w:r>
        <w:r>
          <w:rPr>
            <w:noProof/>
            <w:webHidden/>
          </w:rPr>
          <w:tab/>
        </w:r>
        <w:r>
          <w:rPr>
            <w:noProof/>
            <w:webHidden/>
          </w:rPr>
          <w:fldChar w:fldCharType="begin"/>
        </w:r>
        <w:r>
          <w:rPr>
            <w:noProof/>
            <w:webHidden/>
          </w:rPr>
          <w:instrText xml:space="preserve"> PAGEREF _Toc221546237 \h </w:instrText>
        </w:r>
        <w:r>
          <w:rPr>
            <w:noProof/>
            <w:webHidden/>
          </w:rPr>
        </w:r>
        <w:r>
          <w:rPr>
            <w:noProof/>
            <w:webHidden/>
          </w:rPr>
          <w:fldChar w:fldCharType="separate"/>
        </w:r>
        <w:r w:rsidR="000F066D">
          <w:rPr>
            <w:noProof/>
            <w:webHidden/>
          </w:rPr>
          <w:t>114</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38" w:history="1">
        <w:r w:rsidRPr="00C50158">
          <w:rPr>
            <w:rStyle w:val="Hyperlink"/>
            <w:noProof/>
          </w:rPr>
          <w:t>4.3.3 Fusion og spaltning (Jane)</w:t>
        </w:r>
        <w:r>
          <w:rPr>
            <w:noProof/>
            <w:webHidden/>
          </w:rPr>
          <w:tab/>
        </w:r>
        <w:r>
          <w:rPr>
            <w:noProof/>
            <w:webHidden/>
          </w:rPr>
          <w:fldChar w:fldCharType="begin"/>
        </w:r>
        <w:r>
          <w:rPr>
            <w:noProof/>
            <w:webHidden/>
          </w:rPr>
          <w:instrText xml:space="preserve"> PAGEREF _Toc221546238 \h </w:instrText>
        </w:r>
        <w:r>
          <w:rPr>
            <w:noProof/>
            <w:webHidden/>
          </w:rPr>
        </w:r>
        <w:r>
          <w:rPr>
            <w:noProof/>
            <w:webHidden/>
          </w:rPr>
          <w:fldChar w:fldCharType="separate"/>
        </w:r>
        <w:r w:rsidR="000F066D">
          <w:rPr>
            <w:noProof/>
            <w:webHidden/>
          </w:rPr>
          <w:t>115</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39" w:history="1">
        <w:r w:rsidRPr="00C50158">
          <w:rPr>
            <w:rStyle w:val="Hyperlink"/>
            <w:noProof/>
          </w:rPr>
          <w:t>4.3.3.1 Fusionsbegrebet (Jane)</w:t>
        </w:r>
        <w:r>
          <w:rPr>
            <w:noProof/>
            <w:webHidden/>
          </w:rPr>
          <w:tab/>
        </w:r>
        <w:r>
          <w:rPr>
            <w:noProof/>
            <w:webHidden/>
          </w:rPr>
          <w:fldChar w:fldCharType="begin"/>
        </w:r>
        <w:r>
          <w:rPr>
            <w:noProof/>
            <w:webHidden/>
          </w:rPr>
          <w:instrText xml:space="preserve"> PAGEREF _Toc221546239 \h </w:instrText>
        </w:r>
        <w:r>
          <w:rPr>
            <w:noProof/>
            <w:webHidden/>
          </w:rPr>
        </w:r>
        <w:r>
          <w:rPr>
            <w:noProof/>
            <w:webHidden/>
          </w:rPr>
          <w:fldChar w:fldCharType="separate"/>
        </w:r>
        <w:r w:rsidR="000F066D">
          <w:rPr>
            <w:noProof/>
            <w:webHidden/>
          </w:rPr>
          <w:t>115</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40" w:history="1">
        <w:r w:rsidRPr="00C50158">
          <w:rPr>
            <w:rStyle w:val="Hyperlink"/>
            <w:noProof/>
          </w:rPr>
          <w:t>4.3.3.2 Skattepligtig fusion (Jane)</w:t>
        </w:r>
        <w:r>
          <w:rPr>
            <w:noProof/>
            <w:webHidden/>
          </w:rPr>
          <w:tab/>
        </w:r>
        <w:r>
          <w:rPr>
            <w:noProof/>
            <w:webHidden/>
          </w:rPr>
          <w:fldChar w:fldCharType="begin"/>
        </w:r>
        <w:r>
          <w:rPr>
            <w:noProof/>
            <w:webHidden/>
          </w:rPr>
          <w:instrText xml:space="preserve"> PAGEREF _Toc221546240 \h </w:instrText>
        </w:r>
        <w:r>
          <w:rPr>
            <w:noProof/>
            <w:webHidden/>
          </w:rPr>
        </w:r>
        <w:r>
          <w:rPr>
            <w:noProof/>
            <w:webHidden/>
          </w:rPr>
          <w:fldChar w:fldCharType="separate"/>
        </w:r>
        <w:r w:rsidR="000F066D">
          <w:rPr>
            <w:noProof/>
            <w:webHidden/>
          </w:rPr>
          <w:t>116</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41" w:history="1">
        <w:r w:rsidRPr="00C50158">
          <w:rPr>
            <w:rStyle w:val="Hyperlink"/>
            <w:noProof/>
          </w:rPr>
          <w:t>4.3.3.3 Skattefri fusion (Jane)</w:t>
        </w:r>
        <w:r>
          <w:rPr>
            <w:noProof/>
            <w:webHidden/>
          </w:rPr>
          <w:tab/>
        </w:r>
        <w:r>
          <w:rPr>
            <w:noProof/>
            <w:webHidden/>
          </w:rPr>
          <w:fldChar w:fldCharType="begin"/>
        </w:r>
        <w:r>
          <w:rPr>
            <w:noProof/>
            <w:webHidden/>
          </w:rPr>
          <w:instrText xml:space="preserve"> PAGEREF _Toc221546241 \h </w:instrText>
        </w:r>
        <w:r>
          <w:rPr>
            <w:noProof/>
            <w:webHidden/>
          </w:rPr>
        </w:r>
        <w:r>
          <w:rPr>
            <w:noProof/>
            <w:webHidden/>
          </w:rPr>
          <w:fldChar w:fldCharType="separate"/>
        </w:r>
        <w:r w:rsidR="000F066D">
          <w:rPr>
            <w:noProof/>
            <w:webHidden/>
          </w:rPr>
          <w:t>117</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42" w:history="1">
        <w:r w:rsidRPr="00C50158">
          <w:rPr>
            <w:rStyle w:val="Hyperlink"/>
            <w:noProof/>
          </w:rPr>
          <w:t>4.3.3.4 Skattefri spaltning (Jane)</w:t>
        </w:r>
        <w:r>
          <w:rPr>
            <w:noProof/>
            <w:webHidden/>
          </w:rPr>
          <w:tab/>
        </w:r>
        <w:r>
          <w:rPr>
            <w:noProof/>
            <w:webHidden/>
          </w:rPr>
          <w:fldChar w:fldCharType="begin"/>
        </w:r>
        <w:r>
          <w:rPr>
            <w:noProof/>
            <w:webHidden/>
          </w:rPr>
          <w:instrText xml:space="preserve"> PAGEREF _Toc221546242 \h </w:instrText>
        </w:r>
        <w:r>
          <w:rPr>
            <w:noProof/>
            <w:webHidden/>
          </w:rPr>
        </w:r>
        <w:r>
          <w:rPr>
            <w:noProof/>
            <w:webHidden/>
          </w:rPr>
          <w:fldChar w:fldCharType="separate"/>
        </w:r>
        <w:r w:rsidR="000F066D">
          <w:rPr>
            <w:noProof/>
            <w:webHidden/>
          </w:rPr>
          <w:t>120</w:t>
        </w:r>
        <w:r>
          <w:rPr>
            <w:noProof/>
            <w:webHidden/>
          </w:rPr>
          <w:fldChar w:fldCharType="end"/>
        </w:r>
      </w:hyperlink>
    </w:p>
    <w:p w:rsidR="006911F3" w:rsidRDefault="006911F3">
      <w:pPr>
        <w:pStyle w:val="Indholdsfortegnelse4"/>
        <w:tabs>
          <w:tab w:val="right" w:leader="dot" w:pos="8494"/>
        </w:tabs>
        <w:rPr>
          <w:rFonts w:asciiTheme="minorHAnsi" w:eastAsiaTheme="minorEastAsia" w:hAnsiTheme="minorHAnsi" w:cstheme="minorBidi"/>
          <w:noProof/>
          <w:sz w:val="22"/>
          <w:lang w:eastAsia="da-DK"/>
        </w:rPr>
      </w:pPr>
      <w:hyperlink w:anchor="_Toc221546243" w:history="1">
        <w:r w:rsidRPr="00C50158">
          <w:rPr>
            <w:rStyle w:val="Hyperlink"/>
            <w:noProof/>
          </w:rPr>
          <w:t>4.3.3.5 Skattepligtig spaltning (Jane)</w:t>
        </w:r>
        <w:r>
          <w:rPr>
            <w:noProof/>
            <w:webHidden/>
          </w:rPr>
          <w:tab/>
        </w:r>
        <w:r>
          <w:rPr>
            <w:noProof/>
            <w:webHidden/>
          </w:rPr>
          <w:fldChar w:fldCharType="begin"/>
        </w:r>
        <w:r>
          <w:rPr>
            <w:noProof/>
            <w:webHidden/>
          </w:rPr>
          <w:instrText xml:space="preserve"> PAGEREF _Toc221546243 \h </w:instrText>
        </w:r>
        <w:r>
          <w:rPr>
            <w:noProof/>
            <w:webHidden/>
          </w:rPr>
        </w:r>
        <w:r>
          <w:rPr>
            <w:noProof/>
            <w:webHidden/>
          </w:rPr>
          <w:fldChar w:fldCharType="separate"/>
        </w:r>
        <w:r w:rsidR="000F066D">
          <w:rPr>
            <w:noProof/>
            <w:webHidden/>
          </w:rPr>
          <w:t>122</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44" w:history="1">
        <w:r w:rsidRPr="00C50158">
          <w:rPr>
            <w:rStyle w:val="Hyperlink"/>
            <w:noProof/>
          </w:rPr>
          <w:t>4.4 Eksempler på omstruktureringsmodeller (Pernille og Jane)</w:t>
        </w:r>
        <w:r>
          <w:rPr>
            <w:noProof/>
            <w:webHidden/>
          </w:rPr>
          <w:tab/>
        </w:r>
        <w:r>
          <w:rPr>
            <w:noProof/>
            <w:webHidden/>
          </w:rPr>
          <w:fldChar w:fldCharType="begin"/>
        </w:r>
        <w:r>
          <w:rPr>
            <w:noProof/>
            <w:webHidden/>
          </w:rPr>
          <w:instrText xml:space="preserve"> PAGEREF _Toc221546244 \h </w:instrText>
        </w:r>
        <w:r>
          <w:rPr>
            <w:noProof/>
            <w:webHidden/>
          </w:rPr>
        </w:r>
        <w:r>
          <w:rPr>
            <w:noProof/>
            <w:webHidden/>
          </w:rPr>
          <w:fldChar w:fldCharType="separate"/>
        </w:r>
        <w:r w:rsidR="000F066D">
          <w:rPr>
            <w:noProof/>
            <w:webHidden/>
          </w:rPr>
          <w:t>123</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45" w:history="1">
        <w:r w:rsidRPr="00C50158">
          <w:rPr>
            <w:rStyle w:val="Hyperlink"/>
            <w:noProof/>
          </w:rPr>
          <w:t>4.4.1 Aktieombytning og lån i holding (Pernille)</w:t>
        </w:r>
        <w:r>
          <w:rPr>
            <w:noProof/>
            <w:webHidden/>
          </w:rPr>
          <w:tab/>
        </w:r>
        <w:r>
          <w:rPr>
            <w:noProof/>
            <w:webHidden/>
          </w:rPr>
          <w:fldChar w:fldCharType="begin"/>
        </w:r>
        <w:r>
          <w:rPr>
            <w:noProof/>
            <w:webHidden/>
          </w:rPr>
          <w:instrText xml:space="preserve"> PAGEREF _Toc221546245 \h </w:instrText>
        </w:r>
        <w:r>
          <w:rPr>
            <w:noProof/>
            <w:webHidden/>
          </w:rPr>
        </w:r>
        <w:r>
          <w:rPr>
            <w:noProof/>
            <w:webHidden/>
          </w:rPr>
          <w:fldChar w:fldCharType="separate"/>
        </w:r>
        <w:r w:rsidR="000F066D">
          <w:rPr>
            <w:noProof/>
            <w:webHidden/>
          </w:rPr>
          <w:t>123</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46" w:history="1">
        <w:r w:rsidRPr="00C50158">
          <w:rPr>
            <w:rStyle w:val="Hyperlink"/>
            <w:noProof/>
          </w:rPr>
          <w:t>4.4.2 Aktieombytning, spaltning og succession (Pernille)</w:t>
        </w:r>
        <w:r>
          <w:rPr>
            <w:noProof/>
            <w:webHidden/>
          </w:rPr>
          <w:tab/>
        </w:r>
        <w:r>
          <w:rPr>
            <w:noProof/>
            <w:webHidden/>
          </w:rPr>
          <w:fldChar w:fldCharType="begin"/>
        </w:r>
        <w:r>
          <w:rPr>
            <w:noProof/>
            <w:webHidden/>
          </w:rPr>
          <w:instrText xml:space="preserve"> PAGEREF _Toc221546246 \h </w:instrText>
        </w:r>
        <w:r>
          <w:rPr>
            <w:noProof/>
            <w:webHidden/>
          </w:rPr>
        </w:r>
        <w:r>
          <w:rPr>
            <w:noProof/>
            <w:webHidden/>
          </w:rPr>
          <w:fldChar w:fldCharType="separate"/>
        </w:r>
        <w:r w:rsidR="000F066D">
          <w:rPr>
            <w:noProof/>
            <w:webHidden/>
          </w:rPr>
          <w:t>126</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47" w:history="1">
        <w:r w:rsidRPr="00C50158">
          <w:rPr>
            <w:rStyle w:val="Hyperlink"/>
            <w:noProof/>
          </w:rPr>
          <w:t>4.4.3 Aktieombytning og udbyttedifferentiering. (Jane)</w:t>
        </w:r>
        <w:r>
          <w:rPr>
            <w:noProof/>
            <w:webHidden/>
          </w:rPr>
          <w:tab/>
        </w:r>
        <w:r>
          <w:rPr>
            <w:noProof/>
            <w:webHidden/>
          </w:rPr>
          <w:fldChar w:fldCharType="begin"/>
        </w:r>
        <w:r>
          <w:rPr>
            <w:noProof/>
            <w:webHidden/>
          </w:rPr>
          <w:instrText xml:space="preserve"> PAGEREF _Toc221546247 \h </w:instrText>
        </w:r>
        <w:r>
          <w:rPr>
            <w:noProof/>
            <w:webHidden/>
          </w:rPr>
        </w:r>
        <w:r>
          <w:rPr>
            <w:noProof/>
            <w:webHidden/>
          </w:rPr>
          <w:fldChar w:fldCharType="separate"/>
        </w:r>
        <w:r w:rsidR="000F066D">
          <w:rPr>
            <w:noProof/>
            <w:webHidden/>
          </w:rPr>
          <w:t>129</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48" w:history="1">
        <w:r w:rsidRPr="00C50158">
          <w:rPr>
            <w:rStyle w:val="Hyperlink"/>
            <w:noProof/>
          </w:rPr>
          <w:t>4.4.4 Skattefri tilførsel af aktiver til datterselskaber (Jane)</w:t>
        </w:r>
        <w:r>
          <w:rPr>
            <w:noProof/>
            <w:webHidden/>
          </w:rPr>
          <w:tab/>
        </w:r>
        <w:r>
          <w:rPr>
            <w:noProof/>
            <w:webHidden/>
          </w:rPr>
          <w:fldChar w:fldCharType="begin"/>
        </w:r>
        <w:r>
          <w:rPr>
            <w:noProof/>
            <w:webHidden/>
          </w:rPr>
          <w:instrText xml:space="preserve"> PAGEREF _Toc221546248 \h </w:instrText>
        </w:r>
        <w:r>
          <w:rPr>
            <w:noProof/>
            <w:webHidden/>
          </w:rPr>
        </w:r>
        <w:r>
          <w:rPr>
            <w:noProof/>
            <w:webHidden/>
          </w:rPr>
          <w:fldChar w:fldCharType="separate"/>
        </w:r>
        <w:r w:rsidR="000F066D">
          <w:rPr>
            <w:noProof/>
            <w:webHidden/>
          </w:rPr>
          <w:t>135</w:t>
        </w:r>
        <w:r>
          <w:rPr>
            <w:noProof/>
            <w:webHidden/>
          </w:rPr>
          <w:fldChar w:fldCharType="end"/>
        </w:r>
      </w:hyperlink>
    </w:p>
    <w:p w:rsidR="006911F3" w:rsidRDefault="006911F3">
      <w:pPr>
        <w:pStyle w:val="Indholdsfortegnelse3"/>
        <w:tabs>
          <w:tab w:val="right" w:leader="dot" w:pos="8494"/>
        </w:tabs>
        <w:rPr>
          <w:rFonts w:asciiTheme="minorHAnsi" w:eastAsiaTheme="minorEastAsia" w:hAnsiTheme="minorHAnsi" w:cstheme="minorBidi"/>
          <w:noProof/>
          <w:sz w:val="22"/>
          <w:lang w:eastAsia="da-DK"/>
        </w:rPr>
      </w:pPr>
      <w:hyperlink w:anchor="_Toc221546249" w:history="1">
        <w:r w:rsidRPr="00C50158">
          <w:rPr>
            <w:rStyle w:val="Hyperlink"/>
            <w:noProof/>
          </w:rPr>
          <w:t>4.4.5 Skattefri tilførsel af aktiver til selskab ejet af C (Jane)</w:t>
        </w:r>
        <w:r>
          <w:rPr>
            <w:noProof/>
            <w:webHidden/>
          </w:rPr>
          <w:tab/>
        </w:r>
        <w:r>
          <w:rPr>
            <w:noProof/>
            <w:webHidden/>
          </w:rPr>
          <w:fldChar w:fldCharType="begin"/>
        </w:r>
        <w:r>
          <w:rPr>
            <w:noProof/>
            <w:webHidden/>
          </w:rPr>
          <w:instrText xml:space="preserve"> PAGEREF _Toc221546249 \h </w:instrText>
        </w:r>
        <w:r>
          <w:rPr>
            <w:noProof/>
            <w:webHidden/>
          </w:rPr>
        </w:r>
        <w:r>
          <w:rPr>
            <w:noProof/>
            <w:webHidden/>
          </w:rPr>
          <w:fldChar w:fldCharType="separate"/>
        </w:r>
        <w:r w:rsidR="000F066D">
          <w:rPr>
            <w:noProof/>
            <w:webHidden/>
          </w:rPr>
          <w:t>140</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50" w:history="1">
        <w:r w:rsidRPr="00C50158">
          <w:rPr>
            <w:rStyle w:val="Hyperlink"/>
            <w:noProof/>
          </w:rPr>
          <w:t>4.5 Delkonklusion på generationsskifte i selskabsform (Pernille og Jane)</w:t>
        </w:r>
        <w:r>
          <w:rPr>
            <w:noProof/>
            <w:webHidden/>
          </w:rPr>
          <w:tab/>
        </w:r>
        <w:r>
          <w:rPr>
            <w:noProof/>
            <w:webHidden/>
          </w:rPr>
          <w:fldChar w:fldCharType="begin"/>
        </w:r>
        <w:r>
          <w:rPr>
            <w:noProof/>
            <w:webHidden/>
          </w:rPr>
          <w:instrText xml:space="preserve"> PAGEREF _Toc221546250 \h </w:instrText>
        </w:r>
        <w:r>
          <w:rPr>
            <w:noProof/>
            <w:webHidden/>
          </w:rPr>
        </w:r>
        <w:r>
          <w:rPr>
            <w:noProof/>
            <w:webHidden/>
          </w:rPr>
          <w:fldChar w:fldCharType="separate"/>
        </w:r>
        <w:r w:rsidR="000F066D">
          <w:rPr>
            <w:noProof/>
            <w:webHidden/>
          </w:rPr>
          <w:t>143</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51" w:history="1">
        <w:r w:rsidRPr="00C50158">
          <w:rPr>
            <w:rStyle w:val="Hyperlink"/>
            <w:noProof/>
          </w:rPr>
          <w:t>5. Konklusion (Pernille og Jane)</w:t>
        </w:r>
        <w:r>
          <w:rPr>
            <w:noProof/>
            <w:webHidden/>
          </w:rPr>
          <w:tab/>
        </w:r>
        <w:r>
          <w:rPr>
            <w:noProof/>
            <w:webHidden/>
          </w:rPr>
          <w:fldChar w:fldCharType="begin"/>
        </w:r>
        <w:r>
          <w:rPr>
            <w:noProof/>
            <w:webHidden/>
          </w:rPr>
          <w:instrText xml:space="preserve"> PAGEREF _Toc221546251 \h </w:instrText>
        </w:r>
        <w:r>
          <w:rPr>
            <w:noProof/>
            <w:webHidden/>
          </w:rPr>
        </w:r>
        <w:r>
          <w:rPr>
            <w:noProof/>
            <w:webHidden/>
          </w:rPr>
          <w:fldChar w:fldCharType="separate"/>
        </w:r>
        <w:r w:rsidR="000F066D">
          <w:rPr>
            <w:noProof/>
            <w:webHidden/>
          </w:rPr>
          <w:t>145</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52" w:history="1">
        <w:r w:rsidRPr="00C50158">
          <w:rPr>
            <w:rStyle w:val="Hyperlink"/>
            <w:noProof/>
            <w:lang w:val="en-US"/>
          </w:rPr>
          <w:t>6. English Summary (Pernille)</w:t>
        </w:r>
        <w:r>
          <w:rPr>
            <w:noProof/>
            <w:webHidden/>
          </w:rPr>
          <w:tab/>
        </w:r>
        <w:r>
          <w:rPr>
            <w:noProof/>
            <w:webHidden/>
          </w:rPr>
          <w:fldChar w:fldCharType="begin"/>
        </w:r>
        <w:r>
          <w:rPr>
            <w:noProof/>
            <w:webHidden/>
          </w:rPr>
          <w:instrText xml:space="preserve"> PAGEREF _Toc221546252 \h </w:instrText>
        </w:r>
        <w:r>
          <w:rPr>
            <w:noProof/>
            <w:webHidden/>
          </w:rPr>
        </w:r>
        <w:r>
          <w:rPr>
            <w:noProof/>
            <w:webHidden/>
          </w:rPr>
          <w:fldChar w:fldCharType="separate"/>
        </w:r>
        <w:r w:rsidR="000F066D">
          <w:rPr>
            <w:noProof/>
            <w:webHidden/>
          </w:rPr>
          <w:t>149</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53" w:history="1">
        <w:r w:rsidRPr="00C50158">
          <w:rPr>
            <w:rStyle w:val="Hyperlink"/>
            <w:noProof/>
          </w:rPr>
          <w:t>7. Litteraturliste</w:t>
        </w:r>
        <w:r>
          <w:rPr>
            <w:noProof/>
            <w:webHidden/>
          </w:rPr>
          <w:tab/>
        </w:r>
        <w:r>
          <w:rPr>
            <w:noProof/>
            <w:webHidden/>
          </w:rPr>
          <w:fldChar w:fldCharType="begin"/>
        </w:r>
        <w:r>
          <w:rPr>
            <w:noProof/>
            <w:webHidden/>
          </w:rPr>
          <w:instrText xml:space="preserve"> PAGEREF _Toc221546253 \h </w:instrText>
        </w:r>
        <w:r>
          <w:rPr>
            <w:noProof/>
            <w:webHidden/>
          </w:rPr>
        </w:r>
        <w:r>
          <w:rPr>
            <w:noProof/>
            <w:webHidden/>
          </w:rPr>
          <w:fldChar w:fldCharType="separate"/>
        </w:r>
        <w:r w:rsidR="000F066D">
          <w:rPr>
            <w:noProof/>
            <w:webHidden/>
          </w:rPr>
          <w:t>152</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54" w:history="1">
        <w:r w:rsidRPr="00C50158">
          <w:rPr>
            <w:rStyle w:val="Hyperlink"/>
            <w:noProof/>
          </w:rPr>
          <w:t>7.1. Faglitteratur</w:t>
        </w:r>
        <w:r>
          <w:rPr>
            <w:noProof/>
            <w:webHidden/>
          </w:rPr>
          <w:tab/>
        </w:r>
        <w:r>
          <w:rPr>
            <w:noProof/>
            <w:webHidden/>
          </w:rPr>
          <w:fldChar w:fldCharType="begin"/>
        </w:r>
        <w:r>
          <w:rPr>
            <w:noProof/>
            <w:webHidden/>
          </w:rPr>
          <w:instrText xml:space="preserve"> PAGEREF _Toc221546254 \h </w:instrText>
        </w:r>
        <w:r>
          <w:rPr>
            <w:noProof/>
            <w:webHidden/>
          </w:rPr>
        </w:r>
        <w:r>
          <w:rPr>
            <w:noProof/>
            <w:webHidden/>
          </w:rPr>
          <w:fldChar w:fldCharType="separate"/>
        </w:r>
        <w:r w:rsidR="000F066D">
          <w:rPr>
            <w:noProof/>
            <w:webHidden/>
          </w:rPr>
          <w:t>152</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55" w:history="1">
        <w:r w:rsidRPr="00C50158">
          <w:rPr>
            <w:rStyle w:val="Hyperlink"/>
            <w:noProof/>
          </w:rPr>
          <w:t>7.2 Vejledninger</w:t>
        </w:r>
        <w:r>
          <w:rPr>
            <w:noProof/>
            <w:webHidden/>
          </w:rPr>
          <w:tab/>
        </w:r>
        <w:r>
          <w:rPr>
            <w:noProof/>
            <w:webHidden/>
          </w:rPr>
          <w:fldChar w:fldCharType="begin"/>
        </w:r>
        <w:r>
          <w:rPr>
            <w:noProof/>
            <w:webHidden/>
          </w:rPr>
          <w:instrText xml:space="preserve"> PAGEREF _Toc221546255 \h </w:instrText>
        </w:r>
        <w:r>
          <w:rPr>
            <w:noProof/>
            <w:webHidden/>
          </w:rPr>
        </w:r>
        <w:r>
          <w:rPr>
            <w:noProof/>
            <w:webHidden/>
          </w:rPr>
          <w:fldChar w:fldCharType="separate"/>
        </w:r>
        <w:r w:rsidR="000F066D">
          <w:rPr>
            <w:noProof/>
            <w:webHidden/>
          </w:rPr>
          <w:t>153</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56" w:history="1">
        <w:r w:rsidRPr="00C50158">
          <w:rPr>
            <w:rStyle w:val="Hyperlink"/>
            <w:noProof/>
          </w:rPr>
          <w:t>7.3 Artikler</w:t>
        </w:r>
        <w:r>
          <w:rPr>
            <w:noProof/>
            <w:webHidden/>
          </w:rPr>
          <w:tab/>
        </w:r>
        <w:r>
          <w:rPr>
            <w:noProof/>
            <w:webHidden/>
          </w:rPr>
          <w:fldChar w:fldCharType="begin"/>
        </w:r>
        <w:r>
          <w:rPr>
            <w:noProof/>
            <w:webHidden/>
          </w:rPr>
          <w:instrText xml:space="preserve"> PAGEREF _Toc221546256 \h </w:instrText>
        </w:r>
        <w:r>
          <w:rPr>
            <w:noProof/>
            <w:webHidden/>
          </w:rPr>
        </w:r>
        <w:r>
          <w:rPr>
            <w:noProof/>
            <w:webHidden/>
          </w:rPr>
          <w:fldChar w:fldCharType="separate"/>
        </w:r>
        <w:r w:rsidR="000F066D">
          <w:rPr>
            <w:noProof/>
            <w:webHidden/>
          </w:rPr>
          <w:t>153</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57" w:history="1">
        <w:r w:rsidRPr="00C50158">
          <w:rPr>
            <w:rStyle w:val="Hyperlink"/>
            <w:noProof/>
          </w:rPr>
          <w:t>7.4 Hjemmesider</w:t>
        </w:r>
        <w:r>
          <w:rPr>
            <w:noProof/>
            <w:webHidden/>
          </w:rPr>
          <w:tab/>
        </w:r>
        <w:r>
          <w:rPr>
            <w:noProof/>
            <w:webHidden/>
          </w:rPr>
          <w:fldChar w:fldCharType="begin"/>
        </w:r>
        <w:r>
          <w:rPr>
            <w:noProof/>
            <w:webHidden/>
          </w:rPr>
          <w:instrText xml:space="preserve"> PAGEREF _Toc221546257 \h </w:instrText>
        </w:r>
        <w:r>
          <w:rPr>
            <w:noProof/>
            <w:webHidden/>
          </w:rPr>
        </w:r>
        <w:r>
          <w:rPr>
            <w:noProof/>
            <w:webHidden/>
          </w:rPr>
          <w:fldChar w:fldCharType="separate"/>
        </w:r>
        <w:r w:rsidR="000F066D">
          <w:rPr>
            <w:noProof/>
            <w:webHidden/>
          </w:rPr>
          <w:t>154</w:t>
        </w:r>
        <w:r>
          <w:rPr>
            <w:noProof/>
            <w:webHidden/>
          </w:rPr>
          <w:fldChar w:fldCharType="end"/>
        </w:r>
      </w:hyperlink>
    </w:p>
    <w:p w:rsidR="006911F3" w:rsidRDefault="006911F3">
      <w:pPr>
        <w:pStyle w:val="Indholdsfortegnelse2"/>
        <w:tabs>
          <w:tab w:val="right" w:leader="dot" w:pos="8494"/>
        </w:tabs>
        <w:rPr>
          <w:rFonts w:asciiTheme="minorHAnsi" w:eastAsiaTheme="minorEastAsia" w:hAnsiTheme="minorHAnsi" w:cstheme="minorBidi"/>
          <w:noProof/>
          <w:sz w:val="22"/>
          <w:lang w:eastAsia="da-DK"/>
        </w:rPr>
      </w:pPr>
      <w:hyperlink w:anchor="_Toc221546258" w:history="1">
        <w:r w:rsidRPr="00C50158">
          <w:rPr>
            <w:rStyle w:val="Hyperlink"/>
            <w:noProof/>
          </w:rPr>
          <w:t>7.5 Anvendte forkortelser</w:t>
        </w:r>
        <w:r>
          <w:rPr>
            <w:noProof/>
            <w:webHidden/>
          </w:rPr>
          <w:tab/>
        </w:r>
        <w:r>
          <w:rPr>
            <w:noProof/>
            <w:webHidden/>
          </w:rPr>
          <w:fldChar w:fldCharType="begin"/>
        </w:r>
        <w:r>
          <w:rPr>
            <w:noProof/>
            <w:webHidden/>
          </w:rPr>
          <w:instrText xml:space="preserve"> PAGEREF _Toc221546258 \h </w:instrText>
        </w:r>
        <w:r>
          <w:rPr>
            <w:noProof/>
            <w:webHidden/>
          </w:rPr>
        </w:r>
        <w:r>
          <w:rPr>
            <w:noProof/>
            <w:webHidden/>
          </w:rPr>
          <w:fldChar w:fldCharType="separate"/>
        </w:r>
        <w:r w:rsidR="000F066D">
          <w:rPr>
            <w:noProof/>
            <w:webHidden/>
          </w:rPr>
          <w:t>154</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59" w:history="1">
        <w:r w:rsidRPr="00C50158">
          <w:rPr>
            <w:rStyle w:val="Hyperlink"/>
            <w:noProof/>
          </w:rPr>
          <w:t>Bilag 1 – Gennemgående case-virksomhed A&amp;B I/S</w:t>
        </w:r>
        <w:r>
          <w:rPr>
            <w:noProof/>
            <w:webHidden/>
          </w:rPr>
          <w:tab/>
        </w:r>
        <w:r>
          <w:rPr>
            <w:noProof/>
            <w:webHidden/>
          </w:rPr>
          <w:fldChar w:fldCharType="begin"/>
        </w:r>
        <w:r>
          <w:rPr>
            <w:noProof/>
            <w:webHidden/>
          </w:rPr>
          <w:instrText xml:space="preserve"> PAGEREF _Toc221546259 \h </w:instrText>
        </w:r>
        <w:r>
          <w:rPr>
            <w:noProof/>
            <w:webHidden/>
          </w:rPr>
        </w:r>
        <w:r>
          <w:rPr>
            <w:noProof/>
            <w:webHidden/>
          </w:rPr>
          <w:fldChar w:fldCharType="separate"/>
        </w:r>
        <w:r w:rsidR="000F066D">
          <w:rPr>
            <w:noProof/>
            <w:webHidden/>
          </w:rPr>
          <w:t>155</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60" w:history="1">
        <w:r w:rsidRPr="00C50158">
          <w:rPr>
            <w:rStyle w:val="Hyperlink"/>
            <w:noProof/>
          </w:rPr>
          <w:t>Bilag 2 – Goodwill fordelt på interessenter ved overdragelse af ideel andel</w:t>
        </w:r>
        <w:r>
          <w:rPr>
            <w:noProof/>
            <w:webHidden/>
          </w:rPr>
          <w:tab/>
        </w:r>
        <w:r>
          <w:rPr>
            <w:noProof/>
            <w:webHidden/>
          </w:rPr>
          <w:fldChar w:fldCharType="begin"/>
        </w:r>
        <w:r>
          <w:rPr>
            <w:noProof/>
            <w:webHidden/>
          </w:rPr>
          <w:instrText xml:space="preserve"> PAGEREF _Toc221546260 \h </w:instrText>
        </w:r>
        <w:r>
          <w:rPr>
            <w:noProof/>
            <w:webHidden/>
          </w:rPr>
        </w:r>
        <w:r>
          <w:rPr>
            <w:noProof/>
            <w:webHidden/>
          </w:rPr>
          <w:fldChar w:fldCharType="separate"/>
        </w:r>
        <w:r w:rsidR="000F066D">
          <w:rPr>
            <w:noProof/>
            <w:webHidden/>
          </w:rPr>
          <w:t>160</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61" w:history="1">
        <w:r w:rsidRPr="00C50158">
          <w:rPr>
            <w:rStyle w:val="Hyperlink"/>
            <w:noProof/>
          </w:rPr>
          <w:t>Bilag 3 – Ejendomsavanceopgørelse ved beskattet overdragelse</w:t>
        </w:r>
        <w:r>
          <w:rPr>
            <w:noProof/>
            <w:webHidden/>
          </w:rPr>
          <w:tab/>
        </w:r>
        <w:r>
          <w:rPr>
            <w:noProof/>
            <w:webHidden/>
          </w:rPr>
          <w:fldChar w:fldCharType="begin"/>
        </w:r>
        <w:r>
          <w:rPr>
            <w:noProof/>
            <w:webHidden/>
          </w:rPr>
          <w:instrText xml:space="preserve"> PAGEREF _Toc221546261 \h </w:instrText>
        </w:r>
        <w:r>
          <w:rPr>
            <w:noProof/>
            <w:webHidden/>
          </w:rPr>
        </w:r>
        <w:r>
          <w:rPr>
            <w:noProof/>
            <w:webHidden/>
          </w:rPr>
          <w:fldChar w:fldCharType="separate"/>
        </w:r>
        <w:r w:rsidR="000F066D">
          <w:rPr>
            <w:noProof/>
            <w:webHidden/>
          </w:rPr>
          <w:t>161</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62" w:history="1">
        <w:r w:rsidRPr="00C50158">
          <w:rPr>
            <w:rStyle w:val="Hyperlink"/>
            <w:noProof/>
          </w:rPr>
          <w:t>Bilag 4 – Ejendomsavanceopgørelse ved optagelse af interessent</w:t>
        </w:r>
        <w:r>
          <w:rPr>
            <w:noProof/>
            <w:webHidden/>
          </w:rPr>
          <w:tab/>
        </w:r>
        <w:r>
          <w:rPr>
            <w:noProof/>
            <w:webHidden/>
          </w:rPr>
          <w:fldChar w:fldCharType="begin"/>
        </w:r>
        <w:r>
          <w:rPr>
            <w:noProof/>
            <w:webHidden/>
          </w:rPr>
          <w:instrText xml:space="preserve"> PAGEREF _Toc221546262 \h </w:instrText>
        </w:r>
        <w:r>
          <w:rPr>
            <w:noProof/>
            <w:webHidden/>
          </w:rPr>
        </w:r>
        <w:r>
          <w:rPr>
            <w:noProof/>
            <w:webHidden/>
          </w:rPr>
          <w:fldChar w:fldCharType="separate"/>
        </w:r>
        <w:r w:rsidR="000F066D">
          <w:rPr>
            <w:noProof/>
            <w:webHidden/>
          </w:rPr>
          <w:t>162</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63" w:history="1">
        <w:r w:rsidRPr="00C50158">
          <w:rPr>
            <w:rStyle w:val="Hyperlink"/>
            <w:noProof/>
          </w:rPr>
          <w:t>Bilag 5 – Beregning af passivposter ved succession</w:t>
        </w:r>
        <w:r>
          <w:rPr>
            <w:noProof/>
            <w:webHidden/>
          </w:rPr>
          <w:tab/>
        </w:r>
        <w:r>
          <w:rPr>
            <w:noProof/>
            <w:webHidden/>
          </w:rPr>
          <w:fldChar w:fldCharType="begin"/>
        </w:r>
        <w:r>
          <w:rPr>
            <w:noProof/>
            <w:webHidden/>
          </w:rPr>
          <w:instrText xml:space="preserve"> PAGEREF _Toc221546263 \h </w:instrText>
        </w:r>
        <w:r>
          <w:rPr>
            <w:noProof/>
            <w:webHidden/>
          </w:rPr>
        </w:r>
        <w:r>
          <w:rPr>
            <w:noProof/>
            <w:webHidden/>
          </w:rPr>
          <w:fldChar w:fldCharType="separate"/>
        </w:r>
        <w:r w:rsidR="000F066D">
          <w:rPr>
            <w:noProof/>
            <w:webHidden/>
          </w:rPr>
          <w:t>163</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64" w:history="1">
        <w:r w:rsidRPr="00C50158">
          <w:rPr>
            <w:rStyle w:val="Hyperlink"/>
            <w:noProof/>
          </w:rPr>
          <w:t>Bilag 6 – Goodwill beregning</w:t>
        </w:r>
        <w:r>
          <w:rPr>
            <w:noProof/>
            <w:webHidden/>
          </w:rPr>
          <w:tab/>
        </w:r>
        <w:r>
          <w:rPr>
            <w:noProof/>
            <w:webHidden/>
          </w:rPr>
          <w:fldChar w:fldCharType="begin"/>
        </w:r>
        <w:r>
          <w:rPr>
            <w:noProof/>
            <w:webHidden/>
          </w:rPr>
          <w:instrText xml:space="preserve"> PAGEREF _Toc221546264 \h </w:instrText>
        </w:r>
        <w:r>
          <w:rPr>
            <w:noProof/>
            <w:webHidden/>
          </w:rPr>
        </w:r>
        <w:r>
          <w:rPr>
            <w:noProof/>
            <w:webHidden/>
          </w:rPr>
          <w:fldChar w:fldCharType="separate"/>
        </w:r>
        <w:r w:rsidR="000F066D">
          <w:rPr>
            <w:noProof/>
            <w:webHidden/>
          </w:rPr>
          <w:t>164</w:t>
        </w:r>
        <w:r>
          <w:rPr>
            <w:noProof/>
            <w:webHidden/>
          </w:rPr>
          <w:fldChar w:fldCharType="end"/>
        </w:r>
      </w:hyperlink>
    </w:p>
    <w:p w:rsidR="006911F3" w:rsidRDefault="006911F3">
      <w:pPr>
        <w:pStyle w:val="Indholdsfortegnelse1"/>
        <w:tabs>
          <w:tab w:val="right" w:leader="dot" w:pos="8494"/>
        </w:tabs>
        <w:rPr>
          <w:rFonts w:asciiTheme="minorHAnsi" w:eastAsiaTheme="minorEastAsia" w:hAnsiTheme="minorHAnsi" w:cstheme="minorBidi"/>
          <w:noProof/>
          <w:sz w:val="22"/>
          <w:lang w:eastAsia="da-DK"/>
        </w:rPr>
      </w:pPr>
      <w:hyperlink w:anchor="_Toc221546265" w:history="1">
        <w:r w:rsidRPr="00C50158">
          <w:rPr>
            <w:rStyle w:val="Hyperlink"/>
            <w:noProof/>
          </w:rPr>
          <w:t>Bilag 7 – Beregning af skattepligtig formue</w:t>
        </w:r>
        <w:r>
          <w:rPr>
            <w:noProof/>
            <w:webHidden/>
          </w:rPr>
          <w:tab/>
        </w:r>
        <w:r>
          <w:rPr>
            <w:noProof/>
            <w:webHidden/>
          </w:rPr>
          <w:fldChar w:fldCharType="begin"/>
        </w:r>
        <w:r>
          <w:rPr>
            <w:noProof/>
            <w:webHidden/>
          </w:rPr>
          <w:instrText xml:space="preserve"> PAGEREF _Toc221546265 \h </w:instrText>
        </w:r>
        <w:r>
          <w:rPr>
            <w:noProof/>
            <w:webHidden/>
          </w:rPr>
        </w:r>
        <w:r>
          <w:rPr>
            <w:noProof/>
            <w:webHidden/>
          </w:rPr>
          <w:fldChar w:fldCharType="separate"/>
        </w:r>
        <w:r w:rsidR="000F066D">
          <w:rPr>
            <w:noProof/>
            <w:webHidden/>
          </w:rPr>
          <w:t>164</w:t>
        </w:r>
        <w:r>
          <w:rPr>
            <w:noProof/>
            <w:webHidden/>
          </w:rPr>
          <w:fldChar w:fldCharType="end"/>
        </w:r>
      </w:hyperlink>
    </w:p>
    <w:p w:rsidR="000062AE" w:rsidRDefault="00012FAC" w:rsidP="009872D1">
      <w:r>
        <w:fldChar w:fldCharType="end"/>
      </w:r>
    </w:p>
    <w:p w:rsidR="007A35E5" w:rsidRDefault="000062AE" w:rsidP="000062AE">
      <w:pPr>
        <w:pStyle w:val="Overskrift1"/>
      </w:pPr>
      <w:r>
        <w:br w:type="page"/>
      </w:r>
      <w:bookmarkStart w:id="0" w:name="_Toc221546174"/>
      <w:r w:rsidR="009432AA">
        <w:lastRenderedPageBreak/>
        <w:t xml:space="preserve">1. </w:t>
      </w:r>
      <w:r w:rsidR="007A35E5" w:rsidRPr="00CB04D2">
        <w:t>Indledning</w:t>
      </w:r>
      <w:r w:rsidR="00D93548">
        <w:t xml:space="preserve"> </w:t>
      </w:r>
      <w:r w:rsidR="00E75844" w:rsidRPr="00E75844">
        <w:rPr>
          <w:b w:val="0"/>
          <w:sz w:val="22"/>
          <w:szCs w:val="22"/>
        </w:rPr>
        <w:t>(Pernille og Jane)</w:t>
      </w:r>
      <w:bookmarkEnd w:id="0"/>
    </w:p>
    <w:p w:rsidR="007A35E5" w:rsidRDefault="007A35E5" w:rsidP="00AF4FDF">
      <w:r>
        <w:t>I vore overvejelser om valg af emnet til hovedopgave på cand. merc. aud. – studiet er vores interesse især faldet på generationsskifte og successionsmuligheder af virkso</w:t>
      </w:r>
      <w:r>
        <w:t>m</w:t>
      </w:r>
      <w:r>
        <w:t>hed drevet i personligt regi. Endvidere har vi erfaret, at der kan være særlige proble</w:t>
      </w:r>
      <w:r>
        <w:t>m</w:t>
      </w:r>
      <w:r>
        <w:t>stillinger omkring interessentskaber, hvorfor vi syntes at det ville være interessant at belyse generationsskifteproblematikken set ud fra interessentskabets synsvinkel.</w:t>
      </w:r>
    </w:p>
    <w:p w:rsidR="007A35E5" w:rsidRDefault="007A35E5" w:rsidP="00AF4FDF"/>
    <w:p w:rsidR="007A35E5" w:rsidRDefault="007A35E5" w:rsidP="00AF4FDF">
      <w:r>
        <w:t>Interessentskabsformen er interessant, fordi den kan bruges i mange forskellige sa</w:t>
      </w:r>
      <w:r>
        <w:t>m</w:t>
      </w:r>
      <w:r>
        <w:t>menhænge. I nogle erhverv er der tradition for at virksomheden drives i interessen</w:t>
      </w:r>
      <w:r>
        <w:t>t</w:t>
      </w:r>
      <w:r>
        <w:t>skabsformen, det ses ofte indenfor de liberale erhverv som f.eks. advokat- og revis</w:t>
      </w:r>
      <w:r>
        <w:t>i</w:t>
      </w:r>
      <w:r>
        <w:t>onsvirksomheder. I generationsskiftesituationen kunne interessentskabsformen være interessant, hvis man i generationsskiftet vil lave en glidende overgang fra den ældre til den yngre generation. Denne model ses ofte brug indenfor landbrugssektoren, hvor der generationsskiftes gradvist indenf</w:t>
      </w:r>
      <w:r w:rsidR="001327C7">
        <w:t>or en årrække mellem far og søn, og indenfor de liberale erhverv, hvor nye partnere optages og udtræder løbende.</w:t>
      </w:r>
      <w:r>
        <w:t xml:space="preserve"> </w:t>
      </w:r>
    </w:p>
    <w:p w:rsidR="007A35E5" w:rsidRDefault="007A35E5" w:rsidP="00AF4FDF">
      <w:r>
        <w:t>Endelig vil der være nogle helt særlige problemstillinger, når en virksomhed drevet i interessentskabsform står overfor generationsskifte. Det er disse problemstillinger vi vil søge at belyse og konkludere på i vores opgave.</w:t>
      </w:r>
    </w:p>
    <w:p w:rsidR="007A35E5" w:rsidRDefault="007A35E5" w:rsidP="00AF4FDF"/>
    <w:p w:rsidR="007A35E5" w:rsidRDefault="007A35E5" w:rsidP="00AF4FDF">
      <w:r>
        <w:t xml:space="preserve">Emnet omkring generationsskifte synes relevant for mange virksomhedsejere. </w:t>
      </w:r>
      <w:r w:rsidR="001327C7">
        <w:t xml:space="preserve">Det er de store eftertids krigs årgange, der nærmer sig pensionsalderen, samtidig med at der i dag er fokus på at stoppe på arbejdsmarkedet tidligere bl.a. ved at gå på efterløn. </w:t>
      </w:r>
      <w:r>
        <w:t>Der ses ofte artikler om emnet, hvor der angives meget store tal</w:t>
      </w:r>
      <w:r w:rsidR="00224A9D">
        <w:rPr>
          <w:rStyle w:val="Fodnotehenvisning"/>
        </w:rPr>
        <w:footnoteReference w:id="2"/>
      </w:r>
      <w:r>
        <w:t xml:space="preserve"> for antallet af virkso</w:t>
      </w:r>
      <w:r>
        <w:t>m</w:t>
      </w:r>
      <w:r>
        <w:lastRenderedPageBreak/>
        <w:t>heder, der inden for en overskuelig fremtid står overfor at skulle foretage generation</w:t>
      </w:r>
      <w:r>
        <w:t>s</w:t>
      </w:r>
      <w:r>
        <w:t>skifte. I praksis ses det desværre også at kompleksiteten af generationsskiftet kommer bag på virksomhedsejeren og derfor gør tidspresset, at det ikke er muligt at gennemf</w:t>
      </w:r>
      <w:r>
        <w:t>ø</w:t>
      </w:r>
      <w:r>
        <w:t>re den ønskede optimale løsning</w:t>
      </w:r>
      <w:r w:rsidR="00E732C5">
        <w:rPr>
          <w:rStyle w:val="Fodnotehenvisning"/>
        </w:rPr>
        <w:footnoteReference w:id="3"/>
      </w:r>
      <w:r>
        <w:t>.</w:t>
      </w:r>
      <w:r w:rsidR="00E732C5">
        <w:t xml:space="preserve"> </w:t>
      </w:r>
    </w:p>
    <w:p w:rsidR="007A35E5" w:rsidRDefault="007A35E5" w:rsidP="00AF4FDF"/>
    <w:p w:rsidR="007A35E5" w:rsidRDefault="007A35E5" w:rsidP="00AF4FDF">
      <w:r>
        <w:t>I forbindelse med et generationsskifte vil der være mange overvejelser der skal gøres; f.eks.</w:t>
      </w:r>
      <w:r w:rsidR="00E732C5">
        <w:t>:</w:t>
      </w:r>
    </w:p>
    <w:p w:rsidR="007A35E5" w:rsidRDefault="007A35E5" w:rsidP="002F4E41">
      <w:pPr>
        <w:numPr>
          <w:ilvl w:val="0"/>
          <w:numId w:val="7"/>
        </w:numPr>
        <w:ind w:left="777" w:hanging="357"/>
      </w:pPr>
      <w:r>
        <w:t>Hensynet til den ældre generation</w:t>
      </w:r>
    </w:p>
    <w:p w:rsidR="007A35E5" w:rsidRDefault="007A35E5" w:rsidP="002F4E41">
      <w:pPr>
        <w:numPr>
          <w:ilvl w:val="0"/>
          <w:numId w:val="7"/>
        </w:numPr>
        <w:ind w:left="777" w:hanging="357"/>
      </w:pPr>
      <w:r>
        <w:t>Hensynet til den yngre generation</w:t>
      </w:r>
    </w:p>
    <w:p w:rsidR="007A35E5" w:rsidRDefault="007A35E5" w:rsidP="002F4E41">
      <w:pPr>
        <w:numPr>
          <w:ilvl w:val="0"/>
          <w:numId w:val="7"/>
        </w:numPr>
        <w:ind w:left="777" w:hanging="357"/>
      </w:pPr>
      <w:r>
        <w:t>Virksomhedens tarv og den fremtidige indtjening</w:t>
      </w:r>
    </w:p>
    <w:p w:rsidR="007A35E5" w:rsidRDefault="007A35E5" w:rsidP="002F4E41">
      <w:pPr>
        <w:numPr>
          <w:ilvl w:val="0"/>
          <w:numId w:val="7"/>
        </w:numPr>
        <w:ind w:left="777" w:hanging="357"/>
      </w:pPr>
      <w:r>
        <w:t>Fremtidige værdistigninger</w:t>
      </w:r>
    </w:p>
    <w:p w:rsidR="007A35E5" w:rsidRDefault="007A35E5" w:rsidP="002F4E41">
      <w:pPr>
        <w:numPr>
          <w:ilvl w:val="0"/>
          <w:numId w:val="7"/>
        </w:numPr>
        <w:ind w:left="777" w:hanging="357"/>
      </w:pPr>
      <w:r>
        <w:t>Skatte- og afgiftsforhold ved generationsskiftet</w:t>
      </w:r>
      <w:r>
        <w:rPr>
          <w:rStyle w:val="Fodnotehenvisning"/>
        </w:rPr>
        <w:footnoteReference w:id="4"/>
      </w:r>
      <w:r>
        <w:t>.</w:t>
      </w:r>
    </w:p>
    <w:p w:rsidR="007A35E5" w:rsidRDefault="007A35E5" w:rsidP="00AF4FDF">
      <w:pPr>
        <w:ind w:left="60"/>
      </w:pPr>
    </w:p>
    <w:p w:rsidR="007A35E5" w:rsidRDefault="007A35E5" w:rsidP="00AF4FDF">
      <w:pPr>
        <w:ind w:left="60"/>
      </w:pPr>
      <w:r>
        <w:t>Det vil for de fleste ofte være sådan</w:t>
      </w:r>
      <w:r w:rsidR="00680292">
        <w:t>,</w:t>
      </w:r>
      <w:r>
        <w:t xml:space="preserve"> at der i mange generationsskifte primært fokus</w:t>
      </w:r>
      <w:r>
        <w:t>e</w:t>
      </w:r>
      <w:r>
        <w:t>res på de skatte- og afgiftsmæssige konsekvenser og derved tager mindre hensyn til virksomheden.</w:t>
      </w:r>
    </w:p>
    <w:p w:rsidR="007A35E5" w:rsidRDefault="007A35E5" w:rsidP="00AF4FDF">
      <w:pPr>
        <w:ind w:left="60"/>
      </w:pPr>
    </w:p>
    <w:p w:rsidR="007A35E5" w:rsidRDefault="007A35E5" w:rsidP="00AF4FDF">
      <w:pPr>
        <w:ind w:left="60"/>
      </w:pPr>
      <w:r>
        <w:t xml:space="preserve">I vores valg af emne, synes vi det ville være interessent at belyse, </w:t>
      </w:r>
      <w:r w:rsidR="009D1BD7">
        <w:t>hvilke</w:t>
      </w:r>
      <w:r>
        <w:t xml:space="preserve"> skattebegu</w:t>
      </w:r>
      <w:r>
        <w:t>n</w:t>
      </w:r>
      <w:r>
        <w:t>stigede modeller</w:t>
      </w:r>
      <w:r w:rsidR="009D1BD7">
        <w:t xml:space="preserve"> der er etableret</w:t>
      </w:r>
      <w:r>
        <w:t xml:space="preserve">, ligesom vi ønsker at finde ud af hvilken interesse, der har været for lovgiver at etablere ordningerne. </w:t>
      </w:r>
    </w:p>
    <w:p w:rsidR="007A35E5" w:rsidRDefault="007A35E5" w:rsidP="00AF4FDF">
      <w:pPr>
        <w:ind w:left="60"/>
      </w:pPr>
      <w:r>
        <w:t xml:space="preserve">Vi har et ønske om at analysere de skattebegunstigede modeller, for at give mulighed for at kunne vurdere, hvornår en model er mere hensigtsmæssig end en anden. Dette </w:t>
      </w:r>
      <w:r>
        <w:lastRenderedPageBreak/>
        <w:t>vil naturligt være tilfældet at en model ikke passer alle, da virksomheder er meget fo</w:t>
      </w:r>
      <w:r>
        <w:t>r</w:t>
      </w:r>
      <w:r>
        <w:t>skellige. Det vil måske endda kunne påvises, at der ikke vil være fordel forbundet med at bruge en skattemæssigt begunstiget model, men i stedet foretage en beskattet overdragelse.</w:t>
      </w:r>
    </w:p>
    <w:p w:rsidR="007A35E5" w:rsidRDefault="007A35E5" w:rsidP="00AF4FDF">
      <w:pPr>
        <w:ind w:left="60"/>
      </w:pPr>
    </w:p>
    <w:p w:rsidR="007A35E5" w:rsidRDefault="007A35E5" w:rsidP="00AF4FDF">
      <w:pPr>
        <w:ind w:left="60"/>
      </w:pPr>
      <w:r>
        <w:t>Vi vil analysere såvel erhververen som overdragerens situation i de forskellige mode</w:t>
      </w:r>
      <w:r>
        <w:t>l</w:t>
      </w:r>
      <w:r>
        <w:t xml:space="preserve">ler. Vil der eksempelvis være sammenfaldende interesseforhold i et generationsskifte i familieforhold, sådan at </w:t>
      </w:r>
      <w:r w:rsidR="009D1BD7">
        <w:t xml:space="preserve">en model </w:t>
      </w:r>
      <w:r>
        <w:t xml:space="preserve">kan være </w:t>
      </w:r>
      <w:r w:rsidR="009D1BD7">
        <w:t>hensigtsmæssig</w:t>
      </w:r>
      <w:r>
        <w:t xml:space="preserve"> for begge parter og hvilke </w:t>
      </w:r>
      <w:r w:rsidR="00910EE3">
        <w:t>konsekvenser</w:t>
      </w:r>
      <w:r>
        <w:t xml:space="preserve"> vil valg af en given model have. </w:t>
      </w:r>
    </w:p>
    <w:p w:rsidR="007A35E5" w:rsidRDefault="007A35E5" w:rsidP="00AF4FDF">
      <w:pPr>
        <w:ind w:left="60"/>
      </w:pPr>
    </w:p>
    <w:p w:rsidR="007A35E5" w:rsidRDefault="007A35E5" w:rsidP="00AF4FDF">
      <w:pPr>
        <w:ind w:left="60"/>
      </w:pPr>
      <w:r>
        <w:t>I nær tilknytning til generationsskifteemnet vil være emnet om pensionering</w:t>
      </w:r>
      <w:r w:rsidR="00962755">
        <w:t xml:space="preserve"> for ove</w:t>
      </w:r>
      <w:r w:rsidR="00962755">
        <w:t>r</w:t>
      </w:r>
      <w:r w:rsidR="00962755">
        <w:t>drageren og opsparingsmuligheder for erhververen</w:t>
      </w:r>
      <w:r>
        <w:t>. Der er generelt fra mange sider stor fokus på, at man skal huske at tænke på den tredje alder. Det er en generel opfa</w:t>
      </w:r>
      <w:r>
        <w:t>t</w:t>
      </w:r>
      <w:r>
        <w:t>telse at opsparing til otiummet ikke kan påbegyndes tidligt nok. Mange virksomheds</w:t>
      </w:r>
      <w:r>
        <w:t>e</w:t>
      </w:r>
      <w:r>
        <w:t>jere gi</w:t>
      </w:r>
      <w:r w:rsidR="00962755">
        <w:t>ver ofte udtryk for at</w:t>
      </w:r>
      <w:r>
        <w:t xml:space="preserve"> deres virksomhed er deres pensionsopspa</w:t>
      </w:r>
      <w:r w:rsidR="00962755">
        <w:t>ring.</w:t>
      </w:r>
      <w:r>
        <w:t xml:space="preserve"> </w:t>
      </w:r>
      <w:r w:rsidR="00962755">
        <w:t xml:space="preserve">Det </w:t>
      </w:r>
      <w:r>
        <w:t>kan i den henseende være et problem at virksomhedsejeren har satset ”på én hest” og der</w:t>
      </w:r>
      <w:r w:rsidR="00962755">
        <w:t>med</w:t>
      </w:r>
      <w:r>
        <w:t xml:space="preserve"> være </w:t>
      </w:r>
      <w:r w:rsidR="00962755">
        <w:t xml:space="preserve">en </w:t>
      </w:r>
      <w:r>
        <w:t>risiko for at denne pensionsopsparing ikke helt har den forventede vær</w:t>
      </w:r>
      <w:r w:rsidR="00962755">
        <w:t>di eller at erhververen og virksomheden ikke kan finansiere denne pris.</w:t>
      </w:r>
      <w:r>
        <w:t xml:space="preserve"> </w:t>
      </w:r>
    </w:p>
    <w:p w:rsidR="00962755" w:rsidRDefault="00962755" w:rsidP="00AF4FDF">
      <w:pPr>
        <w:ind w:left="60"/>
      </w:pPr>
    </w:p>
    <w:p w:rsidR="007A35E5" w:rsidRPr="001829EC" w:rsidRDefault="007A35E5" w:rsidP="00AF4FDF">
      <w:r>
        <w:t xml:space="preserve">Sammenlagt finder vi at emnet og de </w:t>
      </w:r>
      <w:r w:rsidR="00910EE3">
        <w:t>tilgrænsende</w:t>
      </w:r>
      <w:r>
        <w:t xml:space="preserve"> emner vil være relevante for en statsautoriseret revisors virke. De primære arbejdsområder </w:t>
      </w:r>
      <w:r w:rsidR="00962755">
        <w:t xml:space="preserve">for en revisor </w:t>
      </w:r>
      <w:r>
        <w:t>vil være rev</w:t>
      </w:r>
      <w:r>
        <w:t>i</w:t>
      </w:r>
      <w:r>
        <w:t xml:space="preserve">sion og regnskab og </w:t>
      </w:r>
      <w:r w:rsidR="00910EE3">
        <w:t>tilgrænsende</w:t>
      </w:r>
      <w:r>
        <w:t xml:space="preserve"> områder i tilknytning hertil vil være skat og rådgi</w:t>
      </w:r>
      <w:r>
        <w:t>v</w:t>
      </w:r>
      <w:r>
        <w:t>ning. Ofte vil revisor være den der kender virksomhedsejerens behov og ønsker for en kommende pensionering. Måske vil det være revisor, der gør virksomhedsejeren o</w:t>
      </w:r>
      <w:r>
        <w:t>p</w:t>
      </w:r>
      <w:r>
        <w:t>mærksom på at det er ved at være på tide at få tænkte på generationsskiftet og hvad der i denne forbindelse skal ske med virksomheden. En virksomhed, der har været dr</w:t>
      </w:r>
      <w:r>
        <w:t>e</w:t>
      </w:r>
      <w:r>
        <w:t>vet i mange år vil netop kunne have store latente skatteforpligtelser og derfor vil det være relevant at overveje en skattebegunstiget generationsskifte model.</w:t>
      </w:r>
    </w:p>
    <w:p w:rsidR="007A35E5" w:rsidRDefault="007A35E5" w:rsidP="00AF4FDF"/>
    <w:p w:rsidR="007A35E5" w:rsidRDefault="007A35E5" w:rsidP="00AF4FDF">
      <w:r>
        <w:lastRenderedPageBreak/>
        <w:t>Ovenstående giver anledning til følgende problemformulering:</w:t>
      </w:r>
    </w:p>
    <w:p w:rsidR="007A35E5" w:rsidRDefault="007A35E5" w:rsidP="00AF4FDF"/>
    <w:p w:rsidR="007A35E5" w:rsidRPr="00AA37F2" w:rsidRDefault="007A35E5" w:rsidP="00AF4FDF">
      <w:pPr>
        <w:pBdr>
          <w:top w:val="single" w:sz="4" w:space="1" w:color="auto"/>
          <w:left w:val="single" w:sz="4" w:space="4" w:color="auto"/>
          <w:bottom w:val="single" w:sz="4" w:space="1" w:color="auto"/>
          <w:right w:val="single" w:sz="4" w:space="4" w:color="auto"/>
        </w:pBdr>
        <w:rPr>
          <w:b/>
        </w:rPr>
      </w:pPr>
      <w:r w:rsidRPr="00AA37F2">
        <w:rPr>
          <w:b/>
        </w:rPr>
        <w:t>Vi ønsker at analysere problemstillinger ved generationsskifte af interessentskaber, samt analysere skattemæssige konsekvenser både for overdrageren og erhververen i forskellige generationsskiftemodeller.</w:t>
      </w:r>
    </w:p>
    <w:p w:rsidR="007A35E5" w:rsidRDefault="007A35E5" w:rsidP="00AF4FDF"/>
    <w:p w:rsidR="007A35E5" w:rsidRPr="0076575F" w:rsidRDefault="009432AA" w:rsidP="009432AA">
      <w:pPr>
        <w:pStyle w:val="Overskrift2"/>
      </w:pPr>
      <w:bookmarkStart w:id="1" w:name="_Toc212806408"/>
      <w:bookmarkStart w:id="2" w:name="_Toc221546175"/>
      <w:r>
        <w:t xml:space="preserve">1.1 </w:t>
      </w:r>
      <w:r w:rsidR="007A35E5" w:rsidRPr="009432AA">
        <w:t>Problemstillinger og hovedspørgsmål</w:t>
      </w:r>
      <w:bookmarkEnd w:id="1"/>
      <w:r w:rsidR="00627158">
        <w:t xml:space="preserve"> </w:t>
      </w:r>
      <w:r w:rsidR="00627158" w:rsidRPr="00E75844">
        <w:rPr>
          <w:b w:val="0"/>
          <w:sz w:val="22"/>
          <w:szCs w:val="22"/>
        </w:rPr>
        <w:t>(Pernille og Jane)</w:t>
      </w:r>
      <w:bookmarkEnd w:id="2"/>
    </w:p>
    <w:p w:rsidR="007A35E5" w:rsidRDefault="007A35E5" w:rsidP="009432AA">
      <w:r>
        <w:t>Med udgangspunkt i problemformuleringen vil der opgaveløsningen søgt besvarelse på følgende spørgsmål og problemstillinger:</w:t>
      </w:r>
    </w:p>
    <w:p w:rsidR="007A35E5" w:rsidRDefault="007A35E5" w:rsidP="002F4E41">
      <w:pPr>
        <w:pStyle w:val="Listeafsnit"/>
        <w:numPr>
          <w:ilvl w:val="0"/>
          <w:numId w:val="4"/>
        </w:numPr>
      </w:pPr>
      <w:r>
        <w:t>Hvilke overvejelser skal der gøres forud for generationsskifte, eksempelvis tid</w:t>
      </w:r>
      <w:r>
        <w:t>s</w:t>
      </w:r>
      <w:r>
        <w:t>horisonten i processen?</w:t>
      </w:r>
    </w:p>
    <w:p w:rsidR="007A35E5" w:rsidRDefault="007A35E5" w:rsidP="002F4E41">
      <w:pPr>
        <w:pStyle w:val="Listeafsnit"/>
        <w:numPr>
          <w:ilvl w:val="0"/>
          <w:numId w:val="4"/>
        </w:numPr>
      </w:pPr>
      <w:r>
        <w:t>Hvilke hensyn skal man tage til virksomhedens fortsatte drift.</w:t>
      </w:r>
    </w:p>
    <w:p w:rsidR="007A35E5" w:rsidRDefault="007A35E5" w:rsidP="002F4E41">
      <w:pPr>
        <w:pStyle w:val="Listeafsnit"/>
        <w:numPr>
          <w:ilvl w:val="0"/>
          <w:numId w:val="4"/>
        </w:numPr>
      </w:pPr>
      <w:r>
        <w:t>Hvilke modeller er der for generationsskifte hvor virksomheden fortsætter i personligt regi herunder ved en erhverver eller flere?</w:t>
      </w:r>
    </w:p>
    <w:p w:rsidR="007A35E5" w:rsidRDefault="007A35E5" w:rsidP="002F4E41">
      <w:pPr>
        <w:pStyle w:val="Listeafsnit"/>
        <w:numPr>
          <w:ilvl w:val="0"/>
          <w:numId w:val="4"/>
        </w:numPr>
      </w:pPr>
      <w:r>
        <w:t>Hvilke problemstillinger opstår der, hvis ikke alle interessenter er parat til at generationsskifte?</w:t>
      </w:r>
    </w:p>
    <w:p w:rsidR="007A35E5" w:rsidRPr="007D4313" w:rsidRDefault="007A35E5" w:rsidP="002F4E41">
      <w:pPr>
        <w:pStyle w:val="Listeafsnit"/>
        <w:numPr>
          <w:ilvl w:val="0"/>
          <w:numId w:val="4"/>
        </w:numPr>
      </w:pPr>
      <w:r>
        <w:t>Hvilke modeller er mindst kapitalkrævende for erhververen?</w:t>
      </w:r>
    </w:p>
    <w:p w:rsidR="007A35E5" w:rsidRPr="007D4313" w:rsidRDefault="007A35E5" w:rsidP="002F4E41">
      <w:pPr>
        <w:pStyle w:val="Listeafsnit"/>
        <w:numPr>
          <w:ilvl w:val="0"/>
          <w:numId w:val="4"/>
        </w:numPr>
      </w:pPr>
      <w:r>
        <w:t>Hvilke krav i modellerne kan være problematiske i forhold til I/S?</w:t>
      </w:r>
    </w:p>
    <w:p w:rsidR="00B34334" w:rsidRDefault="007A35E5" w:rsidP="00B34334">
      <w:pPr>
        <w:pStyle w:val="Listeafsnit"/>
        <w:numPr>
          <w:ilvl w:val="0"/>
          <w:numId w:val="4"/>
        </w:numPr>
      </w:pPr>
      <w:r>
        <w:t>Hvilke skattemæssige konsekvenser har de beskrevne modeller for overdrag</w:t>
      </w:r>
      <w:r>
        <w:t>e</w:t>
      </w:r>
      <w:r>
        <w:t>ren og erhververen?</w:t>
      </w:r>
      <w:r w:rsidR="00B34334" w:rsidRPr="00B34334">
        <w:t xml:space="preserve"> </w:t>
      </w:r>
    </w:p>
    <w:p w:rsidR="00B34334" w:rsidRDefault="00B34334" w:rsidP="00B34334">
      <w:pPr>
        <w:pStyle w:val="Listeafsnit"/>
        <w:numPr>
          <w:ilvl w:val="0"/>
          <w:numId w:val="4"/>
        </w:numPr>
      </w:pPr>
      <w:r>
        <w:t xml:space="preserve">Hvad er fordele og ulemper ved de forskellige modeller for den fortsatte drift af virksomheden? </w:t>
      </w:r>
    </w:p>
    <w:p w:rsidR="00B34334" w:rsidRPr="007D4313" w:rsidRDefault="00B34334" w:rsidP="00B34334">
      <w:pPr>
        <w:pStyle w:val="Listeafsnit"/>
        <w:numPr>
          <w:ilvl w:val="0"/>
          <w:numId w:val="4"/>
        </w:numPr>
      </w:pPr>
      <w:r>
        <w:t>Hvilke skattemæssige konsekvenser har de beskrevne modeller for overdrag</w:t>
      </w:r>
      <w:r>
        <w:t>e</w:t>
      </w:r>
      <w:r>
        <w:t>ren og erhververen, herunder latente skatteforpligtigelser for erhververen og eksempelvis ophørspension for overdrageren.</w:t>
      </w:r>
    </w:p>
    <w:p w:rsidR="007A35E5" w:rsidRDefault="00B34334" w:rsidP="00B34334">
      <w:pPr>
        <w:pStyle w:val="Listeafsnit"/>
        <w:numPr>
          <w:ilvl w:val="0"/>
          <w:numId w:val="4"/>
        </w:numPr>
      </w:pPr>
      <w:r>
        <w:t>Hvilke muligheder har overdrageren for at mindske eller udskyde beskatning?</w:t>
      </w:r>
    </w:p>
    <w:p w:rsidR="007A35E5" w:rsidRDefault="007A35E5" w:rsidP="002F4E41">
      <w:pPr>
        <w:pStyle w:val="Listeafsnit"/>
        <w:numPr>
          <w:ilvl w:val="0"/>
          <w:numId w:val="4"/>
        </w:numPr>
      </w:pPr>
      <w:r>
        <w:t>Hvilke modeller er der for generationsskifte, hvor virksomheden fortsætter i selskabsregi?</w:t>
      </w:r>
    </w:p>
    <w:p w:rsidR="007A35E5" w:rsidRDefault="007A35E5" w:rsidP="002F4E41">
      <w:pPr>
        <w:pStyle w:val="Listeafsnit"/>
        <w:numPr>
          <w:ilvl w:val="0"/>
          <w:numId w:val="4"/>
        </w:numPr>
      </w:pPr>
      <w:r>
        <w:lastRenderedPageBreak/>
        <w:t>Hvad er fordele og ulemper ved de forskellige modeller</w:t>
      </w:r>
      <w:r w:rsidR="007A76AE">
        <w:t xml:space="preserve"> i selskabsform</w:t>
      </w:r>
      <w:r>
        <w:t xml:space="preserve"> for ove</w:t>
      </w:r>
      <w:r>
        <w:t>r</w:t>
      </w:r>
      <w:r>
        <w:t>drager og erhverver?</w:t>
      </w:r>
    </w:p>
    <w:p w:rsidR="007A35E5" w:rsidRDefault="007A35E5" w:rsidP="00AF4FDF">
      <w:bookmarkStart w:id="3" w:name="_Toc212806409"/>
    </w:p>
    <w:p w:rsidR="007A35E5" w:rsidRPr="00975C44" w:rsidRDefault="009432AA" w:rsidP="009432AA">
      <w:pPr>
        <w:pStyle w:val="Overskrift2"/>
      </w:pPr>
      <w:bookmarkStart w:id="4" w:name="_Ref219212294"/>
      <w:bookmarkStart w:id="5" w:name="_Toc221546176"/>
      <w:r>
        <w:t xml:space="preserve">1.2 </w:t>
      </w:r>
      <w:r w:rsidR="007A35E5">
        <w:t>Afgrænsninger</w:t>
      </w:r>
      <w:bookmarkEnd w:id="3"/>
      <w:bookmarkEnd w:id="4"/>
      <w:r w:rsidR="00627158">
        <w:t xml:space="preserve"> </w:t>
      </w:r>
      <w:r w:rsidR="00627158" w:rsidRPr="00E75844">
        <w:rPr>
          <w:b w:val="0"/>
          <w:sz w:val="22"/>
          <w:szCs w:val="22"/>
        </w:rPr>
        <w:t>(Pernille og Jane)</w:t>
      </w:r>
      <w:bookmarkEnd w:id="5"/>
    </w:p>
    <w:p w:rsidR="007A35E5" w:rsidRDefault="007A35E5" w:rsidP="009432AA">
      <w:r>
        <w:t>Da en hovedopgave af denne type giver begrænsede muligheder med hensyn til tid til opgaveløsning og mængden af sider til rådighed, er det nødvendigt at foretage a</w:t>
      </w:r>
      <w:r>
        <w:t>f</w:t>
      </w:r>
      <w:r>
        <w:t>grænsninger i forhold til pro</w:t>
      </w:r>
      <w:r>
        <w:softHyphen/>
        <w:t>blemformuleringen. Der er derfor valgt at foretage følge</w:t>
      </w:r>
      <w:r>
        <w:t>n</w:t>
      </w:r>
      <w:r>
        <w:t>de afgrænsninger:</w:t>
      </w:r>
    </w:p>
    <w:p w:rsidR="007A35E5" w:rsidRDefault="007A35E5" w:rsidP="00AF4FDF">
      <w:r>
        <w:t>Der afgrænses fra interessentskaber, hvor interessenterne består af kapitalse</w:t>
      </w:r>
      <w:r w:rsidR="007A76AE">
        <w:t>lskaber (eks. A/S’er og ApS’er).</w:t>
      </w:r>
      <w:r>
        <w:t xml:space="preserve"> </w:t>
      </w:r>
      <w:r w:rsidR="007A76AE">
        <w:t>D</w:t>
      </w:r>
      <w:r>
        <w:t>er vil derfor være fokus på interessentskaber bestående af fysi</w:t>
      </w:r>
      <w:r w:rsidR="007A76AE">
        <w:t>ske personer i levende live, og d</w:t>
      </w:r>
      <w:r>
        <w:t>er afgrænses således overfor generationsskifte af dødsboer. Endvidere afgrænses fra generationsskifte mellem ægtefæller.</w:t>
      </w:r>
    </w:p>
    <w:p w:rsidR="00B34334" w:rsidRDefault="00B34334" w:rsidP="00AF4FDF"/>
    <w:p w:rsidR="007A35E5" w:rsidRDefault="007A35E5" w:rsidP="00AF4FDF">
      <w:r>
        <w:t>Som udgangspunkt er der valgt hovedfokus på skattemæssige forhold i forbindelse med de valgte generationsskiftemodeller. Der er således foretaget afgrænsning ove</w:t>
      </w:r>
      <w:r>
        <w:t>r</w:t>
      </w:r>
      <w:r>
        <w:t>for eventuelle regnskabsmæssige problemstillinger. Der vil dog kunne forekomme in</w:t>
      </w:r>
      <w:r>
        <w:t>d</w:t>
      </w:r>
      <w:r>
        <w:t>dragelse af selskabsretlige forhold i forbindelse med stiftelse og omstrukturering af sels</w:t>
      </w:r>
      <w:r w:rsidR="007A76AE">
        <w:t>kaber for forståelsens skyld. D</w:t>
      </w:r>
      <w:r>
        <w:t>er vil således ikke kunne forventes en udtømmende gennemgang af selskabsretlige forhold men alene gennemgang af de væ</w:t>
      </w:r>
      <w:r>
        <w:softHyphen/>
        <w:t>sent</w:t>
      </w:r>
      <w:r>
        <w:softHyphen/>
        <w:t>ligste b</w:t>
      </w:r>
      <w:r>
        <w:t>e</w:t>
      </w:r>
      <w:r>
        <w:t>tingelser.</w:t>
      </w:r>
    </w:p>
    <w:p w:rsidR="00B34334" w:rsidRDefault="00B34334" w:rsidP="00AF4FDF"/>
    <w:p w:rsidR="007A35E5" w:rsidRDefault="007A35E5" w:rsidP="00AF4FDF">
      <w:r>
        <w:t>Der afgrænses fra juridiske forhold omkring generationsskiftemodellerne, da dette vil være udenfor en revisors virke. Det vil selvsagt være naturligt at inddrage en advokat i disse problemstillinger, da der er en naturlig faggrænse mellem advokater og revisorer.</w:t>
      </w:r>
    </w:p>
    <w:p w:rsidR="00974F32" w:rsidRDefault="00974F32" w:rsidP="00676A46"/>
    <w:p w:rsidR="007A35E5" w:rsidRDefault="007A35E5" w:rsidP="00676A46">
      <w:r>
        <w:t xml:space="preserve">I afsnittet om </w:t>
      </w:r>
      <w:r w:rsidR="007A76AE">
        <w:t>omstruktureringer</w:t>
      </w:r>
      <w:r>
        <w:t xml:space="preserve"> </w:t>
      </w:r>
      <w:r w:rsidR="007A76AE">
        <w:t xml:space="preserve">af selskaber </w:t>
      </w:r>
      <w:r>
        <w:t xml:space="preserve">afgrænses fra grænseoverskridende </w:t>
      </w:r>
      <w:r w:rsidR="007A76AE">
        <w:t>o</w:t>
      </w:r>
      <w:r w:rsidR="007A76AE">
        <w:t>m</w:t>
      </w:r>
      <w:r w:rsidR="007A76AE">
        <w:t xml:space="preserve">struktureringer dvs. </w:t>
      </w:r>
      <w:r>
        <w:t>mellem dan</w:t>
      </w:r>
      <w:r w:rsidR="007A76AE">
        <w:t>ske og udenlandske selskaber</w:t>
      </w:r>
      <w:r>
        <w:t xml:space="preserve"> og </w:t>
      </w:r>
      <w:r w:rsidR="007A76AE">
        <w:t>omstruktureringer af</w:t>
      </w:r>
      <w:r>
        <w:t xml:space="preserve"> alle andre typer selskab/fonde/foreninger end aktieselskaber og anpartsselska</w:t>
      </w:r>
      <w:r w:rsidR="007A76AE">
        <w:t>ber.</w:t>
      </w:r>
      <w:r w:rsidR="00B34334">
        <w:t xml:space="preserve"> </w:t>
      </w:r>
    </w:p>
    <w:p w:rsidR="00B34334" w:rsidRDefault="007A35E5" w:rsidP="009432AA">
      <w:r>
        <w:lastRenderedPageBreak/>
        <w:t>Der afgrænses for detaljerede og specifikke forhold omkring sambeskatning, herunder international sambeskatning. Der omtales i begrænset omfang national sambeska</w:t>
      </w:r>
      <w:r>
        <w:t>t</w:t>
      </w:r>
      <w:r>
        <w:t>ning, hvor dette har en naturlig sammenhæng til det behandlede emne.</w:t>
      </w:r>
      <w:r w:rsidR="00B34334">
        <w:t xml:space="preserve"> </w:t>
      </w:r>
    </w:p>
    <w:p w:rsidR="007A35E5" w:rsidRDefault="00B34334" w:rsidP="009432AA">
      <w:r>
        <w:t>Der foretages således ikke en dybdegående gennemgang af mulighederne for at ge</w:t>
      </w:r>
      <w:r>
        <w:t>n</w:t>
      </w:r>
      <w:r>
        <w:t xml:space="preserve">nemføre generationsskifte i selskabsform, men der </w:t>
      </w:r>
      <w:r w:rsidR="003F3B2E">
        <w:t xml:space="preserve">er </w:t>
      </w:r>
      <w:r>
        <w:t>beskrevet nogle</w:t>
      </w:r>
      <w:r w:rsidR="00B46F42">
        <w:t xml:space="preserve"> udvalgte</w:t>
      </w:r>
      <w:r>
        <w:t xml:space="preserve"> v</w:t>
      </w:r>
      <w:r>
        <w:t>æ</w:t>
      </w:r>
      <w:r>
        <w:t>sentlige modeller og metoder, der synes mest relevante for denne opgaves proble</w:t>
      </w:r>
      <w:r>
        <w:t>m</w:t>
      </w:r>
      <w:r>
        <w:t>stilling.</w:t>
      </w:r>
    </w:p>
    <w:p w:rsidR="007A35E5" w:rsidRDefault="007A35E5" w:rsidP="009432AA"/>
    <w:p w:rsidR="00974F32" w:rsidRDefault="00974F32" w:rsidP="00974F32">
      <w:r>
        <w:t>Informationsindsamling er ophørt ultimo december 2008.</w:t>
      </w:r>
    </w:p>
    <w:p w:rsidR="00974F32" w:rsidRDefault="00974F32" w:rsidP="009432AA"/>
    <w:p w:rsidR="007A35E5" w:rsidRDefault="009432AA" w:rsidP="009432AA">
      <w:pPr>
        <w:pStyle w:val="Overskrift2"/>
      </w:pPr>
      <w:bookmarkStart w:id="6" w:name="_Toc221546177"/>
      <w:r>
        <w:t xml:space="preserve">1.3 </w:t>
      </w:r>
      <w:r w:rsidR="007A35E5">
        <w:t>Opgaven i et større perspektiv</w:t>
      </w:r>
      <w:r w:rsidR="00627158">
        <w:t xml:space="preserve"> </w:t>
      </w:r>
      <w:r w:rsidR="00627158">
        <w:rPr>
          <w:b w:val="0"/>
          <w:sz w:val="22"/>
          <w:szCs w:val="22"/>
        </w:rPr>
        <w:t>(Pernille</w:t>
      </w:r>
      <w:r w:rsidR="00627158" w:rsidRPr="00E75844">
        <w:rPr>
          <w:b w:val="0"/>
          <w:sz w:val="22"/>
          <w:szCs w:val="22"/>
        </w:rPr>
        <w:t>)</w:t>
      </w:r>
      <w:bookmarkEnd w:id="6"/>
    </w:p>
    <w:p w:rsidR="007A35E5" w:rsidRDefault="007A35E5" w:rsidP="009432AA">
      <w:r>
        <w:t>De helt centrale begreber i denne opgave er virksomhed</w:t>
      </w:r>
      <w:r w:rsidR="007A76AE">
        <w:t>, succession</w:t>
      </w:r>
      <w:r>
        <w:t xml:space="preserve"> og generation</w:t>
      </w:r>
      <w:r>
        <w:t>s</w:t>
      </w:r>
      <w:r>
        <w:t>skifte. Vi vil i det følgende forsøge at definere begreberne og placere dem i deres h</w:t>
      </w:r>
      <w:r>
        <w:t>i</w:t>
      </w:r>
      <w:r>
        <w:t xml:space="preserve">storiske kontekst. </w:t>
      </w:r>
    </w:p>
    <w:p w:rsidR="007A35E5" w:rsidRDefault="007A35E5" w:rsidP="00AF4FDF">
      <w:r w:rsidRPr="0005787E">
        <w:t xml:space="preserve">Nedenstående tegning illustrerer livsforløbet i en virksomhed; opstartsfasen, vækst og konsolidering. Til sidst står indehaveren overfor pensionering med de muligheder, der ligger foran. </w:t>
      </w:r>
      <w:r>
        <w:t xml:space="preserve"> </w:t>
      </w:r>
    </w:p>
    <w:p w:rsidR="007A35E5" w:rsidRDefault="007A35E5" w:rsidP="00AF4FDF"/>
    <w:p w:rsidR="007A35E5" w:rsidRDefault="00012FAC" w:rsidP="00AF4FDF">
      <w:r>
        <w:pict>
          <v:group id="_x0000_s1026" editas="canvas" style="width:481.9pt;height:253.9pt;mso-position-horizontal-relative:char;mso-position-vertical-relative:line" coordorigin="2308,1906" coordsize="9097,4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1906;width:9097;height:4763" o:preferrelative="f">
              <v:fill o:detectmouseclick="t"/>
              <v:path o:extrusionok="t" o:connecttype="none"/>
              <o:lock v:ext="edit" text="t"/>
            </v:shape>
            <v:line id="_x0000_s1028" style="position:absolute" from="2504,5053" to="9437,5053">
              <v:stroke endarrow="block"/>
            </v:line>
            <v:shapetype id="_x0000_t202" coordsize="21600,21600" o:spt="202" path="m,l,21600r21600,l21600,xe">
              <v:stroke joinstyle="miter"/>
              <v:path gradientshapeok="t" o:connecttype="rect"/>
            </v:shapetype>
            <v:shape id="_x0000_s1029" type="#_x0000_t202" style="position:absolute;left:2308;top:5209;width:1396;height:270;v-text-anchor:top-baseline" filled="f" fillcolor="#bbe0e3" stroked="f">
              <v:textbox style="mso-next-textbox:#_x0000_s1029"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Opstart virksomhed</w:t>
                    </w:r>
                  </w:p>
                </w:txbxContent>
              </v:textbox>
            </v:shape>
            <v:shape id="_x0000_s1030" type="#_x0000_t75" style="position:absolute;left:2417;top:3862;width:520;height:1020;flip:x">
              <v:imagedata r:id="rId8" o:title=""/>
            </v:shape>
            <v:shape id="_x0000_s1031" type="#_x0000_t202" style="position:absolute;left:4301;top:5224;width:1630;height:270;v-text-anchor:top-baseline" filled="f" fillcolor="#bbe0e3" stroked="f">
              <v:textbox style="mso-next-textbox:#_x0000_s1031"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Vækst og konsolidering</w:t>
                    </w:r>
                  </w:p>
                </w:txbxContent>
              </v:textbox>
            </v:shape>
            <v:shape id="_x0000_s1032" type="#_x0000_t75" style="position:absolute;left:4387;top:3948;width:1336;height:940">
              <v:imagedata r:id="rId9" o:title=""/>
            </v:shape>
            <v:shape id="_x0000_s1033" type="#_x0000_t202" style="position:absolute;left:9080;top:5209;width:559;height:270;v-text-anchor:top-baseline" filled="f" fillcolor="#bbe0e3" stroked="f">
              <v:textbox style="mso-next-textbox:#_x0000_s1033"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Tiden</w:t>
                    </w:r>
                  </w:p>
                </w:txbxContent>
              </v:textbox>
            </v:shape>
            <v:shape id="_x0000_s1034" type="#_x0000_t75" style="position:absolute;left:7382;top:4119;width:321;height:767;flip:x">
              <v:imagedata r:id="rId10" o:title=""/>
            </v:shape>
            <v:shape id="_x0000_s1035" type="#_x0000_t202" style="position:absolute;left:6760;top:5209;width:1796;height:959;v-text-anchor:top-baseline" filled="f" fillcolor="#bbe0e3" stroked="f">
              <v:textbox style="mso-next-textbox:#_x0000_s1035"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På vej mod pensionering</w:t>
                    </w:r>
                  </w:p>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Hvordan skal der ske med</w:t>
                    </w:r>
                    <w:r w:rsidRPr="0007367E">
                      <w:rPr>
                        <w:rFonts w:ascii="Arial" w:hAnsi="Arial" w:cs="Arial"/>
                        <w:color w:val="000000"/>
                        <w:sz w:val="14"/>
                        <w:szCs w:val="18"/>
                      </w:rPr>
                      <w:br/>
                      <w:t>virksomheden?</w:t>
                    </w:r>
                  </w:p>
                </w:txbxContent>
              </v:textbox>
            </v:shape>
            <v:line id="_x0000_s1036" style="position:absolute;flip:y" from="8323,2587" to="9693,4374">
              <v:stroke endarrow="block"/>
            </v:line>
            <v:line id="_x0000_s1037" style="position:absolute" from="8409,4543" to="9865,4543">
              <v:stroke endarrow="block"/>
            </v:line>
            <v:line id="_x0000_s1038" style="position:absolute" from="8409,4798" to="9950,5139">
              <v:stroke endarrow="block"/>
            </v:line>
            <v:line id="_x0000_s1039" style="position:absolute" from="8495,4969" to="9950,5820">
              <v:stroke endarrow="block"/>
            </v:line>
            <v:group id="_x0000_s1040" style="position:absolute;left:9779;top:1906;width:1301;height:1191" coordorigin="4422,1071" coordsize="643,680">
              <v:oval id="_x0000_s1041" style="position:absolute;left:4422;top:1071;width:635;height:680;v-text-anchor:middle" filled="f" fillcolor="#bbe0e3"/>
              <v:shape id="_x0000_s1042" type="#_x0000_t202" style="position:absolute;left:4500;top:1290;width:565;height:265;v-text-anchor:top-baseline" filled="f" fillcolor="#bbe0e3" stroked="f">
                <v:textbox style="mso-next-textbox:#_x0000_s1042"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 xml:space="preserve">I/S – optage </w:t>
                      </w:r>
                      <w:r w:rsidRPr="0007367E">
                        <w:rPr>
                          <w:rFonts w:ascii="Arial" w:hAnsi="Arial" w:cs="Arial"/>
                          <w:color w:val="000000"/>
                          <w:sz w:val="14"/>
                          <w:szCs w:val="18"/>
                        </w:rPr>
                        <w:br/>
                        <w:t>medejer</w:t>
                      </w:r>
                    </w:p>
                  </w:txbxContent>
                </v:textbox>
              </v:shape>
            </v:group>
            <v:group id="_x0000_s1043" style="position:absolute;left:9950;top:3948;width:1370;height:850" coordorigin="4377,2251" coordsize="726,408">
              <v:rect id="_x0000_s1044" style="position:absolute;left:4377;top:2251;width:726;height:408;v-text-anchor:middle" filled="f" fillcolor="#bbe0e3"/>
              <v:shape id="_x0000_s1045" type="#_x0000_t202" style="position:absolute;left:4410;top:2333;width:596;height:230;v-text-anchor:top-baseline" filled="f" fillcolor="#bbe0e3" stroked="f">
                <v:textbox style="mso-next-textbox:#_x0000_s1045"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Omdannelse til</w:t>
                      </w:r>
                      <w:r w:rsidRPr="0007367E">
                        <w:rPr>
                          <w:rFonts w:ascii="Arial" w:hAnsi="Arial" w:cs="Arial"/>
                          <w:color w:val="000000"/>
                          <w:sz w:val="14"/>
                          <w:szCs w:val="18"/>
                        </w:rPr>
                        <w:br/>
                        <w:t>selskab</w:t>
                      </w:r>
                    </w:p>
                  </w:txbxContent>
                </v:textbox>
              </v:shape>
            </v:group>
            <v:group id="_x0000_s1046" style="position:absolute;left:10292;top:4969;width:1113;height:765" coordorigin="4558,2795" coordsize="590,408">
              <v:oval id="_x0000_s1047" style="position:absolute;left:4558;top:2795;width:590;height:408;v-text-anchor:middle" filled="f" fillcolor="#bbe0e3"/>
              <v:shape id="_x0000_s1048" type="#_x0000_t202" style="position:absolute;left:4636;top:2923;width:340;height:144;v-text-anchor:top-baseline" filled="f" fillcolor="#bbe0e3" stroked="f">
                <v:textbox style="mso-next-textbox:#_x0000_s1048"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 xml:space="preserve">Ophør </w:t>
                      </w:r>
                    </w:p>
                  </w:txbxContent>
                </v:textbox>
              </v:shape>
            </v:group>
            <v:group id="_x0000_s1049" style="position:absolute;left:10122;top:5904;width:1026;height:765" coordorigin="4468,3294" coordsize="544,408">
              <v:oval id="_x0000_s1050" style="position:absolute;left:4468;top:3294;width:544;height:408;v-text-anchor:middle" filled="f" fillcolor="#bbe0e3"/>
              <v:shape id="_x0000_s1051" type="#_x0000_t202" style="position:absolute;left:4500;top:3435;width:484;height:144;v-text-anchor:top-baseline" filled="f" fillcolor="#bbe0e3" stroked="f">
                <v:textbox style="mso-next-textbox:#_x0000_s1051"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Succession</w:t>
                      </w:r>
                    </w:p>
                  </w:txbxContent>
                </v:textbox>
              </v:shape>
            </v:group>
            <v:group id="_x0000_s1052" style="position:absolute;left:10206;top:3097;width:1027;height:851" coordorigin="4513,1797" coordsize="544,454">
              <v:oval id="_x0000_s1053" style="position:absolute;left:4513;top:1797;width:544;height:454;v-text-anchor:middle" filled="f" fillcolor="#bbe0e3"/>
              <v:shape id="_x0000_s1054" type="#_x0000_t202" style="position:absolute;left:4634;top:1925;width:280;height:144;v-text-anchor:top-baseline" filled="f" fillcolor="#bbe0e3" stroked="f">
                <v:textbox style="mso-next-textbox:#_x0000_s1054" inset="5.76pt,2.88pt,5.76pt,2.88pt">
                  <w:txbxContent>
                    <w:p w:rsidR="006911F3" w:rsidRPr="0007367E" w:rsidRDefault="006911F3" w:rsidP="00980FDD">
                      <w:pPr>
                        <w:autoSpaceDE w:val="0"/>
                        <w:autoSpaceDN w:val="0"/>
                        <w:adjustRightInd w:val="0"/>
                        <w:rPr>
                          <w:rFonts w:ascii="Arial" w:hAnsi="Arial" w:cs="Arial"/>
                          <w:color w:val="000000"/>
                          <w:sz w:val="14"/>
                          <w:szCs w:val="18"/>
                        </w:rPr>
                      </w:pPr>
                      <w:r w:rsidRPr="0007367E">
                        <w:rPr>
                          <w:rFonts w:ascii="Arial" w:hAnsi="Arial" w:cs="Arial"/>
                          <w:color w:val="000000"/>
                          <w:sz w:val="14"/>
                          <w:szCs w:val="18"/>
                        </w:rPr>
                        <w:t xml:space="preserve">Salg </w:t>
                      </w:r>
                    </w:p>
                  </w:txbxContent>
                </v:textbox>
              </v:shape>
            </v:group>
            <v:line id="_x0000_s1055" style="position:absolute;flip:y" from="8323,3607" to="10122,4459">
              <v:stroke endarrow="block"/>
            </v:line>
            <w10:anchorlock/>
          </v:group>
        </w:pict>
      </w:r>
    </w:p>
    <w:p w:rsidR="00A007F6" w:rsidRDefault="00A007F6" w:rsidP="00A007F6">
      <w:pPr>
        <w:pStyle w:val="Billedtekst"/>
      </w:pPr>
      <w:bookmarkStart w:id="7" w:name="_Toc218751383"/>
      <w:r>
        <w:t xml:space="preserve">Figur </w:t>
      </w:r>
      <w:fldSimple w:instr=" SEQ Figur \* ARABIC ">
        <w:r w:rsidR="000F066D">
          <w:rPr>
            <w:noProof/>
          </w:rPr>
          <w:t>1</w:t>
        </w:r>
      </w:fldSimple>
      <w:r>
        <w:t xml:space="preserve"> Tidsforløb for en virksomhed til illustration af de udfordringer, virksomhedsejeren står overfor ved ønsket om pensionering</w:t>
      </w:r>
      <w:bookmarkEnd w:id="7"/>
    </w:p>
    <w:p w:rsidR="00D457AA" w:rsidRPr="00D457AA" w:rsidRDefault="00D457AA" w:rsidP="00D457AA"/>
    <w:p w:rsidR="007A35E5" w:rsidRDefault="009432AA" w:rsidP="009432AA">
      <w:pPr>
        <w:pStyle w:val="Overskrift3"/>
      </w:pPr>
      <w:bookmarkStart w:id="8" w:name="_Ref218952063"/>
      <w:bookmarkStart w:id="9" w:name="_Toc221546178"/>
      <w:r>
        <w:t xml:space="preserve">1.3.1 </w:t>
      </w:r>
      <w:r w:rsidR="007A35E5">
        <w:t>Skatteretligt virksomhedsbegreb</w:t>
      </w:r>
      <w:bookmarkEnd w:id="8"/>
      <w:r w:rsidR="00627158">
        <w:t xml:space="preserve"> </w:t>
      </w:r>
      <w:r w:rsidR="00627158">
        <w:rPr>
          <w:b w:val="0"/>
          <w:sz w:val="22"/>
          <w:szCs w:val="22"/>
        </w:rPr>
        <w:t>(Pernille</w:t>
      </w:r>
      <w:r w:rsidR="00627158" w:rsidRPr="00E75844">
        <w:rPr>
          <w:b w:val="0"/>
          <w:sz w:val="22"/>
          <w:szCs w:val="22"/>
        </w:rPr>
        <w:t>)</w:t>
      </w:r>
      <w:bookmarkEnd w:id="9"/>
    </w:p>
    <w:p w:rsidR="007A35E5" w:rsidRDefault="007A35E5" w:rsidP="009432AA">
      <w:r>
        <w:t>For at kunne foretage et generationsskifte skal der være en virksomhed, der kan ove</w:t>
      </w:r>
      <w:r>
        <w:t>r</w:t>
      </w:r>
      <w:r>
        <w:t xml:space="preserve">drages. Det skatteretlige virksomhedsbegreb er ikke defineret i skattelovgivningen, historisk har det ikke </w:t>
      </w:r>
      <w:r w:rsidR="007A76AE">
        <w:t xml:space="preserve">været </w:t>
      </w:r>
      <w:r>
        <w:t xml:space="preserve">grundigt overvejet. Der er dog nogen hjælp at hente i </w:t>
      </w:r>
      <w:r w:rsidR="00910EE3">
        <w:t>cirkl</w:t>
      </w:r>
      <w:r>
        <w:t>. nr. 129 af 4. juli 1994 om personskatteloven pkt. 3.1.1 hvor det fremgår at afgrænsni</w:t>
      </w:r>
      <w:r>
        <w:t>n</w:t>
      </w:r>
      <w:r>
        <w:t>gen i mellem lønmodtager og selvstændig erhvervsdrivende skal foretages ens, uanset hvor i skatteloven man befinder sig. Cirkulæret definerer erhvervsdrivende som, den ”</w:t>
      </w:r>
      <w:r w:rsidRPr="003057CE">
        <w:rPr>
          <w:i/>
        </w:rPr>
        <w:t>der for egen regning og risiko udøves en virksomhed af økonomisk karakter med det formål at opnå et overskud.</w:t>
      </w:r>
      <w:r>
        <w:t>”</w:t>
      </w:r>
      <w:r>
        <w:rPr>
          <w:rStyle w:val="Fodnotehenvisning"/>
        </w:rPr>
        <w:footnoteReference w:id="5"/>
      </w:r>
      <w:r>
        <w:t xml:space="preserve"> I LV E.A.4.1-4.3 defineres kriterier, der indgår ved b</w:t>
      </w:r>
      <w:r>
        <w:t>e</w:t>
      </w:r>
      <w:r>
        <w:t>dømmelsen bl.a. at indkomsten oppebæres fra en ubestemt kreds af hvervgiver</w:t>
      </w:r>
      <w:r w:rsidR="003F3B2E">
        <w:t>ee</w:t>
      </w:r>
      <w:r>
        <w:t>, indkomstmodtageren tilrettelægger sit arbejde uden instruktion fra hvervgiveren u</w:t>
      </w:r>
      <w:r>
        <w:t>d</w:t>
      </w:r>
      <w:r>
        <w:t>over den afgivne ordre, indkomsten afhænger af et eventuelt overskud og at in</w:t>
      </w:r>
      <w:r>
        <w:t>d</w:t>
      </w:r>
      <w:r>
        <w:lastRenderedPageBreak/>
        <w:t>komstmodtageren ejer de anvendte redskaber, maskiner mv. jf. nedenstående afgøre</w:t>
      </w:r>
      <w:r>
        <w:t>l</w:t>
      </w:r>
      <w:r>
        <w:t>se, hvor der netop lægges vægt på egen regning og risiko og egen planlægning af a</w:t>
      </w:r>
      <w:r>
        <w:t>r</w:t>
      </w:r>
      <w:r>
        <w:t xml:space="preserve">bejdet.  </w:t>
      </w:r>
    </w:p>
    <w:p w:rsidR="007A35E5" w:rsidRDefault="007A35E5" w:rsidP="00AF4FDF"/>
    <w:p w:rsidR="007A35E5" w:rsidRPr="00A80F32" w:rsidRDefault="007A35E5" w:rsidP="00AF4FDF">
      <w:pPr>
        <w:rPr>
          <w:i/>
          <w:sz w:val="20"/>
          <w:szCs w:val="20"/>
          <w:lang w:eastAsia="da-DK"/>
        </w:rPr>
      </w:pPr>
      <w:r w:rsidRPr="00A80F32">
        <w:rPr>
          <w:i/>
          <w:sz w:val="20"/>
          <w:szCs w:val="20"/>
          <w:lang w:eastAsia="da-DK"/>
        </w:rPr>
        <w:t xml:space="preserve">TfS 1996, 449 HRD: Efter ændringer i forhandlerkontrakterne mellem grossist og </w:t>
      </w:r>
      <w:r w:rsidRPr="00A80F32">
        <w:rPr>
          <w:i/>
          <w:iCs/>
          <w:sz w:val="20"/>
          <w:szCs w:val="20"/>
          <w:lang w:eastAsia="da-DK"/>
        </w:rPr>
        <w:t>tupperwareforhandlere</w:t>
      </w:r>
      <w:r w:rsidRPr="00A80F32">
        <w:rPr>
          <w:i/>
          <w:sz w:val="20"/>
          <w:szCs w:val="20"/>
          <w:lang w:eastAsia="da-DK"/>
        </w:rPr>
        <w:t xml:space="preserve"> fandt Højesteret efter en samlet vurdering det for mest nærliggende at anse tupperwareforhandlere for selvstændigt erhvervsdrivende. Forhandlerne solgte i henhold til en distributionsaftale firmaets produ</w:t>
      </w:r>
      <w:r w:rsidRPr="00A80F32">
        <w:rPr>
          <w:i/>
          <w:sz w:val="20"/>
          <w:szCs w:val="20"/>
          <w:lang w:eastAsia="da-DK"/>
        </w:rPr>
        <w:t>k</w:t>
      </w:r>
      <w:r w:rsidRPr="00A80F32">
        <w:rPr>
          <w:i/>
          <w:sz w:val="20"/>
          <w:szCs w:val="20"/>
          <w:lang w:eastAsia="da-DK"/>
        </w:rPr>
        <w:t>ter ved homeparties, og honoraret udgjorde en procentdel af de vejledende udsalgspriser. Bestillinger blev modtaget på stedet og indkøbt hos firmaet. Forhandlerne havde således ikke noget lager. Retten lagde vægt på, at forhandlerne frit kan bestemme deres arbejdstid, at de selv afholder alle udgifter, at disse medfører en betydelig omkostningsprocent, at forhandlerne ikke anses som lønmodtagere ved praktiseringen af ferieloven m.v., at de kan have andre hvervgivere og antage medhjælp, at de er mom</w:t>
      </w:r>
      <w:r w:rsidRPr="00A80F32">
        <w:rPr>
          <w:i/>
          <w:sz w:val="20"/>
          <w:szCs w:val="20"/>
          <w:lang w:eastAsia="da-DK"/>
        </w:rPr>
        <w:t>s</w:t>
      </w:r>
      <w:r w:rsidRPr="00A80F32">
        <w:rPr>
          <w:i/>
          <w:sz w:val="20"/>
          <w:szCs w:val="20"/>
          <w:lang w:eastAsia="da-DK"/>
        </w:rPr>
        <w:t>registreret, samt at de påtager sig en vis økonomisk risiko.</w:t>
      </w:r>
    </w:p>
    <w:p w:rsidR="007A35E5" w:rsidRDefault="007A35E5" w:rsidP="00AF4FDF">
      <w:r>
        <w:t xml:space="preserve">  </w:t>
      </w:r>
    </w:p>
    <w:p w:rsidR="007A35E5" w:rsidRDefault="007A35E5" w:rsidP="00AF4FDF">
      <w:r>
        <w:t>Erhvervsmæssig virksomhed afgrænses også overfor hobby virksomhed. Der er udvi</w:t>
      </w:r>
      <w:r>
        <w:t>k</w:t>
      </w:r>
      <w:r>
        <w:t>let en nogenlunde fast praksis i forhold til denne afgrænsning, hvor det kræves, at vir</w:t>
      </w:r>
      <w:r>
        <w:t>k</w:t>
      </w:r>
      <w:r>
        <w:t xml:space="preserve">somheden drives med en stor intensitet og professionalisme, hvis aktiviteten har </w:t>
      </w:r>
      <w:r w:rsidR="00910EE3">
        <w:t>en</w:t>
      </w:r>
      <w:r>
        <w:t xml:space="preserve"> typisk hobby islæt som f.eks. lystbåde og stutterier. Men også ved produktionsvir</w:t>
      </w:r>
      <w:r>
        <w:t>k</w:t>
      </w:r>
      <w:r>
        <w:t xml:space="preserve">somheder kan intensiteten blive så lav, at det ikke længere skatteretligt anses for en virksomhed </w:t>
      </w:r>
      <w:r w:rsidRPr="00D17942">
        <w:t>jf.</w:t>
      </w:r>
      <w:r>
        <w:t xml:space="preserve"> nedenstående hvor der er lagt vægt på at virksomheden ikke har været drevet professionelt nok til at karakteriseres som erhvervsmæssig virksomhed.</w:t>
      </w:r>
      <w:r>
        <w:rPr>
          <w:rStyle w:val="Fodnotehenvisning"/>
        </w:rPr>
        <w:footnoteReference w:id="6"/>
      </w:r>
      <w:r>
        <w:t xml:space="preserve"> </w:t>
      </w:r>
    </w:p>
    <w:p w:rsidR="007A35E5" w:rsidRDefault="007A35E5" w:rsidP="00AF4FDF"/>
    <w:p w:rsidR="007A35E5" w:rsidRPr="00A80F32" w:rsidRDefault="007A35E5" w:rsidP="00AF4FDF">
      <w:pPr>
        <w:rPr>
          <w:i/>
          <w:sz w:val="20"/>
          <w:szCs w:val="20"/>
        </w:rPr>
      </w:pPr>
      <w:r w:rsidRPr="00A80F32">
        <w:rPr>
          <w:i/>
          <w:sz w:val="20"/>
          <w:szCs w:val="20"/>
        </w:rPr>
        <w:t>TfS 2003.139 V: Sagen drejer sig om, hvorvidt A i 1997-1998 havde drevet erhvervsmæssig virksomhed med produktion og salg af kaffemaskiner. A havde tidligere drevet virksomhed hermed og havde i 1993 indgået en frivillig akkord med kreditorerne. Der var i de pågældende to år en beskeden omsætning og et negativt resultat. Henset til, at A ikke i forbindelse med driften havde haft sagkyndig bistand, at der ikke var udarbejdet budgetter, at produkterne ikke var markedsført, og at han ikke havde været beskæftiget med driften i videre omfang, samt henset til virksomhedens omfang og resultat, fandt landsskatteretten ikke, at den opfyldte de skatteretlige kriterier for at kunne anses for erhvervsmæssig.</w:t>
      </w:r>
    </w:p>
    <w:p w:rsidR="007A35E5" w:rsidRPr="00D17942" w:rsidRDefault="007A35E5" w:rsidP="00AF4FDF"/>
    <w:p w:rsidR="007A35E5" w:rsidRDefault="007A35E5" w:rsidP="00AF4FDF">
      <w:r>
        <w:lastRenderedPageBreak/>
        <w:t>En hobbyvirksomhed adskiller sig ved at overskuddet er skattepligtig, men et evt. u</w:t>
      </w:r>
      <w:r>
        <w:t>n</w:t>
      </w:r>
      <w:r>
        <w:t>derskud ikke kan fratrækkes i den personlige indkomst, ligesom underskuddet ikke kan fremføres til modregning i fremtidige overskud. Det præciseres endvidere i det før o</w:t>
      </w:r>
      <w:r>
        <w:t>m</w:t>
      </w:r>
      <w:r>
        <w:t>talte cirkulære, at selv om en skattepligtig anses for selvstændig erhvervsdrivende, ikke nødvendigvis betyder at den pågældende kan benytte f.eks. virksomhedsordni</w:t>
      </w:r>
      <w:r>
        <w:t>n</w:t>
      </w:r>
      <w:r>
        <w:t>gen eller andre særregler for selvstændige erhvervsdrivende. I relation til generation</w:t>
      </w:r>
      <w:r>
        <w:t>s</w:t>
      </w:r>
      <w:r>
        <w:t>skiftemodellerne skal der derfor tages højde for særlige krav til virksomheden i rege</w:t>
      </w:r>
      <w:r>
        <w:t>l</w:t>
      </w:r>
      <w:r>
        <w:t xml:space="preserve">sættene herfor. </w:t>
      </w:r>
    </w:p>
    <w:p w:rsidR="007A35E5" w:rsidRDefault="007A35E5" w:rsidP="00AF4FDF">
      <w:r>
        <w:t>Udtrykket virksomhed anvendes både i virksomhedsskatteloven, virksomhedsomda</w:t>
      </w:r>
      <w:r>
        <w:t>n</w:t>
      </w:r>
      <w:r>
        <w:t>nelsesloven, fusionsskatteloven og kildeskatteloven</w:t>
      </w:r>
      <w:r w:rsidR="007A76AE">
        <w:t xml:space="preserve"> dog uden at have samme bety</w:t>
      </w:r>
      <w:r w:rsidR="007A76AE">
        <w:t>d</w:t>
      </w:r>
      <w:r w:rsidR="007A76AE">
        <w:t>ning</w:t>
      </w:r>
      <w:r>
        <w:t>. I KSL § 33 C, stk. 1, 5. pkt. bruges benævnelsen erhvervsvirksomhed, hvor det præciseres at udlejning af fast ejendom ikke er erhvervsmæssig virksomhed. I VOL § 2, stk. 1, nr. 2 anses udlejning af fast ejendom til gengæld for en virksomhed, der kan omdannes. Samtidig har skatteministeren i betænkningen til ændringen af VOL i 1999 direkte udtrykt, at virksomhedsbegrebet i VOL ikke nødvendigvis svarer til virkso</w:t>
      </w:r>
      <w:r>
        <w:t>m</w:t>
      </w:r>
      <w:r>
        <w:t>hedsbegrebet i fusionsskatteloven § 15 C. I FUSL § 15 C defineres en gren af en vir</w:t>
      </w:r>
      <w:r>
        <w:t>k</w:t>
      </w:r>
      <w:r>
        <w:t>somhed, som alle aktiver og passiver der ud fra et organisatorisk synspunkt kan fung</w:t>
      </w:r>
      <w:r>
        <w:t>e</w:t>
      </w:r>
      <w:r>
        <w:t>re som en enhed ved hjælp af egne midler. Ifølge kildeskatteloven kan aktiver der a</w:t>
      </w:r>
      <w:r>
        <w:t>n</w:t>
      </w:r>
      <w:r>
        <w:t xml:space="preserve">vendes til private formål, ej heller overdrages med succession jf. nedenstående. </w:t>
      </w:r>
    </w:p>
    <w:p w:rsidR="007A35E5" w:rsidRDefault="007A35E5" w:rsidP="00AF4FDF"/>
    <w:p w:rsidR="007A35E5" w:rsidRPr="00A80F32" w:rsidRDefault="007A35E5" w:rsidP="00AF4FDF">
      <w:pPr>
        <w:rPr>
          <w:i/>
          <w:sz w:val="20"/>
          <w:szCs w:val="20"/>
        </w:rPr>
      </w:pPr>
      <w:r w:rsidRPr="00A80F32">
        <w:rPr>
          <w:i/>
          <w:sz w:val="20"/>
          <w:szCs w:val="20"/>
        </w:rPr>
        <w:t>TfS 2002 371 LR:</w:t>
      </w:r>
      <w:r w:rsidRPr="00A80F32">
        <w:rPr>
          <w:sz w:val="20"/>
          <w:szCs w:val="20"/>
        </w:rPr>
        <w:t xml:space="preserve"> </w:t>
      </w:r>
      <w:r w:rsidRPr="00A80F32">
        <w:rPr>
          <w:i/>
          <w:sz w:val="20"/>
          <w:szCs w:val="20"/>
        </w:rPr>
        <w:t>Ligningsrådet blev spurgt, hvorvidt skatteyders søn kunne succedere i en af skatteyder ejet vindmølle, der stod på en landbrugsejendom. Sønnen havde forinden succederet i landbrugseje</w:t>
      </w:r>
      <w:r w:rsidRPr="00A80F32">
        <w:rPr>
          <w:i/>
          <w:sz w:val="20"/>
          <w:szCs w:val="20"/>
        </w:rPr>
        <w:t>n</w:t>
      </w:r>
      <w:r w:rsidRPr="00A80F32">
        <w:rPr>
          <w:i/>
          <w:sz w:val="20"/>
          <w:szCs w:val="20"/>
        </w:rPr>
        <w:t>dommen, men ikke i den pågældende vindmølle. Vindmøllen stod derfor på en lejet grund. Det var oplyst at vindmøllen skattemæssigt blev behandlet efter reglerne i ligningsloven § 8 P, stk. 2 og 3. Eftersom det fremgår af § 8 P, stk. 4. at hvis den skattepligtige vælger at anvende de skematiske regler i ligningslovens § 8 P, stk. 2 og 3, anses vindmøllerne eller vindmølleandelene for udelukkende benyttet til private formål, kunne sønnen ikke succedere i vindmøllen efter kildeskatteloven § 33 C, da vindmøllen således ikke u</w:t>
      </w:r>
      <w:r w:rsidRPr="00A80F32">
        <w:rPr>
          <w:i/>
          <w:sz w:val="20"/>
          <w:szCs w:val="20"/>
        </w:rPr>
        <w:t>d</w:t>
      </w:r>
      <w:r w:rsidRPr="00A80F32">
        <w:rPr>
          <w:i/>
          <w:sz w:val="20"/>
          <w:szCs w:val="20"/>
        </w:rPr>
        <w:t>gjorde en virksomhed eller en andel heraf.</w:t>
      </w:r>
    </w:p>
    <w:p w:rsidR="007A35E5" w:rsidRDefault="007A35E5" w:rsidP="00AF4FDF"/>
    <w:p w:rsidR="007A35E5" w:rsidRDefault="007A35E5" w:rsidP="00AF4FDF">
      <w:r>
        <w:lastRenderedPageBreak/>
        <w:t>Det er derfor ikke de samme kriterier, der opstilles i de forskellige skattelove, der kan bruges ved generationsskifte. Det må dog antages i praksis, at der sker en vis fortol</w:t>
      </w:r>
      <w:r>
        <w:t>k</w:t>
      </w:r>
      <w:r>
        <w:t>ning af andre skattelove, når virksomhedsbegrebet fastlægges</w:t>
      </w:r>
    </w:p>
    <w:p w:rsidR="007A35E5" w:rsidRDefault="007A35E5" w:rsidP="009432AA"/>
    <w:p w:rsidR="007A35E5" w:rsidRDefault="009432AA" w:rsidP="009432AA">
      <w:pPr>
        <w:pStyle w:val="Overskrift3"/>
      </w:pPr>
      <w:bookmarkStart w:id="10" w:name="_Toc221546179"/>
      <w:r>
        <w:t xml:space="preserve">1.3.2 </w:t>
      </w:r>
      <w:r w:rsidR="007A35E5" w:rsidRPr="00CE5752">
        <w:t>Skatteretlig</w:t>
      </w:r>
      <w:r w:rsidR="007A35E5">
        <w:t xml:space="preserve"> succession</w:t>
      </w:r>
      <w:r w:rsidR="00627158">
        <w:t xml:space="preserve"> </w:t>
      </w:r>
      <w:r w:rsidR="00627158">
        <w:rPr>
          <w:b w:val="0"/>
          <w:sz w:val="22"/>
          <w:szCs w:val="22"/>
        </w:rPr>
        <w:t>(Pernille</w:t>
      </w:r>
      <w:r w:rsidR="00627158" w:rsidRPr="00E75844">
        <w:rPr>
          <w:b w:val="0"/>
          <w:sz w:val="22"/>
          <w:szCs w:val="22"/>
        </w:rPr>
        <w:t>)</w:t>
      </w:r>
      <w:bookmarkEnd w:id="10"/>
    </w:p>
    <w:p w:rsidR="007A35E5" w:rsidRDefault="001F2E41" w:rsidP="009432AA">
      <w:r>
        <w:t>I</w:t>
      </w:r>
      <w:r w:rsidR="007A35E5">
        <w:t xml:space="preserve"> </w:t>
      </w:r>
      <w:r>
        <w:t>S</w:t>
      </w:r>
      <w:r w:rsidR="007A35E5">
        <w:t>tatsskattelov</w:t>
      </w:r>
      <w:r>
        <w:t>en fra</w:t>
      </w:r>
      <w:r w:rsidR="007A35E5">
        <w:t xml:space="preserve"> 1903 blev det i § 5, litra a bestemt at værdiforøgelsen eller fo</w:t>
      </w:r>
      <w:r w:rsidR="007A35E5">
        <w:t>r</w:t>
      </w:r>
      <w:r w:rsidR="007A35E5">
        <w:t>mindskelsen på den skattepligtiges aktiver var indkomstopgørelsen uvedkommende. Hvis der ikke senere var indført en række særlove ville avance ved afståelse af en vir</w:t>
      </w:r>
      <w:r w:rsidR="007A35E5">
        <w:t>k</w:t>
      </w:r>
      <w:r w:rsidR="007A35E5">
        <w:t>somhed ikke være skattepligtig</w:t>
      </w:r>
      <w:r w:rsidR="007A35E5" w:rsidRPr="00CE5752">
        <w:t>. Fortjeneste ved afståelse</w:t>
      </w:r>
      <w:r w:rsidR="007A35E5">
        <w:t xml:space="preserve"> af virksomheder er som b</w:t>
      </w:r>
      <w:r w:rsidR="007A35E5">
        <w:t>e</w:t>
      </w:r>
      <w:r w:rsidR="007A35E5">
        <w:t>kendt i dag skattepligtig, og det er i den forbindelse, de mange muligheder for gener</w:t>
      </w:r>
      <w:r w:rsidR="007A35E5">
        <w:t>a</w:t>
      </w:r>
      <w:r w:rsidR="007A35E5">
        <w:t xml:space="preserve">tionsskifte indgår. Ejeren af en virksomhed vil, for at undgå lukning, på et tidspunkt skulle overdrage sin virksomhed ofte i forbindelse med, at han når pensionsalderen. Det er her ønsket om at adskille overdragelsestidspunktet og beskatningstidspunktet spiller ind. </w:t>
      </w:r>
    </w:p>
    <w:p w:rsidR="007A35E5" w:rsidRDefault="007A35E5" w:rsidP="00AF4FDF"/>
    <w:p w:rsidR="007A35E5" w:rsidRDefault="007A35E5" w:rsidP="00DD5131">
      <w:r>
        <w:t>Succession stammer fra latin og betyder arvefølge. Hvilket er netop hvad der sker med en virksomhed, når denne overdrages (typisk) til den yngre generation. Der sker en sikring af arvefølgen i virksomheden og virksomheden lever deraf videre.</w:t>
      </w:r>
    </w:p>
    <w:p w:rsidR="007A35E5" w:rsidRDefault="007A35E5" w:rsidP="00DD5131"/>
    <w:p w:rsidR="007A35E5" w:rsidRDefault="007A35E5" w:rsidP="00DD5131">
      <w:r>
        <w:t>I 1962 blev der i et cirkulære åbnet mulighed for, at en virksomheds ejer ved omda</w:t>
      </w:r>
      <w:r>
        <w:t>n</w:t>
      </w:r>
      <w:r>
        <w:t>nelse af sin virksomhed til et selskab, i vist omfang kunne benytte de bogførte værdier ved omdannelsen, forudsat at ejeren blev hovedaktionær. Succession dvs. overførsel af den latente skatteforpligtigelse blev dermed en mulighed. Muligheden for skatt</w:t>
      </w:r>
      <w:r>
        <w:t>e</w:t>
      </w:r>
      <w:r>
        <w:t>mæssig succession indebærer, at der sker en skatteudskydelse og ikke en skatteelim</w:t>
      </w:r>
      <w:r>
        <w:t>i</w:t>
      </w:r>
      <w:r>
        <w:t>nering. Erhververen indtræder i overdragerens skattemæssige anskaffelsessum, a</w:t>
      </w:r>
      <w:r>
        <w:t>n</w:t>
      </w:r>
      <w:r>
        <w:t>skaffelsestidspunkt og anskaffelseshensigt. Det endelige beskatningstidspunkt udsk</w:t>
      </w:r>
      <w:r>
        <w:t>y</w:t>
      </w:r>
      <w:r>
        <w:t>des til det tidspunkt, hvor erhververen realiserer aktiverne, hvorfor realisationsbeska</w:t>
      </w:r>
      <w:r>
        <w:t>t</w:t>
      </w:r>
      <w:r>
        <w:t>ningen udløses. Overdrageren bliver derfor ikke beskattet af kapitalgevinsterne ved overdragelsen</w:t>
      </w:r>
    </w:p>
    <w:p w:rsidR="007A35E5" w:rsidRDefault="007A35E5" w:rsidP="00DD5131">
      <w:r>
        <w:lastRenderedPageBreak/>
        <w:t xml:space="preserve">Det er generelt gældende at successionsadgangen skal være </w:t>
      </w:r>
      <w:r w:rsidR="001F2E41">
        <w:t>i</w:t>
      </w:r>
      <w:r>
        <w:t xml:space="preserve"> en erhvervsvirksomhed. Der er flere tilfælde for adgangen til succession kan være aktuelt;</w:t>
      </w:r>
    </w:p>
    <w:p w:rsidR="007A35E5" w:rsidRDefault="007A35E5" w:rsidP="002F4E41">
      <w:pPr>
        <w:pStyle w:val="Listeafsnit1"/>
        <w:numPr>
          <w:ilvl w:val="0"/>
          <w:numId w:val="2"/>
        </w:numPr>
      </w:pPr>
      <w:r>
        <w:t>Mellem ægtefæller</w:t>
      </w:r>
      <w:r>
        <w:rPr>
          <w:rStyle w:val="Fodnotehenvisning"/>
        </w:rPr>
        <w:footnoteReference w:id="7"/>
      </w:r>
      <w:r>
        <w:t xml:space="preserve"> (der ikke beskrives nærmere jf. de foretagne afgræsninger i afsnit </w:t>
      </w:r>
      <w:r w:rsidR="009432AA">
        <w:t>1.2</w:t>
      </w:r>
      <w:r>
        <w:t>)</w:t>
      </w:r>
    </w:p>
    <w:p w:rsidR="007A35E5" w:rsidRDefault="007A35E5" w:rsidP="002F4E41">
      <w:pPr>
        <w:pStyle w:val="Listeafsnit1"/>
        <w:numPr>
          <w:ilvl w:val="0"/>
          <w:numId w:val="2"/>
        </w:numPr>
      </w:pPr>
      <w:r>
        <w:t>Mellem nærtbeslægtede i levende live</w:t>
      </w:r>
      <w:r>
        <w:rPr>
          <w:rStyle w:val="Fodnotehenvisning"/>
        </w:rPr>
        <w:footnoteReference w:id="8"/>
      </w:r>
    </w:p>
    <w:p w:rsidR="007A35E5" w:rsidRDefault="007A35E5" w:rsidP="002F4E41">
      <w:pPr>
        <w:pStyle w:val="Listeafsnit1"/>
        <w:numPr>
          <w:ilvl w:val="0"/>
          <w:numId w:val="2"/>
        </w:numPr>
      </w:pPr>
      <w:r>
        <w:t>Mellem en virksomhedsejer eller hovedaktionær og nære medarbejdere i vir</w:t>
      </w:r>
      <w:r>
        <w:t>k</w:t>
      </w:r>
      <w:r>
        <w:t>somheden/selskabet</w:t>
      </w:r>
      <w:r>
        <w:rPr>
          <w:rStyle w:val="Fodnotehenvisning"/>
        </w:rPr>
        <w:footnoteReference w:id="9"/>
      </w:r>
    </w:p>
    <w:p w:rsidR="007A35E5" w:rsidRDefault="007A35E5" w:rsidP="002F4E41">
      <w:pPr>
        <w:pStyle w:val="Listeafsnit1"/>
        <w:numPr>
          <w:ilvl w:val="0"/>
          <w:numId w:val="2"/>
        </w:numPr>
      </w:pPr>
      <w:r>
        <w:t>Ved dødsfald</w:t>
      </w:r>
      <w:r>
        <w:rPr>
          <w:rStyle w:val="Fodnotehenvisning"/>
        </w:rPr>
        <w:footnoteReference w:id="10"/>
      </w:r>
      <w:r>
        <w:t xml:space="preserve"> (der dog ikke beskrives nærmere jf. de foretagne afgrænsninger i afsnit </w:t>
      </w:r>
      <w:r w:rsidR="009432AA">
        <w:t>1.2</w:t>
      </w:r>
      <w:r>
        <w:t>)</w:t>
      </w:r>
    </w:p>
    <w:p w:rsidR="007A35E5" w:rsidRDefault="007A35E5" w:rsidP="002F4E41">
      <w:pPr>
        <w:pStyle w:val="Listeafsnit1"/>
        <w:numPr>
          <w:ilvl w:val="0"/>
          <w:numId w:val="2"/>
        </w:numPr>
      </w:pPr>
      <w:r>
        <w:t>Ved skattefri virksomhedsomdannelse</w:t>
      </w:r>
      <w:r>
        <w:rPr>
          <w:rStyle w:val="Fodnotehenvisning"/>
        </w:rPr>
        <w:footnoteReference w:id="11"/>
      </w:r>
    </w:p>
    <w:p w:rsidR="007A35E5" w:rsidRDefault="007A35E5" w:rsidP="002F4E41">
      <w:pPr>
        <w:pStyle w:val="Listeafsnit1"/>
        <w:numPr>
          <w:ilvl w:val="0"/>
          <w:numId w:val="2"/>
        </w:numPr>
      </w:pPr>
      <w:r>
        <w:t>Tilførsel af aktiver til et datterselskab, fusion og spaltning af selskaber</w:t>
      </w:r>
      <w:r>
        <w:rPr>
          <w:rStyle w:val="Fodnotehenvisning"/>
        </w:rPr>
        <w:footnoteReference w:id="12"/>
      </w:r>
      <w:r>
        <w:t>.</w:t>
      </w:r>
    </w:p>
    <w:p w:rsidR="007A35E5" w:rsidRDefault="007A35E5" w:rsidP="002F4E41">
      <w:pPr>
        <w:pStyle w:val="Listeafsnit1"/>
        <w:numPr>
          <w:ilvl w:val="0"/>
          <w:numId w:val="2"/>
        </w:numPr>
      </w:pPr>
      <w:r>
        <w:t>Skattefri aktieombytning</w:t>
      </w:r>
      <w:r>
        <w:rPr>
          <w:rStyle w:val="Fodnotehenvisning"/>
        </w:rPr>
        <w:footnoteReference w:id="13"/>
      </w:r>
    </w:p>
    <w:p w:rsidR="007A35E5" w:rsidRDefault="007A35E5" w:rsidP="00DD5131">
      <w:r>
        <w:t xml:space="preserve">Som det </w:t>
      </w:r>
      <w:r w:rsidRPr="00CE5752">
        <w:t>fremgår af ovenstående findes der rundt</w:t>
      </w:r>
      <w:r>
        <w:t xml:space="preserve"> om skattelovgivningen flere muli</w:t>
      </w:r>
      <w:r>
        <w:t>g</w:t>
      </w:r>
      <w:r>
        <w:t xml:space="preserve">heder for at foretage succession, når betingelserne herfor er opfyldte. </w:t>
      </w:r>
    </w:p>
    <w:p w:rsidR="007A35E5" w:rsidRDefault="007A35E5" w:rsidP="00AF4FDF"/>
    <w:p w:rsidR="007A35E5" w:rsidRDefault="009432AA" w:rsidP="009432AA">
      <w:pPr>
        <w:pStyle w:val="Overskrift3"/>
      </w:pPr>
      <w:bookmarkStart w:id="11" w:name="_Toc221546180"/>
      <w:r>
        <w:t xml:space="preserve">1.3.3 </w:t>
      </w:r>
      <w:r w:rsidR="007A35E5" w:rsidRPr="00CE5752">
        <w:t>Skattebegunstiget</w:t>
      </w:r>
      <w:r w:rsidR="007A35E5">
        <w:t xml:space="preserve"> generationsskifte </w:t>
      </w:r>
      <w:r w:rsidR="00627158">
        <w:rPr>
          <w:b w:val="0"/>
          <w:sz w:val="22"/>
          <w:szCs w:val="22"/>
        </w:rPr>
        <w:t>(Pernille</w:t>
      </w:r>
      <w:r w:rsidR="00627158" w:rsidRPr="00E75844">
        <w:rPr>
          <w:b w:val="0"/>
          <w:sz w:val="22"/>
          <w:szCs w:val="22"/>
        </w:rPr>
        <w:t>)</w:t>
      </w:r>
      <w:bookmarkEnd w:id="11"/>
    </w:p>
    <w:p w:rsidR="007A35E5" w:rsidRDefault="007A35E5" w:rsidP="00AF4FDF">
      <w:r>
        <w:t>I maj 1983 blev lov om skattefri virksomhedsomdannelse indført. Baggrunden for loven var, at en omdannelse, hvor ejeren blev hovedaktionær, reelt var en videreførelse af den eksisterende virksomhed, og dermed ikke skulle udløse avancebeskatning.</w:t>
      </w:r>
      <w:r w:rsidR="001F2E41">
        <w:t xml:space="preserve"> Vir</w:t>
      </w:r>
      <w:r w:rsidR="001F2E41">
        <w:t>k</w:t>
      </w:r>
      <w:r w:rsidR="001F2E41">
        <w:t>somhedsomdannelse er ikke i sig selv en generationsskifte model, men bruges ofte som start herpå.</w:t>
      </w:r>
      <w:r>
        <w:t xml:space="preserve"> I 1988 blev reglerne KSL § 33 C og ABL § 11</w:t>
      </w:r>
      <w:r w:rsidR="002A7A59">
        <w:rPr>
          <w:rStyle w:val="Fodnotehenvisning"/>
        </w:rPr>
        <w:footnoteReference w:id="14"/>
      </w:r>
      <w:r>
        <w:t xml:space="preserve"> vedtaget, hvorefter det </w:t>
      </w:r>
      <w:r>
        <w:lastRenderedPageBreak/>
        <w:t>blev muligt at generationsskifte med den nærmeste familie via succession. I forarbe</w:t>
      </w:r>
      <w:r>
        <w:t>j</w:t>
      </w:r>
      <w:r>
        <w:t>derne til lovændringen i 1988 fremgår det, at baggrunden for ændringen var at fjerne den tilskyndelse skattelovgivning indeholdt på det tidspunkt, til at vente med generat</w:t>
      </w:r>
      <w:r>
        <w:t>i</w:t>
      </w:r>
      <w:r>
        <w:t>onsskifte til dødsfaldet, ved at ligestille generationsskifte i levende live og ved død. Samtidig blev det påpeget at successionsreglerne generelt var for at sikre en virkso</w:t>
      </w:r>
      <w:r>
        <w:t>m</w:t>
      </w:r>
      <w:r>
        <w:t>hed og dermed arbejdspladsernes eksistens ved at undgå, at overdrageren brugte vir</w:t>
      </w:r>
      <w:r>
        <w:t>k</w:t>
      </w:r>
      <w:r>
        <w:t>somheden til, ved delsalg eller lånefinansiering, at finansiere skattebetalingerne ved afståelse. Der var allerede på det tidspunkt interesse for at lade successionsreglerne gælde for nære medarbejder.</w:t>
      </w:r>
      <w:r>
        <w:rPr>
          <w:rStyle w:val="Fodnotehenvisning"/>
        </w:rPr>
        <w:footnoteReference w:id="15"/>
      </w:r>
      <w:r>
        <w:t xml:space="preserve"> </w:t>
      </w:r>
      <w:r w:rsidR="009A73A5">
        <w:t>Det blev dog først muligt i 2002</w:t>
      </w:r>
      <w:r>
        <w:t>.</w:t>
      </w:r>
    </w:p>
    <w:p w:rsidR="007A35E5" w:rsidRDefault="007A35E5" w:rsidP="00AF4FDF">
      <w:r>
        <w:t xml:space="preserve">   </w:t>
      </w:r>
    </w:p>
    <w:p w:rsidR="007A35E5" w:rsidRDefault="007A35E5" w:rsidP="00AF4FDF">
      <w:r>
        <w:t>I forbindelse med ændringen af generationsskiftereglerne i 1999 blev der nedsat et udvalg, der udarbejdede ”Generationsskiftet i erhvervslivet – betænkning nr. 1374, august 1999”. Heri diskuteres generationsskiftebegrebet, hvor det præciseres at gen</w:t>
      </w:r>
      <w:r>
        <w:t>e</w:t>
      </w:r>
      <w:r>
        <w:t>rationsskifte inden for skatteretten betegner en virksomheds overførsel til yngre slægtninge eller nære medarbejdere. I den bredere debat opfattes overdragelse af virksomhed til tredjemand også som generationsskifte, hvis overdragelsen skyldes ej</w:t>
      </w:r>
      <w:r>
        <w:t>e</w:t>
      </w:r>
      <w:r>
        <w:t>rens pensionering eller død. Skatteretligt er generationsskifte afgrænset fra virkso</w:t>
      </w:r>
      <w:r>
        <w:t>m</w:t>
      </w:r>
      <w:r>
        <w:t>hedsoverdragelser til tredje mand, da de skatteretlige regler indebærer en begunst</w:t>
      </w:r>
      <w:r>
        <w:t>i</w:t>
      </w:r>
      <w:r>
        <w:t>gelse af den yngre generation, en begunstigelse som 3. mand ikke skal have. I kommi</w:t>
      </w:r>
      <w:r>
        <w:t>s</w:t>
      </w:r>
      <w:r>
        <w:t>soriumet givet af den daværende regering og CD til udvalget fremgår det, at smidigg</w:t>
      </w:r>
      <w:r>
        <w:t>ø</w:t>
      </w:r>
      <w:r>
        <w:t>relse af generationsskifte er målet for betænkningen. Udvalget argumenterer for b</w:t>
      </w:r>
      <w:r>
        <w:t>e</w:t>
      </w:r>
      <w:r>
        <w:t>hovet for generationsskiftereglerne at smidiggørelse af generationsskifter giver en samfundsmæssig gevinst. Den samfundsmæssige gevinst består i, at det er nemmere at overtage en bestående virksomhed og drive den videre, end det er at starte en ny. Derved bevarer man arbejdspladser og et økonomisk stærkere erhvervsliv. Desuden er det en fordel at gøre det attraktivt for ejeren at overdrage virksomheden, inden han bliver for gammel til at drive den hensigtsmæssigt. Overdragelse indenfor familien er fordelagtig, da der findes en unik viden om virksomheden, og det er nemmere for n</w:t>
      </w:r>
      <w:r>
        <w:t>æ</w:t>
      </w:r>
      <w:r>
        <w:lastRenderedPageBreak/>
        <w:t>ste generation at arve kunder og leverandører end for tredjemand.</w:t>
      </w:r>
      <w:r>
        <w:rPr>
          <w:rStyle w:val="Fodnotehenvisning"/>
        </w:rPr>
        <w:footnoteReference w:id="16"/>
      </w:r>
      <w:r>
        <w:t xml:space="preserve"> Et argument imod begunstigelse af familieoverdragelser er, at den bedste virksomhedsleder ikke nø</w:t>
      </w:r>
      <w:r>
        <w:t>d</w:t>
      </w:r>
      <w:r>
        <w:t xml:space="preserve">vendigvis findes indenfor familien.  Dette problem imødekommer man imidlertid med særlige regler for overdragelse til nære medarbejdere. </w:t>
      </w:r>
    </w:p>
    <w:p w:rsidR="007A35E5" w:rsidRDefault="007A35E5" w:rsidP="00AF4FDF"/>
    <w:p w:rsidR="007A35E5" w:rsidRDefault="007A35E5" w:rsidP="00AF4FDF">
      <w:r>
        <w:t>I 1999 blev det også nemmere at omdanne interessentskaber. Indtil lovændringen var det en betingelse ved omdannelse af interessentskaber, at hver interessent skulle bliv</w:t>
      </w:r>
      <w:r w:rsidR="002A7A59">
        <w:t>e hovedaktionær i selskabet. Der var på daværende tidspunkt en anden hovedaktionæ</w:t>
      </w:r>
      <w:r w:rsidR="002A7A59">
        <w:t>r</w:t>
      </w:r>
      <w:r w:rsidR="002A7A59">
        <w:t>definition, men det var stadigvæk kompliceret</w:t>
      </w:r>
      <w:r w:rsidR="00AD65DE">
        <w:t xml:space="preserve"> at opfylde kravet.</w:t>
      </w:r>
      <w:r>
        <w:t xml:space="preserve"> Derudover var det et krav at interessenterne skulle have ens afskrivningsgrundlag. I forarbejderne til æ</w:t>
      </w:r>
      <w:r>
        <w:t>n</w:t>
      </w:r>
      <w:r>
        <w:t>dring af loven blev det netop også fremhævet, at interessentskaber kun i meget b</w:t>
      </w:r>
      <w:r>
        <w:t>e</w:t>
      </w:r>
      <w:r>
        <w:t>grænset omfang kunne anvende reglerne om skattefri virksomhedsomdannelse. Man afskaffede derfor kravene</w:t>
      </w:r>
      <w:r>
        <w:rPr>
          <w:rStyle w:val="Fodnotehenvisning"/>
        </w:rPr>
        <w:footnoteReference w:id="17"/>
      </w:r>
      <w:r>
        <w:t>.</w:t>
      </w:r>
    </w:p>
    <w:p w:rsidR="007A35E5" w:rsidRDefault="007A35E5" w:rsidP="00AF4FDF"/>
    <w:p w:rsidR="007A35E5" w:rsidRDefault="007A35E5" w:rsidP="00AF4FDF">
      <w:r>
        <w:t>EU har også haft indflydelse på området. Kommissionen har opfordret medlemsland</w:t>
      </w:r>
      <w:r>
        <w:t>e</w:t>
      </w:r>
      <w:r>
        <w:t>ne til at gennemføre lempeligere beskatning ved overdragelse af virksomheden, da kommissionen har konstateret at mange virksomheder lukker på grund af uoverskuel</w:t>
      </w:r>
      <w:r>
        <w:t>i</w:t>
      </w:r>
      <w:r>
        <w:t>ge problemer med selskabs, arve og skatteregler.</w:t>
      </w:r>
      <w:r>
        <w:rPr>
          <w:rStyle w:val="Fodnotehenvisning"/>
        </w:rPr>
        <w:footnoteReference w:id="18"/>
      </w:r>
      <w:r>
        <w:t xml:space="preserve"> EF-Domstolens afgørelse i Leur-Bloem dommen i 1997 tvang også skattemyndighederne til at revidere deres sagsb</w:t>
      </w:r>
      <w:r>
        <w:t>e</w:t>
      </w:r>
      <w:r>
        <w:t>handling indenfor omstruktureringstiltag, så der blev taget udgangspunkt i den konkr</w:t>
      </w:r>
      <w:r>
        <w:t>e</w:t>
      </w:r>
      <w:r>
        <w:t>te sag i stedet for fastlagte retningslinjer og principper</w:t>
      </w:r>
      <w:r w:rsidR="001F2E41">
        <w:t>, hvilket igen er med til at smi</w:t>
      </w:r>
      <w:r w:rsidR="001F2E41">
        <w:t>d</w:t>
      </w:r>
      <w:r w:rsidR="001F2E41">
        <w:t>diggøre processen</w:t>
      </w:r>
      <w:r>
        <w:rPr>
          <w:rStyle w:val="Fodnotehenvisning"/>
        </w:rPr>
        <w:footnoteReference w:id="19"/>
      </w:r>
      <w:r>
        <w:t xml:space="preserve"> </w:t>
      </w:r>
    </w:p>
    <w:p w:rsidR="007A35E5" w:rsidRDefault="007A35E5" w:rsidP="00AF4FDF"/>
    <w:p w:rsidR="007A35E5" w:rsidRDefault="007A35E5" w:rsidP="00AF4FDF">
      <w:r>
        <w:lastRenderedPageBreak/>
        <w:t>Af nyere tiltag indenfor lempelse af generationsskiftereglerne er ændringen fra 2006 for pengetanksreglen. Tidligere har det ikke været tilladt at succedere i virksomheder, hvor over 50 % af virksomhedens aktivmasse opgjort til handelsværdi består af udle</w:t>
      </w:r>
      <w:r>
        <w:t>j</w:t>
      </w:r>
      <w:r>
        <w:t>ningsejendomme, kontanter, værdipapirer eller lignende. Det er nu sat op ti</w:t>
      </w:r>
      <w:r w:rsidR="00910EE3">
        <w:t>l 75 % gældende fra 1.</w:t>
      </w:r>
      <w:r>
        <w:t xml:space="preserve">1.2007. </w:t>
      </w:r>
      <w:r w:rsidR="00910EE3">
        <w:t>I 2008 blev det endvidere vedtaget, at kravet om overdragelse af mindst 15 % af stemmeværdien til den enkelte modtager ved generationsskifte af selskaber nedsættes til 1 % af aktiekapitalen, hvilket er vedtaget med virkning fra 1.1.2009.</w:t>
      </w:r>
    </w:p>
    <w:p w:rsidR="007A35E5" w:rsidRDefault="007A35E5" w:rsidP="00AF4FDF"/>
    <w:p w:rsidR="007A35E5" w:rsidRDefault="009432AA" w:rsidP="009432AA">
      <w:pPr>
        <w:pStyle w:val="Overskrift3"/>
      </w:pPr>
      <w:bookmarkStart w:id="12" w:name="_Toc221546181"/>
      <w:r>
        <w:t xml:space="preserve">1.3.4 </w:t>
      </w:r>
      <w:r w:rsidR="007A35E5">
        <w:t>Andre overvejelser ved generationsskifte</w:t>
      </w:r>
      <w:r w:rsidR="00627158">
        <w:t xml:space="preserve"> </w:t>
      </w:r>
      <w:r w:rsidR="00627158">
        <w:rPr>
          <w:b w:val="0"/>
          <w:sz w:val="22"/>
          <w:szCs w:val="22"/>
        </w:rPr>
        <w:t>(Pernille</w:t>
      </w:r>
      <w:r w:rsidR="00627158" w:rsidRPr="00E75844">
        <w:rPr>
          <w:b w:val="0"/>
          <w:sz w:val="22"/>
          <w:szCs w:val="22"/>
        </w:rPr>
        <w:t>)</w:t>
      </w:r>
      <w:bookmarkEnd w:id="12"/>
    </w:p>
    <w:p w:rsidR="007A35E5" w:rsidRDefault="007A35E5" w:rsidP="00AF4FDF">
      <w:r>
        <w:t>I denne opgave er det skatteretlige område i fokus, og i praksis vil det også have en stor betydning. Der skal dog også tages en række andre hensyn for at generationsski</w:t>
      </w:r>
      <w:r>
        <w:t>f</w:t>
      </w:r>
      <w:r>
        <w:t>tet bliver en succes. Eksempelvis arve og gavemæssige forhold, ledelsesmæssige og driftsforhold i virksomheden, og ikke mindst psykologiske forhold. For den ældre gen</w:t>
      </w:r>
      <w:r>
        <w:t>e</w:t>
      </w:r>
      <w:r>
        <w:t>ration skal der tages hensyn til deres økonomi som pensionister og ejerens ønsker i forhold til at assistere den næste generation. For den yngre generation skal man ove</w:t>
      </w:r>
      <w:r>
        <w:t>r</w:t>
      </w:r>
      <w:r>
        <w:t xml:space="preserve">veje, om man ved at begunstige en slægtning eller en medarbejder ”snyder” andre slægtninge, og om man giver den overtagende part en reel økonomisk mulighed for at videreføre virksomheden ved ikke at lave en for likviditetskrævende overdragelse. </w:t>
      </w:r>
    </w:p>
    <w:p w:rsidR="007A35E5" w:rsidRDefault="007A35E5" w:rsidP="00AF4FDF"/>
    <w:p w:rsidR="007A35E5" w:rsidRDefault="007A35E5" w:rsidP="00AF4FDF">
      <w:r>
        <w:t xml:space="preserve">Hensynet til virksomheden drejer sig </w:t>
      </w:r>
      <w:r w:rsidR="001F2E41">
        <w:t xml:space="preserve">bl.a. </w:t>
      </w:r>
      <w:r>
        <w:t>om hvorvidt det er den rette person, der overta</w:t>
      </w:r>
      <w:r w:rsidR="001F2E41">
        <w:t>ger. Ejerens børn er</w:t>
      </w:r>
      <w:r>
        <w:t xml:space="preserve"> ikke nødvendigvis de bedste til at lede virksomheden, det kan være, at en medarbejder overdragelse eller salg til 3. mand er en mere fordelagtig løsning fra virksomhedens synspunkt. Det kan også være, at der skal en større organ</w:t>
      </w:r>
      <w:r>
        <w:t>i</w:t>
      </w:r>
      <w:r>
        <w:t>satorisk ændring til</w:t>
      </w:r>
      <w:r w:rsidR="001F2E41">
        <w:t>, når overdrageren stopper,</w:t>
      </w:r>
      <w:r>
        <w:t xml:space="preserve"> for at flytte virksomheden fra ivær</w:t>
      </w:r>
      <w:r>
        <w:t>k</w:t>
      </w:r>
      <w:r>
        <w:t>sætterkulturen til en organisation, hvor kompetence og ansvar er fordelt på flere pe</w:t>
      </w:r>
      <w:r>
        <w:t>r</w:t>
      </w:r>
      <w:r w:rsidR="0025707D">
        <w:t>soner. E</w:t>
      </w:r>
      <w:r>
        <w:t xml:space="preserve">ventuelt </w:t>
      </w:r>
      <w:r w:rsidR="0025707D">
        <w:t xml:space="preserve">skal der </w:t>
      </w:r>
      <w:r>
        <w:t>indsætte</w:t>
      </w:r>
      <w:r w:rsidR="0025707D">
        <w:t>s</w:t>
      </w:r>
      <w:r>
        <w:t xml:space="preserve"> en professionel bestyrelse. </w:t>
      </w:r>
      <w:r w:rsidR="0025707D">
        <w:t>Overdragelsestidspun</w:t>
      </w:r>
      <w:r w:rsidR="0025707D">
        <w:t>k</w:t>
      </w:r>
      <w:r w:rsidR="0025707D">
        <w:t xml:space="preserve">tet er også vigtigt for virksomhedens drift. </w:t>
      </w:r>
      <w:r>
        <w:t xml:space="preserve">Hvis virksomheden overdrages for sent, kan man risikere at overdrageren de sidste år inden overdragelsen har tabt pusten eller har </w:t>
      </w:r>
      <w:r>
        <w:lastRenderedPageBreak/>
        <w:t xml:space="preserve">sparet på nødvendige vedligeholdelsesudgifter og reelt set er virksomheden ved at lukke ned. En </w:t>
      </w:r>
      <w:r w:rsidR="00910EE3">
        <w:t>erhverver, vil</w:t>
      </w:r>
      <w:r>
        <w:t xml:space="preserve"> dermed stå overfor store investeringer og en stor opgave i at få virksomheden i gang igen. </w:t>
      </w:r>
    </w:p>
    <w:p w:rsidR="0025707D" w:rsidRDefault="007A35E5" w:rsidP="00AF4FDF">
      <w:r>
        <w:t>I forhold til virksomheden skal man også overveje at lave en mindre likviditetskræve</w:t>
      </w:r>
      <w:r>
        <w:t>n</w:t>
      </w:r>
      <w:r>
        <w:t>de overdragelse. En virksomhed har brug for et kapitalberedskab for at udvikle sig, en udvikling der sandsynligvis speedes op ved overtagelse af den yngre generation. Man generationsskifter for at videreføre en virksomhed, og videreførelse af virksomheden skal derfor være det grundlæggende hensyn i alle overvejelser.</w:t>
      </w:r>
      <w:r>
        <w:rPr>
          <w:rStyle w:val="Fodnotehenvisning"/>
        </w:rPr>
        <w:footnoteReference w:id="20"/>
      </w:r>
      <w:r>
        <w:t xml:space="preserve"> </w:t>
      </w:r>
    </w:p>
    <w:p w:rsidR="0025707D" w:rsidRDefault="0025707D" w:rsidP="00AF4FDF"/>
    <w:p w:rsidR="007A35E5" w:rsidRDefault="007A35E5" w:rsidP="00AF4FDF">
      <w:r>
        <w:t>Særligt for interessentskaber er der endnu flere problemstillinger, da der er en eller flere, der skal generationsskiftes. Den eller de blivende interessenter skal kunne sa</w:t>
      </w:r>
      <w:r>
        <w:t>m</w:t>
      </w:r>
      <w:r>
        <w:t xml:space="preserve">arbejde med den nye for at interessentskabet fungerer. Det kan dermed blive et større puslespil for at få sat de rigtige personer ind, og tilgodeset alle slægtninge. </w:t>
      </w:r>
    </w:p>
    <w:p w:rsidR="007A35E5" w:rsidRDefault="007A35E5" w:rsidP="00AF4FDF"/>
    <w:p w:rsidR="007A35E5" w:rsidRPr="00DB2D4D" w:rsidRDefault="009432AA" w:rsidP="009432AA">
      <w:pPr>
        <w:pStyle w:val="Overskrift2"/>
      </w:pPr>
      <w:bookmarkStart w:id="13" w:name="_Toc212806410"/>
      <w:bookmarkStart w:id="14" w:name="_Toc221546182"/>
      <w:r>
        <w:t xml:space="preserve">1.4 </w:t>
      </w:r>
      <w:r w:rsidR="007A35E5" w:rsidRPr="00DB2D4D">
        <w:t>Metodevalg og disposition</w:t>
      </w:r>
      <w:bookmarkEnd w:id="13"/>
      <w:r w:rsidR="00627158">
        <w:t xml:space="preserve"> </w:t>
      </w:r>
      <w:r w:rsidR="00627158">
        <w:rPr>
          <w:b w:val="0"/>
          <w:sz w:val="22"/>
          <w:szCs w:val="22"/>
        </w:rPr>
        <w:t>(Pernille og Jane</w:t>
      </w:r>
      <w:r w:rsidR="00627158" w:rsidRPr="00E75844">
        <w:rPr>
          <w:b w:val="0"/>
          <w:sz w:val="22"/>
          <w:szCs w:val="22"/>
        </w:rPr>
        <w:t>)</w:t>
      </w:r>
      <w:bookmarkEnd w:id="14"/>
    </w:p>
    <w:p w:rsidR="0025707D" w:rsidRDefault="0025707D" w:rsidP="009432AA">
      <w:r>
        <w:t>I hvert hovedområde i afhandlingen vil der blive anvendt relevant lovhjemmel på o</w:t>
      </w:r>
      <w:r>
        <w:t>m</w:t>
      </w:r>
      <w:r>
        <w:t>rådet samt henvisning til afgørelser indenfor dette ligesom relevant faglitteratur in</w:t>
      </w:r>
      <w:r>
        <w:t>d</w:t>
      </w:r>
      <w:r>
        <w:t>drages. Umiddelbart efter den teoretiske gennemgang udføres en konsekvensbere</w:t>
      </w:r>
      <w:r>
        <w:t>g</w:t>
      </w:r>
      <w:r>
        <w:t xml:space="preserve">ning ud fra det gennemgående case-regnskab, </w:t>
      </w:r>
      <w:r w:rsidR="00372548">
        <w:t xml:space="preserve">det vil kunne forekomme at </w:t>
      </w:r>
      <w:r>
        <w:t>detaljerede beregninger vil fremgå særskilt som bilag</w:t>
      </w:r>
      <w:r w:rsidR="00372548">
        <w:t>smateriale, mens der alene vil gengivet h</w:t>
      </w:r>
      <w:r w:rsidR="00372548">
        <w:t>o</w:t>
      </w:r>
      <w:r w:rsidR="00372548">
        <w:t xml:space="preserve">vedtallene fra beregningerne. </w:t>
      </w:r>
      <w:r>
        <w:t>Derudover vil der blive foretaget sammenligninger og delkonklusioner på metoderne i hvert hovedafsnit.</w:t>
      </w:r>
    </w:p>
    <w:p w:rsidR="0025707D" w:rsidRDefault="0025707D" w:rsidP="00AF4FDF"/>
    <w:p w:rsidR="007A35E5" w:rsidRDefault="007A35E5" w:rsidP="00AF4FDF">
      <w:r>
        <w:t>For at kunne foretage sammenligninger og analyse af de forskellige modeller, har vi valgt at tage udgangspunkt i et fiktivt case-regnskab. Dette regnskab vil danne grun</w:t>
      </w:r>
      <w:r>
        <w:t>d</w:t>
      </w:r>
      <w:r>
        <w:t>lag for gennemgående beregninger i opgaveløsningen og derved vil der kunne opstilles fordele og ulemper ved de forskellige modeller. Det kan dog forekomme, at der opsti</w:t>
      </w:r>
      <w:r>
        <w:t>l</w:t>
      </w:r>
      <w:r>
        <w:lastRenderedPageBreak/>
        <w:t>les alternative talmodeller for derved a</w:t>
      </w:r>
      <w:r w:rsidR="00372548">
        <w:t xml:space="preserve">t illustrere muligheden for at </w:t>
      </w:r>
      <w:r>
        <w:t xml:space="preserve">en model, der for case-regnskabet var uhensigtsmæssig, </w:t>
      </w:r>
      <w:r w:rsidR="00372548">
        <w:t>da der ikke umiddelbart vil være muligt at ill</w:t>
      </w:r>
      <w:r w:rsidR="00372548">
        <w:t>u</w:t>
      </w:r>
      <w:r w:rsidR="00372548">
        <w:t>strere ud fra case-regnskabet</w:t>
      </w:r>
      <w:r>
        <w:t>.</w:t>
      </w:r>
      <w:r w:rsidR="00372548">
        <w:t xml:space="preserve"> </w:t>
      </w:r>
    </w:p>
    <w:p w:rsidR="007A35E5" w:rsidRDefault="007A35E5" w:rsidP="00AF4FDF">
      <w:r>
        <w:t>Begrundelsen for at anvende et gennemgående case-regnskab er, at denne metode kan operationalisere teorien til praksis. Endvidere vil det i praksis være sådan i den statsautoriserede revisors virke, at denne ud fra en klients faktiske regnskab samt kendskab til klientens ønsker og behov, vil kunne formå at analysere sig frem til hvilken generationsskiftemetode, der vil være den mest hensigtsmæssige for klienten.</w:t>
      </w:r>
    </w:p>
    <w:p w:rsidR="007A35E5" w:rsidRDefault="007A35E5" w:rsidP="00AF4FDF">
      <w:r>
        <w:t>Case-regnskabet samt grundfo</w:t>
      </w:r>
      <w:r w:rsidR="00A007F6">
        <w:t>rudsætninger fremgår af bilag I, til</w:t>
      </w:r>
      <w:r w:rsidR="00684E0E">
        <w:t xml:space="preserve"> yderligere</w:t>
      </w:r>
      <w:r w:rsidR="00A007F6">
        <w:t xml:space="preserve"> illustration af casevirksomheden</w:t>
      </w:r>
      <w:r w:rsidR="00E80B8B">
        <w:t xml:space="preserve">, der drives af brødrene A og B, </w:t>
      </w:r>
      <w:r w:rsidR="00A007F6">
        <w:t xml:space="preserve"> har vi udarbejdet denne oversigt:</w:t>
      </w:r>
    </w:p>
    <w:p w:rsidR="00A007F6" w:rsidRDefault="00A007F6" w:rsidP="00AF4FDF"/>
    <w:p w:rsidR="00A007F6" w:rsidRDefault="00012FAC" w:rsidP="00AF4FDF">
      <w:pPr>
        <w:rPr>
          <w:noProof/>
          <w:lang w:eastAsia="da-DK"/>
        </w:rPr>
      </w:pPr>
      <w:r>
        <w:rPr>
          <w:noProof/>
          <w:lang w:eastAsia="da-DK"/>
        </w:rPr>
        <w:pict>
          <v:shape id="_x0000_i1027" type="#_x0000_t75" style="width:375pt;height:289.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">
            <v:imagedata r:id="rId11" o:title="" croptop="-113f" cropbottom="-125f" cropleft="-511f"/>
            <o:lock v:ext="edit" aspectratio="f"/>
          </v:shape>
        </w:pict>
      </w:r>
    </w:p>
    <w:p w:rsidR="00A007F6" w:rsidRDefault="00A007F6" w:rsidP="00A007F6">
      <w:pPr>
        <w:pStyle w:val="Billedtekst"/>
      </w:pPr>
      <w:bookmarkStart w:id="15" w:name="_Toc218751384"/>
      <w:r>
        <w:t xml:space="preserve">Figur </w:t>
      </w:r>
      <w:fldSimple w:instr=" SEQ Figur \* ARABIC ">
        <w:r w:rsidR="000F066D">
          <w:rPr>
            <w:noProof/>
          </w:rPr>
          <w:t>2</w:t>
        </w:r>
      </w:fldSimple>
      <w:r>
        <w:t xml:space="preserve"> Opbygning af den gennemgående casevirksomhed</w:t>
      </w:r>
      <w:bookmarkEnd w:id="15"/>
    </w:p>
    <w:p w:rsidR="007A35E5" w:rsidRDefault="007A35E5" w:rsidP="00AF4FDF"/>
    <w:p w:rsidR="007A35E5" w:rsidRDefault="007A35E5" w:rsidP="00AF4FDF">
      <w:r>
        <w:t>Opgaven er i hovedtræk disponeret på følgende måde:</w:t>
      </w:r>
    </w:p>
    <w:p w:rsidR="007A35E5" w:rsidRDefault="007A35E5" w:rsidP="002F4E41">
      <w:pPr>
        <w:pStyle w:val="Listeafsnit"/>
        <w:numPr>
          <w:ilvl w:val="0"/>
          <w:numId w:val="5"/>
        </w:numPr>
      </w:pPr>
      <w:r>
        <w:lastRenderedPageBreak/>
        <w:t>Beskrivelse af beskatningsregler for interessentskabet, herunder en kort beskr</w:t>
      </w:r>
      <w:r>
        <w:t>i</w:t>
      </w:r>
      <w:r>
        <w:t>velse af hvordan interessenter kan ind og udtræde og hvilke konsekvenser de</w:t>
      </w:r>
      <w:r>
        <w:t>t</w:t>
      </w:r>
      <w:r>
        <w:t>te giver.</w:t>
      </w:r>
    </w:p>
    <w:p w:rsidR="007A35E5" w:rsidRDefault="007A35E5" w:rsidP="002F4E41">
      <w:pPr>
        <w:pStyle w:val="Listeafsnit"/>
        <w:numPr>
          <w:ilvl w:val="0"/>
          <w:numId w:val="5"/>
        </w:numPr>
      </w:pPr>
      <w:r>
        <w:t>Generationsskifte i personligt regi</w:t>
      </w:r>
    </w:p>
    <w:p w:rsidR="007A35E5" w:rsidRDefault="007A35E5" w:rsidP="002F4E41">
      <w:pPr>
        <w:pStyle w:val="Listeafsnit"/>
        <w:numPr>
          <w:ilvl w:val="0"/>
          <w:numId w:val="5"/>
        </w:numPr>
      </w:pPr>
      <w:r>
        <w:t>Beskattet overdragelse og konsekvenser heraf.</w:t>
      </w:r>
    </w:p>
    <w:p w:rsidR="007A35E5" w:rsidRDefault="007A35E5" w:rsidP="002F4E41">
      <w:pPr>
        <w:pStyle w:val="Listeafsnit"/>
        <w:numPr>
          <w:ilvl w:val="0"/>
          <w:numId w:val="5"/>
        </w:numPr>
      </w:pPr>
      <w:r>
        <w:t>Overdragelse med succession jf. KSL § 33c og konsekvenser heraf.</w:t>
      </w:r>
    </w:p>
    <w:p w:rsidR="007A35E5" w:rsidRDefault="007A35E5" w:rsidP="002F4E41">
      <w:pPr>
        <w:pStyle w:val="Listeafsnit"/>
        <w:numPr>
          <w:ilvl w:val="0"/>
          <w:numId w:val="5"/>
        </w:numPr>
      </w:pPr>
      <w:r>
        <w:t>Generationsskifte i selskabsform</w:t>
      </w:r>
    </w:p>
    <w:p w:rsidR="007A35E5" w:rsidRDefault="007A35E5" w:rsidP="002F4E41">
      <w:pPr>
        <w:pStyle w:val="Listeafsnit"/>
        <w:numPr>
          <w:ilvl w:val="0"/>
          <w:numId w:val="5"/>
        </w:numPr>
      </w:pPr>
      <w:r>
        <w:t>Selskabsstiftelse forinden overdragelse, metoder der kan anvendes.</w:t>
      </w:r>
    </w:p>
    <w:p w:rsidR="007A35E5" w:rsidRDefault="007A35E5" w:rsidP="002F4E41">
      <w:pPr>
        <w:pStyle w:val="Listeafsnit"/>
        <w:numPr>
          <w:ilvl w:val="0"/>
          <w:numId w:val="5"/>
        </w:numPr>
      </w:pPr>
      <w:r>
        <w:t>Beskattet overdragelse af aktier</w:t>
      </w:r>
    </w:p>
    <w:p w:rsidR="007A35E5" w:rsidRDefault="007A35E5" w:rsidP="002F4E41">
      <w:pPr>
        <w:pStyle w:val="Listeafsnit"/>
        <w:numPr>
          <w:ilvl w:val="0"/>
          <w:numId w:val="5"/>
        </w:numPr>
      </w:pPr>
      <w:r>
        <w:t xml:space="preserve">Overdragelse med succession i aktier </w:t>
      </w:r>
    </w:p>
    <w:p w:rsidR="007A35E5" w:rsidRDefault="007A35E5" w:rsidP="002F4E41">
      <w:pPr>
        <w:pStyle w:val="Listeafsnit"/>
        <w:numPr>
          <w:ilvl w:val="0"/>
          <w:numId w:val="5"/>
        </w:numPr>
      </w:pPr>
      <w:r>
        <w:t>Andre generationsskiftemetoder via omstrukturering af selskaber</w:t>
      </w:r>
    </w:p>
    <w:p w:rsidR="007A35E5" w:rsidRDefault="007A35E5" w:rsidP="00AF4FDF"/>
    <w:p w:rsidR="007A35E5" w:rsidRDefault="007A35E5" w:rsidP="00AF4FDF">
      <w:r>
        <w:t xml:space="preserve">Bagerst i opgaven oplistes anvendt litteratur, ligesom der er en oversigt over anvendte forkortelser. </w:t>
      </w:r>
    </w:p>
    <w:p w:rsidR="007A35E5" w:rsidRDefault="007A35E5" w:rsidP="00AF4FDF"/>
    <w:p w:rsidR="007A35E5" w:rsidRDefault="007A35E5" w:rsidP="00AF4FDF">
      <w:r w:rsidRPr="00CE5752">
        <w:t>Opbygningen af opgaven kan endvidere illustreres i nedenstående diagram</w:t>
      </w:r>
      <w:r>
        <w:t>, hvor de parallelle spor er et generationsskifte af en personlig virksomhed hhv. en virksomhed i selskabsregi.</w:t>
      </w:r>
    </w:p>
    <w:p w:rsidR="007A35E5" w:rsidRDefault="007A35E5" w:rsidP="00AF4FDF"/>
    <w:p w:rsidR="007A35E5" w:rsidRDefault="00012FAC" w:rsidP="00AF4FDF">
      <w:r>
        <w:rPr>
          <w:noProof/>
          <w:lang w:eastAsia="da-DK"/>
        </w:rPr>
        <w:lastRenderedPageBreak/>
        <w:pict>
          <v:shape id="_x0000_i1028" type="#_x0000_t75" style="width:482.25pt;height:30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">
            <v:imagedata r:id="rId12" o:title="" croptop="-107f" cropbottom="-128f"/>
            <o:lock v:ext="edit" aspectratio="f"/>
          </v:shape>
        </w:pict>
      </w:r>
    </w:p>
    <w:p w:rsidR="007A35E5" w:rsidRDefault="00A007F6" w:rsidP="00A007F6">
      <w:pPr>
        <w:pStyle w:val="Billedtekst"/>
      </w:pPr>
      <w:bookmarkStart w:id="16" w:name="_Toc218751385"/>
      <w:r>
        <w:t xml:space="preserve">Figur </w:t>
      </w:r>
      <w:fldSimple w:instr=" SEQ Figur \* ARABIC ">
        <w:r w:rsidR="000F066D">
          <w:rPr>
            <w:noProof/>
          </w:rPr>
          <w:t>3</w:t>
        </w:r>
      </w:fldSimple>
      <w:r>
        <w:t xml:space="preserve"> Oversigt over opgaveopbygningen</w:t>
      </w:r>
      <w:bookmarkEnd w:id="16"/>
    </w:p>
    <w:p w:rsidR="00974F32" w:rsidRPr="00974F32" w:rsidRDefault="00974F32" w:rsidP="00974F32"/>
    <w:p w:rsidR="007A35E5" w:rsidRDefault="00974F32" w:rsidP="00631399">
      <w:pPr>
        <w:pStyle w:val="Overskrift1"/>
      </w:pPr>
      <w:r>
        <w:br w:type="page"/>
      </w:r>
      <w:bookmarkStart w:id="17" w:name="_Toc221546183"/>
      <w:r w:rsidR="00AF2D39">
        <w:lastRenderedPageBreak/>
        <w:t xml:space="preserve">2. </w:t>
      </w:r>
      <w:r w:rsidR="007A35E5">
        <w:t>Interessentskab</w:t>
      </w:r>
      <w:r w:rsidR="005E2C30">
        <w:t xml:space="preserve"> </w:t>
      </w:r>
      <w:r w:rsidR="005E2C30" w:rsidRPr="005E2C30">
        <w:rPr>
          <w:rFonts w:asciiTheme="minorHAnsi" w:hAnsiTheme="minorHAnsi"/>
          <w:b w:val="0"/>
          <w:sz w:val="22"/>
          <w:szCs w:val="22"/>
        </w:rPr>
        <w:t>(</w:t>
      </w:r>
      <w:r w:rsidR="005E2C30">
        <w:rPr>
          <w:rFonts w:asciiTheme="minorHAnsi" w:hAnsiTheme="minorHAnsi"/>
          <w:b w:val="0"/>
          <w:sz w:val="22"/>
          <w:szCs w:val="22"/>
        </w:rPr>
        <w:t>Pernille</w:t>
      </w:r>
      <w:r w:rsidR="005E2C30" w:rsidRPr="005E2C30">
        <w:rPr>
          <w:rFonts w:asciiTheme="minorHAnsi" w:hAnsiTheme="minorHAnsi"/>
          <w:b w:val="0"/>
          <w:sz w:val="22"/>
          <w:szCs w:val="22"/>
        </w:rPr>
        <w:t>)</w:t>
      </w:r>
      <w:bookmarkEnd w:id="17"/>
    </w:p>
    <w:p w:rsidR="007A35E5" w:rsidRDefault="00AF2D39" w:rsidP="00AF4FDF">
      <w:pPr>
        <w:pStyle w:val="Overskrift2"/>
      </w:pPr>
      <w:bookmarkStart w:id="18" w:name="_Toc221546184"/>
      <w:r>
        <w:t xml:space="preserve">2.1 </w:t>
      </w:r>
      <w:r w:rsidR="007A35E5">
        <w:t>Interessentskab</w:t>
      </w:r>
      <w:r>
        <w:t xml:space="preserve"> generelt</w:t>
      </w:r>
      <w:r w:rsidR="00627158">
        <w:t xml:space="preserve"> </w:t>
      </w:r>
      <w:r w:rsidR="00627158" w:rsidRPr="005E2C30">
        <w:rPr>
          <w:rFonts w:asciiTheme="minorHAnsi" w:hAnsiTheme="minorHAnsi"/>
          <w:b w:val="0"/>
          <w:sz w:val="22"/>
          <w:szCs w:val="22"/>
        </w:rPr>
        <w:t>(Pernille)</w:t>
      </w:r>
      <w:bookmarkEnd w:id="18"/>
    </w:p>
    <w:p w:rsidR="007A35E5" w:rsidRPr="0015127C" w:rsidRDefault="007A35E5" w:rsidP="00AF4FDF">
      <w:r w:rsidRPr="0015127C">
        <w:t>Et interessentskab opstår når mere end en fysisk person vælger at drive erhvervsvir</w:t>
      </w:r>
      <w:r w:rsidRPr="0015127C">
        <w:t>k</w:t>
      </w:r>
      <w:r w:rsidRPr="0015127C">
        <w:t>somhed i sameje i personligt regi. Interessentskaber adskiller sig fra andre selskab</w:t>
      </w:r>
      <w:r w:rsidRPr="0015127C">
        <w:t>s</w:t>
      </w:r>
      <w:r w:rsidRPr="0015127C">
        <w:t>former i forhold til hæftelsen, der er personlig, uden begrænsning og solidarisk. Int</w:t>
      </w:r>
      <w:r w:rsidRPr="0015127C">
        <w:t>e</w:t>
      </w:r>
      <w:r w:rsidRPr="0015127C">
        <w:t>ressentskaber defineres i Lov om visse erhvervsdrivende virksomheder § 2, stk. 1</w:t>
      </w:r>
    </w:p>
    <w:p w:rsidR="007A35E5" w:rsidRPr="0015127C" w:rsidRDefault="007A35E5" w:rsidP="00AF4FDF">
      <w:pPr>
        <w:rPr>
          <w:rStyle w:val="Strk"/>
          <w:rFonts w:ascii="Verdana" w:hAnsi="Verdana"/>
          <w:sz w:val="17"/>
          <w:szCs w:val="17"/>
        </w:rPr>
      </w:pPr>
    </w:p>
    <w:p w:rsidR="007A35E5" w:rsidRPr="00BB5B2C" w:rsidRDefault="007A35E5" w:rsidP="00AF4FDF">
      <w:pPr>
        <w:rPr>
          <w:i/>
          <w:szCs w:val="24"/>
        </w:rPr>
      </w:pPr>
      <w:r w:rsidRPr="00BB5B2C">
        <w:rPr>
          <w:rStyle w:val="Strk"/>
          <w:i/>
          <w:szCs w:val="24"/>
        </w:rPr>
        <w:t>§ 2.</w:t>
      </w:r>
      <w:r w:rsidRPr="00BB5B2C">
        <w:rPr>
          <w:i/>
          <w:szCs w:val="24"/>
        </w:rPr>
        <w:t xml:space="preserve"> Ved et interessentskab forstås i denne lov en virksomhed, hvor alle deltagerne hæ</w:t>
      </w:r>
      <w:r w:rsidRPr="00BB5B2C">
        <w:rPr>
          <w:i/>
          <w:szCs w:val="24"/>
        </w:rPr>
        <w:t>f</w:t>
      </w:r>
      <w:r w:rsidRPr="00BB5B2C">
        <w:rPr>
          <w:i/>
          <w:szCs w:val="24"/>
        </w:rPr>
        <w:t>ter personligt, uden begrænsning og solidarisk for virksomhedens forpligtelser.</w:t>
      </w:r>
      <w:r>
        <w:rPr>
          <w:rStyle w:val="Fodnotehenvisning"/>
          <w:i/>
          <w:szCs w:val="24"/>
        </w:rPr>
        <w:footnoteReference w:id="21"/>
      </w:r>
    </w:p>
    <w:p w:rsidR="007A35E5" w:rsidRPr="0015127C" w:rsidRDefault="007A35E5" w:rsidP="00AF4FDF">
      <w:pPr>
        <w:rPr>
          <w:szCs w:val="24"/>
        </w:rPr>
      </w:pPr>
    </w:p>
    <w:p w:rsidR="007A35E5" w:rsidRDefault="007A35E5" w:rsidP="00AF4FDF">
      <w:pPr>
        <w:rPr>
          <w:szCs w:val="24"/>
        </w:rPr>
      </w:pPr>
      <w:r>
        <w:t>Derudover påpeges det i LEV § 1, stk. 1, at virksomheder for at være omfattet af loven, skal have til formål at fremme selskabsdeltagernes økonomiske interesser gennem erhvervsdrift. Denne formulering udelukker f.eks. ideelle foreninger.</w:t>
      </w:r>
      <w:r>
        <w:rPr>
          <w:rStyle w:val="Fodnotehenvisning"/>
        </w:rPr>
        <w:footnoteReference w:id="22"/>
      </w:r>
      <w:r>
        <w:t xml:space="preserve"> Interessentse</w:t>
      </w:r>
      <w:r>
        <w:t>l</w:t>
      </w:r>
      <w:r>
        <w:t>skaber er i høj grad ulovregulerede, og der er derfor aftalefrihed i forhold til ove</w:t>
      </w:r>
      <w:r>
        <w:t>r</w:t>
      </w:r>
      <w:r>
        <w:t xml:space="preserve">skudsdeling mv. </w:t>
      </w:r>
      <w:r>
        <w:rPr>
          <w:szCs w:val="24"/>
        </w:rPr>
        <w:t>Der er ingen anmeldelsespligt til E&amp;S, og der er ingen formkrav ved stiftelsen. Som hovedregel sker det ved aftale efter de almindelige aftaleretlige regler. Stiftelse kan også ske ved at to eller flere parter udviser en adfærd der minder om i</w:t>
      </w:r>
      <w:r>
        <w:rPr>
          <w:szCs w:val="24"/>
        </w:rPr>
        <w:t>n</w:t>
      </w:r>
      <w:r>
        <w:rPr>
          <w:szCs w:val="24"/>
        </w:rPr>
        <w:t>teressentskab, hvor de har fælles regnskab, virksomhedsnavn eller lokaler.</w:t>
      </w:r>
      <w:r>
        <w:rPr>
          <w:rStyle w:val="Fodnotehenvisning"/>
        </w:rPr>
        <w:footnoteReference w:id="23"/>
      </w:r>
      <w:r>
        <w:rPr>
          <w:szCs w:val="24"/>
        </w:rPr>
        <w:t xml:space="preserve"> Et int</w:t>
      </w:r>
      <w:r>
        <w:rPr>
          <w:szCs w:val="24"/>
        </w:rPr>
        <w:t>e</w:t>
      </w:r>
      <w:r>
        <w:rPr>
          <w:szCs w:val="24"/>
        </w:rPr>
        <w:t>ressentskab kan også opstå i forbindelse med generationsskifte, hvor en virksomhe</w:t>
      </w:r>
      <w:r>
        <w:rPr>
          <w:szCs w:val="24"/>
        </w:rPr>
        <w:t>d</w:t>
      </w:r>
      <w:r>
        <w:rPr>
          <w:szCs w:val="24"/>
        </w:rPr>
        <w:t>sejer laver en delvis overdragelse af en ideel anpart til næste generation, eller ove</w:t>
      </w:r>
      <w:r>
        <w:rPr>
          <w:szCs w:val="24"/>
        </w:rPr>
        <w:t>r</w:t>
      </w:r>
      <w:r>
        <w:rPr>
          <w:szCs w:val="24"/>
        </w:rPr>
        <w:t>drager sin andel til flere personer. Virksomheden ændrer sig dermed fra en personlig virksomhed til et interessentskab</w:t>
      </w:r>
      <w:r w:rsidR="0025707D">
        <w:rPr>
          <w:szCs w:val="24"/>
        </w:rPr>
        <w:t>.</w:t>
      </w:r>
      <w:r>
        <w:rPr>
          <w:rStyle w:val="Fodnotehenvisning"/>
          <w:szCs w:val="24"/>
        </w:rPr>
        <w:footnoteReference w:id="24"/>
      </w:r>
      <w:r>
        <w:rPr>
          <w:szCs w:val="24"/>
        </w:rPr>
        <w:t xml:space="preserve"> </w:t>
      </w:r>
      <w:r w:rsidR="0025707D">
        <w:rPr>
          <w:szCs w:val="24"/>
        </w:rPr>
        <w:t>Det</w:t>
      </w:r>
      <w:r w:rsidRPr="00CE5752">
        <w:rPr>
          <w:szCs w:val="24"/>
        </w:rPr>
        <w:t xml:space="preserve"> er vist i tegningen nedenfor, hvor I/S’et opstår ved</w:t>
      </w:r>
      <w:r>
        <w:rPr>
          <w:szCs w:val="24"/>
        </w:rPr>
        <w:t>,</w:t>
      </w:r>
      <w:r w:rsidRPr="00CE5752">
        <w:rPr>
          <w:szCs w:val="24"/>
        </w:rPr>
        <w:t xml:space="preserve"> at der indtræder en medejer i en overgangsperiode, indtil stifteren udtræder e</w:t>
      </w:r>
      <w:r w:rsidRPr="00CE5752">
        <w:rPr>
          <w:szCs w:val="24"/>
        </w:rPr>
        <w:t>n</w:t>
      </w:r>
      <w:r w:rsidRPr="00CE5752">
        <w:rPr>
          <w:szCs w:val="24"/>
        </w:rPr>
        <w:lastRenderedPageBreak/>
        <w:t>deligt. Når stifteren er udtrådt er I/S’et reelt ophørt og der er igen tale om en enkel</w:t>
      </w:r>
      <w:r w:rsidRPr="00CE5752">
        <w:rPr>
          <w:szCs w:val="24"/>
        </w:rPr>
        <w:t>t</w:t>
      </w:r>
      <w:r w:rsidRPr="00CE5752">
        <w:rPr>
          <w:szCs w:val="24"/>
        </w:rPr>
        <w:t>mandsvirksomhed.</w:t>
      </w:r>
    </w:p>
    <w:p w:rsidR="007A35E5" w:rsidRDefault="007A35E5" w:rsidP="00472A58"/>
    <w:p w:rsidR="007A35E5" w:rsidRDefault="00012FAC" w:rsidP="00A85DA1">
      <w:r>
        <w:pict>
          <v:group id="_x0000_s1111" editas="canvas" style="width:484.3pt;height:243pt;mso-position-horizontal-relative:char;mso-position-vertical-relative:line" coordorigin="2572,1906" coordsize="8938,4456">
            <o:lock v:ext="edit" aspectratio="t"/>
            <v:shape id="_x0000_s1112" type="#_x0000_t75" style="position:absolute;left:2572;top:1906;width:8938;height:4456" o:preferrelative="f">
              <v:fill o:detectmouseclick="t"/>
              <v:path o:extrusionok="t" o:connecttype="none"/>
              <o:lock v:ext="edit" text="t"/>
            </v:shape>
            <v:oval id="_x0000_s1113" style="position:absolute;left:5012;top:3308;width:1712;height:1404;v-text-anchor:middle" filled="f" fillcolor="#bbe0e3"/>
            <v:shape id="_x0000_s1114" type="#_x0000_t202" style="position:absolute;left:5606;top:3722;width:515;height:713;v-text-anchor:top-baseline" filled="f" fillcolor="#bbe0e3" stroked="f">
              <v:textbox style="mso-next-textbox:#_x0000_s1114" inset="2.08281mm,1.0414mm,2.08281mm,1.0414mm">
                <w:txbxContent>
                  <w:p w:rsidR="006911F3" w:rsidRPr="00E6199A" w:rsidRDefault="006911F3" w:rsidP="00472A58">
                    <w:pPr>
                      <w:autoSpaceDE w:val="0"/>
                      <w:autoSpaceDN w:val="0"/>
                      <w:adjustRightInd w:val="0"/>
                      <w:rPr>
                        <w:rFonts w:ascii="Arial" w:hAnsi="Arial" w:cs="Arial"/>
                        <w:color w:val="000000"/>
                        <w:sz w:val="23"/>
                        <w:szCs w:val="28"/>
                      </w:rPr>
                    </w:pPr>
                    <w:r w:rsidRPr="00E6199A">
                      <w:rPr>
                        <w:rFonts w:ascii="Arial" w:hAnsi="Arial" w:cs="Arial"/>
                        <w:color w:val="000000"/>
                        <w:sz w:val="15"/>
                        <w:szCs w:val="18"/>
                      </w:rPr>
                      <w:t xml:space="preserve"> </w:t>
                    </w:r>
                    <w:r w:rsidRPr="00E6199A">
                      <w:rPr>
                        <w:rFonts w:ascii="Arial" w:hAnsi="Arial" w:cs="Arial"/>
                        <w:color w:val="000000"/>
                        <w:sz w:val="23"/>
                        <w:szCs w:val="28"/>
                      </w:rPr>
                      <w:t>I/S</w:t>
                    </w:r>
                  </w:p>
                </w:txbxContent>
              </v:textbox>
            </v:shape>
            <v:group id="_x0000_s1115" style="position:absolute;left:2616;top:1906;width:1628;height:3575" coordorigin="463,1532" coordsize="796,1734">
              <v:group id="_x0000_s1116" style="position:absolute;left:521;top:2229;width:635;height:747" coordorigin="521,2296" coordsize="635,680">
                <v:oval id="_x0000_s1117" style="position:absolute;left:521;top:2296;width:635;height:680;v-text-anchor:middle" filled="f" fillcolor="#bbe0e3"/>
                <v:shape id="_x0000_s1118" type="#_x0000_t202" style="position:absolute;left:554;top:2560;width:556;height:288;v-text-anchor:top-baseline" filled="f" fillcolor="#bbe0e3" stroked="f">
                  <v:textbox style="mso-next-textbox:#_x0000_s1118" inset="2.08281mm,1.0414mm,2.08281mm,1.0414mm">
                    <w:txbxContent>
                      <w:p w:rsidR="006911F3" w:rsidRPr="00E6199A" w:rsidRDefault="006911F3" w:rsidP="00472A58">
                        <w:pPr>
                          <w:autoSpaceDE w:val="0"/>
                          <w:autoSpaceDN w:val="0"/>
                          <w:adjustRightInd w:val="0"/>
                          <w:rPr>
                            <w:rFonts w:ascii="Arial" w:hAnsi="Arial" w:cs="Arial"/>
                            <w:color w:val="000000"/>
                            <w:sz w:val="15"/>
                            <w:szCs w:val="18"/>
                          </w:rPr>
                        </w:pPr>
                        <w:r w:rsidRPr="00E6199A">
                          <w:rPr>
                            <w:rFonts w:ascii="Arial" w:hAnsi="Arial" w:cs="Arial"/>
                            <w:color w:val="000000"/>
                            <w:sz w:val="15"/>
                            <w:szCs w:val="18"/>
                          </w:rPr>
                          <w:t>Enkeltmands-</w:t>
                        </w:r>
                        <w:r w:rsidRPr="00E6199A">
                          <w:rPr>
                            <w:rFonts w:ascii="Arial" w:hAnsi="Arial" w:cs="Arial"/>
                            <w:color w:val="000000"/>
                            <w:sz w:val="15"/>
                            <w:szCs w:val="18"/>
                          </w:rPr>
                          <w:br/>
                          <w:t>virksomhed</w:t>
                        </w:r>
                        <w:r w:rsidRPr="00E6199A">
                          <w:rPr>
                            <w:rFonts w:ascii="Arial" w:hAnsi="Arial" w:cs="Arial"/>
                            <w:color w:val="000000"/>
                            <w:sz w:val="15"/>
                            <w:szCs w:val="18"/>
                          </w:rPr>
                          <w:br/>
                        </w:r>
                      </w:p>
                    </w:txbxContent>
                  </v:textbox>
                </v:shape>
              </v:group>
              <v:shape id="_x0000_s1119" type="#_x0000_t75" style="position:absolute;left:716;top:1532;width:251;height:548">
                <v:imagedata r:id="rId13" o:title=""/>
              </v:shape>
              <v:line id="_x0000_s1120" style="position:absolute" from="839,2102" to="840,2251"/>
              <v:shape id="_x0000_s1121" type="#_x0000_t202" style="position:absolute;left:463;top:3036;width:796;height:230;v-text-anchor:top-baseline" filled="f" fillcolor="#bbe0e3" stroked="f">
                <v:textbox style="mso-next-textbox:#_x0000_s1121" inset="2.08281mm,1.0414mm,2.08281mm,1.0414mm">
                  <w:txbxContent>
                    <w:p w:rsidR="006911F3" w:rsidRPr="00E6199A" w:rsidRDefault="006911F3" w:rsidP="00472A58">
                      <w:pPr>
                        <w:autoSpaceDE w:val="0"/>
                        <w:autoSpaceDN w:val="0"/>
                        <w:adjustRightInd w:val="0"/>
                        <w:rPr>
                          <w:rFonts w:ascii="Arial" w:hAnsi="Arial" w:cs="Arial"/>
                          <w:color w:val="000000"/>
                          <w:sz w:val="15"/>
                          <w:szCs w:val="18"/>
                        </w:rPr>
                      </w:pPr>
                      <w:r>
                        <w:rPr>
                          <w:rFonts w:ascii="Arial" w:hAnsi="Arial" w:cs="Arial"/>
                          <w:color w:val="000000"/>
                          <w:sz w:val="15"/>
                          <w:szCs w:val="18"/>
                        </w:rPr>
                        <w:t>Virksomhedopstart</w:t>
                      </w:r>
                      <w:r w:rsidRPr="00E6199A">
                        <w:rPr>
                          <w:rFonts w:ascii="Arial" w:hAnsi="Arial" w:cs="Arial"/>
                          <w:color w:val="000000"/>
                          <w:sz w:val="15"/>
                          <w:szCs w:val="18"/>
                        </w:rPr>
                        <w:br/>
                        <w:t>af en person.</w:t>
                      </w:r>
                    </w:p>
                  </w:txbxContent>
                </v:textbox>
              </v:shape>
            </v:group>
            <v:line id="_x0000_s1122" style="position:absolute" from="3986,4032" to="4841,4032">
              <v:stroke endarrow="block"/>
            </v:line>
            <v:line id="_x0000_s1123" style="position:absolute" from="5441,3072" to="5612,3351"/>
            <v:line id="_x0000_s1124" style="position:absolute;flip:x" from="6125,2982" to="6211,3357"/>
            <v:shape id="_x0000_s1125" type="#_x0000_t202" style="position:absolute;left:5159;top:4723;width:1945;height:1079;v-text-anchor:top-baseline" filled="f" fillcolor="#bbe0e3" stroked="f">
              <v:textbox style="mso-next-textbox:#_x0000_s1125" inset="2.08281mm,1.0414mm,2.08281mm,1.0414mm">
                <w:txbxContent>
                  <w:p w:rsidR="006911F3" w:rsidRPr="00E6199A" w:rsidRDefault="006911F3" w:rsidP="00472A58">
                    <w:pPr>
                      <w:autoSpaceDE w:val="0"/>
                      <w:autoSpaceDN w:val="0"/>
                      <w:adjustRightInd w:val="0"/>
                      <w:rPr>
                        <w:rFonts w:ascii="Arial" w:hAnsi="Arial" w:cs="Arial"/>
                        <w:color w:val="000000"/>
                        <w:sz w:val="15"/>
                        <w:szCs w:val="18"/>
                      </w:rPr>
                    </w:pPr>
                    <w:r w:rsidRPr="00E6199A">
                      <w:rPr>
                        <w:rFonts w:ascii="Arial" w:hAnsi="Arial" w:cs="Arial"/>
                        <w:color w:val="000000"/>
                        <w:sz w:val="15"/>
                        <w:szCs w:val="18"/>
                      </w:rPr>
                      <w:t>Optagelse af en eller flere</w:t>
                    </w:r>
                    <w:r w:rsidRPr="00E6199A">
                      <w:rPr>
                        <w:rFonts w:ascii="Arial" w:hAnsi="Arial" w:cs="Arial"/>
                        <w:color w:val="000000"/>
                        <w:sz w:val="15"/>
                        <w:szCs w:val="18"/>
                      </w:rPr>
                      <w:br/>
                      <w:t>medejere, evt. som led i</w:t>
                    </w:r>
                    <w:r w:rsidRPr="00E6199A">
                      <w:rPr>
                        <w:rFonts w:ascii="Arial" w:hAnsi="Arial" w:cs="Arial"/>
                        <w:color w:val="000000"/>
                        <w:sz w:val="15"/>
                        <w:szCs w:val="18"/>
                      </w:rPr>
                      <w:br/>
                      <w:t>generationsskifte</w:t>
                    </w:r>
                  </w:p>
                  <w:p w:rsidR="006911F3" w:rsidRPr="00E6199A" w:rsidRDefault="006911F3" w:rsidP="00472A58">
                    <w:pPr>
                      <w:autoSpaceDE w:val="0"/>
                      <w:autoSpaceDN w:val="0"/>
                      <w:adjustRightInd w:val="0"/>
                      <w:rPr>
                        <w:rFonts w:ascii="Arial" w:hAnsi="Arial" w:cs="Arial"/>
                        <w:color w:val="000000"/>
                        <w:sz w:val="15"/>
                        <w:szCs w:val="18"/>
                      </w:rPr>
                    </w:pPr>
                  </w:p>
                </w:txbxContent>
              </v:textbox>
            </v:shape>
            <v:group id="_x0000_s1126" style="position:absolute;left:7665;top:3164;width:1198;height:1719" coordorigin="521,2296" coordsize="635,680">
              <v:oval id="_x0000_s1127" style="position:absolute;left:521;top:2296;width:635;height:680;v-text-anchor:middle" filled="f" fillcolor="#bbe0e3"/>
              <v:shape id="_x0000_s1128" type="#_x0000_t202" style="position:absolute;left:554;top:2560;width:556;height:288;v-text-anchor:top-baseline" filled="f" fillcolor="#bbe0e3" stroked="f">
                <v:textbox style="mso-next-textbox:#_x0000_s1128" inset="2.08281mm,1.0414mm,2.08281mm,1.0414mm">
                  <w:txbxContent>
                    <w:p w:rsidR="006911F3" w:rsidRPr="00E6199A" w:rsidRDefault="006911F3" w:rsidP="00472A58">
                      <w:pPr>
                        <w:autoSpaceDE w:val="0"/>
                        <w:autoSpaceDN w:val="0"/>
                        <w:adjustRightInd w:val="0"/>
                        <w:rPr>
                          <w:rFonts w:ascii="Arial" w:hAnsi="Arial" w:cs="Arial"/>
                          <w:color w:val="000000"/>
                          <w:sz w:val="15"/>
                          <w:szCs w:val="18"/>
                        </w:rPr>
                      </w:pPr>
                      <w:r w:rsidRPr="00E6199A">
                        <w:rPr>
                          <w:rFonts w:ascii="Arial" w:hAnsi="Arial" w:cs="Arial"/>
                          <w:color w:val="000000"/>
                          <w:sz w:val="15"/>
                          <w:szCs w:val="18"/>
                        </w:rPr>
                        <w:t>Enkel</w:t>
                      </w:r>
                      <w:r w:rsidRPr="00E6199A">
                        <w:rPr>
                          <w:rFonts w:ascii="Arial" w:hAnsi="Arial" w:cs="Arial"/>
                          <w:color w:val="000000"/>
                          <w:sz w:val="15"/>
                          <w:szCs w:val="18"/>
                        </w:rPr>
                        <w:t>t</w:t>
                      </w:r>
                      <w:r w:rsidRPr="00E6199A">
                        <w:rPr>
                          <w:rFonts w:ascii="Arial" w:hAnsi="Arial" w:cs="Arial"/>
                          <w:color w:val="000000"/>
                          <w:sz w:val="15"/>
                          <w:szCs w:val="18"/>
                        </w:rPr>
                        <w:t>mands-</w:t>
                      </w:r>
                      <w:r w:rsidRPr="00E6199A">
                        <w:rPr>
                          <w:rFonts w:ascii="Arial" w:hAnsi="Arial" w:cs="Arial"/>
                          <w:color w:val="000000"/>
                          <w:sz w:val="15"/>
                          <w:szCs w:val="18"/>
                        </w:rPr>
                        <w:br/>
                        <w:t>virksomhed</w:t>
                      </w:r>
                      <w:r w:rsidRPr="00E6199A">
                        <w:rPr>
                          <w:rFonts w:ascii="Arial" w:hAnsi="Arial" w:cs="Arial"/>
                          <w:color w:val="000000"/>
                          <w:sz w:val="15"/>
                          <w:szCs w:val="18"/>
                        </w:rPr>
                        <w:br/>
                      </w:r>
                    </w:p>
                  </w:txbxContent>
                </v:textbox>
              </v:shape>
            </v:group>
            <v:shape id="_x0000_s1129" type="#_x0000_t75" style="position:absolute;left:5269;top:2080;width:1113;height:900">
              <v:imagedata r:id="rId14" o:title=""/>
            </v:shape>
            <v:shape id="_x0000_s1130" type="#_x0000_t75" style="position:absolute;left:9891;top:3436;width:942;height:961">
              <v:imagedata r:id="rId15" o:title=""/>
            </v:shape>
            <v:line id="_x0000_s1131" style="position:absolute" from="6811,4032" to="7495,4032">
              <v:stroke endarrow="block"/>
            </v:line>
            <v:line id="_x0000_s1132" style="position:absolute" from="8950,4032" to="9635,4032">
              <v:stroke endarrow="block"/>
            </v:line>
            <v:shape id="_x0000_s1133" type="#_x0000_t75" style="position:absolute;left:7914;top:1990;width:681;height:1106">
              <v:imagedata r:id="rId16" o:title=""/>
            </v:shape>
            <v:line id="_x0000_s1134" style="position:absolute" from="8265,3164" to="8267,3351"/>
            <v:shape id="_x0000_s1135" type="#_x0000_t202" style="position:absolute;left:7728;top:4723;width:1494;height:1606;v-text-anchor:top-baseline" filled="f" fillcolor="#bbe0e3" stroked="f">
              <v:textbox style="mso-next-textbox:#_x0000_s1135" inset="2.08281mm,1.0414mm,2.08281mm,1.0414mm">
                <w:txbxContent>
                  <w:p w:rsidR="006911F3" w:rsidRPr="00E6199A" w:rsidRDefault="006911F3" w:rsidP="00472A58">
                    <w:pPr>
                      <w:autoSpaceDE w:val="0"/>
                      <w:autoSpaceDN w:val="0"/>
                      <w:adjustRightInd w:val="0"/>
                      <w:rPr>
                        <w:rFonts w:ascii="Arial" w:hAnsi="Arial" w:cs="Arial"/>
                        <w:color w:val="000000"/>
                        <w:sz w:val="15"/>
                        <w:szCs w:val="18"/>
                      </w:rPr>
                    </w:pPr>
                    <w:r w:rsidRPr="00E6199A">
                      <w:rPr>
                        <w:rFonts w:ascii="Arial" w:hAnsi="Arial" w:cs="Arial"/>
                        <w:color w:val="000000"/>
                        <w:sz w:val="15"/>
                        <w:szCs w:val="18"/>
                      </w:rPr>
                      <w:t>Den indtrædende</w:t>
                    </w:r>
                    <w:r w:rsidRPr="00E6199A">
                      <w:rPr>
                        <w:rFonts w:ascii="Arial" w:hAnsi="Arial" w:cs="Arial"/>
                        <w:color w:val="000000"/>
                        <w:sz w:val="15"/>
                        <w:szCs w:val="18"/>
                      </w:rPr>
                      <w:br/>
                      <w:t>interessent overt</w:t>
                    </w:r>
                    <w:r w:rsidRPr="00E6199A">
                      <w:rPr>
                        <w:rFonts w:ascii="Arial" w:hAnsi="Arial" w:cs="Arial"/>
                        <w:color w:val="000000"/>
                        <w:sz w:val="15"/>
                        <w:szCs w:val="18"/>
                      </w:rPr>
                      <w:t>a</w:t>
                    </w:r>
                    <w:r w:rsidRPr="00E6199A">
                      <w:rPr>
                        <w:rFonts w:ascii="Arial" w:hAnsi="Arial" w:cs="Arial"/>
                        <w:color w:val="000000"/>
                        <w:sz w:val="15"/>
                        <w:szCs w:val="18"/>
                      </w:rPr>
                      <w:t>ger</w:t>
                    </w:r>
                    <w:r w:rsidRPr="00E6199A">
                      <w:rPr>
                        <w:rFonts w:ascii="Arial" w:hAnsi="Arial" w:cs="Arial"/>
                        <w:color w:val="000000"/>
                        <w:sz w:val="15"/>
                        <w:szCs w:val="18"/>
                      </w:rPr>
                      <w:br/>
                      <w:t>hele virksomheden</w:t>
                    </w:r>
                  </w:p>
                  <w:p w:rsidR="006911F3" w:rsidRPr="00E6199A" w:rsidRDefault="006911F3" w:rsidP="00472A58">
                    <w:pPr>
                      <w:autoSpaceDE w:val="0"/>
                      <w:autoSpaceDN w:val="0"/>
                      <w:adjustRightInd w:val="0"/>
                      <w:rPr>
                        <w:rFonts w:ascii="Arial" w:hAnsi="Arial" w:cs="Arial"/>
                        <w:color w:val="000000"/>
                        <w:sz w:val="15"/>
                        <w:szCs w:val="18"/>
                      </w:rPr>
                    </w:pPr>
                  </w:p>
                </w:txbxContent>
              </v:textbox>
            </v:shape>
            <v:shape id="_x0000_s1136" type="#_x0000_t202" style="position:absolute;left:9782;top:4622;width:1728;height:1501;v-text-anchor:top-baseline" filled="f" fillcolor="#bbe0e3" stroked="f">
              <v:textbox style="mso-next-textbox:#_x0000_s1136" inset="2.08281mm,1.0414mm,2.08281mm,1.0414mm">
                <w:txbxContent>
                  <w:p w:rsidR="006911F3" w:rsidRPr="00E6199A" w:rsidRDefault="006911F3" w:rsidP="00472A58">
                    <w:pPr>
                      <w:autoSpaceDE w:val="0"/>
                      <w:autoSpaceDN w:val="0"/>
                      <w:adjustRightInd w:val="0"/>
                      <w:rPr>
                        <w:rFonts w:ascii="Arial" w:hAnsi="Arial" w:cs="Arial"/>
                        <w:color w:val="000000"/>
                        <w:sz w:val="15"/>
                        <w:szCs w:val="18"/>
                      </w:rPr>
                    </w:pPr>
                    <w:r w:rsidRPr="00E6199A">
                      <w:rPr>
                        <w:rFonts w:ascii="Arial" w:hAnsi="Arial" w:cs="Arial"/>
                        <w:color w:val="000000"/>
                        <w:sz w:val="15"/>
                        <w:szCs w:val="18"/>
                      </w:rPr>
                      <w:t>Virksomheden</w:t>
                    </w:r>
                    <w:r w:rsidRPr="00E6199A">
                      <w:rPr>
                        <w:rFonts w:ascii="Arial" w:hAnsi="Arial" w:cs="Arial"/>
                        <w:color w:val="000000"/>
                        <w:sz w:val="15"/>
                        <w:szCs w:val="18"/>
                      </w:rPr>
                      <w:br/>
                      <w:t>drives videre med nye</w:t>
                    </w:r>
                    <w:r w:rsidRPr="00E6199A">
                      <w:rPr>
                        <w:rFonts w:ascii="Arial" w:hAnsi="Arial" w:cs="Arial"/>
                        <w:color w:val="000000"/>
                        <w:sz w:val="15"/>
                        <w:szCs w:val="18"/>
                      </w:rPr>
                      <w:br/>
                      <w:t>kræfter og den tredje</w:t>
                    </w:r>
                    <w:r w:rsidRPr="00E6199A">
                      <w:rPr>
                        <w:rFonts w:ascii="Arial" w:hAnsi="Arial" w:cs="Arial"/>
                        <w:color w:val="000000"/>
                        <w:sz w:val="15"/>
                        <w:szCs w:val="18"/>
                      </w:rPr>
                      <w:br/>
                      <w:t>alder kan nydes i fuldt ud</w:t>
                    </w:r>
                  </w:p>
                  <w:p w:rsidR="006911F3" w:rsidRPr="00E6199A" w:rsidRDefault="006911F3" w:rsidP="00472A58">
                    <w:pPr>
                      <w:autoSpaceDE w:val="0"/>
                      <w:autoSpaceDN w:val="0"/>
                      <w:adjustRightInd w:val="0"/>
                      <w:rPr>
                        <w:rFonts w:ascii="Arial" w:hAnsi="Arial" w:cs="Arial"/>
                        <w:color w:val="000000"/>
                        <w:sz w:val="15"/>
                        <w:szCs w:val="18"/>
                      </w:rPr>
                    </w:pPr>
                  </w:p>
                </w:txbxContent>
              </v:textbox>
            </v:shape>
            <w10:anchorlock/>
          </v:group>
        </w:pict>
      </w:r>
    </w:p>
    <w:p w:rsidR="00684E0E" w:rsidRDefault="00684E0E" w:rsidP="00684E0E">
      <w:pPr>
        <w:pStyle w:val="Billedtekst"/>
        <w:rPr>
          <w:szCs w:val="24"/>
        </w:rPr>
      </w:pPr>
      <w:bookmarkStart w:id="19" w:name="_Toc218751386"/>
      <w:r>
        <w:t xml:space="preserve">Figur </w:t>
      </w:r>
      <w:fldSimple w:instr=" SEQ Figur \* ARABIC ">
        <w:r w:rsidR="000F066D">
          <w:rPr>
            <w:noProof/>
          </w:rPr>
          <w:t>4</w:t>
        </w:r>
      </w:fldSimple>
      <w:r>
        <w:t xml:space="preserve"> Tidsforløb af virksomhed, hvor der ved optagelse af yderligere ejer opstår interessentskab</w:t>
      </w:r>
      <w:r w:rsidR="000B4E51">
        <w:t xml:space="preserve"> indtil den oprindelige ejer udtræder</w:t>
      </w:r>
      <w:bookmarkEnd w:id="19"/>
    </w:p>
    <w:p w:rsidR="007A35E5" w:rsidRDefault="007A35E5" w:rsidP="00A85DA1">
      <w:pPr>
        <w:rPr>
          <w:szCs w:val="24"/>
        </w:rPr>
      </w:pPr>
    </w:p>
    <w:p w:rsidR="007A35E5" w:rsidRPr="00A85DA1" w:rsidRDefault="007A35E5" w:rsidP="00A85DA1">
      <w:pPr>
        <w:rPr>
          <w:szCs w:val="24"/>
        </w:rPr>
      </w:pPr>
      <w:r>
        <w:rPr>
          <w:szCs w:val="24"/>
        </w:rPr>
        <w:t>Et I/S’et er tillagt retssubjektivitet men er ikke tillagt skattesubjektivitet. Eksempelvis er det i retspraksis fastslået, at det er interessentskabets erhvervelse af en bestemt indkomst, der er afgørende for den skattemæssige periodisering ved opgørelse af int</w:t>
      </w:r>
      <w:r>
        <w:rPr>
          <w:szCs w:val="24"/>
        </w:rPr>
        <w:t>e</w:t>
      </w:r>
      <w:r>
        <w:rPr>
          <w:szCs w:val="24"/>
        </w:rPr>
        <w:t>ressenternes skattepligtige indkomst. Det bekræftes i nedenstående afgørelse, hvor at det er tidspunktet hvor interessentskabets erhverver en fast ejendom, der er afgøre</w:t>
      </w:r>
      <w:r>
        <w:rPr>
          <w:szCs w:val="24"/>
        </w:rPr>
        <w:t>n</w:t>
      </w:r>
      <w:r>
        <w:rPr>
          <w:szCs w:val="24"/>
        </w:rPr>
        <w:t>de for, hvornår det påvirker deltagernes skattepligtige indkomst.</w:t>
      </w:r>
    </w:p>
    <w:p w:rsidR="007A35E5" w:rsidRPr="005B6CCB" w:rsidRDefault="007A35E5" w:rsidP="005B6CCB">
      <w:pPr>
        <w:rPr>
          <w:lang w:eastAsia="da-DK"/>
        </w:rPr>
      </w:pPr>
    </w:p>
    <w:p w:rsidR="007A35E5" w:rsidRPr="006B3CFD" w:rsidRDefault="007A35E5" w:rsidP="005B6CCB">
      <w:pPr>
        <w:rPr>
          <w:rFonts w:ascii="Verdana" w:hAnsi="Verdana"/>
          <w:color w:val="3F6075"/>
          <w:sz w:val="22"/>
          <w:lang w:eastAsia="da-DK"/>
        </w:rPr>
      </w:pPr>
      <w:r w:rsidRPr="006B3CFD">
        <w:rPr>
          <w:i/>
          <w:sz w:val="22"/>
        </w:rPr>
        <w:t xml:space="preserve">SKM2003.553.VLR: </w:t>
      </w:r>
      <w:r w:rsidRPr="006B3CFD">
        <w:rPr>
          <w:i/>
          <w:sz w:val="22"/>
          <w:lang w:eastAsia="da-DK"/>
        </w:rPr>
        <w:t>Et interessentskab købte en udlejningsejendom af et investeringsselskab med henblik på at eje ejendommen i en investeringsperiode på 10 år. Spørgsmålet var, om der i 1996 - som hævdet af sagsøgeren - var indgået en endelig og bindende aftale om køb af eje</w:t>
      </w:r>
      <w:r w:rsidRPr="006B3CFD">
        <w:rPr>
          <w:i/>
          <w:sz w:val="22"/>
          <w:lang w:eastAsia="da-DK"/>
        </w:rPr>
        <w:t>n</w:t>
      </w:r>
      <w:r w:rsidRPr="006B3CFD">
        <w:rPr>
          <w:i/>
          <w:sz w:val="22"/>
          <w:lang w:eastAsia="da-DK"/>
        </w:rPr>
        <w:t>dommen. Landsretten bemærkede, at der ikke forelå dokumenter vedrørende salg af eje</w:t>
      </w:r>
      <w:r w:rsidRPr="006B3CFD">
        <w:rPr>
          <w:i/>
          <w:sz w:val="22"/>
          <w:lang w:eastAsia="da-DK"/>
        </w:rPr>
        <w:t>n</w:t>
      </w:r>
      <w:r w:rsidRPr="006B3CFD">
        <w:rPr>
          <w:i/>
          <w:sz w:val="22"/>
          <w:lang w:eastAsia="da-DK"/>
        </w:rPr>
        <w:t>dommen til investeringsselskabet, og at interessentskabets køb alene var dokumenteret ved det den 1. februar 1997 daterede betingede skøde. Endvidere bemærkede landsretten, at sa</w:t>
      </w:r>
      <w:r w:rsidRPr="006B3CFD">
        <w:rPr>
          <w:i/>
          <w:sz w:val="22"/>
          <w:lang w:eastAsia="da-DK"/>
        </w:rPr>
        <w:t>g</w:t>
      </w:r>
      <w:r w:rsidRPr="006B3CFD">
        <w:rPr>
          <w:i/>
          <w:sz w:val="22"/>
          <w:lang w:eastAsia="da-DK"/>
        </w:rPr>
        <w:lastRenderedPageBreak/>
        <w:t>søgeren efter indholdet af tegningsaftalen ved underskrift af denne alene havde afgivet tilbud om tegning af en andel, at projektets finansiering efter tegningsaftalen var afhængig af inv</w:t>
      </w:r>
      <w:r w:rsidRPr="006B3CFD">
        <w:rPr>
          <w:i/>
          <w:sz w:val="22"/>
          <w:lang w:eastAsia="da-DK"/>
        </w:rPr>
        <w:t>e</w:t>
      </w:r>
      <w:r w:rsidRPr="006B3CFD">
        <w:rPr>
          <w:i/>
          <w:sz w:val="22"/>
          <w:lang w:eastAsia="da-DK"/>
        </w:rPr>
        <w:t>storernes indkomst- og formueforhold, at aftalen først var bindende efter at projektet var go</w:t>
      </w:r>
      <w:r w:rsidRPr="006B3CFD">
        <w:rPr>
          <w:i/>
          <w:sz w:val="22"/>
          <w:lang w:eastAsia="da-DK"/>
        </w:rPr>
        <w:t>d</w:t>
      </w:r>
      <w:r w:rsidRPr="006B3CFD">
        <w:rPr>
          <w:i/>
          <w:sz w:val="22"/>
          <w:lang w:eastAsia="da-DK"/>
        </w:rPr>
        <w:t xml:space="preserve">kendt i sin helhed og investorerne havde modtaget bekræftelse herpå, samt at der forelå usikre og </w:t>
      </w:r>
      <w:r w:rsidR="00910EE3" w:rsidRPr="006B3CFD">
        <w:rPr>
          <w:i/>
          <w:sz w:val="22"/>
          <w:lang w:eastAsia="da-DK"/>
        </w:rPr>
        <w:t>til dels</w:t>
      </w:r>
      <w:r w:rsidRPr="006B3CFD">
        <w:rPr>
          <w:i/>
          <w:sz w:val="22"/>
          <w:lang w:eastAsia="da-DK"/>
        </w:rPr>
        <w:t xml:space="preserve"> modstridende forklaringer om, hvorvidt og på hvilken måde investorerne modtog bekræftelse herpå i 1996. På den baggrund fandt landsretten det ikke godtgjort, at udbyderen af projektet over for samtlige investorer bekræftede udbyderens godkendelse af projektet og investorernes deltagelse heri i 1996.</w:t>
      </w:r>
    </w:p>
    <w:p w:rsidR="007A35E5" w:rsidRPr="006B3CFD" w:rsidRDefault="007A35E5" w:rsidP="005B6CCB">
      <w:pPr>
        <w:rPr>
          <w:i/>
          <w:sz w:val="22"/>
          <w:lang w:eastAsia="da-DK"/>
        </w:rPr>
      </w:pPr>
      <w:r w:rsidRPr="006B3CFD">
        <w:rPr>
          <w:i/>
          <w:sz w:val="22"/>
          <w:lang w:eastAsia="da-DK"/>
        </w:rPr>
        <w:t>Videre bemærkede landsretten, at sagsøgeren ifølge sin forklaring ikke kunne huske, om han underskrev interessentskabsaftalen i 1996, og at der derfor heller ikke - uanset udbyderens forklaring om det modsatte - var ført tilstrækkeligt bevis for, at interessentskabet, der var k</w:t>
      </w:r>
      <w:r w:rsidRPr="006B3CFD">
        <w:rPr>
          <w:i/>
          <w:sz w:val="22"/>
          <w:lang w:eastAsia="da-DK"/>
        </w:rPr>
        <w:t>ø</w:t>
      </w:r>
      <w:r w:rsidRPr="006B3CFD">
        <w:rPr>
          <w:i/>
          <w:sz w:val="22"/>
          <w:lang w:eastAsia="da-DK"/>
        </w:rPr>
        <w:t>ber af ejendommen, var kommet til eksistens i 1996. På den baggrund fandt landsretten det ikke bevist, at der i 1996 var indgået en endelig og bindende aftale om overdragelse af eje</w:t>
      </w:r>
      <w:r w:rsidRPr="006B3CFD">
        <w:rPr>
          <w:i/>
          <w:sz w:val="22"/>
          <w:lang w:eastAsia="da-DK"/>
        </w:rPr>
        <w:t>n</w:t>
      </w:r>
      <w:r w:rsidRPr="006B3CFD">
        <w:rPr>
          <w:i/>
          <w:sz w:val="22"/>
          <w:lang w:eastAsia="da-DK"/>
        </w:rPr>
        <w:t>dommen, og sagsøgeren kunne derfor ikke i 1996 fratrække sin andel af underskud og rent</w:t>
      </w:r>
      <w:r w:rsidRPr="006B3CFD">
        <w:rPr>
          <w:i/>
          <w:sz w:val="22"/>
          <w:lang w:eastAsia="da-DK"/>
        </w:rPr>
        <w:t>e</w:t>
      </w:r>
      <w:r w:rsidRPr="006B3CFD">
        <w:rPr>
          <w:i/>
          <w:sz w:val="22"/>
          <w:lang w:eastAsia="da-DK"/>
        </w:rPr>
        <w:t>udgifter vedrørende interessentskabet.</w:t>
      </w:r>
    </w:p>
    <w:p w:rsidR="007A35E5" w:rsidRDefault="007A35E5" w:rsidP="00A85DA1">
      <w:pPr>
        <w:rPr>
          <w:szCs w:val="24"/>
        </w:rPr>
      </w:pPr>
    </w:p>
    <w:p w:rsidR="007A35E5" w:rsidRDefault="007A35E5" w:rsidP="00AF4FDF">
      <w:pPr>
        <w:rPr>
          <w:szCs w:val="24"/>
        </w:rPr>
      </w:pPr>
      <w:r>
        <w:rPr>
          <w:szCs w:val="24"/>
        </w:rPr>
        <w:t>Der kunne i stedet argumenteres for at indkomsterhvervelsen var på tidspunktet for den aftalte overskudsdeling i mellem interessenterne.</w:t>
      </w:r>
      <w:r>
        <w:rPr>
          <w:rStyle w:val="Fodnotehenvisning"/>
        </w:rPr>
        <w:footnoteReference w:id="25"/>
      </w:r>
      <w:r>
        <w:rPr>
          <w:szCs w:val="24"/>
        </w:rPr>
        <w:t xml:space="preserve"> Det kan bl.a. ses i nedenståe</w:t>
      </w:r>
      <w:r>
        <w:rPr>
          <w:szCs w:val="24"/>
        </w:rPr>
        <w:t>n</w:t>
      </w:r>
      <w:r>
        <w:rPr>
          <w:szCs w:val="24"/>
        </w:rPr>
        <w:t>de.</w:t>
      </w:r>
    </w:p>
    <w:p w:rsidR="007A35E5" w:rsidRDefault="007A35E5" w:rsidP="00AF4FDF">
      <w:pPr>
        <w:rPr>
          <w:i/>
          <w:szCs w:val="24"/>
        </w:rPr>
      </w:pPr>
    </w:p>
    <w:p w:rsidR="007A35E5" w:rsidRPr="006B3CFD" w:rsidRDefault="007A35E5" w:rsidP="00AF4FDF">
      <w:pPr>
        <w:rPr>
          <w:i/>
          <w:sz w:val="22"/>
        </w:rPr>
      </w:pPr>
      <w:r w:rsidRPr="006B3CFD">
        <w:rPr>
          <w:i/>
          <w:sz w:val="22"/>
        </w:rPr>
        <w:t>UfR 2003.2477H: En interessent i et revisionsfirma angav hans vederlag i indkomståret, hvor de var vedtaget, men Højesteret fastslog, at interessenterne var skattepligter af indtægter i det indkomstår, hvor interessentskabet havde erhvervet endelig ret til de indtægter, der udgjorde grundlaget for interessentskabets overskud.</w:t>
      </w:r>
    </w:p>
    <w:p w:rsidR="007A35E5" w:rsidRDefault="007A35E5" w:rsidP="00AF4FDF">
      <w:pPr>
        <w:rPr>
          <w:szCs w:val="24"/>
        </w:rPr>
      </w:pPr>
    </w:p>
    <w:p w:rsidR="007A35E5" w:rsidRDefault="007A35E5" w:rsidP="00AF4FDF">
      <w:pPr>
        <w:rPr>
          <w:szCs w:val="24"/>
        </w:rPr>
      </w:pPr>
      <w:r>
        <w:rPr>
          <w:szCs w:val="24"/>
        </w:rPr>
        <w:t xml:space="preserve">Formueretligt er det I/S’et der ejer aktiverne, og </w:t>
      </w:r>
      <w:r w:rsidRPr="0015127C">
        <w:rPr>
          <w:szCs w:val="24"/>
        </w:rPr>
        <w:t>interessentern</w:t>
      </w:r>
      <w:r>
        <w:rPr>
          <w:szCs w:val="24"/>
        </w:rPr>
        <w:t>es formue er adskilt fra I/S’et. Det bevirker, at</w:t>
      </w:r>
      <w:r w:rsidRPr="0015127C">
        <w:rPr>
          <w:szCs w:val="24"/>
        </w:rPr>
        <w:t xml:space="preserve"> interessenternes kreditorer (særkreditorer) ikke</w:t>
      </w:r>
      <w:r>
        <w:rPr>
          <w:szCs w:val="24"/>
        </w:rPr>
        <w:t xml:space="preserve"> kan</w:t>
      </w:r>
      <w:r w:rsidRPr="0015127C">
        <w:rPr>
          <w:szCs w:val="24"/>
        </w:rPr>
        <w:t xml:space="preserve"> søge sig fyldestgjort i I/S’ets aktiver</w:t>
      </w:r>
      <w:r>
        <w:rPr>
          <w:szCs w:val="24"/>
        </w:rPr>
        <w:t>. D</w:t>
      </w:r>
      <w:r w:rsidRPr="0015127C">
        <w:rPr>
          <w:szCs w:val="24"/>
        </w:rPr>
        <w:t xml:space="preserve">og </w:t>
      </w:r>
      <w:r>
        <w:rPr>
          <w:szCs w:val="24"/>
        </w:rPr>
        <w:t xml:space="preserve">kan særkreditorerne søge sig fyldestgjort i </w:t>
      </w:r>
      <w:r w:rsidRPr="0015127C">
        <w:rPr>
          <w:szCs w:val="24"/>
        </w:rPr>
        <w:t>interesse</w:t>
      </w:r>
      <w:r w:rsidRPr="0015127C">
        <w:rPr>
          <w:szCs w:val="24"/>
        </w:rPr>
        <w:t>n</w:t>
      </w:r>
      <w:r w:rsidRPr="0015127C">
        <w:rPr>
          <w:szCs w:val="24"/>
        </w:rPr>
        <w:t>tens kapit</w:t>
      </w:r>
      <w:r>
        <w:rPr>
          <w:szCs w:val="24"/>
        </w:rPr>
        <w:t xml:space="preserve">alkonto og nettoandel af I/S’et, da udgangspunktet er, at hver deltager ejer </w:t>
      </w:r>
      <w:r>
        <w:rPr>
          <w:szCs w:val="24"/>
        </w:rPr>
        <w:lastRenderedPageBreak/>
        <w:t>en nettoandel af formuen. I forhold til Skat som myndighed er I/S’et et retssubjekt, der er indeholdelsespligtig og dermed skal registreres. Momslovens § 3 stk. 1 præciserer, at personselskaber er momspligtige og dermed ikke interessenterne bagved. Et I/S kan</w:t>
      </w:r>
      <w:r w:rsidRPr="0015127C">
        <w:rPr>
          <w:szCs w:val="24"/>
        </w:rPr>
        <w:t xml:space="preserve"> også tinglyse sin ret over f.eks. fast ejendom. Det kan endvidere medvirke selvstændigt som sagsøger/sagsøgte, men</w:t>
      </w:r>
      <w:r>
        <w:rPr>
          <w:szCs w:val="24"/>
        </w:rPr>
        <w:t>s</w:t>
      </w:r>
      <w:r w:rsidRPr="0015127C">
        <w:rPr>
          <w:szCs w:val="24"/>
        </w:rPr>
        <w:t xml:space="preserve"> bevillinger, beskikkelse og andet erhvervsudøvelse efter autorisation er bundet op på interessenterne.</w:t>
      </w:r>
      <w:r>
        <w:rPr>
          <w:rStyle w:val="Fodnotehenvisning"/>
        </w:rPr>
        <w:footnoteReference w:id="26"/>
      </w:r>
    </w:p>
    <w:p w:rsidR="007A35E5" w:rsidRDefault="007A35E5" w:rsidP="00AF4FDF">
      <w:pPr>
        <w:rPr>
          <w:szCs w:val="24"/>
        </w:rPr>
      </w:pPr>
      <w:r w:rsidRPr="0015127C">
        <w:rPr>
          <w:szCs w:val="24"/>
        </w:rPr>
        <w:t>Der er flere afgørelser vedrørende</w:t>
      </w:r>
      <w:r>
        <w:rPr>
          <w:szCs w:val="24"/>
        </w:rPr>
        <w:t>,</w:t>
      </w:r>
      <w:r w:rsidRPr="0015127C">
        <w:rPr>
          <w:szCs w:val="24"/>
        </w:rPr>
        <w:t xml:space="preserve"> at et I/S er en selvstændigt juridisk person i forhold til tinglysning</w:t>
      </w:r>
      <w:r>
        <w:rPr>
          <w:szCs w:val="24"/>
        </w:rPr>
        <w:t xml:space="preserve"> bl.a. nedenstående.</w:t>
      </w:r>
    </w:p>
    <w:p w:rsidR="007A35E5" w:rsidRDefault="007A35E5" w:rsidP="00AF4FDF">
      <w:pPr>
        <w:rPr>
          <w:szCs w:val="24"/>
        </w:rPr>
      </w:pPr>
    </w:p>
    <w:p w:rsidR="007A35E5" w:rsidRPr="006B3CFD" w:rsidRDefault="007A35E5" w:rsidP="00AF4FDF">
      <w:pPr>
        <w:rPr>
          <w:i/>
          <w:sz w:val="22"/>
        </w:rPr>
      </w:pPr>
      <w:r w:rsidRPr="006B3CFD">
        <w:rPr>
          <w:i/>
          <w:sz w:val="22"/>
        </w:rPr>
        <w:t>U1982.1204Ø: Et skøde var blevet afvist fra tinglysning, da de enkelte interessenters navne ikke var anført. Under kære af afgørelserne antoges det, at der ikke kunne stilles et sådant krav, da der var angivet et navn på interessentskabet, og skøderne kunne derfor tinglyses.</w:t>
      </w:r>
    </w:p>
    <w:p w:rsidR="007A35E5" w:rsidRPr="006414D2" w:rsidRDefault="007A35E5" w:rsidP="00AF4FDF">
      <w:pPr>
        <w:rPr>
          <w:szCs w:val="24"/>
        </w:rPr>
      </w:pPr>
    </w:p>
    <w:p w:rsidR="007A35E5" w:rsidRDefault="007A35E5" w:rsidP="00AF4FDF">
      <w:pPr>
        <w:rPr>
          <w:szCs w:val="24"/>
        </w:rPr>
      </w:pPr>
      <w:r>
        <w:rPr>
          <w:szCs w:val="24"/>
        </w:rPr>
        <w:t>Ved indtræden i interessentskabet kan den nye interessent enten købe en udtrædende interessents andel, eller interessenten kan foretage et kapitalindskud samtidig med, at selskabet udarbejder vedtægtsændringer. Ved optagelse af en ny interessent skal alle nuværende interessenter samtykke. Samtykket kommer af at hver enkelt interessent har vetoret over for forvaltningsmæssige dispositioner samt hæfter solidarisk for gæ</w:t>
      </w:r>
      <w:r>
        <w:rPr>
          <w:szCs w:val="24"/>
        </w:rPr>
        <w:t>l</w:t>
      </w:r>
      <w:r>
        <w:rPr>
          <w:szCs w:val="24"/>
        </w:rPr>
        <w:t>den. Hvis den nye interessent ikke kan opfylde sine økonomiske forpligtigelser belaster det de andre interessenter, da de hæfter solidarisk. Ved udtræden kan interessenten overdrage sin andel til tredjemand eller interessentskabet kan opsiges enten så det bringes til likvidation eller fortsætter med de tilbageblivende interessenter.</w:t>
      </w:r>
      <w:r>
        <w:rPr>
          <w:rStyle w:val="Fodnotehenvisning"/>
        </w:rPr>
        <w:t xml:space="preserve"> </w:t>
      </w:r>
      <w:r>
        <w:rPr>
          <w:rStyle w:val="Fodnotehenvisning"/>
        </w:rPr>
        <w:footnoteReference w:id="27"/>
      </w:r>
    </w:p>
    <w:p w:rsidR="007A35E5" w:rsidRPr="00BB5B2C" w:rsidRDefault="007A35E5" w:rsidP="00AF4FDF">
      <w:pPr>
        <w:rPr>
          <w:szCs w:val="24"/>
        </w:rPr>
      </w:pPr>
    </w:p>
    <w:p w:rsidR="007A35E5" w:rsidRDefault="00AF2D39" w:rsidP="00AF4FDF">
      <w:pPr>
        <w:pStyle w:val="Overskrift2"/>
      </w:pPr>
      <w:bookmarkStart w:id="20" w:name="_Toc221546185"/>
      <w:r>
        <w:t xml:space="preserve">2.2. </w:t>
      </w:r>
      <w:r w:rsidR="007A35E5">
        <w:t xml:space="preserve">Beskatning </w:t>
      </w:r>
      <w:r w:rsidR="007A35E5" w:rsidRPr="00CE5752">
        <w:t>af over/underskud i</w:t>
      </w:r>
      <w:r w:rsidR="007A35E5">
        <w:t xml:space="preserve"> interessentskaber</w:t>
      </w:r>
      <w:r w:rsidR="00627158">
        <w:t xml:space="preserve"> </w:t>
      </w:r>
      <w:r w:rsidR="00627158">
        <w:rPr>
          <w:b w:val="0"/>
          <w:sz w:val="22"/>
          <w:szCs w:val="22"/>
        </w:rPr>
        <w:t>(Pernille</w:t>
      </w:r>
      <w:r w:rsidR="00627158" w:rsidRPr="00E75844">
        <w:rPr>
          <w:b w:val="0"/>
          <w:sz w:val="22"/>
          <w:szCs w:val="22"/>
        </w:rPr>
        <w:t>)</w:t>
      </w:r>
      <w:bookmarkEnd w:id="20"/>
    </w:p>
    <w:p w:rsidR="007A35E5" w:rsidRDefault="007A35E5" w:rsidP="00AF4FDF">
      <w:pPr>
        <w:rPr>
          <w:szCs w:val="24"/>
        </w:rPr>
      </w:pPr>
      <w:r>
        <w:rPr>
          <w:szCs w:val="24"/>
        </w:rPr>
        <w:t>Det skatteretlige udgangspunkt er, at hver deltager ejer en ideel anpart af hvert aktiv eller gældspost i modsætningen til civilretligt, hvor interessenten i stedet ejer en andel af egenkapitalen, hvor andelen benævnes ejerbrøken. Ejerbrøken bør fastsættes i se</w:t>
      </w:r>
      <w:r>
        <w:rPr>
          <w:szCs w:val="24"/>
        </w:rPr>
        <w:t>l</w:t>
      </w:r>
      <w:r>
        <w:rPr>
          <w:szCs w:val="24"/>
        </w:rPr>
        <w:lastRenderedPageBreak/>
        <w:t>skabsaftalen og er et udtryk for det indbyrdes ejerforhold. Den behøver dog ikke b</w:t>
      </w:r>
      <w:r>
        <w:rPr>
          <w:szCs w:val="24"/>
        </w:rPr>
        <w:t>e</w:t>
      </w:r>
      <w:r>
        <w:rPr>
          <w:szCs w:val="24"/>
        </w:rPr>
        <w:t>nyttes ved fordeling af over- eller underskud. I stedet kan f.eks. arbejdsindsatsen br</w:t>
      </w:r>
      <w:r>
        <w:rPr>
          <w:szCs w:val="24"/>
        </w:rPr>
        <w:t>u</w:t>
      </w:r>
      <w:r>
        <w:rPr>
          <w:szCs w:val="24"/>
        </w:rPr>
        <w:t>ges til fordeling af overskud. Hvis der ikke er udarbejdet en aftale om fordelingen, sker fordelingen på baggrund af ejerbrøken.</w:t>
      </w:r>
      <w:r>
        <w:rPr>
          <w:rStyle w:val="Fodnotehenvisning"/>
          <w:szCs w:val="24"/>
        </w:rPr>
        <w:footnoteReference w:id="28"/>
      </w:r>
      <w:r>
        <w:rPr>
          <w:szCs w:val="24"/>
        </w:rPr>
        <w:t xml:space="preserve">  </w:t>
      </w:r>
    </w:p>
    <w:p w:rsidR="007A35E5" w:rsidRDefault="007A35E5" w:rsidP="00AF4FDF">
      <w:r>
        <w:rPr>
          <w:szCs w:val="24"/>
        </w:rPr>
        <w:t>Interessentskaber er transparente skattesubjekter, hvilket betyder at personselskabet ikke er et selvstændigt skattesubjekt efter SEL § 1 stk. 2 nr. 2, da betingelserne herfor bl.a. er begrænset hæftelse. De enkelte interessenter beskattes derfor personligt og kan frit vælge om de f.eks. vil benytte virksomhedsordningen, kapitalafkastordningen eller personskatteloven. Hver interessent opgør dermed selv sin skattepligtige in</w:t>
      </w:r>
      <w:r>
        <w:rPr>
          <w:szCs w:val="24"/>
        </w:rPr>
        <w:t>d</w:t>
      </w:r>
      <w:r>
        <w:rPr>
          <w:szCs w:val="24"/>
        </w:rPr>
        <w:t>komst på basis af andelen i over- eller underskud, og tager selvstændig stillingtagen til skattemæssige afskrivninger, blandede benyttede biler, opgørelse af igangværende arbejder mv. Forbedrer en interessent et aktiv tilhørende selskabet, forøges både hans eget og medinteressenternes afskrivningsgrundlag. I forhold til næringsbeskatning ved f.eks. salg af en ejendom skal det ske efter hver interessents egne forhold samme</w:t>
      </w:r>
      <w:r>
        <w:rPr>
          <w:szCs w:val="24"/>
        </w:rPr>
        <w:t>n</w:t>
      </w:r>
      <w:r>
        <w:rPr>
          <w:szCs w:val="24"/>
        </w:rPr>
        <w:t xml:space="preserve">holdt med selskabets formål. Der kan dog ske afsmitning til de andre interessenter. </w:t>
      </w:r>
      <w:r w:rsidRPr="003C6E22">
        <w:rPr>
          <w:rStyle w:val="Fodnotehenvisning"/>
        </w:rPr>
        <w:t xml:space="preserve"> </w:t>
      </w:r>
    </w:p>
    <w:p w:rsidR="007A35E5" w:rsidRDefault="007A35E5" w:rsidP="00AF4FDF"/>
    <w:p w:rsidR="0010307F" w:rsidRDefault="007A35E5" w:rsidP="00AF4FDF">
      <w:r>
        <w:t>I nedenstående eksempel ejer A mere end B og i dette interessentskab opgøres den skattepligtige indkomst på baggrund af ejerbrøken. A vælger at fratrække den indre</w:t>
      </w:r>
      <w:r>
        <w:t>g</w:t>
      </w:r>
      <w:r>
        <w:t xml:space="preserve">nede aconto avance på igangværende </w:t>
      </w:r>
      <w:r w:rsidRPr="00CE5752">
        <w:t>arbejder,</w:t>
      </w:r>
      <w:r>
        <w:t xml:space="preserve"> da han er gift og dermed har en ægt</w:t>
      </w:r>
      <w:r>
        <w:t>e</w:t>
      </w:r>
      <w:r>
        <w:t xml:space="preserve">fælle, der kan udnytte et underskud i hans skattepligtige indkomst. B er ikke gift og det er derfor ikke hensigtsmæssigt at fratrække aconto avancen samt afskrive fuldt ud, da han dermed ikke udnytter sine bundfradrag i personlig indkomst. </w:t>
      </w:r>
    </w:p>
    <w:p w:rsidR="007A35E5" w:rsidRPr="0010307F" w:rsidRDefault="0010307F" w:rsidP="00AF4FDF">
      <w:r>
        <w:br w:type="page"/>
      </w:r>
    </w:p>
    <w:tbl>
      <w:tblPr>
        <w:tblW w:w="5000" w:type="pct"/>
        <w:tblCellMar>
          <w:left w:w="70" w:type="dxa"/>
          <w:right w:w="70" w:type="dxa"/>
        </w:tblCellMar>
        <w:tblLook w:val="00A0"/>
      </w:tblPr>
      <w:tblGrid>
        <w:gridCol w:w="8644"/>
      </w:tblGrid>
      <w:tr w:rsidR="007A35E5" w:rsidRPr="00B720E6" w:rsidTr="00F17BC8">
        <w:trPr>
          <w:trHeight w:val="300"/>
        </w:trPr>
        <w:tc>
          <w:tcPr>
            <w:tcW w:w="5000" w:type="pct"/>
            <w:tcBorders>
              <w:top w:val="nil"/>
              <w:left w:val="nil"/>
              <w:bottom w:val="nil"/>
              <w:right w:val="nil"/>
            </w:tcBorders>
            <w:noWrap/>
            <w:vAlign w:val="bottom"/>
          </w:tcPr>
          <w:tbl>
            <w:tblPr>
              <w:tblW w:w="5000" w:type="pct"/>
              <w:tblCellMar>
                <w:left w:w="70" w:type="dxa"/>
                <w:right w:w="70" w:type="dxa"/>
              </w:tblCellMar>
              <w:tblLook w:val="00A0"/>
            </w:tblPr>
            <w:tblGrid>
              <w:gridCol w:w="5385"/>
              <w:gridCol w:w="240"/>
              <w:gridCol w:w="1435"/>
              <w:gridCol w:w="1435"/>
              <w:gridCol w:w="9"/>
            </w:tblGrid>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b/>
                      <w:bCs/>
                      <w:color w:val="000000"/>
                      <w:lang w:eastAsia="da-DK"/>
                    </w:rPr>
                  </w:pPr>
                  <w:r w:rsidRPr="00861081">
                    <w:rPr>
                      <w:b/>
                      <w:bCs/>
                      <w:color w:val="000000"/>
                      <w:sz w:val="22"/>
                      <w:lang w:eastAsia="da-DK"/>
                    </w:rPr>
                    <w:t xml:space="preserve">Interessent A </w:t>
                  </w:r>
                  <w:r w:rsidR="00910EE3" w:rsidRPr="00861081">
                    <w:rPr>
                      <w:b/>
                      <w:bCs/>
                      <w:color w:val="000000"/>
                      <w:sz w:val="22"/>
                      <w:lang w:eastAsia="da-DK"/>
                    </w:rPr>
                    <w:t>60 %</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910EE3" w:rsidP="00861081">
                  <w:pPr>
                    <w:spacing w:line="240" w:lineRule="auto"/>
                    <w:jc w:val="left"/>
                    <w:rPr>
                      <w:color w:val="000000"/>
                      <w:lang w:eastAsia="da-DK"/>
                    </w:rPr>
                  </w:pPr>
                  <w:r w:rsidRPr="00861081">
                    <w:rPr>
                      <w:color w:val="000000"/>
                      <w:sz w:val="22"/>
                      <w:lang w:eastAsia="da-DK"/>
                    </w:rPr>
                    <w:t>Skattepligtig</w:t>
                  </w:r>
                  <w:r>
                    <w:rPr>
                      <w:color w:val="000000"/>
                      <w:sz w:val="22"/>
                      <w:lang w:eastAsia="da-DK"/>
                    </w:rPr>
                    <w:t>t</w:t>
                  </w:r>
                  <w:r w:rsidRPr="00861081">
                    <w:rPr>
                      <w:color w:val="000000"/>
                      <w:sz w:val="22"/>
                      <w:lang w:eastAsia="da-DK"/>
                    </w:rPr>
                    <w:t xml:space="preserve"> overskud</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225.000</w:t>
                  </w: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Saldoværdi</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200.000</w:t>
                  </w: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Tilgang (</w:t>
                  </w:r>
                  <w:r w:rsidR="00910EE3" w:rsidRPr="00861081">
                    <w:rPr>
                      <w:color w:val="000000"/>
                      <w:sz w:val="22"/>
                      <w:lang w:eastAsia="da-DK"/>
                    </w:rPr>
                    <w:t>60 %</w:t>
                  </w:r>
                  <w:r w:rsidRPr="00861081">
                    <w:rPr>
                      <w:color w:val="000000"/>
                      <w:sz w:val="22"/>
                      <w:lang w:eastAsia="da-DK"/>
                    </w:rPr>
                    <w:t xml:space="preserve"> af 700 tkr)</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single" w:sz="4" w:space="0" w:color="auto"/>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420.000</w:t>
                  </w: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 xml:space="preserve">Afskrivninger </w:t>
                  </w:r>
                  <w:r w:rsidR="00910EE3" w:rsidRPr="00861081">
                    <w:rPr>
                      <w:color w:val="000000"/>
                      <w:sz w:val="22"/>
                      <w:lang w:eastAsia="da-DK"/>
                    </w:rPr>
                    <w:t>25 %</w:t>
                  </w:r>
                  <w:r>
                    <w:rPr>
                      <w:color w:val="000000"/>
                      <w:sz w:val="22"/>
                      <w:lang w:eastAsia="da-DK"/>
                    </w:rPr>
                    <w:t xml:space="preserve"> af</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single" w:sz="4" w:space="0" w:color="auto"/>
                    <w:left w:val="nil"/>
                    <w:bottom w:val="single" w:sz="4" w:space="0" w:color="auto"/>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620.000</w:t>
                  </w: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-155.000</w:t>
                  </w: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Indregnet aconto avance</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single" w:sz="4" w:space="0" w:color="auto"/>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-300.000</w:t>
                  </w: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Skattefri kørselsgodtgørelse 15</w:t>
                  </w:r>
                  <w:r>
                    <w:rPr>
                      <w:color w:val="000000"/>
                      <w:sz w:val="22"/>
                      <w:lang w:eastAsia="da-DK"/>
                    </w:rPr>
                    <w:t>.</w:t>
                  </w:r>
                  <w:r w:rsidRPr="00861081">
                    <w:rPr>
                      <w:color w:val="000000"/>
                      <w:sz w:val="22"/>
                      <w:lang w:eastAsia="da-DK"/>
                    </w:rPr>
                    <w:t>047 km</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-52.213</w:t>
                  </w:r>
                </w:p>
              </w:tc>
            </w:tr>
            <w:tr w:rsidR="007A35E5" w:rsidRPr="00B720E6" w:rsidTr="00F17BC8">
              <w:trPr>
                <w:trHeight w:val="15"/>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Skattepligtig indkomst</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single" w:sz="4" w:space="0" w:color="auto"/>
                    <w:left w:val="nil"/>
                    <w:bottom w:val="single" w:sz="4" w:space="0" w:color="auto"/>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-282.213</w:t>
                  </w:r>
                </w:p>
              </w:tc>
            </w:tr>
            <w:tr w:rsidR="007A35E5" w:rsidRPr="00B720E6" w:rsidTr="00F17BC8">
              <w:trPr>
                <w:trHeight w:val="3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b/>
                      <w:bCs/>
                      <w:color w:val="000000"/>
                      <w:lang w:eastAsia="da-DK"/>
                    </w:rPr>
                  </w:pPr>
                  <w:r w:rsidRPr="00861081">
                    <w:rPr>
                      <w:b/>
                      <w:bCs/>
                      <w:color w:val="000000"/>
                      <w:sz w:val="22"/>
                      <w:lang w:eastAsia="da-DK"/>
                    </w:rPr>
                    <w:t>Interessent B</w:t>
                  </w:r>
                  <w:r>
                    <w:rPr>
                      <w:b/>
                      <w:bCs/>
                      <w:color w:val="000000"/>
                      <w:sz w:val="22"/>
                      <w:lang w:eastAsia="da-DK"/>
                    </w:rPr>
                    <w:t xml:space="preserve"> </w:t>
                  </w:r>
                  <w:r w:rsidR="00910EE3" w:rsidRPr="00861081">
                    <w:rPr>
                      <w:b/>
                      <w:bCs/>
                      <w:color w:val="000000"/>
                      <w:sz w:val="22"/>
                      <w:lang w:eastAsia="da-DK"/>
                    </w:rPr>
                    <w:t>40 %</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910EE3" w:rsidP="00861081">
                  <w:pPr>
                    <w:spacing w:line="240" w:lineRule="auto"/>
                    <w:jc w:val="left"/>
                    <w:rPr>
                      <w:color w:val="000000"/>
                      <w:lang w:eastAsia="da-DK"/>
                    </w:rPr>
                  </w:pPr>
                  <w:r w:rsidRPr="00861081">
                    <w:rPr>
                      <w:color w:val="000000"/>
                      <w:sz w:val="22"/>
                      <w:lang w:eastAsia="da-DK"/>
                    </w:rPr>
                    <w:t>Skattepligtigt</w:t>
                  </w:r>
                  <w:r w:rsidR="007A35E5" w:rsidRPr="00861081">
                    <w:rPr>
                      <w:color w:val="000000"/>
                      <w:sz w:val="22"/>
                      <w:lang w:eastAsia="da-DK"/>
                    </w:rPr>
                    <w:t xml:space="preserve"> overskud</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150.000</w:t>
                  </w: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Saldoværdi</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50.000</w:t>
                  </w: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Tilgang (</w:t>
                  </w:r>
                  <w:r w:rsidR="00910EE3" w:rsidRPr="00861081">
                    <w:rPr>
                      <w:color w:val="000000"/>
                      <w:sz w:val="22"/>
                      <w:lang w:eastAsia="da-DK"/>
                    </w:rPr>
                    <w:t>40 %</w:t>
                  </w:r>
                  <w:r w:rsidRPr="00861081">
                    <w:rPr>
                      <w:color w:val="000000"/>
                      <w:sz w:val="22"/>
                      <w:lang w:eastAsia="da-DK"/>
                    </w:rPr>
                    <w:t xml:space="preserve"> af 700 tkr)</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single" w:sz="4" w:space="0" w:color="auto"/>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280.000</w:t>
                  </w: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gridAfter w:val="1"/>
                <w:wAfter w:w="5" w:type="pct"/>
                <w:trHeight w:val="300"/>
              </w:trPr>
              <w:tc>
                <w:tcPr>
                  <w:tcW w:w="3166" w:type="pct"/>
                  <w:tcBorders>
                    <w:top w:val="nil"/>
                    <w:left w:val="nil"/>
                    <w:bottom w:val="nil"/>
                    <w:right w:val="nil"/>
                  </w:tcBorders>
                  <w:noWrap/>
                  <w:vAlign w:val="bottom"/>
                </w:tcPr>
                <w:p w:rsidR="007A35E5" w:rsidRPr="00B720E6" w:rsidRDefault="007A35E5">
                  <w:pPr>
                    <w:rPr>
                      <w:color w:val="000000"/>
                    </w:rPr>
                  </w:pPr>
                  <w:r w:rsidRPr="00B720E6">
                    <w:rPr>
                      <w:color w:val="000000"/>
                      <w:sz w:val="22"/>
                    </w:rPr>
                    <w:t xml:space="preserve">Afskrivninger </w:t>
                  </w:r>
                  <w:r w:rsidR="00910EE3" w:rsidRPr="00B720E6">
                    <w:rPr>
                      <w:color w:val="000000"/>
                      <w:sz w:val="22"/>
                    </w:rPr>
                    <w:t>20 %</w:t>
                  </w:r>
                  <w:r>
                    <w:rPr>
                      <w:color w:val="000000"/>
                      <w:sz w:val="22"/>
                    </w:rPr>
                    <w:t xml:space="preserve"> af</w:t>
                  </w:r>
                </w:p>
              </w:tc>
              <w:tc>
                <w:tcPr>
                  <w:tcW w:w="141" w:type="pct"/>
                  <w:tcBorders>
                    <w:top w:val="nil"/>
                    <w:left w:val="nil"/>
                    <w:bottom w:val="nil"/>
                    <w:right w:val="nil"/>
                  </w:tcBorders>
                  <w:noWrap/>
                  <w:vAlign w:val="bottom"/>
                </w:tcPr>
                <w:p w:rsidR="007A35E5" w:rsidRPr="00B720E6" w:rsidRDefault="007A35E5">
                  <w:pPr>
                    <w:rPr>
                      <w:color w:val="000000"/>
                    </w:rPr>
                  </w:pPr>
                </w:p>
              </w:tc>
              <w:tc>
                <w:tcPr>
                  <w:tcW w:w="844" w:type="pct"/>
                  <w:tcBorders>
                    <w:top w:val="single" w:sz="4" w:space="0" w:color="auto"/>
                    <w:left w:val="nil"/>
                    <w:bottom w:val="single" w:sz="4" w:space="0" w:color="auto"/>
                    <w:right w:val="nil"/>
                  </w:tcBorders>
                  <w:noWrap/>
                  <w:vAlign w:val="bottom"/>
                </w:tcPr>
                <w:p w:rsidR="007A35E5" w:rsidRPr="00B720E6" w:rsidRDefault="007A35E5">
                  <w:pPr>
                    <w:jc w:val="right"/>
                    <w:rPr>
                      <w:color w:val="000000"/>
                    </w:rPr>
                  </w:pPr>
                  <w:r w:rsidRPr="00B720E6">
                    <w:rPr>
                      <w:color w:val="000000"/>
                      <w:sz w:val="22"/>
                    </w:rPr>
                    <w:t>330.000</w:t>
                  </w:r>
                </w:p>
              </w:tc>
              <w:tc>
                <w:tcPr>
                  <w:tcW w:w="844" w:type="pct"/>
                  <w:tcBorders>
                    <w:top w:val="nil"/>
                    <w:left w:val="nil"/>
                    <w:bottom w:val="nil"/>
                    <w:right w:val="nil"/>
                  </w:tcBorders>
                  <w:noWrap/>
                  <w:vAlign w:val="bottom"/>
                </w:tcPr>
                <w:p w:rsidR="007A35E5" w:rsidRPr="00B720E6" w:rsidRDefault="007A35E5">
                  <w:pPr>
                    <w:jc w:val="right"/>
                    <w:rPr>
                      <w:color w:val="000000"/>
                    </w:rPr>
                  </w:pPr>
                  <w:r w:rsidRPr="00B720E6">
                    <w:rPr>
                      <w:color w:val="000000"/>
                      <w:sz w:val="22"/>
                    </w:rPr>
                    <w:t>-66.000</w:t>
                  </w: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Pr>
                      <w:color w:val="000000"/>
                      <w:sz w:val="22"/>
                      <w:lang w:eastAsia="da-DK"/>
                    </w:rPr>
                    <w:t>Skattefri kørselsgodtgørelse</w:t>
                  </w:r>
                  <w:r w:rsidRPr="00861081">
                    <w:rPr>
                      <w:color w:val="000000"/>
                      <w:sz w:val="22"/>
                      <w:lang w:eastAsia="da-DK"/>
                    </w:rPr>
                    <w:t xml:space="preserve"> 11</w:t>
                  </w:r>
                  <w:r>
                    <w:rPr>
                      <w:color w:val="000000"/>
                      <w:sz w:val="22"/>
                      <w:lang w:eastAsia="da-DK"/>
                    </w:rPr>
                    <w:t>.</w:t>
                  </w:r>
                  <w:r w:rsidRPr="00861081">
                    <w:rPr>
                      <w:color w:val="000000"/>
                      <w:sz w:val="22"/>
                      <w:lang w:eastAsia="da-DK"/>
                    </w:rPr>
                    <w:t>322 km</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single" w:sz="4" w:space="0" w:color="auto"/>
                    <w:left w:val="nil"/>
                    <w:bottom w:val="nil"/>
                    <w:right w:val="nil"/>
                  </w:tcBorders>
                  <w:noWrap/>
                  <w:vAlign w:val="bottom"/>
                </w:tcPr>
                <w:p w:rsidR="007A35E5" w:rsidRPr="00861081" w:rsidRDefault="007A35E5" w:rsidP="00861081">
                  <w:pPr>
                    <w:spacing w:line="240" w:lineRule="auto"/>
                    <w:jc w:val="righ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right"/>
                    <w:rPr>
                      <w:color w:val="000000"/>
                      <w:lang w:eastAsia="da-DK"/>
                    </w:rPr>
                  </w:pPr>
                  <w:r w:rsidRPr="00861081">
                    <w:rPr>
                      <w:color w:val="000000"/>
                      <w:sz w:val="22"/>
                      <w:lang w:eastAsia="da-DK"/>
                    </w:rPr>
                    <w:t>-39.287</w:t>
                  </w:r>
                </w:p>
              </w:tc>
            </w:tr>
            <w:tr w:rsidR="007A35E5" w:rsidRPr="00B720E6" w:rsidTr="00F17BC8">
              <w:trPr>
                <w:trHeight w:val="15"/>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r>
            <w:tr w:rsidR="007A35E5" w:rsidRPr="00B720E6" w:rsidTr="00F17BC8">
              <w:trPr>
                <w:trHeight w:val="300"/>
              </w:trPr>
              <w:tc>
                <w:tcPr>
                  <w:tcW w:w="3166"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r w:rsidRPr="00861081">
                    <w:rPr>
                      <w:color w:val="000000"/>
                      <w:sz w:val="22"/>
                      <w:lang w:eastAsia="da-DK"/>
                    </w:rPr>
                    <w:t>Skattepligtig indkomst</w:t>
                  </w:r>
                </w:p>
              </w:tc>
              <w:tc>
                <w:tcPr>
                  <w:tcW w:w="141"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4" w:type="pct"/>
                  <w:tcBorders>
                    <w:top w:val="nil"/>
                    <w:left w:val="nil"/>
                    <w:bottom w:val="nil"/>
                    <w:right w:val="nil"/>
                  </w:tcBorders>
                  <w:noWrap/>
                  <w:vAlign w:val="bottom"/>
                </w:tcPr>
                <w:p w:rsidR="007A35E5" w:rsidRPr="00861081" w:rsidRDefault="007A35E5" w:rsidP="00861081">
                  <w:pPr>
                    <w:spacing w:line="240" w:lineRule="auto"/>
                    <w:jc w:val="left"/>
                    <w:rPr>
                      <w:color w:val="000000"/>
                      <w:lang w:eastAsia="da-DK"/>
                    </w:rPr>
                  </w:pPr>
                </w:p>
              </w:tc>
              <w:tc>
                <w:tcPr>
                  <w:tcW w:w="849" w:type="pct"/>
                  <w:gridSpan w:val="2"/>
                  <w:tcBorders>
                    <w:top w:val="single" w:sz="4" w:space="0" w:color="auto"/>
                    <w:left w:val="nil"/>
                    <w:bottom w:val="single" w:sz="4" w:space="0" w:color="auto"/>
                    <w:right w:val="nil"/>
                  </w:tcBorders>
                  <w:noWrap/>
                  <w:vAlign w:val="bottom"/>
                </w:tcPr>
                <w:p w:rsidR="007A35E5" w:rsidRPr="00861081" w:rsidRDefault="007A35E5" w:rsidP="00861081">
                  <w:pPr>
                    <w:spacing w:line="240" w:lineRule="auto"/>
                    <w:jc w:val="right"/>
                    <w:rPr>
                      <w:color w:val="000000"/>
                      <w:lang w:eastAsia="da-DK"/>
                    </w:rPr>
                  </w:pPr>
                  <w:r>
                    <w:rPr>
                      <w:color w:val="000000"/>
                      <w:sz w:val="22"/>
                      <w:lang w:eastAsia="da-DK"/>
                    </w:rPr>
                    <w:t>44.713</w:t>
                  </w:r>
                </w:p>
              </w:tc>
            </w:tr>
          </w:tbl>
          <w:p w:rsidR="007A35E5" w:rsidRPr="00B720E6" w:rsidRDefault="007A35E5">
            <w:pPr>
              <w:rPr>
                <w:b/>
                <w:bCs/>
                <w:color w:val="000000"/>
              </w:rPr>
            </w:pPr>
          </w:p>
        </w:tc>
      </w:tr>
    </w:tbl>
    <w:p w:rsidR="007A35E5" w:rsidRDefault="00D457AA" w:rsidP="00D457AA">
      <w:pPr>
        <w:pStyle w:val="Billedtekst"/>
      </w:pPr>
      <w:bookmarkStart w:id="21" w:name="_Toc218751387"/>
      <w:r>
        <w:t xml:space="preserve">Figur </w:t>
      </w:r>
      <w:fldSimple w:instr=" SEQ Figur \* ARABIC ">
        <w:r w:rsidR="000F066D">
          <w:rPr>
            <w:noProof/>
          </w:rPr>
          <w:t>5</w:t>
        </w:r>
      </w:fldSimple>
      <w:r>
        <w:t xml:space="preserve"> Illustration af interessenters forskellige indkomstopgørelse dels på grund af forskellig afskri</w:t>
      </w:r>
      <w:r>
        <w:t>v</w:t>
      </w:r>
      <w:r>
        <w:t>ninger</w:t>
      </w:r>
      <w:bookmarkEnd w:id="21"/>
    </w:p>
    <w:p w:rsidR="00D457AA" w:rsidRPr="00D457AA" w:rsidRDefault="00D457AA" w:rsidP="00D457AA"/>
    <w:p w:rsidR="007A35E5" w:rsidRDefault="007A35E5" w:rsidP="00A85DA1">
      <w:pPr>
        <w:rPr>
          <w:szCs w:val="24"/>
        </w:rPr>
      </w:pPr>
      <w:r>
        <w:rPr>
          <w:szCs w:val="24"/>
        </w:rPr>
        <w:t>For at blive beskattet som deltager i et personselskab, er der dog skattemæssig en række kriterier, der skal opfyldes. I praksis er det f.eks. interessentskabsaftalen, delt</w:t>
      </w:r>
      <w:r>
        <w:rPr>
          <w:szCs w:val="24"/>
        </w:rPr>
        <w:t>a</w:t>
      </w:r>
      <w:r>
        <w:rPr>
          <w:szCs w:val="24"/>
        </w:rPr>
        <w:t>gelse i virksomhedens drift, medbestemmelse, og om de andre deltagere samt kredit</w:t>
      </w:r>
      <w:r>
        <w:rPr>
          <w:szCs w:val="24"/>
        </w:rPr>
        <w:t>o</w:t>
      </w:r>
      <w:r>
        <w:rPr>
          <w:szCs w:val="24"/>
        </w:rPr>
        <w:t>rer er orienteret om deltagelsen.</w:t>
      </w:r>
      <w:r w:rsidRPr="00962824">
        <w:rPr>
          <w:rStyle w:val="Fodnotehenvisning"/>
        </w:rPr>
        <w:t xml:space="preserve"> </w:t>
      </w:r>
      <w:r>
        <w:rPr>
          <w:rStyle w:val="Fodnotehenvisning"/>
        </w:rPr>
        <w:footnoteReference w:id="29"/>
      </w:r>
      <w:r w:rsidRPr="00962824">
        <w:rPr>
          <w:rStyle w:val="Fodnotehenvisning"/>
          <w:szCs w:val="24"/>
        </w:rPr>
        <w:t xml:space="preserve"> </w:t>
      </w:r>
      <w:r>
        <w:rPr>
          <w:szCs w:val="24"/>
        </w:rPr>
        <w:t>I nedenstående afgørelse fastslog Højesteret, at medejendomsretten var et kriterium for at kunne betragtes som deltager i et perso</w:t>
      </w:r>
      <w:r>
        <w:rPr>
          <w:szCs w:val="24"/>
        </w:rPr>
        <w:t>n</w:t>
      </w:r>
      <w:r>
        <w:rPr>
          <w:szCs w:val="24"/>
        </w:rPr>
        <w:t>selskab.</w:t>
      </w:r>
    </w:p>
    <w:p w:rsidR="007A35E5" w:rsidRDefault="007A35E5" w:rsidP="00A85DA1">
      <w:pPr>
        <w:rPr>
          <w:rStyle w:val="hovedresume1"/>
        </w:rPr>
      </w:pPr>
    </w:p>
    <w:p w:rsidR="007A35E5" w:rsidRPr="006B3CFD" w:rsidRDefault="007A35E5" w:rsidP="00A85DA1">
      <w:pPr>
        <w:rPr>
          <w:rStyle w:val="hovedresume1"/>
          <w:rFonts w:ascii="Calibri" w:hAnsi="Calibri"/>
          <w:i/>
          <w:sz w:val="22"/>
          <w:szCs w:val="22"/>
        </w:rPr>
      </w:pPr>
      <w:r w:rsidRPr="006B3CFD">
        <w:rPr>
          <w:i/>
          <w:sz w:val="22"/>
        </w:rPr>
        <w:t>TfS 1990.21H:</w:t>
      </w:r>
      <w:r w:rsidRPr="006B3CFD">
        <w:rPr>
          <w:rStyle w:val="hovedresume1"/>
          <w:rFonts w:ascii="Calibri" w:hAnsi="Calibri"/>
          <w:i/>
          <w:sz w:val="22"/>
          <w:szCs w:val="22"/>
        </w:rPr>
        <w:t xml:space="preserve"> M, der såvel ved ægteskabets indgåelse som på aftaletidspunktet sammen med sin mand var bosat i Tyskland, havde indskudt et betydeligt beløb i sin mands legetøjsfirma. Ifølge den oprettede kontrakt skulle M have </w:t>
      </w:r>
      <w:r w:rsidR="00910EE3" w:rsidRPr="006B3CFD">
        <w:rPr>
          <w:rStyle w:val="hovedresume1"/>
          <w:rFonts w:ascii="Calibri" w:hAnsi="Calibri"/>
          <w:i/>
          <w:sz w:val="22"/>
          <w:szCs w:val="22"/>
        </w:rPr>
        <w:t>20 %</w:t>
      </w:r>
      <w:r w:rsidRPr="006B3CFD">
        <w:rPr>
          <w:rStyle w:val="hovedresume1"/>
          <w:rFonts w:ascii="Calibri" w:hAnsi="Calibri"/>
          <w:i/>
          <w:sz w:val="22"/>
          <w:szCs w:val="22"/>
        </w:rPr>
        <w:t xml:space="preserve"> af fortjenesten og bære </w:t>
      </w:r>
      <w:r w:rsidR="00910EE3" w:rsidRPr="006B3CFD">
        <w:rPr>
          <w:rStyle w:val="hovedresume1"/>
          <w:rFonts w:ascii="Calibri" w:hAnsi="Calibri"/>
          <w:i/>
          <w:sz w:val="22"/>
          <w:szCs w:val="22"/>
        </w:rPr>
        <w:t>20 %</w:t>
      </w:r>
      <w:r w:rsidRPr="006B3CFD">
        <w:rPr>
          <w:rStyle w:val="hovedresume1"/>
          <w:rFonts w:ascii="Calibri" w:hAnsi="Calibri"/>
          <w:i/>
          <w:sz w:val="22"/>
          <w:szCs w:val="22"/>
        </w:rPr>
        <w:t xml:space="preserve"> af tab. Andelen </w:t>
      </w:r>
      <w:r w:rsidRPr="006B3CFD">
        <w:rPr>
          <w:rStyle w:val="hovedresume1"/>
          <w:rFonts w:ascii="Calibri" w:hAnsi="Calibri"/>
          <w:i/>
          <w:sz w:val="22"/>
          <w:szCs w:val="22"/>
        </w:rPr>
        <w:lastRenderedPageBreak/>
        <w:t xml:space="preserve">af fortjeneste var dog begrænset til </w:t>
      </w:r>
      <w:r w:rsidR="00910EE3" w:rsidRPr="006B3CFD">
        <w:rPr>
          <w:rStyle w:val="hovedresume1"/>
          <w:rFonts w:ascii="Calibri" w:hAnsi="Calibri"/>
          <w:i/>
          <w:sz w:val="22"/>
          <w:szCs w:val="22"/>
        </w:rPr>
        <w:t>10 %</w:t>
      </w:r>
      <w:r w:rsidRPr="006B3CFD">
        <w:rPr>
          <w:rStyle w:val="hovedresume1"/>
          <w:rFonts w:ascii="Calibri" w:hAnsi="Calibri"/>
          <w:i/>
          <w:sz w:val="22"/>
          <w:szCs w:val="22"/>
        </w:rPr>
        <w:t xml:space="preserve"> af indskuddet. M skulle stå tilbage for de øvrige kred</w:t>
      </w:r>
      <w:r w:rsidRPr="006B3CFD">
        <w:rPr>
          <w:rStyle w:val="hovedresume1"/>
          <w:rFonts w:ascii="Calibri" w:hAnsi="Calibri"/>
          <w:i/>
          <w:sz w:val="22"/>
          <w:szCs w:val="22"/>
        </w:rPr>
        <w:t>i</w:t>
      </w:r>
      <w:r w:rsidRPr="006B3CFD">
        <w:rPr>
          <w:rStyle w:val="hovedresume1"/>
          <w:rFonts w:ascii="Calibri" w:hAnsi="Calibri"/>
          <w:i/>
          <w:sz w:val="22"/>
          <w:szCs w:val="22"/>
        </w:rPr>
        <w:t>torer ved opløsning og konkurs, men havde ikke andel i ejendomsretten til foretagendets fo</w:t>
      </w:r>
      <w:r w:rsidRPr="006B3CFD">
        <w:rPr>
          <w:rStyle w:val="hovedresume1"/>
          <w:rFonts w:ascii="Calibri" w:hAnsi="Calibri"/>
          <w:i/>
          <w:sz w:val="22"/>
          <w:szCs w:val="22"/>
        </w:rPr>
        <w:t>r</w:t>
      </w:r>
      <w:r w:rsidRPr="006B3CFD">
        <w:rPr>
          <w:rStyle w:val="hovedresume1"/>
          <w:rFonts w:ascii="Calibri" w:hAnsi="Calibri"/>
          <w:i/>
          <w:sz w:val="22"/>
          <w:szCs w:val="22"/>
        </w:rPr>
        <w:t>mue. I henhold til den dansk-tyske dobbeltbeskatningsoverenskomst skulle M's udbytte beska</w:t>
      </w:r>
      <w:r w:rsidRPr="006B3CFD">
        <w:rPr>
          <w:rStyle w:val="hovedresume1"/>
          <w:rFonts w:ascii="Calibri" w:hAnsi="Calibri"/>
          <w:i/>
          <w:sz w:val="22"/>
          <w:szCs w:val="22"/>
        </w:rPr>
        <w:t>t</w:t>
      </w:r>
      <w:r w:rsidRPr="006B3CFD">
        <w:rPr>
          <w:rStyle w:val="hovedresume1"/>
          <w:rFonts w:ascii="Calibri" w:hAnsi="Calibri"/>
          <w:i/>
          <w:sz w:val="22"/>
          <w:szCs w:val="22"/>
        </w:rPr>
        <w:t>tes her i landet. M gjorde navnlig gældende, at indskuddet måtte ligestilles med kommand</w:t>
      </w:r>
      <w:r w:rsidRPr="006B3CFD">
        <w:rPr>
          <w:rStyle w:val="hovedresume1"/>
          <w:rFonts w:ascii="Calibri" w:hAnsi="Calibri"/>
          <w:i/>
          <w:sz w:val="22"/>
          <w:szCs w:val="22"/>
        </w:rPr>
        <w:t>i</w:t>
      </w:r>
      <w:r w:rsidRPr="006B3CFD">
        <w:rPr>
          <w:rStyle w:val="hovedresume1"/>
          <w:rFonts w:ascii="Calibri" w:hAnsi="Calibri"/>
          <w:i/>
          <w:sz w:val="22"/>
          <w:szCs w:val="22"/>
        </w:rPr>
        <w:t>tindskud. Indskuddet kunne hverken anses for almindelig gæld eller for kommanditindskud med medejendomsret, og der var herefter ikke tilstrækkelig støtte for at give M fradragsret.</w:t>
      </w:r>
    </w:p>
    <w:p w:rsidR="007A35E5" w:rsidRPr="00A85DA1" w:rsidRDefault="007A35E5" w:rsidP="00A85DA1"/>
    <w:p w:rsidR="007A35E5" w:rsidRDefault="007A35E5" w:rsidP="00AF4FDF">
      <w:pPr>
        <w:rPr>
          <w:szCs w:val="24"/>
        </w:rPr>
      </w:pPr>
      <w:r>
        <w:rPr>
          <w:szCs w:val="24"/>
        </w:rPr>
        <w:t>Denne dom lægges der dog ikke vægt på i administrativ praksis.</w:t>
      </w:r>
      <w:r w:rsidRPr="00CD56BE">
        <w:rPr>
          <w:rStyle w:val="Fodnotehenvisning"/>
        </w:rPr>
        <w:t xml:space="preserve"> </w:t>
      </w:r>
      <w:r>
        <w:rPr>
          <w:rStyle w:val="Fodnotehenvisning"/>
        </w:rPr>
        <w:footnoteReference w:id="30"/>
      </w:r>
      <w:r>
        <w:rPr>
          <w:rStyle w:val="Fodnotehenvisning"/>
        </w:rPr>
        <w:t xml:space="preserve">  </w:t>
      </w:r>
      <w:r>
        <w:rPr>
          <w:szCs w:val="24"/>
        </w:rPr>
        <w:t xml:space="preserve"> </w:t>
      </w:r>
    </w:p>
    <w:p w:rsidR="007A35E5" w:rsidRDefault="007A35E5" w:rsidP="00AF4FDF">
      <w:r>
        <w:t>Ved fordeling af over- eller underskud anses fordelingen at være forretningsmæssigt begrundet imellem deltagere, der ikke har interessefællesskab. Anderledes forholder det sig når f.eks. børn og forældre driver et interessentskab sammen. Her har Skat m</w:t>
      </w:r>
      <w:r>
        <w:t>u</w:t>
      </w:r>
      <w:r>
        <w:t>lighed for at ændre fordeling af resultater, der tydeligvis ikke er sagligt begrundet.</w:t>
      </w:r>
      <w:r w:rsidRPr="007C4F35">
        <w:rPr>
          <w:rStyle w:val="Fodnotehenvisning"/>
        </w:rPr>
        <w:t xml:space="preserve"> </w:t>
      </w:r>
      <w:r>
        <w:rPr>
          <w:rStyle w:val="Fodnotehenvisning"/>
        </w:rPr>
        <w:footnoteReference w:id="31"/>
      </w:r>
      <w:r>
        <w:rPr>
          <w:rStyle w:val="Fodnotehenvisning"/>
        </w:rPr>
        <w:t xml:space="preserve"> </w:t>
      </w:r>
    </w:p>
    <w:p w:rsidR="00D457AA" w:rsidRDefault="00D457AA" w:rsidP="00AF4FDF"/>
    <w:p w:rsidR="007A35E5" w:rsidRDefault="00AF2D39" w:rsidP="00F17BC8">
      <w:pPr>
        <w:pStyle w:val="Overskrift2"/>
      </w:pPr>
      <w:bookmarkStart w:id="22" w:name="_Toc221546186"/>
      <w:r>
        <w:t xml:space="preserve">2.3 </w:t>
      </w:r>
      <w:r w:rsidR="007A35E5" w:rsidRPr="00CE5752">
        <w:t>Beskatning ved afståelse/delafståelse af interessentskab</w:t>
      </w:r>
      <w:r w:rsidR="00627158">
        <w:t xml:space="preserve"> </w:t>
      </w:r>
      <w:r w:rsidR="00627158">
        <w:rPr>
          <w:b w:val="0"/>
          <w:sz w:val="22"/>
          <w:szCs w:val="22"/>
        </w:rPr>
        <w:t>(Pernille</w:t>
      </w:r>
      <w:r w:rsidR="00627158" w:rsidRPr="00E75844">
        <w:rPr>
          <w:b w:val="0"/>
          <w:sz w:val="22"/>
          <w:szCs w:val="22"/>
        </w:rPr>
        <w:t>)</w:t>
      </w:r>
      <w:bookmarkEnd w:id="22"/>
    </w:p>
    <w:p w:rsidR="007A35E5" w:rsidRDefault="007A35E5" w:rsidP="00AF4FDF">
      <w:r>
        <w:t>Ved enhver ændring af den ideelle ejerandel i interessentskabet opfattes det skatt</w:t>
      </w:r>
      <w:r>
        <w:t>e</w:t>
      </w:r>
      <w:r>
        <w:t>mæssigt som delkøb og delsalg. Der sker derfor realisationsbeskatning på sælgerside efter AL § 9, som ved et hvert andet virksomhedssalg og opgørelse af anskaffelsessum for køber.</w:t>
      </w:r>
      <w:r w:rsidRPr="00B6315A">
        <w:rPr>
          <w:rStyle w:val="Fodnotehenvisning"/>
          <w:szCs w:val="24"/>
        </w:rPr>
        <w:t xml:space="preserve"> </w:t>
      </w:r>
      <w:r>
        <w:rPr>
          <w:rStyle w:val="Fodnotehenvisning"/>
          <w:szCs w:val="24"/>
        </w:rPr>
        <w:footnoteReference w:id="32"/>
      </w:r>
      <w:r>
        <w:rPr>
          <w:rStyle w:val="Fodnotehenvisning"/>
          <w:szCs w:val="24"/>
        </w:rPr>
        <w:t xml:space="preserve"> </w:t>
      </w:r>
      <w:r>
        <w:rPr>
          <w:szCs w:val="24"/>
        </w:rPr>
        <w:t xml:space="preserve"> Det har været omdiskuteret om der ved delsalg i stedet skal ske beska</w:t>
      </w:r>
      <w:r>
        <w:rPr>
          <w:szCs w:val="24"/>
        </w:rPr>
        <w:t>t</w:t>
      </w:r>
      <w:r>
        <w:rPr>
          <w:szCs w:val="24"/>
        </w:rPr>
        <w:t>ning efter AL §, stk. 2 således at salgssummen i stedet fradrages i saldoværdien for driftsmidler. I praksis har Skat dog sidestillet optagelse af en kompagnon med vir</w:t>
      </w:r>
      <w:r>
        <w:rPr>
          <w:szCs w:val="24"/>
        </w:rPr>
        <w:t>k</w:t>
      </w:r>
      <w:r>
        <w:rPr>
          <w:szCs w:val="24"/>
        </w:rPr>
        <w:t>somhedsophør.</w:t>
      </w:r>
      <w:r>
        <w:rPr>
          <w:rStyle w:val="Fodnotehenvisning"/>
          <w:szCs w:val="24"/>
        </w:rPr>
        <w:footnoteReference w:id="33"/>
      </w:r>
      <w:r>
        <w:rPr>
          <w:szCs w:val="24"/>
        </w:rPr>
        <w:t xml:space="preserve"> Sker der salg af en ideel andel fra en udtrædende interessent til en indtrædende interessent anses det dog ikke for delsalg for de andre interessenter jf. således</w:t>
      </w:r>
      <w:r>
        <w:t xml:space="preserve"> nedenstående afgørelse, hvor der lægges vægt på at der ikke sker en formu</w:t>
      </w:r>
      <w:r>
        <w:t>e</w:t>
      </w:r>
      <w:r>
        <w:t>forskydning for interessent A.</w:t>
      </w:r>
    </w:p>
    <w:p w:rsidR="007A35E5" w:rsidRDefault="007A35E5" w:rsidP="00FE7DE5">
      <w:pPr>
        <w:rPr>
          <w:rFonts w:ascii="Verdana" w:hAnsi="Verdana"/>
          <w:i/>
          <w:color w:val="3F6075"/>
          <w:sz w:val="20"/>
          <w:szCs w:val="20"/>
          <w:lang w:eastAsia="da-DK"/>
        </w:rPr>
      </w:pPr>
    </w:p>
    <w:p w:rsidR="007A35E5" w:rsidRPr="006B3CFD" w:rsidRDefault="007A35E5" w:rsidP="00FE7DE5">
      <w:pPr>
        <w:rPr>
          <w:i/>
          <w:sz w:val="22"/>
          <w:lang w:eastAsia="da-DK"/>
        </w:rPr>
      </w:pPr>
      <w:r w:rsidRPr="006B3CFD">
        <w:rPr>
          <w:i/>
          <w:sz w:val="22"/>
          <w:lang w:eastAsia="da-DK"/>
        </w:rPr>
        <w:lastRenderedPageBreak/>
        <w:t>TfS 2000, 195 LSR, hvor læge A i 1989 erhvervede en ideel andel af læge B's lægepraksis, hvo</w:t>
      </w:r>
      <w:r w:rsidRPr="006B3CFD">
        <w:rPr>
          <w:i/>
          <w:sz w:val="22"/>
          <w:lang w:eastAsia="da-DK"/>
        </w:rPr>
        <w:t>r</w:t>
      </w:r>
      <w:r w:rsidRPr="006B3CFD">
        <w:rPr>
          <w:i/>
          <w:sz w:val="22"/>
          <w:lang w:eastAsia="da-DK"/>
        </w:rPr>
        <w:t>ved der etableredes et interessentskab. I 1993 afhændede læge B sin ideelle andel af intere</w:t>
      </w:r>
      <w:r w:rsidRPr="006B3CFD">
        <w:rPr>
          <w:i/>
          <w:sz w:val="22"/>
          <w:lang w:eastAsia="da-DK"/>
        </w:rPr>
        <w:t>s</w:t>
      </w:r>
      <w:r w:rsidRPr="006B3CFD">
        <w:rPr>
          <w:i/>
          <w:sz w:val="22"/>
          <w:lang w:eastAsia="da-DK"/>
        </w:rPr>
        <w:t>sentskabet direkte til læge C. I 1994 blev interessentskabet opløst ved, at A og C udtog hver sin andel af patientmassen (goodwill). I forbindelse med avanceopgørelsen for goodwill var læge A af den opfattelse, at hans anskaffelsessum for goodwill skulle påvirkes af B's salg til C i 1993. A var således af den opfattelse, at han i forbindelse med afståelsen i 1993 måtte anses for først at have erhvervet halvdelen af halvdelen af virksomhedens goodwill fra B og herefter afstået halvdelen af halvdelen af virksomhedens goodwill til C. Landsskatteretten fandt, at A's anska</w:t>
      </w:r>
      <w:r w:rsidRPr="006B3CFD">
        <w:rPr>
          <w:i/>
          <w:sz w:val="22"/>
          <w:lang w:eastAsia="da-DK"/>
        </w:rPr>
        <w:t>f</w:t>
      </w:r>
      <w:r w:rsidRPr="006B3CFD">
        <w:rPr>
          <w:i/>
          <w:sz w:val="22"/>
          <w:lang w:eastAsia="da-DK"/>
        </w:rPr>
        <w:t>felsessum for goodwill ikke skulle påvirkes af B's afståelse i 1993 og anførte til støtte herfor, at salget af B's andel skete direkte til C og der ikke ved B's udtræden skete forskydninger eller ændringer i interessentskabets samlede formue eller A's ejerandel heraf.</w:t>
      </w:r>
    </w:p>
    <w:p w:rsidR="007A35E5" w:rsidRPr="00FE7DE5" w:rsidRDefault="007A35E5" w:rsidP="00AF4FDF">
      <w:pPr>
        <w:rPr>
          <w:rFonts w:ascii="Verdana" w:hAnsi="Verdana"/>
          <w:sz w:val="20"/>
          <w:szCs w:val="20"/>
          <w:lang w:eastAsia="da-DK"/>
        </w:rPr>
      </w:pPr>
    </w:p>
    <w:p w:rsidR="007A35E5" w:rsidRDefault="007A35E5" w:rsidP="00AF4FDF">
      <w:pPr>
        <w:rPr>
          <w:szCs w:val="24"/>
        </w:rPr>
      </w:pPr>
      <w:r>
        <w:rPr>
          <w:szCs w:val="24"/>
        </w:rPr>
        <w:t>Det anses også for salg, hvis interessentskabet likvideres, eller hvis der sker udlodning af aktiver til interessenterne</w:t>
      </w:r>
      <w:r w:rsidR="0025707D">
        <w:rPr>
          <w:szCs w:val="24"/>
        </w:rPr>
        <w:t>.</w:t>
      </w:r>
      <w:r>
        <w:rPr>
          <w:szCs w:val="24"/>
        </w:rPr>
        <w:t xml:space="preserve"> </w:t>
      </w:r>
      <w:r>
        <w:rPr>
          <w:rStyle w:val="Fodnotehenvisning"/>
          <w:szCs w:val="24"/>
        </w:rPr>
        <w:footnoteReference w:id="34"/>
      </w:r>
      <w:r>
        <w:rPr>
          <w:szCs w:val="24"/>
        </w:rPr>
        <w:t xml:space="preserve"> </w:t>
      </w:r>
    </w:p>
    <w:p w:rsidR="007A35E5" w:rsidRDefault="007A35E5" w:rsidP="00AF4FDF">
      <w:pPr>
        <w:rPr>
          <w:szCs w:val="24"/>
        </w:rPr>
      </w:pPr>
      <w:r>
        <w:rPr>
          <w:szCs w:val="24"/>
        </w:rPr>
        <w:t>Denne problematik tydeliggøres i nedenstående dom, hvor der ikke sker formuefo</w:t>
      </w:r>
      <w:r>
        <w:rPr>
          <w:szCs w:val="24"/>
        </w:rPr>
        <w:t>r</w:t>
      </w:r>
      <w:r>
        <w:rPr>
          <w:szCs w:val="24"/>
        </w:rPr>
        <w:t>skydning, men hvo</w:t>
      </w:r>
      <w:r w:rsidR="0025707D">
        <w:rPr>
          <w:szCs w:val="24"/>
        </w:rPr>
        <w:t>r interessenterne alligevel skulle</w:t>
      </w:r>
      <w:r>
        <w:rPr>
          <w:szCs w:val="24"/>
        </w:rPr>
        <w:t xml:space="preserve"> beskattes, da der skete udlodning til privat. </w:t>
      </w:r>
      <w:r w:rsidR="0025707D">
        <w:rPr>
          <w:szCs w:val="24"/>
        </w:rPr>
        <w:t>Dette kan</w:t>
      </w:r>
      <w:r w:rsidRPr="00CE5752">
        <w:rPr>
          <w:szCs w:val="24"/>
        </w:rPr>
        <w:t xml:space="preserve"> sidestilles med</w:t>
      </w:r>
      <w:r w:rsidR="0025707D">
        <w:rPr>
          <w:szCs w:val="24"/>
        </w:rPr>
        <w:t>,</w:t>
      </w:r>
      <w:r w:rsidRPr="00CE5752">
        <w:rPr>
          <w:szCs w:val="24"/>
        </w:rPr>
        <w:t xml:space="preserve"> hvis der i en enkeltmandsvirksomhed udtages et erhver</w:t>
      </w:r>
      <w:r w:rsidR="0025707D">
        <w:rPr>
          <w:szCs w:val="24"/>
        </w:rPr>
        <w:t>vsmæssigt aktiv til privat brug.</w:t>
      </w:r>
      <w:r w:rsidRPr="00CE5752">
        <w:rPr>
          <w:szCs w:val="24"/>
        </w:rPr>
        <w:t xml:space="preserve"> </w:t>
      </w:r>
      <w:r w:rsidR="0025707D">
        <w:rPr>
          <w:szCs w:val="24"/>
        </w:rPr>
        <w:t>H</w:t>
      </w:r>
      <w:r w:rsidRPr="00CE5752">
        <w:rPr>
          <w:szCs w:val="24"/>
        </w:rPr>
        <w:t>er skal der også ske en avanceopgørelse.</w:t>
      </w:r>
    </w:p>
    <w:p w:rsidR="007A35E5" w:rsidRDefault="007A35E5" w:rsidP="00AF4FDF">
      <w:pPr>
        <w:rPr>
          <w:szCs w:val="24"/>
        </w:rPr>
      </w:pPr>
    </w:p>
    <w:p w:rsidR="007A35E5" w:rsidRPr="006B3CFD" w:rsidRDefault="007A35E5" w:rsidP="00B77BD0">
      <w:pPr>
        <w:rPr>
          <w:rStyle w:val="hovedresume1"/>
          <w:rFonts w:ascii="Calibri" w:hAnsi="Calibri"/>
          <w:i/>
          <w:sz w:val="22"/>
          <w:szCs w:val="22"/>
        </w:rPr>
      </w:pPr>
      <w:r w:rsidRPr="006B3CFD">
        <w:rPr>
          <w:i/>
          <w:sz w:val="22"/>
        </w:rPr>
        <w:t>U.1983.318HH</w:t>
      </w:r>
      <w:r w:rsidRPr="006B3CFD">
        <w:rPr>
          <w:rStyle w:val="hovedresume1"/>
          <w:rFonts w:ascii="Calibri" w:hAnsi="Calibri"/>
          <w:i/>
          <w:sz w:val="22"/>
          <w:szCs w:val="22"/>
        </w:rPr>
        <w:t>: Et interessentskab, som havde drevet forretningsmæssig virksomhed, blev i 1962 opdelt i to interessentskaber, hvoraf det ene I/S I, hvis interessenter var seks søskende, havde til formål at videreføre og videreudvikle den halvpart i det oprindelige interessentskab, som var tilfaldet familien. Kontrakten indeholdt bestemmelser om fortrinsret og forkøbsret for interessenter, ægtefæller og livsarvinger. De forretningsmæssige aktiviteter blev successivt etableret i aktieselskabsform, navnlig i A/S A. I 1975 udskiltes I/S II, der alene vedrørte admin</w:t>
      </w:r>
      <w:r w:rsidRPr="006B3CFD">
        <w:rPr>
          <w:rStyle w:val="hovedresume1"/>
          <w:rFonts w:ascii="Calibri" w:hAnsi="Calibri"/>
          <w:i/>
          <w:sz w:val="22"/>
          <w:szCs w:val="22"/>
        </w:rPr>
        <w:t>i</w:t>
      </w:r>
      <w:r w:rsidRPr="006B3CFD">
        <w:rPr>
          <w:rStyle w:val="hovedresume1"/>
          <w:rFonts w:ascii="Calibri" w:hAnsi="Calibri"/>
          <w:i/>
          <w:sz w:val="22"/>
          <w:szCs w:val="22"/>
        </w:rPr>
        <w:t>strationen af I/S I's aktier i A. Senere besluttedes det at udlodde 100.000 kr. aktier i A af I/S II's beholdning til hver interessent. Det fandtes uden betydning, at udlodning var sket fra I/S II og ikke fra I/S I. Da hver enkelt interessent ved udlodningen var blevet eneejer af og - med de b</w:t>
      </w:r>
      <w:r w:rsidRPr="006B3CFD">
        <w:rPr>
          <w:rStyle w:val="hovedresume1"/>
          <w:rFonts w:ascii="Calibri" w:hAnsi="Calibri"/>
          <w:i/>
          <w:sz w:val="22"/>
          <w:szCs w:val="22"/>
        </w:rPr>
        <w:t>e</w:t>
      </w:r>
      <w:r w:rsidRPr="006B3CFD">
        <w:rPr>
          <w:rStyle w:val="hovedresume1"/>
          <w:rFonts w:ascii="Calibri" w:hAnsi="Calibri"/>
          <w:i/>
          <w:sz w:val="22"/>
          <w:szCs w:val="22"/>
        </w:rPr>
        <w:t>grænsninger, der fulgte af interessentskabskontrakten - havde fået rådighed over de ham u</w:t>
      </w:r>
      <w:r w:rsidRPr="006B3CFD">
        <w:rPr>
          <w:rStyle w:val="hovedresume1"/>
          <w:rFonts w:ascii="Calibri" w:hAnsi="Calibri"/>
          <w:i/>
          <w:sz w:val="22"/>
          <w:szCs w:val="22"/>
        </w:rPr>
        <w:t>d</w:t>
      </w:r>
      <w:r w:rsidRPr="006B3CFD">
        <w:rPr>
          <w:rStyle w:val="hovedresume1"/>
          <w:rFonts w:ascii="Calibri" w:hAnsi="Calibri"/>
          <w:i/>
          <w:sz w:val="22"/>
          <w:szCs w:val="22"/>
        </w:rPr>
        <w:t>lagte aktier, fandtes udlodningen - uanset at der ikke var sket nogen regnskabsmæssig fo</w:t>
      </w:r>
      <w:r w:rsidRPr="006B3CFD">
        <w:rPr>
          <w:rStyle w:val="hovedresume1"/>
          <w:rFonts w:ascii="Calibri" w:hAnsi="Calibri"/>
          <w:i/>
          <w:sz w:val="22"/>
          <w:szCs w:val="22"/>
        </w:rPr>
        <w:t>r</w:t>
      </w:r>
      <w:r w:rsidRPr="006B3CFD">
        <w:rPr>
          <w:rStyle w:val="hovedresume1"/>
          <w:rFonts w:ascii="Calibri" w:hAnsi="Calibri"/>
          <w:i/>
          <w:sz w:val="22"/>
          <w:szCs w:val="22"/>
        </w:rPr>
        <w:lastRenderedPageBreak/>
        <w:t>skydning mellem interessenterne - at indebære en afståelse af aktierne. Beskatning måtte ske hos de enkelte interessenter, og der fandtes ikke tilstrækkeligt grundlag for at fravige den i fast administrativ praksis benyttede opgørelsesmåde, hvorefter de enkelte interessenter ansås som ejere af en ideel anpart i hvert aktiv og i konsekvens heraf for at købe og sælge anparter i ve</w:t>
      </w:r>
      <w:r w:rsidRPr="006B3CFD">
        <w:rPr>
          <w:rStyle w:val="hovedresume1"/>
          <w:rFonts w:ascii="Calibri" w:hAnsi="Calibri"/>
          <w:i/>
          <w:sz w:val="22"/>
          <w:szCs w:val="22"/>
        </w:rPr>
        <w:t>d</w:t>
      </w:r>
      <w:r w:rsidRPr="006B3CFD">
        <w:rPr>
          <w:rStyle w:val="hovedresume1"/>
          <w:rFonts w:ascii="Calibri" w:hAnsi="Calibri"/>
          <w:i/>
          <w:sz w:val="22"/>
          <w:szCs w:val="22"/>
        </w:rPr>
        <w:t>kommende aktiv.</w:t>
      </w:r>
    </w:p>
    <w:p w:rsidR="007A35E5" w:rsidRDefault="007A35E5" w:rsidP="00625ADA">
      <w:pPr>
        <w:pStyle w:val="Overskrift1"/>
      </w:pPr>
      <w:bookmarkStart w:id="23" w:name="_Toc212806412"/>
      <w:r>
        <w:br w:type="page"/>
      </w:r>
      <w:bookmarkStart w:id="24" w:name="_Toc214610751"/>
      <w:bookmarkStart w:id="25" w:name="_Toc221546187"/>
      <w:bookmarkEnd w:id="23"/>
      <w:r w:rsidR="00AF2D39">
        <w:lastRenderedPageBreak/>
        <w:t xml:space="preserve">3. </w:t>
      </w:r>
      <w:r w:rsidRPr="00364F63">
        <w:t>Generationsskiftemodeller</w:t>
      </w:r>
      <w:r>
        <w:t xml:space="preserve"> i personligt regi</w:t>
      </w:r>
      <w:bookmarkEnd w:id="24"/>
      <w:r w:rsidR="00627158">
        <w:t xml:space="preserve"> </w:t>
      </w:r>
      <w:r w:rsidR="00627158">
        <w:rPr>
          <w:sz w:val="22"/>
          <w:szCs w:val="22"/>
        </w:rPr>
        <w:t>(Jane</w:t>
      </w:r>
      <w:r w:rsidR="00627158" w:rsidRPr="00E75844">
        <w:rPr>
          <w:sz w:val="22"/>
          <w:szCs w:val="22"/>
        </w:rPr>
        <w:t>)</w:t>
      </w:r>
      <w:bookmarkEnd w:id="25"/>
    </w:p>
    <w:p w:rsidR="007A35E5" w:rsidRDefault="007A35E5" w:rsidP="00AF2D39">
      <w:r>
        <w:t>Der findes forskellige metoder til at kunne generationsskifte en igangværende vir</w:t>
      </w:r>
      <w:r>
        <w:t>k</w:t>
      </w:r>
      <w:r>
        <w:t>somhed i personligt regi. Der findes som hovedregel to generelle muligheder – en b</w:t>
      </w:r>
      <w:r>
        <w:t>e</w:t>
      </w:r>
      <w:r>
        <w:t>skattet overdragelse og overdragelse med skattemæssig succession hvor den endelige beskatning udskydes. Den første metode, der her vil blive beskrevet, er beskattet overdragelse af virksomheden, der også kaldes for realisationsbeskatning. Dernæst vil der blive beskrevet</w:t>
      </w:r>
      <w:r w:rsidR="00631399">
        <w:t>,</w:t>
      </w:r>
      <w:r>
        <w:t xml:space="preserve"> hvordan det er muligt at generationsskifte ved hjælp af success</w:t>
      </w:r>
      <w:r>
        <w:t>i</w:t>
      </w:r>
      <w:r>
        <w:t>onsreglerne i KSL.</w:t>
      </w:r>
    </w:p>
    <w:p w:rsidR="007A35E5" w:rsidRDefault="007A35E5" w:rsidP="00AF4FDF"/>
    <w:p w:rsidR="007A35E5" w:rsidRPr="00264089" w:rsidRDefault="00AF2D39" w:rsidP="00AF4FDF">
      <w:pPr>
        <w:pStyle w:val="Overskrift2"/>
      </w:pPr>
      <w:bookmarkStart w:id="26" w:name="_Toc212806413"/>
      <w:bookmarkStart w:id="27" w:name="_Toc214610752"/>
      <w:bookmarkStart w:id="28" w:name="_Toc221546188"/>
      <w:r>
        <w:t xml:space="preserve">3.1 </w:t>
      </w:r>
      <w:r w:rsidR="007A35E5" w:rsidRPr="00264089">
        <w:t>Beskattet overdragelse</w:t>
      </w:r>
      <w:bookmarkEnd w:id="26"/>
      <w:bookmarkEnd w:id="27"/>
      <w:r w:rsidR="00627158">
        <w:t xml:space="preserve"> </w:t>
      </w:r>
      <w:r w:rsidR="00627158">
        <w:rPr>
          <w:b w:val="0"/>
          <w:sz w:val="22"/>
          <w:szCs w:val="22"/>
        </w:rPr>
        <w:t>(Jane</w:t>
      </w:r>
      <w:r w:rsidR="00627158" w:rsidRPr="00E75844">
        <w:rPr>
          <w:b w:val="0"/>
          <w:sz w:val="22"/>
          <w:szCs w:val="22"/>
        </w:rPr>
        <w:t>)</w:t>
      </w:r>
      <w:bookmarkEnd w:id="28"/>
    </w:p>
    <w:p w:rsidR="000B4E51" w:rsidRDefault="000B4E51" w:rsidP="000B4E51">
      <w:r>
        <w:t>Det vil til enhver tid være muligt at foretage en beskattet overdragelse af virksomh</w:t>
      </w:r>
      <w:r>
        <w:t>e</w:t>
      </w:r>
      <w:r>
        <w:t>den. Man kan sige at metoden for så vidt er ret enkel, da man i det store hele handler mellem parterne som var det handel med 3. mand. Det vil sige at der foretages en avanceopgørelse for hvert af de enkelte solgte aktiver, som indtægtsføres hos sælg</w:t>
      </w:r>
      <w:r>
        <w:t>e</w:t>
      </w:r>
      <w:r>
        <w:t>ren. Han bliver dermed beskattet af fortjeneste ligesom opsparede overskud vil ko</w:t>
      </w:r>
      <w:r>
        <w:t>m</w:t>
      </w:r>
      <w:r>
        <w:t xml:space="preserve">me til beskatning i samme forbindelse, da der reelt er tale om ophør af virksomheden. </w:t>
      </w:r>
    </w:p>
    <w:p w:rsidR="000B4E51" w:rsidRDefault="000B4E51" w:rsidP="000B4E51">
      <w:r>
        <w:t>Erhververen køber reelt set virksomheden som om den var købt af 3. mand. Dermed vil den næste generation have nogle ”nye” anskaffelsessummer for goodwill, ejendom, driftsmidler mv.</w:t>
      </w:r>
    </w:p>
    <w:p w:rsidR="000B4E51" w:rsidRDefault="000B4E51" w:rsidP="000B4E51">
      <w:r>
        <w:t>Der er tale om afståelse af virksomheden, når der er indgået en bindende aftale om overdragelse af virksomheden. Afståelsen af virksomheden vil få virkning i det in</w:t>
      </w:r>
      <w:r>
        <w:t>d</w:t>
      </w:r>
      <w:r>
        <w:t>komstår, hvor aftalen er indgået mellem parterne også selvom at der er aftalt egentlig overtagelse i det næste indkomstår</w:t>
      </w:r>
      <w:r>
        <w:rPr>
          <w:rStyle w:val="Fodnotehenvisning"/>
        </w:rPr>
        <w:footnoteReference w:id="35"/>
      </w:r>
      <w:r>
        <w:t xml:space="preserve">, det forudsættes hermed at der er tale om en samlet overdragelse af erhvervsvirksomheden og ikke salg af de enkelte aktiver hver for sig, der kan give anledning særlige problemstillinger med hensyn til fastlæggelse af afståelsestidspunktet. Afståelsestidspunktet har således betydning for hvornår der </w:t>
      </w:r>
      <w:r>
        <w:lastRenderedPageBreak/>
        <w:t>udløses beskatning af kapitalgevinster på aktiverne, mens det endelige overtagelse</w:t>
      </w:r>
      <w:r>
        <w:t>s</w:t>
      </w:r>
      <w:r>
        <w:t>tidspunkt vil have betydning for skæringstidspunktet for indtægter og omkostninger; hvem der er rette indkomstmodtager.</w:t>
      </w:r>
    </w:p>
    <w:p w:rsidR="000B4E51" w:rsidRDefault="000B4E51" w:rsidP="000B4E51">
      <w:r>
        <w:t>I en aftale om afståelse af en samlet virksomhed udarbejdes der et dokument, hvor de enkelte overtagne aktiver og gæld specificeres. Der skal således foretages en værdia</w:t>
      </w:r>
      <w:r>
        <w:t>n</w:t>
      </w:r>
      <w:r>
        <w:t>sættelse af de enkelte aktiver i virksomheden, for at der kan fastsættes en samlet pris for virksomheden. Øvrige forhold om overdragelsen vil ligeledes fremgå af dokume</w:t>
      </w:r>
      <w:r>
        <w:t>n</w:t>
      </w:r>
      <w:r>
        <w:t>tet, hvilket ikke vil blive uddybet nærmere jf. de foretagne a</w:t>
      </w:r>
      <w:r w:rsidR="00372548">
        <w:t>fgrænsninger i det tidligere afsnit ”</w:t>
      </w:r>
      <w:r w:rsidR="00012FAC">
        <w:fldChar w:fldCharType="begin"/>
      </w:r>
      <w:r w:rsidR="00372548">
        <w:instrText xml:space="preserve"> REF _Ref219212294 \h </w:instrText>
      </w:r>
      <w:r w:rsidR="00012FAC">
        <w:fldChar w:fldCharType="separate"/>
      </w:r>
      <w:r w:rsidR="000F066D">
        <w:t>1.2 Afgrænsninger</w:t>
      </w:r>
      <w:r w:rsidR="00012FAC">
        <w:fldChar w:fldCharType="end"/>
      </w:r>
      <w:r w:rsidR="00372548">
        <w:t>”.</w:t>
      </w:r>
    </w:p>
    <w:p w:rsidR="000B4E51" w:rsidRDefault="000B4E51" w:rsidP="000B4E51">
      <w:r>
        <w:t>Når der handles mellem nærtstående parter</w:t>
      </w:r>
      <w:r>
        <w:rPr>
          <w:rStyle w:val="Fodnotehenvisning"/>
        </w:rPr>
        <w:footnoteReference w:id="36"/>
      </w:r>
      <w:r>
        <w:t>, skal man være opmærksom på værd</w:t>
      </w:r>
      <w:r>
        <w:t>i</w:t>
      </w:r>
      <w:r>
        <w:t>ansættelsen af de overdragne aktiver. Hovedreglen er at der skal handles på arm</w:t>
      </w:r>
      <w:r>
        <w:t>s</w:t>
      </w:r>
      <w:r>
        <w:t>længdevilkår, når der er tale om interesseforbundne parter</w:t>
      </w:r>
      <w:r>
        <w:rPr>
          <w:rStyle w:val="Fodnotehenvisning"/>
        </w:rPr>
        <w:footnoteReference w:id="37"/>
      </w:r>
      <w:r>
        <w:t>. Man kan i denne he</w:t>
      </w:r>
      <w:r>
        <w:t>n</w:t>
      </w:r>
      <w:r>
        <w:t>seende tale om, at der er tale om øgede dokumentationskrav for værdiansættelse, når der handles mellem nærtstående/interesseforbundne parter.</w:t>
      </w:r>
    </w:p>
    <w:p w:rsidR="007A35E5" w:rsidRDefault="007A35E5" w:rsidP="00AF4FDF"/>
    <w:p w:rsidR="007A35E5" w:rsidRDefault="00AF2D39" w:rsidP="00AF2D39">
      <w:pPr>
        <w:pStyle w:val="Overskrift3"/>
      </w:pPr>
      <w:bookmarkStart w:id="29" w:name="_Toc212806414"/>
      <w:bookmarkStart w:id="30" w:name="_Toc214610753"/>
      <w:bookmarkStart w:id="31" w:name="_Toc221546189"/>
      <w:r>
        <w:t xml:space="preserve">3.1.1 </w:t>
      </w:r>
      <w:r w:rsidR="007A35E5" w:rsidRPr="002E74E1">
        <w:t>Goodwill</w:t>
      </w:r>
      <w:bookmarkEnd w:id="29"/>
      <w:bookmarkEnd w:id="30"/>
      <w:r w:rsidR="00627158">
        <w:t xml:space="preserve"> </w:t>
      </w:r>
      <w:r w:rsidR="00627158">
        <w:rPr>
          <w:b w:val="0"/>
          <w:sz w:val="22"/>
          <w:szCs w:val="22"/>
        </w:rPr>
        <w:t>(Jane</w:t>
      </w:r>
      <w:r w:rsidR="00627158" w:rsidRPr="00E75844">
        <w:rPr>
          <w:b w:val="0"/>
          <w:sz w:val="22"/>
          <w:szCs w:val="22"/>
        </w:rPr>
        <w:t>)</w:t>
      </w:r>
      <w:bookmarkEnd w:id="31"/>
    </w:p>
    <w:p w:rsidR="000B4E51" w:rsidRDefault="000B4E51" w:rsidP="000B4E51">
      <w:r>
        <w:t>I en virksomhed, der er drevet i gennem mange år og som har givet fornuftig indtjening for indehaveren vil der være oparbejdet goodwill, da goodwill vil være udtryk for vir</w:t>
      </w:r>
      <w:r>
        <w:t>k</w:t>
      </w:r>
      <w:r>
        <w:t xml:space="preserve">somhedens indtjeningsevne, kunderelationer og forretningsforbindelser. Goodwillen fremgår dog ikke af virksomhedens regnskab, da der er tale om internt oparbejdet goodwill. Det kan derfor være forbundet med vanskeligheder at fastsætte værdien af goodwillen, goodwill er med andre ord af en usikker størrelse. Som nævnt ovenfor skal værdien af goodwill fastsættes til markedsprisen som var der tale om salg til 3. mand, </w:t>
      </w:r>
      <w:r>
        <w:lastRenderedPageBreak/>
        <w:t>da der vil være adgang til at kunne foretage korrektion fra skattemyndighedernes side, hvis vederlaget for goodwill står i åbenbart misforhold til værdien af det overdragne</w:t>
      </w:r>
      <w:r>
        <w:rPr>
          <w:rStyle w:val="Fodnotehenvisning"/>
        </w:rPr>
        <w:footnoteReference w:id="38"/>
      </w:r>
      <w:r>
        <w:t xml:space="preserve">. </w:t>
      </w:r>
    </w:p>
    <w:p w:rsidR="000B4E51" w:rsidRDefault="000B4E51" w:rsidP="000B4E51">
      <w:r>
        <w:t>Da der ikke kan siges at der findes effektive markeder for handel med goodwill, må der tages alternative metoder i brug. Der kan dog inden for visse brancher være faste k</w:t>
      </w:r>
      <w:r>
        <w:t>u</w:t>
      </w:r>
      <w:r>
        <w:t xml:space="preserve">tymer for værdiansættelse af goodwill. Hvis der ikke findes andre muligheder for at værdiansætte goodwill, bør der tages udgangspunkt i </w:t>
      </w:r>
      <w:r w:rsidR="003D7459">
        <w:t>Skatterådet</w:t>
      </w:r>
      <w:r>
        <w:t>s vejledende anvi</w:t>
      </w:r>
      <w:r>
        <w:t>s</w:t>
      </w:r>
      <w:r>
        <w:t>ning, der fremgår af LV E.I.4.1.2.1</w:t>
      </w:r>
      <w:r>
        <w:rPr>
          <w:rStyle w:val="Fodnotehenvisning"/>
        </w:rPr>
        <w:footnoteReference w:id="39"/>
      </w:r>
      <w:r>
        <w:t>, når der handles mellem interesseforbundne pa</w:t>
      </w:r>
      <w:r>
        <w:t>r</w:t>
      </w:r>
      <w:r>
        <w:t>ter. Man kan i praksis sige at der for den samme goodwill vil være som udgangspunkt to værdier; den værdi, der kan beregnes efter TSS-cirkulære 2000-10 og den værdi som en tredjemand vil betale, og netop denne værdi kan være såvel større eller mindre end værdien beregnet efter cirkulæret. Goodwill handlet mellem uafhængige parter vil formentlig ikke risikere få anfægtet værdiansættelsen, mens handel mellem interess</w:t>
      </w:r>
      <w:r>
        <w:t>e</w:t>
      </w:r>
      <w:r>
        <w:t>forbundne parter kan risikere at skattemyndighederne vil gribe korrigerende ind i væ</w:t>
      </w:r>
      <w:r>
        <w:t>r</w:t>
      </w:r>
      <w:r>
        <w:t>diansættelsen.</w:t>
      </w:r>
    </w:p>
    <w:p w:rsidR="000B4E51" w:rsidRDefault="000B4E51" w:rsidP="000B4E51">
      <w:r>
        <w:t>Hovedprincipperne i goodwill-beregningen er at der tages udgangspunkt i de seneste 3 års regnskabsmæssige resultater, hvor der bl.a. korrigeres for driftsherreløn og foret</w:t>
      </w:r>
      <w:r>
        <w:t>a</w:t>
      </w:r>
      <w:r>
        <w:t>ges kapitalisering af det regulerede resultat, hvorefter der fremkommer en goodwill-værdi. Denne fremgangsmåde i beregning af goodwill accepteres almindeligvis af ska</w:t>
      </w:r>
      <w:r>
        <w:t>t</w:t>
      </w:r>
      <w:r>
        <w:t>temyndighederne.</w:t>
      </w:r>
    </w:p>
    <w:p w:rsidR="000B4E51" w:rsidRDefault="000B4E51" w:rsidP="000B4E51">
      <w:pPr>
        <w:rPr>
          <w:i/>
        </w:rPr>
      </w:pPr>
    </w:p>
    <w:p w:rsidR="000B4E51" w:rsidRPr="006B3CFD" w:rsidRDefault="000B4E51" w:rsidP="000B4E51">
      <w:pPr>
        <w:rPr>
          <w:i/>
          <w:color w:val="3F6075"/>
          <w:sz w:val="22"/>
        </w:rPr>
      </w:pPr>
      <w:r w:rsidRPr="006B3CFD">
        <w:rPr>
          <w:i/>
          <w:sz w:val="22"/>
        </w:rPr>
        <w:t>Jf. SKM 2002.385.DEP: ”Et selskabs aktivitet blev i 1997 overdraget til hovedaktionæren. Ska</w:t>
      </w:r>
      <w:r w:rsidRPr="006B3CFD">
        <w:rPr>
          <w:i/>
          <w:sz w:val="22"/>
        </w:rPr>
        <w:t>t</w:t>
      </w:r>
      <w:r w:rsidRPr="006B3CFD">
        <w:rPr>
          <w:i/>
          <w:sz w:val="22"/>
        </w:rPr>
        <w:t>temyndighederne fandt i forbindelse med ligningen af selskabet i 2000, at goodwill på ba</w:t>
      </w:r>
      <w:r w:rsidRPr="006B3CFD">
        <w:rPr>
          <w:i/>
          <w:sz w:val="22"/>
        </w:rPr>
        <w:t>g</w:t>
      </w:r>
      <w:r w:rsidRPr="006B3CFD">
        <w:rPr>
          <w:i/>
          <w:sz w:val="22"/>
        </w:rPr>
        <w:t>grund af goodwill-anvisningen i TSS-cirkulære 2000-10, skulle fastsættes til 300.000 kr. Det sagsøgende selskab påstod, at goodwill skulle værdiansættes efter den anvisning, som var in</w:t>
      </w:r>
      <w:r w:rsidRPr="006B3CFD">
        <w:rPr>
          <w:i/>
          <w:sz w:val="22"/>
        </w:rPr>
        <w:t>d</w:t>
      </w:r>
      <w:r w:rsidRPr="006B3CFD">
        <w:rPr>
          <w:i/>
          <w:sz w:val="22"/>
        </w:rPr>
        <w:t>arbejdet i Ligningsvejledningen for 1997, hvorefter goodwillværdien var 0 kr. Skatteministeriet tog bekræftende til genmæle</w:t>
      </w:r>
      <w:r w:rsidRPr="006B3CFD">
        <w:rPr>
          <w:i/>
          <w:color w:val="3F6075"/>
          <w:sz w:val="22"/>
        </w:rPr>
        <w:t>.”</w:t>
      </w:r>
    </w:p>
    <w:p w:rsidR="000B4E51" w:rsidRDefault="000B4E51" w:rsidP="000B4E51">
      <w:r>
        <w:lastRenderedPageBreak/>
        <w:t>Af ovennævnte afgørelse fremgår, at den dagældende vejledning til beregning af goodwill på tidspunktet for overdragelsen var bindende for myndighederne selvom den nyere vejledning gav et andet resultat.</w:t>
      </w:r>
    </w:p>
    <w:p w:rsidR="000B4E51" w:rsidRDefault="000B4E51" w:rsidP="000B4E51">
      <w:r>
        <w:t>Der kan dog i praksis være forhold der taler for at fravige vejledningen, når der foreli</w:t>
      </w:r>
      <w:r>
        <w:t>g</w:t>
      </w:r>
      <w:r>
        <w:t>ger konkrete omstændigheder, der gør modellen mindre anvendelig. Det kunne være tilfældet, hvor der er branchekutyme for værdiansættelse af goodwill, der er almind</w:t>
      </w:r>
      <w:r>
        <w:t>e</w:t>
      </w:r>
      <w:r>
        <w:t>ligt anerkendt som handelsværdi. Eksempelvis kan nævnes en svineproducent, hvor slagteriet var fast aftager til alle producerede slagtesvin. Da der ikke var tilknyttet en særlig kundekreds til at aftage mængden af slagtesvin, kunne der ikke siges at være tale om nogen form for goodwill</w:t>
      </w:r>
      <w:r>
        <w:rPr>
          <w:rStyle w:val="Fodnotehenvisning"/>
        </w:rPr>
        <w:footnoteReference w:id="40"/>
      </w:r>
      <w:r>
        <w:t>. Det samme ville gøre sig gældende for en prod</w:t>
      </w:r>
      <w:r>
        <w:t>u</w:t>
      </w:r>
      <w:r>
        <w:t>cent af minkskind, der afsætter alle skind til de danske pelsdyrauktioner.</w:t>
      </w:r>
    </w:p>
    <w:p w:rsidR="000B4E51" w:rsidRDefault="000B4E51" w:rsidP="000B4E51"/>
    <w:p w:rsidR="000B4E51" w:rsidRDefault="000B4E51" w:rsidP="000B4E51">
      <w:r>
        <w:t>Står man overfor at skulle foretage en goodwill-beregning i forbindelse med overdr</w:t>
      </w:r>
      <w:r>
        <w:t>a</w:t>
      </w:r>
      <w:r>
        <w:t>gelse af erhvervsvirksomheden til næste generation, vil det være oplagt at udnytte den igangværende finanskrise</w:t>
      </w:r>
      <w:r>
        <w:rPr>
          <w:rStyle w:val="Fodnotehenvisning"/>
        </w:rPr>
        <w:footnoteReference w:id="41"/>
      </w:r>
      <w:r>
        <w:t>, da resultat af virksomheden for indeværende år formen</w:t>
      </w:r>
      <w:r>
        <w:t>t</w:t>
      </w:r>
      <w:r>
        <w:t>lig vil være af mindre størrelse end de tidligere år. Der vil tilmed også kunne argume</w:t>
      </w:r>
      <w:r>
        <w:t>n</w:t>
      </w:r>
      <w:r>
        <w:t>teres for en kortere levetid for goodwillen, og deraf vil der opstå en mindre goodwill-værdi ved at benytte det vejledende cirkulære i denne forbindelse. Derfor vil der ku</w:t>
      </w:r>
      <w:r>
        <w:t>n</w:t>
      </w:r>
      <w:r>
        <w:t xml:space="preserve">ne være mulighed for at opnår et ”billigere” generationsskifte i kraft af den mindre goodwill, hvilket fremgår af nedenstående eksempel. I eksemplet er der i det seneste indkomstår sket en nedgang i indtjeningen, og som følge heraf forventes goodwill-levetiden kun at være 3 år. </w:t>
      </w:r>
    </w:p>
    <w:p w:rsidR="000B4E51" w:rsidRDefault="000B4E51" w:rsidP="000B4E51">
      <w:r w:rsidRPr="00CE5752">
        <w:lastRenderedPageBreak/>
        <w:t>Det kunne også være fordelagtigt at udnytte mulighederne for fradrag for vedligeho</w:t>
      </w:r>
      <w:r w:rsidRPr="00CE5752">
        <w:t>l</w:t>
      </w:r>
      <w:r w:rsidRPr="00CE5752">
        <w:t>delsesudgifter på f.eks. driftsmidler og ejendomme i forbindelse med forberedelse af generationsskiftet. Indehaveren får fradrag for omkostningerne til vedligeholdelse, og som følge heraf mindre indkomst til beskatning. Da resultaterne er mindre</w:t>
      </w:r>
      <w:r>
        <w:t>,</w:t>
      </w:r>
      <w:r w:rsidRPr="00CE5752">
        <w:t xml:space="preserve"> resulterer dette også i en mindre goodwillværdi jf. nedenstående eksempel</w:t>
      </w:r>
      <w:r>
        <w:t>, hvor resultat det sidste år er mindre end tidligere år</w:t>
      </w:r>
      <w:r w:rsidRPr="00CE5752">
        <w:t>. Erhververen køber/succederer i en ”billigere” og bedre virksomhed, da overdrageren ikke har holdt igen med investeringerne. Erhve</w:t>
      </w:r>
      <w:r w:rsidRPr="00CE5752">
        <w:t>r</w:t>
      </w:r>
      <w:r w:rsidRPr="00CE5752">
        <w:t>veren står dermed ikke overfor at skulle til at foretage store nyinvesteringer, og da den overtagne goodwill er mindre, så er der tilligemed mindre der skal forrentes, hvis der skal erlægges kontant købesum.</w:t>
      </w:r>
    </w:p>
    <w:p w:rsidR="000B4E51" w:rsidRDefault="000B4E51" w:rsidP="000B4E51"/>
    <w:tbl>
      <w:tblPr>
        <w:tblW w:w="5000" w:type="pct"/>
        <w:tblCellMar>
          <w:left w:w="70" w:type="dxa"/>
          <w:right w:w="70" w:type="dxa"/>
        </w:tblCellMar>
        <w:tblLook w:val="0000"/>
      </w:tblPr>
      <w:tblGrid>
        <w:gridCol w:w="2118"/>
        <w:gridCol w:w="866"/>
        <w:gridCol w:w="1134"/>
        <w:gridCol w:w="256"/>
        <w:gridCol w:w="821"/>
        <w:gridCol w:w="1177"/>
        <w:gridCol w:w="239"/>
        <w:gridCol w:w="835"/>
        <w:gridCol w:w="1198"/>
      </w:tblGrid>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Beløb i DKK</w:t>
            </w:r>
          </w:p>
        </w:tc>
        <w:tc>
          <w:tcPr>
            <w:tcW w:w="1157" w:type="pct"/>
            <w:gridSpan w:val="2"/>
            <w:tcBorders>
              <w:top w:val="nil"/>
              <w:left w:val="nil"/>
              <w:bottom w:val="nil"/>
              <w:right w:val="nil"/>
            </w:tcBorders>
            <w:noWrap/>
            <w:vAlign w:val="bottom"/>
          </w:tcPr>
          <w:p w:rsidR="000B4E51" w:rsidRPr="0020594D" w:rsidRDefault="000B4E51" w:rsidP="000B4E51">
            <w:pPr>
              <w:rPr>
                <w:bCs/>
                <w:sz w:val="20"/>
                <w:szCs w:val="20"/>
                <w:lang w:eastAsia="da-DK"/>
              </w:rPr>
            </w:pPr>
            <w:r w:rsidRPr="0020594D">
              <w:rPr>
                <w:bCs/>
                <w:sz w:val="20"/>
                <w:szCs w:val="20"/>
                <w:lang w:eastAsia="da-DK"/>
              </w:rPr>
              <w:t>3. sidste år</w:t>
            </w:r>
          </w:p>
        </w:tc>
        <w:tc>
          <w:tcPr>
            <w:tcW w:w="148" w:type="pct"/>
            <w:tcBorders>
              <w:top w:val="nil"/>
              <w:left w:val="nil"/>
              <w:bottom w:val="nil"/>
              <w:right w:val="nil"/>
            </w:tcBorders>
            <w:noWrap/>
            <w:vAlign w:val="bottom"/>
          </w:tcPr>
          <w:p w:rsidR="000B4E51" w:rsidRPr="0020594D" w:rsidRDefault="000B4E51" w:rsidP="000B4E51">
            <w:pPr>
              <w:rPr>
                <w:bCs/>
                <w:sz w:val="20"/>
                <w:szCs w:val="20"/>
                <w:lang w:eastAsia="da-DK"/>
              </w:rPr>
            </w:pPr>
          </w:p>
        </w:tc>
        <w:tc>
          <w:tcPr>
            <w:tcW w:w="1156" w:type="pct"/>
            <w:gridSpan w:val="2"/>
            <w:tcBorders>
              <w:top w:val="nil"/>
              <w:left w:val="nil"/>
              <w:bottom w:val="nil"/>
              <w:right w:val="nil"/>
            </w:tcBorders>
            <w:noWrap/>
            <w:vAlign w:val="bottom"/>
          </w:tcPr>
          <w:p w:rsidR="000B4E51" w:rsidRPr="0020594D" w:rsidRDefault="000B4E51" w:rsidP="000B4E51">
            <w:pPr>
              <w:rPr>
                <w:bCs/>
                <w:sz w:val="20"/>
                <w:szCs w:val="20"/>
                <w:lang w:eastAsia="da-DK"/>
              </w:rPr>
            </w:pPr>
            <w:r w:rsidRPr="0020594D">
              <w:rPr>
                <w:bCs/>
                <w:sz w:val="20"/>
                <w:szCs w:val="20"/>
                <w:lang w:eastAsia="da-DK"/>
              </w:rPr>
              <w:t>2. sidste år</w:t>
            </w:r>
          </w:p>
        </w:tc>
        <w:tc>
          <w:tcPr>
            <w:tcW w:w="138" w:type="pct"/>
            <w:tcBorders>
              <w:top w:val="nil"/>
              <w:left w:val="nil"/>
              <w:bottom w:val="nil"/>
              <w:right w:val="nil"/>
            </w:tcBorders>
            <w:noWrap/>
            <w:vAlign w:val="bottom"/>
          </w:tcPr>
          <w:p w:rsidR="000B4E51" w:rsidRPr="0020594D" w:rsidRDefault="000B4E51" w:rsidP="000B4E51">
            <w:pPr>
              <w:rPr>
                <w:bCs/>
                <w:sz w:val="20"/>
                <w:szCs w:val="20"/>
                <w:lang w:eastAsia="da-DK"/>
              </w:rPr>
            </w:pPr>
          </w:p>
        </w:tc>
        <w:tc>
          <w:tcPr>
            <w:tcW w:w="1176" w:type="pct"/>
            <w:gridSpan w:val="2"/>
            <w:tcBorders>
              <w:top w:val="nil"/>
              <w:left w:val="nil"/>
              <w:bottom w:val="nil"/>
              <w:right w:val="nil"/>
            </w:tcBorders>
            <w:noWrap/>
            <w:vAlign w:val="bottom"/>
          </w:tcPr>
          <w:p w:rsidR="000B4E51" w:rsidRPr="0020594D" w:rsidRDefault="000B4E51" w:rsidP="000B4E51">
            <w:pPr>
              <w:rPr>
                <w:bCs/>
                <w:sz w:val="20"/>
                <w:szCs w:val="20"/>
                <w:lang w:eastAsia="da-DK"/>
              </w:rPr>
            </w:pPr>
            <w:r w:rsidRPr="0020594D">
              <w:rPr>
                <w:bCs/>
                <w:sz w:val="20"/>
                <w:szCs w:val="20"/>
                <w:lang w:eastAsia="da-DK"/>
              </w:rPr>
              <w:t>Sidste år</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501"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debet</w:t>
            </w:r>
          </w:p>
        </w:tc>
        <w:tc>
          <w:tcPr>
            <w:tcW w:w="656"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Kredit</w:t>
            </w: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debet</w:t>
            </w:r>
          </w:p>
        </w:tc>
        <w:tc>
          <w:tcPr>
            <w:tcW w:w="681"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kredit</w:t>
            </w: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debet</w:t>
            </w: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kredit</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Resultat</w:t>
            </w:r>
          </w:p>
        </w:tc>
        <w:tc>
          <w:tcPr>
            <w:tcW w:w="501"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750.000</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800.000</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600.000</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u w:val="single"/>
                <w:lang w:eastAsia="da-DK"/>
              </w:rPr>
            </w:pPr>
            <w:r w:rsidRPr="0020594D">
              <w:rPr>
                <w:sz w:val="20"/>
                <w:szCs w:val="20"/>
                <w:u w:val="single"/>
                <w:lang w:eastAsia="da-DK"/>
              </w:rPr>
              <w:t>Reguleringer:</w:t>
            </w:r>
          </w:p>
        </w:tc>
        <w:tc>
          <w:tcPr>
            <w:tcW w:w="501"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Finansielle indtægter</w:t>
            </w:r>
          </w:p>
        </w:tc>
        <w:tc>
          <w:tcPr>
            <w:tcW w:w="501"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15.000</w:t>
            </w: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20.000</w:t>
            </w: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10.000</w:t>
            </w: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Finansielle udgifter</w:t>
            </w:r>
          </w:p>
        </w:tc>
        <w:tc>
          <w:tcPr>
            <w:tcW w:w="501"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250.000</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250.000</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250.000</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single" w:sz="4" w:space="0" w:color="auto"/>
              <w:left w:val="nil"/>
              <w:bottom w:val="single" w:sz="4" w:space="0" w:color="auto"/>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15.000</w:t>
            </w:r>
          </w:p>
        </w:tc>
        <w:tc>
          <w:tcPr>
            <w:tcW w:w="656" w:type="pct"/>
            <w:tcBorders>
              <w:top w:val="single" w:sz="4" w:space="0" w:color="auto"/>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1.000.000</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single" w:sz="4" w:space="0" w:color="auto"/>
              <w:left w:val="nil"/>
              <w:bottom w:val="single" w:sz="4" w:space="0" w:color="auto"/>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20.000</w:t>
            </w:r>
          </w:p>
        </w:tc>
        <w:tc>
          <w:tcPr>
            <w:tcW w:w="681" w:type="pct"/>
            <w:tcBorders>
              <w:top w:val="single" w:sz="4" w:space="0" w:color="auto"/>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1.050.000</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single" w:sz="4" w:space="0" w:color="auto"/>
              <w:left w:val="nil"/>
              <w:bottom w:val="single" w:sz="4" w:space="0" w:color="auto"/>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10.000</w:t>
            </w:r>
          </w:p>
        </w:tc>
        <w:tc>
          <w:tcPr>
            <w:tcW w:w="693" w:type="pct"/>
            <w:tcBorders>
              <w:top w:val="single" w:sz="4" w:space="0" w:color="auto"/>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850.000</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Resultat</w:t>
            </w:r>
          </w:p>
        </w:tc>
        <w:tc>
          <w:tcPr>
            <w:tcW w:w="50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985.000</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1.030.000</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840.000</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Vægtning</w:t>
            </w:r>
          </w:p>
        </w:tc>
        <w:tc>
          <w:tcPr>
            <w:tcW w:w="50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3</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56"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985.000</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81"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2.060.000</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2.520.000</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5.565.000</w:t>
            </w:r>
          </w:p>
        </w:tc>
      </w:tr>
      <w:tr w:rsidR="000B4E51" w:rsidRPr="00B720E6" w:rsidTr="000B4E51">
        <w:trPr>
          <w:trHeight w:val="315"/>
        </w:trPr>
        <w:tc>
          <w:tcPr>
            <w:tcW w:w="2382" w:type="pct"/>
            <w:gridSpan w:val="3"/>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Vægtet reguleret resultat (divideret med 6)</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927.500</w:t>
            </w:r>
          </w:p>
        </w:tc>
      </w:tr>
      <w:tr w:rsidR="000B4E51" w:rsidRPr="00B720E6" w:rsidTr="000B4E51">
        <w:trPr>
          <w:trHeight w:val="315"/>
        </w:trPr>
        <w:tc>
          <w:tcPr>
            <w:tcW w:w="3686" w:type="pct"/>
            <w:gridSpan w:val="6"/>
            <w:tcBorders>
              <w:top w:val="nil"/>
              <w:left w:val="nil"/>
              <w:bottom w:val="nil"/>
              <w:right w:val="nil"/>
            </w:tcBorders>
            <w:noWrap/>
            <w:vAlign w:val="bottom"/>
          </w:tcPr>
          <w:p w:rsidR="000B4E51" w:rsidRPr="0020594D" w:rsidRDefault="000B4E51" w:rsidP="000B4E51">
            <w:pPr>
              <w:rPr>
                <w:sz w:val="20"/>
                <w:szCs w:val="20"/>
                <w:lang w:eastAsia="da-DK"/>
              </w:rPr>
            </w:pPr>
            <w:r>
              <w:rPr>
                <w:sz w:val="20"/>
                <w:szCs w:val="20"/>
                <w:lang w:eastAsia="da-DK"/>
              </w:rPr>
              <w:t>Udviklingstendens = (</w:t>
            </w:r>
            <w:r w:rsidRPr="0020594D">
              <w:rPr>
                <w:sz w:val="20"/>
                <w:szCs w:val="20"/>
                <w:lang w:eastAsia="da-DK"/>
              </w:rPr>
              <w:t>resultat sidste år - resultat 3. sidste år)/2</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-72.500</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855.000</w:t>
            </w:r>
          </w:p>
        </w:tc>
      </w:tr>
      <w:tr w:rsidR="000B4E51" w:rsidRPr="00B720E6" w:rsidTr="000B4E51">
        <w:trPr>
          <w:trHeight w:val="315"/>
        </w:trPr>
        <w:tc>
          <w:tcPr>
            <w:tcW w:w="2530" w:type="pct"/>
            <w:gridSpan w:val="4"/>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Driftsherreløn 50 % (min. 250.000 og maks. 1 mio.)</w:t>
            </w: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-427.500</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427.500</w:t>
            </w:r>
          </w:p>
        </w:tc>
      </w:tr>
      <w:tr w:rsidR="000B4E51" w:rsidRPr="00B720E6"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Forretning af aktiver</w:t>
            </w: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aktiver:</w:t>
            </w: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5.000.000</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rente:</w:t>
            </w: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7</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-350.000</w:t>
            </w:r>
          </w:p>
        </w:tc>
      </w:tr>
      <w:tr w:rsidR="000B4E51" w:rsidRPr="00B720E6" w:rsidTr="000B4E51">
        <w:trPr>
          <w:trHeight w:val="315"/>
        </w:trPr>
        <w:tc>
          <w:tcPr>
            <w:tcW w:w="1726" w:type="pct"/>
            <w:gridSpan w:val="2"/>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Rest til forrentning af goodwill</w:t>
            </w: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77.500</w:t>
            </w:r>
          </w:p>
        </w:tc>
      </w:tr>
      <w:tr w:rsidR="000B4E51" w:rsidRPr="00B720E6" w:rsidTr="000B4E51">
        <w:trPr>
          <w:trHeight w:val="315"/>
        </w:trPr>
        <w:tc>
          <w:tcPr>
            <w:tcW w:w="2382" w:type="pct"/>
            <w:gridSpan w:val="3"/>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Kapitaliseringsfaktor, levetid 3 år, rente 12 %</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1,26</w:t>
            </w: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97.749</w:t>
            </w:r>
          </w:p>
        </w:tc>
      </w:tr>
      <w:tr w:rsidR="000B4E51" w:rsidRPr="00B720E6" w:rsidTr="000B4E51">
        <w:trPr>
          <w:trHeight w:val="330"/>
        </w:trPr>
        <w:tc>
          <w:tcPr>
            <w:tcW w:w="1726" w:type="pct"/>
            <w:gridSpan w:val="2"/>
            <w:tcBorders>
              <w:top w:val="nil"/>
              <w:left w:val="nil"/>
              <w:bottom w:val="nil"/>
              <w:right w:val="nil"/>
            </w:tcBorders>
            <w:noWrap/>
            <w:vAlign w:val="bottom"/>
          </w:tcPr>
          <w:p w:rsidR="000B4E51" w:rsidRPr="0020594D" w:rsidRDefault="000B4E51" w:rsidP="000B4E51">
            <w:pPr>
              <w:rPr>
                <w:bCs/>
                <w:sz w:val="20"/>
                <w:szCs w:val="20"/>
                <w:lang w:eastAsia="da-DK"/>
              </w:rPr>
            </w:pPr>
            <w:r w:rsidRPr="0020594D">
              <w:rPr>
                <w:bCs/>
                <w:sz w:val="20"/>
                <w:szCs w:val="20"/>
                <w:lang w:eastAsia="da-DK"/>
              </w:rPr>
              <w:t>Den beregnede goodwill</w:t>
            </w: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bCs/>
                <w:sz w:val="20"/>
                <w:szCs w:val="20"/>
                <w:lang w:eastAsia="da-DK"/>
              </w:rPr>
            </w:pPr>
          </w:p>
        </w:tc>
      </w:tr>
      <w:tr w:rsidR="00974F32" w:rsidRPr="00B720E6" w:rsidTr="000B4E51">
        <w:trPr>
          <w:trHeight w:val="330"/>
        </w:trPr>
        <w:tc>
          <w:tcPr>
            <w:tcW w:w="1726" w:type="pct"/>
            <w:gridSpan w:val="2"/>
            <w:tcBorders>
              <w:top w:val="nil"/>
              <w:left w:val="nil"/>
              <w:bottom w:val="nil"/>
              <w:right w:val="nil"/>
            </w:tcBorders>
            <w:noWrap/>
            <w:vAlign w:val="bottom"/>
          </w:tcPr>
          <w:p w:rsidR="00974F32" w:rsidRPr="0020594D" w:rsidRDefault="00974F32" w:rsidP="000B4E51">
            <w:pPr>
              <w:rPr>
                <w:bCs/>
                <w:sz w:val="20"/>
                <w:szCs w:val="20"/>
                <w:lang w:eastAsia="da-DK"/>
              </w:rPr>
            </w:pPr>
          </w:p>
        </w:tc>
        <w:tc>
          <w:tcPr>
            <w:tcW w:w="656" w:type="pct"/>
            <w:tcBorders>
              <w:top w:val="nil"/>
              <w:left w:val="nil"/>
              <w:bottom w:val="nil"/>
              <w:right w:val="nil"/>
            </w:tcBorders>
            <w:noWrap/>
            <w:vAlign w:val="bottom"/>
          </w:tcPr>
          <w:p w:rsidR="00974F32" w:rsidRPr="0020594D" w:rsidRDefault="00974F32" w:rsidP="000B4E51">
            <w:pPr>
              <w:rPr>
                <w:sz w:val="20"/>
                <w:szCs w:val="20"/>
                <w:lang w:eastAsia="da-DK"/>
              </w:rPr>
            </w:pPr>
          </w:p>
        </w:tc>
        <w:tc>
          <w:tcPr>
            <w:tcW w:w="148" w:type="pct"/>
            <w:tcBorders>
              <w:top w:val="nil"/>
              <w:left w:val="nil"/>
              <w:bottom w:val="nil"/>
              <w:right w:val="nil"/>
            </w:tcBorders>
            <w:noWrap/>
            <w:vAlign w:val="bottom"/>
          </w:tcPr>
          <w:p w:rsidR="00974F32" w:rsidRPr="0020594D" w:rsidRDefault="00974F32" w:rsidP="000B4E51">
            <w:pPr>
              <w:rPr>
                <w:sz w:val="20"/>
                <w:szCs w:val="20"/>
                <w:lang w:eastAsia="da-DK"/>
              </w:rPr>
            </w:pPr>
          </w:p>
        </w:tc>
        <w:tc>
          <w:tcPr>
            <w:tcW w:w="475" w:type="pct"/>
            <w:tcBorders>
              <w:top w:val="nil"/>
              <w:left w:val="nil"/>
              <w:bottom w:val="nil"/>
              <w:right w:val="nil"/>
            </w:tcBorders>
            <w:noWrap/>
            <w:vAlign w:val="bottom"/>
          </w:tcPr>
          <w:p w:rsidR="00974F32" w:rsidRPr="0020594D" w:rsidRDefault="00974F32" w:rsidP="000B4E51">
            <w:pPr>
              <w:rPr>
                <w:sz w:val="20"/>
                <w:szCs w:val="20"/>
                <w:lang w:eastAsia="da-DK"/>
              </w:rPr>
            </w:pPr>
          </w:p>
        </w:tc>
        <w:tc>
          <w:tcPr>
            <w:tcW w:w="681" w:type="pct"/>
            <w:tcBorders>
              <w:top w:val="nil"/>
              <w:left w:val="nil"/>
              <w:bottom w:val="nil"/>
              <w:right w:val="nil"/>
            </w:tcBorders>
            <w:noWrap/>
            <w:vAlign w:val="bottom"/>
          </w:tcPr>
          <w:p w:rsidR="00974F32" w:rsidRPr="0020594D" w:rsidRDefault="00974F32" w:rsidP="000B4E51">
            <w:pPr>
              <w:rPr>
                <w:sz w:val="20"/>
                <w:szCs w:val="20"/>
                <w:lang w:eastAsia="da-DK"/>
              </w:rPr>
            </w:pPr>
          </w:p>
        </w:tc>
        <w:tc>
          <w:tcPr>
            <w:tcW w:w="138" w:type="pct"/>
            <w:tcBorders>
              <w:top w:val="nil"/>
              <w:left w:val="nil"/>
              <w:bottom w:val="nil"/>
              <w:right w:val="nil"/>
            </w:tcBorders>
            <w:noWrap/>
            <w:vAlign w:val="bottom"/>
          </w:tcPr>
          <w:p w:rsidR="00974F32" w:rsidRPr="0020594D" w:rsidRDefault="00974F32" w:rsidP="000B4E51">
            <w:pPr>
              <w:rPr>
                <w:sz w:val="20"/>
                <w:szCs w:val="20"/>
                <w:lang w:eastAsia="da-DK"/>
              </w:rPr>
            </w:pPr>
          </w:p>
        </w:tc>
        <w:tc>
          <w:tcPr>
            <w:tcW w:w="483" w:type="pct"/>
            <w:tcBorders>
              <w:top w:val="nil"/>
              <w:left w:val="nil"/>
              <w:bottom w:val="nil"/>
              <w:right w:val="nil"/>
            </w:tcBorders>
            <w:noWrap/>
            <w:vAlign w:val="bottom"/>
          </w:tcPr>
          <w:p w:rsidR="00974F32" w:rsidRPr="0020594D" w:rsidRDefault="00974F32" w:rsidP="000B4E51">
            <w:pPr>
              <w:jc w:val="right"/>
              <w:rPr>
                <w:sz w:val="20"/>
                <w:szCs w:val="20"/>
                <w:lang w:eastAsia="da-DK"/>
              </w:rPr>
            </w:pPr>
          </w:p>
        </w:tc>
        <w:tc>
          <w:tcPr>
            <w:tcW w:w="693" w:type="pct"/>
            <w:tcBorders>
              <w:top w:val="nil"/>
              <w:left w:val="nil"/>
              <w:bottom w:val="double" w:sz="6" w:space="0" w:color="auto"/>
              <w:right w:val="nil"/>
            </w:tcBorders>
            <w:noWrap/>
            <w:vAlign w:val="bottom"/>
          </w:tcPr>
          <w:p w:rsidR="00974F32" w:rsidRPr="0020594D" w:rsidRDefault="00974F32" w:rsidP="00974F32">
            <w:pPr>
              <w:jc w:val="right"/>
              <w:rPr>
                <w:bCs/>
                <w:sz w:val="20"/>
                <w:szCs w:val="20"/>
                <w:lang w:eastAsia="da-DK"/>
              </w:rPr>
            </w:pPr>
            <w:r w:rsidRPr="0020594D">
              <w:rPr>
                <w:bCs/>
                <w:sz w:val="20"/>
                <w:szCs w:val="20"/>
                <w:lang w:eastAsia="da-DK"/>
              </w:rPr>
              <w:t>97.749</w:t>
            </w:r>
          </w:p>
        </w:tc>
      </w:tr>
    </w:tbl>
    <w:p w:rsidR="000B4E51" w:rsidRDefault="000B4E51" w:rsidP="000B4E51">
      <w:pPr>
        <w:pStyle w:val="Billedtekst"/>
      </w:pPr>
      <w:bookmarkStart w:id="32" w:name="_Toc218751388"/>
      <w:r>
        <w:t xml:space="preserve">Figur </w:t>
      </w:r>
      <w:fldSimple w:instr=" SEQ Figur \* ARABIC ">
        <w:r w:rsidR="000F066D">
          <w:rPr>
            <w:noProof/>
          </w:rPr>
          <w:t>6</w:t>
        </w:r>
      </w:fldSimple>
      <w:r>
        <w:t xml:space="preserve"> Goodwillberegning, hvor der er nedgang i indtjening og deraf kortere levetid for goodwill</w:t>
      </w:r>
      <w:bookmarkEnd w:id="32"/>
    </w:p>
    <w:p w:rsidR="000B4E51" w:rsidRDefault="000B4E51" w:rsidP="000B4E51">
      <w:r>
        <w:lastRenderedPageBreak/>
        <w:t>Mens alternativet til goodwill-beregningen ville have set noget anderledes ud, hvis udviklingstendensen i indtjeningen havde fortsat og som følge deraf vil levetiden for goodwill f.eks. være 5 år. Som det fremgår af beregningen er der en forskel i goodwill på t.DKK 300. Det vil således kunne betale sig at udnytte nedgangstider til at få ove</w:t>
      </w:r>
      <w:r>
        <w:t>r</w:t>
      </w:r>
      <w:r>
        <w:t>draget en virksomhed, hvor der er behov for at beregne goodwill efter cirkulæret. I nedgangstider vil det dog tilsvarende være sværere at sælge til 3. mand og deraf vil goodwill solgt til en 3. mand også være væsentligt lavere i nedgangstider.</w:t>
      </w:r>
    </w:p>
    <w:p w:rsidR="000B4E51" w:rsidRDefault="000B4E51" w:rsidP="000B4E51"/>
    <w:tbl>
      <w:tblPr>
        <w:tblW w:w="5000" w:type="pct"/>
        <w:tblCellMar>
          <w:left w:w="70" w:type="dxa"/>
          <w:right w:w="70" w:type="dxa"/>
        </w:tblCellMar>
        <w:tblLook w:val="0000"/>
      </w:tblPr>
      <w:tblGrid>
        <w:gridCol w:w="2118"/>
        <w:gridCol w:w="866"/>
        <w:gridCol w:w="1134"/>
        <w:gridCol w:w="256"/>
        <w:gridCol w:w="821"/>
        <w:gridCol w:w="1177"/>
        <w:gridCol w:w="239"/>
        <w:gridCol w:w="835"/>
        <w:gridCol w:w="1198"/>
      </w:tblGrid>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Beløb i DKK</w:t>
            </w:r>
          </w:p>
        </w:tc>
        <w:tc>
          <w:tcPr>
            <w:tcW w:w="1157" w:type="pct"/>
            <w:gridSpan w:val="2"/>
            <w:tcBorders>
              <w:top w:val="nil"/>
              <w:left w:val="nil"/>
              <w:bottom w:val="nil"/>
              <w:right w:val="nil"/>
            </w:tcBorders>
            <w:noWrap/>
            <w:vAlign w:val="bottom"/>
          </w:tcPr>
          <w:p w:rsidR="000B4E51" w:rsidRPr="0020594D" w:rsidRDefault="000B4E51" w:rsidP="000B4E51">
            <w:pPr>
              <w:rPr>
                <w:bCs/>
                <w:sz w:val="20"/>
                <w:szCs w:val="20"/>
                <w:lang w:eastAsia="da-DK"/>
              </w:rPr>
            </w:pPr>
            <w:r w:rsidRPr="0020594D">
              <w:rPr>
                <w:bCs/>
                <w:sz w:val="20"/>
                <w:szCs w:val="20"/>
                <w:lang w:eastAsia="da-DK"/>
              </w:rPr>
              <w:t>3. sidste år</w:t>
            </w:r>
          </w:p>
        </w:tc>
        <w:tc>
          <w:tcPr>
            <w:tcW w:w="148" w:type="pct"/>
            <w:tcBorders>
              <w:top w:val="nil"/>
              <w:left w:val="nil"/>
              <w:bottom w:val="nil"/>
              <w:right w:val="nil"/>
            </w:tcBorders>
            <w:noWrap/>
            <w:vAlign w:val="bottom"/>
          </w:tcPr>
          <w:p w:rsidR="000B4E51" w:rsidRPr="0020594D" w:rsidRDefault="000B4E51" w:rsidP="000B4E51">
            <w:pPr>
              <w:rPr>
                <w:bCs/>
                <w:sz w:val="20"/>
                <w:szCs w:val="20"/>
                <w:lang w:eastAsia="da-DK"/>
              </w:rPr>
            </w:pPr>
          </w:p>
        </w:tc>
        <w:tc>
          <w:tcPr>
            <w:tcW w:w="1156" w:type="pct"/>
            <w:gridSpan w:val="2"/>
            <w:tcBorders>
              <w:top w:val="nil"/>
              <w:left w:val="nil"/>
              <w:bottom w:val="nil"/>
              <w:right w:val="nil"/>
            </w:tcBorders>
            <w:noWrap/>
            <w:vAlign w:val="bottom"/>
          </w:tcPr>
          <w:p w:rsidR="000B4E51" w:rsidRPr="0020594D" w:rsidRDefault="000B4E51" w:rsidP="000B4E51">
            <w:pPr>
              <w:rPr>
                <w:bCs/>
                <w:sz w:val="20"/>
                <w:szCs w:val="20"/>
                <w:lang w:eastAsia="da-DK"/>
              </w:rPr>
            </w:pPr>
            <w:r w:rsidRPr="0020594D">
              <w:rPr>
                <w:bCs/>
                <w:sz w:val="20"/>
                <w:szCs w:val="20"/>
                <w:lang w:eastAsia="da-DK"/>
              </w:rPr>
              <w:t>2. sidste år</w:t>
            </w:r>
          </w:p>
        </w:tc>
        <w:tc>
          <w:tcPr>
            <w:tcW w:w="138" w:type="pct"/>
            <w:tcBorders>
              <w:top w:val="nil"/>
              <w:left w:val="nil"/>
              <w:bottom w:val="nil"/>
              <w:right w:val="nil"/>
            </w:tcBorders>
            <w:noWrap/>
            <w:vAlign w:val="bottom"/>
          </w:tcPr>
          <w:p w:rsidR="000B4E51" w:rsidRPr="0020594D" w:rsidRDefault="000B4E51" w:rsidP="000B4E51">
            <w:pPr>
              <w:rPr>
                <w:bCs/>
                <w:sz w:val="20"/>
                <w:szCs w:val="20"/>
                <w:lang w:eastAsia="da-DK"/>
              </w:rPr>
            </w:pPr>
          </w:p>
        </w:tc>
        <w:tc>
          <w:tcPr>
            <w:tcW w:w="1176" w:type="pct"/>
            <w:gridSpan w:val="2"/>
            <w:tcBorders>
              <w:top w:val="nil"/>
              <w:left w:val="nil"/>
              <w:bottom w:val="nil"/>
              <w:right w:val="nil"/>
            </w:tcBorders>
            <w:noWrap/>
            <w:vAlign w:val="bottom"/>
          </w:tcPr>
          <w:p w:rsidR="000B4E51" w:rsidRPr="0020594D" w:rsidRDefault="000B4E51" w:rsidP="000B4E51">
            <w:pPr>
              <w:rPr>
                <w:bCs/>
                <w:sz w:val="20"/>
                <w:szCs w:val="20"/>
                <w:lang w:eastAsia="da-DK"/>
              </w:rPr>
            </w:pPr>
            <w:r w:rsidRPr="0020594D">
              <w:rPr>
                <w:bCs/>
                <w:sz w:val="20"/>
                <w:szCs w:val="20"/>
                <w:lang w:eastAsia="da-DK"/>
              </w:rPr>
              <w:t>Sidste år</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501"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debet</w:t>
            </w:r>
          </w:p>
        </w:tc>
        <w:tc>
          <w:tcPr>
            <w:tcW w:w="656"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Kredit</w:t>
            </w: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debet</w:t>
            </w:r>
          </w:p>
        </w:tc>
        <w:tc>
          <w:tcPr>
            <w:tcW w:w="681"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kredit</w:t>
            </w: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debet</w:t>
            </w: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kredit</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Resultat</w:t>
            </w:r>
          </w:p>
        </w:tc>
        <w:tc>
          <w:tcPr>
            <w:tcW w:w="501"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750.000</w:t>
            </w: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800.000</w:t>
            </w: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850.000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u w:val="single"/>
                <w:lang w:eastAsia="da-DK"/>
              </w:rPr>
            </w:pPr>
            <w:r w:rsidRPr="0020594D">
              <w:rPr>
                <w:sz w:val="20"/>
                <w:szCs w:val="20"/>
                <w:u w:val="single"/>
                <w:lang w:eastAsia="da-DK"/>
              </w:rPr>
              <w:t>Reguleringer:</w:t>
            </w:r>
          </w:p>
        </w:tc>
        <w:tc>
          <w:tcPr>
            <w:tcW w:w="501"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Finansielle indtægter</w:t>
            </w:r>
          </w:p>
        </w:tc>
        <w:tc>
          <w:tcPr>
            <w:tcW w:w="501"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15.000</w:t>
            </w: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20.000</w:t>
            </w: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10.000</w:t>
            </w: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Finansielle udgifter</w:t>
            </w:r>
          </w:p>
        </w:tc>
        <w:tc>
          <w:tcPr>
            <w:tcW w:w="501"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250.000</w:t>
            </w: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250.000</w:t>
            </w: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nil"/>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 </w:t>
            </w: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250.000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single" w:sz="4" w:space="0" w:color="auto"/>
              <w:left w:val="nil"/>
              <w:bottom w:val="single" w:sz="4" w:space="0" w:color="auto"/>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15.000</w:t>
            </w:r>
          </w:p>
        </w:tc>
        <w:tc>
          <w:tcPr>
            <w:tcW w:w="656" w:type="pct"/>
            <w:tcBorders>
              <w:top w:val="single" w:sz="4" w:space="0" w:color="auto"/>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1.000.000</w:t>
            </w: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single" w:sz="4" w:space="0" w:color="auto"/>
              <w:left w:val="nil"/>
              <w:bottom w:val="single" w:sz="4" w:space="0" w:color="auto"/>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20.000</w:t>
            </w:r>
          </w:p>
        </w:tc>
        <w:tc>
          <w:tcPr>
            <w:tcW w:w="681" w:type="pct"/>
            <w:tcBorders>
              <w:top w:val="single" w:sz="4" w:space="0" w:color="auto"/>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1.050.000</w:t>
            </w: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single" w:sz="4" w:space="0" w:color="auto"/>
              <w:left w:val="nil"/>
              <w:bottom w:val="single" w:sz="4" w:space="0" w:color="auto"/>
              <w:right w:val="single" w:sz="4" w:space="0" w:color="auto"/>
            </w:tcBorders>
            <w:noWrap/>
            <w:vAlign w:val="bottom"/>
          </w:tcPr>
          <w:p w:rsidR="000B4E51" w:rsidRPr="0020594D" w:rsidRDefault="000B4E51" w:rsidP="000B4E51">
            <w:pPr>
              <w:jc w:val="right"/>
              <w:rPr>
                <w:sz w:val="20"/>
                <w:szCs w:val="20"/>
                <w:lang w:eastAsia="da-DK"/>
              </w:rPr>
            </w:pPr>
            <w:r w:rsidRPr="0020594D">
              <w:rPr>
                <w:sz w:val="20"/>
                <w:szCs w:val="20"/>
                <w:lang w:eastAsia="da-DK"/>
              </w:rPr>
              <w:t>10.000</w:t>
            </w:r>
          </w:p>
        </w:tc>
        <w:tc>
          <w:tcPr>
            <w:tcW w:w="693" w:type="pct"/>
            <w:tcBorders>
              <w:top w:val="single" w:sz="4" w:space="0" w:color="auto"/>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1.100.000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Resultat</w:t>
            </w:r>
          </w:p>
        </w:tc>
        <w:tc>
          <w:tcPr>
            <w:tcW w:w="50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985.000</w:t>
            </w: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1.030.000</w:t>
            </w: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1.090.000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Vægtning</w:t>
            </w:r>
          </w:p>
        </w:tc>
        <w:tc>
          <w:tcPr>
            <w:tcW w:w="50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w:t>
            </w: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w:t>
            </w: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3</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56"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985.000</w:t>
            </w: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81"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2.060.000</w:t>
            </w: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3.270.000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6.315.000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rPr>
                <w:sz w:val="20"/>
                <w:szCs w:val="20"/>
                <w:lang w:eastAsia="da-DK"/>
              </w:rPr>
            </w:pPr>
          </w:p>
        </w:tc>
      </w:tr>
      <w:tr w:rsidR="000B4E51" w:rsidRPr="0020594D" w:rsidTr="000B4E51">
        <w:trPr>
          <w:trHeight w:val="315"/>
        </w:trPr>
        <w:tc>
          <w:tcPr>
            <w:tcW w:w="2382" w:type="pct"/>
            <w:gridSpan w:val="3"/>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Vægtet reguleret resultat (divideret med 6)</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1.052.500</w:t>
            </w:r>
          </w:p>
        </w:tc>
      </w:tr>
      <w:tr w:rsidR="000B4E51" w:rsidRPr="0020594D" w:rsidTr="000B4E51">
        <w:trPr>
          <w:trHeight w:val="315"/>
        </w:trPr>
        <w:tc>
          <w:tcPr>
            <w:tcW w:w="3686" w:type="pct"/>
            <w:gridSpan w:val="6"/>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Udviklingstendens = (resultat sidste år - resultat 3. sidste år)/2</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52.500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1.105.000</w:t>
            </w:r>
          </w:p>
        </w:tc>
      </w:tr>
      <w:tr w:rsidR="000B4E51" w:rsidRPr="0020594D" w:rsidTr="000B4E51">
        <w:trPr>
          <w:trHeight w:val="315"/>
        </w:trPr>
        <w:tc>
          <w:tcPr>
            <w:tcW w:w="2530" w:type="pct"/>
            <w:gridSpan w:val="4"/>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Driftsherreløn 50 % (min. 250.000 og maks. 1 mio.)</w:t>
            </w: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-552.500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552.500</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Forretning af aktiver</w:t>
            </w: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aktiver:</w:t>
            </w: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5.000.000</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rente:</w:t>
            </w: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7</w:t>
            </w: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-350.000</w:t>
            </w:r>
          </w:p>
        </w:tc>
      </w:tr>
      <w:tr w:rsidR="000B4E51" w:rsidRPr="0020594D" w:rsidTr="000B4E51">
        <w:trPr>
          <w:trHeight w:val="315"/>
        </w:trPr>
        <w:tc>
          <w:tcPr>
            <w:tcW w:w="1726" w:type="pct"/>
            <w:gridSpan w:val="2"/>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Rest til forrentning af goodwill</w:t>
            </w: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202.500</w:t>
            </w:r>
          </w:p>
        </w:tc>
      </w:tr>
      <w:tr w:rsidR="000B4E51" w:rsidRPr="0020594D" w:rsidTr="000B4E51">
        <w:trPr>
          <w:trHeight w:val="315"/>
        </w:trPr>
        <w:tc>
          <w:tcPr>
            <w:tcW w:w="2382" w:type="pct"/>
            <w:gridSpan w:val="3"/>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Kapitaliseringsfaktor, levetid 5 år, rente 12 %</w:t>
            </w: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r w:rsidRPr="0020594D">
              <w:rPr>
                <w:sz w:val="20"/>
                <w:szCs w:val="20"/>
                <w:lang w:eastAsia="da-DK"/>
              </w:rPr>
              <w:t>1,96</w:t>
            </w:r>
          </w:p>
        </w:tc>
        <w:tc>
          <w:tcPr>
            <w:tcW w:w="693" w:type="pct"/>
            <w:tcBorders>
              <w:top w:val="nil"/>
              <w:left w:val="nil"/>
              <w:bottom w:val="single" w:sz="4" w:space="0" w:color="auto"/>
              <w:right w:val="nil"/>
            </w:tcBorders>
            <w:noWrap/>
            <w:vAlign w:val="bottom"/>
          </w:tcPr>
          <w:p w:rsidR="000B4E51" w:rsidRPr="0020594D" w:rsidRDefault="000B4E51" w:rsidP="000B4E51">
            <w:pPr>
              <w:jc w:val="right"/>
              <w:rPr>
                <w:sz w:val="20"/>
                <w:szCs w:val="20"/>
                <w:lang w:eastAsia="da-DK"/>
              </w:rPr>
            </w:pPr>
            <w:r w:rsidRPr="0020594D">
              <w:rPr>
                <w:sz w:val="20"/>
                <w:szCs w:val="20"/>
                <w:lang w:eastAsia="da-DK"/>
              </w:rPr>
              <w:t>397.891</w:t>
            </w:r>
          </w:p>
        </w:tc>
      </w:tr>
      <w:tr w:rsidR="000B4E51" w:rsidRPr="0020594D" w:rsidTr="000B4E51">
        <w:trPr>
          <w:trHeight w:val="315"/>
        </w:trPr>
        <w:tc>
          <w:tcPr>
            <w:tcW w:w="122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50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nil"/>
              <w:right w:val="nil"/>
            </w:tcBorders>
            <w:noWrap/>
            <w:vAlign w:val="bottom"/>
          </w:tcPr>
          <w:p w:rsidR="000B4E51" w:rsidRPr="0020594D" w:rsidRDefault="000B4E51" w:rsidP="000B4E51">
            <w:pPr>
              <w:jc w:val="right"/>
              <w:rPr>
                <w:sz w:val="20"/>
                <w:szCs w:val="20"/>
                <w:lang w:eastAsia="da-DK"/>
              </w:rPr>
            </w:pPr>
          </w:p>
        </w:tc>
      </w:tr>
      <w:tr w:rsidR="000B4E51" w:rsidRPr="0020594D" w:rsidTr="000B4E51">
        <w:trPr>
          <w:trHeight w:val="330"/>
        </w:trPr>
        <w:tc>
          <w:tcPr>
            <w:tcW w:w="1726" w:type="pct"/>
            <w:gridSpan w:val="2"/>
            <w:tcBorders>
              <w:top w:val="nil"/>
              <w:left w:val="nil"/>
              <w:bottom w:val="nil"/>
              <w:right w:val="nil"/>
            </w:tcBorders>
            <w:noWrap/>
            <w:vAlign w:val="bottom"/>
          </w:tcPr>
          <w:p w:rsidR="000B4E51" w:rsidRPr="0020594D" w:rsidRDefault="000B4E51" w:rsidP="000B4E51">
            <w:pPr>
              <w:rPr>
                <w:bCs/>
                <w:sz w:val="20"/>
                <w:szCs w:val="20"/>
                <w:lang w:eastAsia="da-DK"/>
              </w:rPr>
            </w:pPr>
            <w:r w:rsidRPr="0020594D">
              <w:rPr>
                <w:bCs/>
                <w:sz w:val="20"/>
                <w:szCs w:val="20"/>
                <w:lang w:eastAsia="da-DK"/>
              </w:rPr>
              <w:t>Den beregnede goodwill</w:t>
            </w:r>
          </w:p>
        </w:tc>
        <w:tc>
          <w:tcPr>
            <w:tcW w:w="656"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4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75"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81"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138"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483" w:type="pct"/>
            <w:tcBorders>
              <w:top w:val="nil"/>
              <w:left w:val="nil"/>
              <w:bottom w:val="nil"/>
              <w:right w:val="nil"/>
            </w:tcBorders>
            <w:noWrap/>
            <w:vAlign w:val="bottom"/>
          </w:tcPr>
          <w:p w:rsidR="000B4E51" w:rsidRPr="0020594D" w:rsidRDefault="000B4E51" w:rsidP="000B4E51">
            <w:pPr>
              <w:rPr>
                <w:sz w:val="20"/>
                <w:szCs w:val="20"/>
                <w:lang w:eastAsia="da-DK"/>
              </w:rPr>
            </w:pPr>
          </w:p>
        </w:tc>
        <w:tc>
          <w:tcPr>
            <w:tcW w:w="693" w:type="pct"/>
            <w:tcBorders>
              <w:top w:val="nil"/>
              <w:left w:val="nil"/>
              <w:bottom w:val="double" w:sz="6" w:space="0" w:color="auto"/>
              <w:right w:val="nil"/>
            </w:tcBorders>
            <w:noWrap/>
            <w:vAlign w:val="bottom"/>
          </w:tcPr>
          <w:p w:rsidR="000B4E51" w:rsidRPr="0020594D" w:rsidRDefault="000B4E51" w:rsidP="000B4E51">
            <w:pPr>
              <w:jc w:val="right"/>
              <w:rPr>
                <w:bCs/>
                <w:sz w:val="20"/>
                <w:szCs w:val="20"/>
                <w:lang w:eastAsia="da-DK"/>
              </w:rPr>
            </w:pPr>
            <w:r w:rsidRPr="0020594D">
              <w:rPr>
                <w:bCs/>
                <w:sz w:val="20"/>
                <w:szCs w:val="20"/>
                <w:lang w:eastAsia="da-DK"/>
              </w:rPr>
              <w:t>397.891</w:t>
            </w:r>
          </w:p>
        </w:tc>
      </w:tr>
    </w:tbl>
    <w:p w:rsidR="000B4E51" w:rsidRPr="0007728E" w:rsidRDefault="000B4E51" w:rsidP="000B4E51">
      <w:pPr>
        <w:pStyle w:val="Billedtekst"/>
      </w:pPr>
      <w:bookmarkStart w:id="33" w:name="_Toc218751389"/>
      <w:r w:rsidRPr="0007728E">
        <w:t xml:space="preserve">Figur </w:t>
      </w:r>
      <w:fldSimple w:instr=" SEQ Figur \* ARABIC ">
        <w:r w:rsidR="000F066D">
          <w:rPr>
            <w:noProof/>
          </w:rPr>
          <w:t>7</w:t>
        </w:r>
      </w:fldSimple>
      <w:r w:rsidRPr="0007728E">
        <w:t xml:space="preserve"> Goodwillberegning, hvor indtjening</w:t>
      </w:r>
      <w:r>
        <w:t>ens</w:t>
      </w:r>
      <w:r w:rsidRPr="0007728E">
        <w:t xml:space="preserve"> udviklingstendens er uændret og levetiden er forvent</w:t>
      </w:r>
      <w:r w:rsidRPr="0007728E">
        <w:t>e</w:t>
      </w:r>
      <w:r w:rsidRPr="0007728E">
        <w:t>ligt 5 år</w:t>
      </w:r>
      <w:bookmarkEnd w:id="33"/>
    </w:p>
    <w:p w:rsidR="000B4E51" w:rsidRPr="000B4E51" w:rsidRDefault="000B4E51" w:rsidP="000B4E51"/>
    <w:p w:rsidR="007A35E5" w:rsidRPr="00DB0F81" w:rsidRDefault="00AF2D39" w:rsidP="00AF2D39">
      <w:pPr>
        <w:pStyle w:val="Overskrift4"/>
      </w:pPr>
      <w:bookmarkStart w:id="34" w:name="_Toc221546190"/>
      <w:r>
        <w:lastRenderedPageBreak/>
        <w:t xml:space="preserve">3.1.1.1 </w:t>
      </w:r>
      <w:r w:rsidR="007A35E5" w:rsidRPr="00DB0F81">
        <w:t>Beskatning af fortjeneste ved afståelse af goodwill</w:t>
      </w:r>
      <w:r w:rsidR="00627158">
        <w:t xml:space="preserve"> </w:t>
      </w:r>
      <w:r w:rsidR="00627158">
        <w:rPr>
          <w:b w:val="0"/>
          <w:sz w:val="22"/>
          <w:szCs w:val="22"/>
        </w:rPr>
        <w:t>(Jane</w:t>
      </w:r>
      <w:r w:rsidR="00627158" w:rsidRPr="00E75844">
        <w:rPr>
          <w:b w:val="0"/>
          <w:sz w:val="22"/>
          <w:szCs w:val="22"/>
        </w:rPr>
        <w:t>)</w:t>
      </w:r>
      <w:bookmarkEnd w:id="34"/>
    </w:p>
    <w:p w:rsidR="000B4E51" w:rsidRDefault="000B4E51" w:rsidP="000B4E51">
      <w:r>
        <w:t>Fortjeneste ved afståelse af goodwill beskattes hos sælgeren jf. AL § 40, stk. 6, mens erhververen kan afskrive på anskaffelsessummen for goodwill med indtil 1/7 del årligt jf. AL § 40, stk. 1, dog vil erhvervelser af goodwill anskaffet før 1. januar 1998 kun ku</w:t>
      </w:r>
      <w:r>
        <w:t>n</w:t>
      </w:r>
      <w:r>
        <w:t>ne afskrives med indtil 10 % årligt jf. AL § 60, stk. 1. Fortjeneste eller tab opgøres som forskellen mellem afståelsessummen og anskaffelsessummen med fradrag af foretagne afskrivninger, herunder forlods</w:t>
      </w:r>
      <w:r>
        <w:softHyphen/>
        <w:t>afskrivninger. Forlodsafskrivninger kan være foretaget med etableringskontomidler eller investeringsfondsmidler og disse vil være fradraget i anskaffelsessummen.</w:t>
      </w:r>
    </w:p>
    <w:p w:rsidR="00CF6FB4" w:rsidRDefault="00CF6FB4" w:rsidP="000B4E51"/>
    <w:tbl>
      <w:tblPr>
        <w:tblW w:w="4700" w:type="dxa"/>
        <w:tblInd w:w="55" w:type="dxa"/>
        <w:tblCellMar>
          <w:left w:w="70" w:type="dxa"/>
          <w:right w:w="70" w:type="dxa"/>
        </w:tblCellMar>
        <w:tblLook w:val="0000"/>
      </w:tblPr>
      <w:tblGrid>
        <w:gridCol w:w="3640"/>
        <w:gridCol w:w="1060"/>
      </w:tblGrid>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Afståelse af goodwill</w:t>
            </w: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t.DKK</w:t>
            </w: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Goodwill, afståelsessum</w:t>
            </w: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1.000</w:t>
            </w:r>
          </w:p>
        </w:tc>
      </w:tr>
      <w:tr w:rsidR="000B4E51" w:rsidRPr="00B720E6" w:rsidTr="000B4E51">
        <w:trPr>
          <w:trHeight w:val="255"/>
        </w:trPr>
        <w:tc>
          <w:tcPr>
            <w:tcW w:w="3640" w:type="dxa"/>
            <w:tcBorders>
              <w:top w:val="nil"/>
              <w:left w:val="nil"/>
              <w:bottom w:val="single" w:sz="4" w:space="0" w:color="auto"/>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Anskaffelsessum</w:t>
            </w:r>
          </w:p>
        </w:tc>
        <w:tc>
          <w:tcPr>
            <w:tcW w:w="1060" w:type="dxa"/>
            <w:tcBorders>
              <w:top w:val="nil"/>
              <w:left w:val="nil"/>
              <w:bottom w:val="single" w:sz="4" w:space="0" w:color="auto"/>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0</w:t>
            </w: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Avance</w:t>
            </w: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1.000</w:t>
            </w:r>
          </w:p>
        </w:tc>
      </w:tr>
      <w:tr w:rsidR="000B4E51" w:rsidRPr="00B720E6" w:rsidTr="000B4E51">
        <w:trPr>
          <w:trHeight w:val="255"/>
        </w:trPr>
        <w:tc>
          <w:tcPr>
            <w:tcW w:w="3640" w:type="dxa"/>
            <w:tcBorders>
              <w:top w:val="nil"/>
              <w:left w:val="nil"/>
              <w:bottom w:val="single" w:sz="4" w:space="0" w:color="auto"/>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Beskatning, 63,5</w:t>
            </w:r>
            <w:r>
              <w:rPr>
                <w:rFonts w:cs="Arial"/>
                <w:sz w:val="20"/>
                <w:szCs w:val="20"/>
                <w:lang w:eastAsia="da-DK"/>
              </w:rPr>
              <w:t xml:space="preserve"> </w:t>
            </w:r>
            <w:r w:rsidRPr="00B720E6">
              <w:rPr>
                <w:rFonts w:cs="Arial"/>
                <w:sz w:val="20"/>
                <w:szCs w:val="20"/>
                <w:lang w:eastAsia="da-DK"/>
              </w:rPr>
              <w:t>%</w:t>
            </w:r>
          </w:p>
        </w:tc>
        <w:tc>
          <w:tcPr>
            <w:tcW w:w="1060" w:type="dxa"/>
            <w:tcBorders>
              <w:top w:val="nil"/>
              <w:left w:val="nil"/>
              <w:bottom w:val="single" w:sz="4" w:space="0" w:color="auto"/>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-635</w:t>
            </w: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5"/>
        </w:trPr>
        <w:tc>
          <w:tcPr>
            <w:tcW w:w="3640" w:type="dxa"/>
            <w:tcBorders>
              <w:top w:val="nil"/>
              <w:left w:val="nil"/>
              <w:bottom w:val="single" w:sz="4" w:space="0" w:color="auto"/>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Netto provenu</w:t>
            </w:r>
          </w:p>
        </w:tc>
        <w:tc>
          <w:tcPr>
            <w:tcW w:w="1060" w:type="dxa"/>
            <w:tcBorders>
              <w:top w:val="nil"/>
              <w:left w:val="nil"/>
              <w:bottom w:val="single" w:sz="4" w:space="0" w:color="auto"/>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365</w:t>
            </w: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Erhvervelse af goodwill</w:t>
            </w: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t.DKK</w:t>
            </w: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Goodwill</w:t>
            </w: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1.000</w:t>
            </w:r>
          </w:p>
        </w:tc>
      </w:tr>
      <w:tr w:rsidR="000B4E51" w:rsidRPr="00B720E6" w:rsidTr="000B4E51">
        <w:trPr>
          <w:trHeight w:val="255"/>
        </w:trPr>
        <w:tc>
          <w:tcPr>
            <w:tcW w:w="3640" w:type="dxa"/>
            <w:tcBorders>
              <w:top w:val="nil"/>
              <w:left w:val="nil"/>
              <w:bottom w:val="single" w:sz="4" w:space="0" w:color="auto"/>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Årlig afskrivning (1/7)</w:t>
            </w:r>
          </w:p>
        </w:tc>
        <w:tc>
          <w:tcPr>
            <w:tcW w:w="1060" w:type="dxa"/>
            <w:tcBorders>
              <w:top w:val="nil"/>
              <w:left w:val="nil"/>
              <w:bottom w:val="single" w:sz="4" w:space="0" w:color="auto"/>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143</w:t>
            </w:r>
          </w:p>
        </w:tc>
      </w:tr>
      <w:tr w:rsidR="000B4E51" w:rsidRPr="00B720E6" w:rsidTr="000B4E51">
        <w:trPr>
          <w:trHeight w:val="255"/>
        </w:trPr>
        <w:tc>
          <w:tcPr>
            <w:tcW w:w="364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5"/>
        </w:trPr>
        <w:tc>
          <w:tcPr>
            <w:tcW w:w="3640" w:type="dxa"/>
            <w:tcBorders>
              <w:top w:val="nil"/>
              <w:left w:val="nil"/>
              <w:bottom w:val="single" w:sz="4" w:space="0" w:color="auto"/>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Skatteværdi af afskrivninger, max. 63,5</w:t>
            </w:r>
            <w:r>
              <w:rPr>
                <w:rFonts w:cs="Arial"/>
                <w:sz w:val="20"/>
                <w:szCs w:val="20"/>
                <w:lang w:eastAsia="da-DK"/>
              </w:rPr>
              <w:t xml:space="preserve"> </w:t>
            </w:r>
            <w:r w:rsidRPr="00B720E6">
              <w:rPr>
                <w:rFonts w:cs="Arial"/>
                <w:sz w:val="20"/>
                <w:szCs w:val="20"/>
                <w:lang w:eastAsia="da-DK"/>
              </w:rPr>
              <w:t>%</w:t>
            </w:r>
          </w:p>
        </w:tc>
        <w:tc>
          <w:tcPr>
            <w:tcW w:w="1060" w:type="dxa"/>
            <w:tcBorders>
              <w:top w:val="nil"/>
              <w:left w:val="nil"/>
              <w:bottom w:val="single" w:sz="4" w:space="0" w:color="auto"/>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91</w:t>
            </w:r>
          </w:p>
        </w:tc>
      </w:tr>
    </w:tbl>
    <w:p w:rsidR="000B4E51" w:rsidRPr="0007728E" w:rsidRDefault="000B4E51" w:rsidP="000B4E51">
      <w:pPr>
        <w:pStyle w:val="Billedtekst"/>
      </w:pPr>
      <w:bookmarkStart w:id="35" w:name="_Toc218751390"/>
      <w:r>
        <w:t xml:space="preserve">Figur </w:t>
      </w:r>
      <w:fldSimple w:instr=" SEQ Figur \* ARABIC ">
        <w:r w:rsidR="000F066D">
          <w:rPr>
            <w:noProof/>
          </w:rPr>
          <w:t>8</w:t>
        </w:r>
      </w:fldSimple>
      <w:r>
        <w:t xml:space="preserve"> Skattemæssige konsekvenser ved afståelse </w:t>
      </w:r>
      <w:r w:rsidR="00CF6FB4">
        <w:t xml:space="preserve">og erhvervelse </w:t>
      </w:r>
      <w:r>
        <w:t>af goodwill</w:t>
      </w:r>
      <w:bookmarkEnd w:id="35"/>
    </w:p>
    <w:p w:rsidR="000B4E51" w:rsidRDefault="000B4E51" w:rsidP="000B4E51"/>
    <w:p w:rsidR="000B4E51" w:rsidRDefault="000B4E51" w:rsidP="000B4E51">
      <w:r>
        <w:t>Som det fremgår af ovenstående eksempel, vil en her og nu afståelse af internt opa</w:t>
      </w:r>
      <w:r>
        <w:t>r</w:t>
      </w:r>
      <w:r>
        <w:t>bejdet goodwill på t.DKK 1.000 udløse en maksimal beskatning på t.DKK 635 for ove</w:t>
      </w:r>
      <w:r>
        <w:t>r</w:t>
      </w:r>
      <w:r>
        <w:t>drageren,</w:t>
      </w:r>
      <w:r w:rsidR="00B951CC">
        <w:t xml:space="preserve"> da</w:t>
      </w:r>
      <w:r>
        <w:t xml:space="preserve"> det forudsættes at overdrageren ophører endeligt med virksomheden og </w:t>
      </w:r>
      <w:r>
        <w:lastRenderedPageBreak/>
        <w:t>ikke foretager opsparing i virksomhedsskatteordningen eller indskud på pensionsor</w:t>
      </w:r>
      <w:r>
        <w:t>d</w:t>
      </w:r>
      <w:r>
        <w:t xml:space="preserve">ninger. Afhændelsen af goodwill indgår derfor i resultatet af virksomheden og indgår </w:t>
      </w:r>
      <w:r w:rsidR="00CF6FB4">
        <w:t>som udgangspunkt</w:t>
      </w:r>
      <w:r>
        <w:t xml:space="preserve"> i den personlige indkomst</w:t>
      </w:r>
      <w:r w:rsidR="00B951CC">
        <w:t>.</w:t>
      </w:r>
    </w:p>
    <w:p w:rsidR="000B4E51" w:rsidRDefault="000B4E51" w:rsidP="000B4E51">
      <w:r>
        <w:t>For erhververen alene vil være at skattefordelen fordeles over afskrivningsperioden på 7 år, og der vil årligt være en skattefordel på t.DKK 91. Der kunne for erhververen også være tale om at denne anvendte virksomhedsskatteordningen og dermed foretog o</w:t>
      </w:r>
      <w:r>
        <w:t>p</w:t>
      </w:r>
      <w:r>
        <w:t>sparing af overskud. Hvis dette er tilfældet vil skatteværdien her og nu alene være t.DKK 35, da opsparet overskud beskattes foreløbigt med 25 %.</w:t>
      </w:r>
    </w:p>
    <w:p w:rsidR="007A35E5" w:rsidRDefault="007A35E5" w:rsidP="00AF4FDF"/>
    <w:p w:rsidR="007A35E5" w:rsidRPr="00DB0F81" w:rsidRDefault="000B4E51" w:rsidP="00AF2D39">
      <w:pPr>
        <w:pStyle w:val="Overskrift5"/>
      </w:pPr>
      <w:bookmarkStart w:id="36" w:name="_Toc221546191"/>
      <w:r>
        <w:t xml:space="preserve">3.1.1.1.1 </w:t>
      </w:r>
      <w:r w:rsidR="007A35E5" w:rsidRPr="00DB0F81">
        <w:t>Henstand med skattebetaling</w:t>
      </w:r>
      <w:r w:rsidR="00627158">
        <w:t xml:space="preserve"> </w:t>
      </w:r>
      <w:r w:rsidR="00627158">
        <w:rPr>
          <w:b w:val="0"/>
          <w:sz w:val="22"/>
          <w:szCs w:val="22"/>
        </w:rPr>
        <w:t>(Jane</w:t>
      </w:r>
      <w:r w:rsidR="00627158" w:rsidRPr="00E75844">
        <w:rPr>
          <w:b w:val="0"/>
          <w:sz w:val="22"/>
          <w:szCs w:val="22"/>
        </w:rPr>
        <w:t>)</w:t>
      </w:r>
      <w:bookmarkEnd w:id="36"/>
    </w:p>
    <w:p w:rsidR="000B4E51" w:rsidRDefault="000B4E51" w:rsidP="000B4E51">
      <w:r>
        <w:t>Der findes i AL § 40, stk. 7</w:t>
      </w:r>
      <w:r>
        <w:rPr>
          <w:rStyle w:val="Fodnotehenvisning"/>
        </w:rPr>
        <w:footnoteReference w:id="42"/>
      </w:r>
      <w:r>
        <w:t xml:space="preserve"> en særlig regel om henstand med betaling af skatten, hvis der i større eller mindre omfang betales for goodwillen i form af løbende ydelser. Ska</w:t>
      </w:r>
      <w:r>
        <w:t>t</w:t>
      </w:r>
      <w:r>
        <w:t>ten skal opgøres endelig på aftaletidspunktet, men betales først når ydelserne indgår. Det vil dermed være muligt at opnå henstand i op til 7 år. Dette kunne være aktuelt i det tilfælde, hvor køberen ikke har mulighed for at få finansieret hele købesummen, og derfor aftalt en løbende ydelse som afdrag på denne købesum. Henstanden skal der anmodes om inden udløbet af selvangivelsesfristen for aftaleåret.</w:t>
      </w:r>
    </w:p>
    <w:p w:rsidR="000B4E51" w:rsidRDefault="000B4E51" w:rsidP="000B4E51">
      <w:r>
        <w:t>De løbende ydelser beskattes efter LL § 12 B, og der skal føres et saldosystem hos såvel køber som sælger i de 7 år, hvor det er muligt at opnå henstand med skattebetalingen. Ved aftalens indgåelse kapitaliseres værdien af ydelserne og det er denne værdi som er udgangspunktet for beskatningen hos sælger og tilsvarende udgangspunkt for a</w:t>
      </w:r>
      <w:r>
        <w:t>f</w:t>
      </w:r>
      <w:r>
        <w:t>skrivningsgrundlag hos køberen.</w:t>
      </w:r>
    </w:p>
    <w:p w:rsidR="000B4E51" w:rsidRDefault="00974F32" w:rsidP="000B4E51">
      <w:r>
        <w:br w:type="page"/>
      </w:r>
      <w:r w:rsidR="000B4E51">
        <w:lastRenderedPageBreak/>
        <w:t>Som eksempel af metoden tages der udgangspunkt i følgende forudsætninger;</w:t>
      </w:r>
    </w:p>
    <w:p w:rsidR="000B4E51" w:rsidRDefault="000B4E51" w:rsidP="000B4E51"/>
    <w:tbl>
      <w:tblPr>
        <w:tblW w:w="4600" w:type="dxa"/>
        <w:tblInd w:w="55" w:type="dxa"/>
        <w:tblCellMar>
          <w:left w:w="70" w:type="dxa"/>
          <w:right w:w="70" w:type="dxa"/>
        </w:tblCellMar>
        <w:tblLook w:val="0000"/>
      </w:tblPr>
      <w:tblGrid>
        <w:gridCol w:w="1420"/>
        <w:gridCol w:w="1060"/>
        <w:gridCol w:w="1060"/>
        <w:gridCol w:w="1060"/>
      </w:tblGrid>
      <w:tr w:rsidR="000B4E51" w:rsidRPr="00B720E6" w:rsidTr="000B4E51">
        <w:trPr>
          <w:trHeight w:val="255"/>
        </w:trPr>
        <w:tc>
          <w:tcPr>
            <w:tcW w:w="142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årlig ydelse</w:t>
            </w:r>
          </w:p>
        </w:tc>
        <w:tc>
          <w:tcPr>
            <w:tcW w:w="106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106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kr.</w:t>
            </w:r>
          </w:p>
        </w:tc>
      </w:tr>
      <w:tr w:rsidR="000B4E51" w:rsidRPr="00B720E6" w:rsidTr="000B4E51">
        <w:trPr>
          <w:trHeight w:val="255"/>
        </w:trPr>
        <w:tc>
          <w:tcPr>
            <w:tcW w:w="142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løbetid</w:t>
            </w:r>
          </w:p>
        </w:tc>
        <w:tc>
          <w:tcPr>
            <w:tcW w:w="106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10</w:t>
            </w:r>
          </w:p>
        </w:tc>
        <w:tc>
          <w:tcPr>
            <w:tcW w:w="106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År</w:t>
            </w:r>
          </w:p>
        </w:tc>
      </w:tr>
      <w:tr w:rsidR="000B4E51" w:rsidRPr="00B720E6" w:rsidTr="000B4E51">
        <w:trPr>
          <w:trHeight w:val="255"/>
        </w:trPr>
        <w:tc>
          <w:tcPr>
            <w:tcW w:w="142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rente</w:t>
            </w:r>
          </w:p>
        </w:tc>
        <w:tc>
          <w:tcPr>
            <w:tcW w:w="106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8 %</w:t>
            </w:r>
          </w:p>
        </w:tc>
        <w:tc>
          <w:tcPr>
            <w:tcW w:w="1060" w:type="dxa"/>
            <w:tcBorders>
              <w:top w:val="nil"/>
              <w:left w:val="nil"/>
              <w:bottom w:val="nil"/>
              <w:right w:val="nil"/>
            </w:tcBorders>
            <w:noWrap/>
            <w:vAlign w:val="bottom"/>
          </w:tcPr>
          <w:p w:rsidR="000B4E51" w:rsidRPr="00B720E6" w:rsidRDefault="000B4E51" w:rsidP="000B4E51">
            <w:pPr>
              <w:rPr>
                <w:rFonts w:cs="Arial"/>
                <w:sz w:val="20"/>
                <w:szCs w:val="20"/>
                <w:lang w:eastAsia="da-DK"/>
              </w:rPr>
            </w:pPr>
          </w:p>
        </w:tc>
      </w:tr>
      <w:tr w:rsidR="000B4E51" w:rsidRPr="00B720E6" w:rsidTr="000B4E51">
        <w:trPr>
          <w:trHeight w:val="255"/>
        </w:trPr>
        <w:tc>
          <w:tcPr>
            <w:tcW w:w="2480" w:type="dxa"/>
            <w:gridSpan w:val="2"/>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Kapitaliseret værdi</w:t>
            </w: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 xml:space="preserve">503.256 </w:t>
            </w:r>
          </w:p>
        </w:tc>
        <w:tc>
          <w:tcPr>
            <w:tcW w:w="106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kr.</w:t>
            </w:r>
          </w:p>
        </w:tc>
      </w:tr>
      <w:tr w:rsidR="000B4E51" w:rsidRPr="00B720E6" w:rsidTr="000B4E51">
        <w:trPr>
          <w:trHeight w:val="255"/>
        </w:trPr>
        <w:tc>
          <w:tcPr>
            <w:tcW w:w="2480" w:type="dxa"/>
            <w:gridSpan w:val="2"/>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Beregnet skat, 60 %</w:t>
            </w:r>
          </w:p>
        </w:tc>
        <w:tc>
          <w:tcPr>
            <w:tcW w:w="1060" w:type="dxa"/>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 xml:space="preserve">301.954 </w:t>
            </w:r>
          </w:p>
        </w:tc>
        <w:tc>
          <w:tcPr>
            <w:tcW w:w="1060" w:type="dxa"/>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kr.</w:t>
            </w:r>
          </w:p>
        </w:tc>
      </w:tr>
    </w:tbl>
    <w:p w:rsidR="000B4E51" w:rsidRDefault="000B4E51" w:rsidP="000B4E51"/>
    <w:p w:rsidR="000B4E51" w:rsidRDefault="000B4E51" w:rsidP="000B4E51">
      <w:r>
        <w:t>Saldosystemet for sælgeren vil herefter se sådan ud:</w:t>
      </w:r>
    </w:p>
    <w:tbl>
      <w:tblPr>
        <w:tblW w:w="5183" w:type="pct"/>
        <w:tblCellMar>
          <w:left w:w="70" w:type="dxa"/>
          <w:right w:w="70" w:type="dxa"/>
        </w:tblCellMar>
        <w:tblLook w:val="0000"/>
      </w:tblPr>
      <w:tblGrid>
        <w:gridCol w:w="2724"/>
        <w:gridCol w:w="799"/>
        <w:gridCol w:w="799"/>
        <w:gridCol w:w="799"/>
        <w:gridCol w:w="799"/>
        <w:gridCol w:w="799"/>
        <w:gridCol w:w="799"/>
        <w:gridCol w:w="759"/>
        <w:gridCol w:w="827"/>
      </w:tblGrid>
      <w:tr w:rsidR="000B4E51" w:rsidRPr="00B720E6" w:rsidTr="000B4E51">
        <w:trPr>
          <w:trHeight w:val="257"/>
        </w:trPr>
        <w:tc>
          <w:tcPr>
            <w:tcW w:w="1928" w:type="pct"/>
            <w:gridSpan w:val="2"/>
            <w:tcBorders>
              <w:top w:val="nil"/>
              <w:left w:val="nil"/>
              <w:bottom w:val="nil"/>
              <w:right w:val="nil"/>
            </w:tcBorders>
            <w:noWrap/>
            <w:vAlign w:val="bottom"/>
          </w:tcPr>
          <w:p w:rsidR="000B4E51" w:rsidRPr="00B720E6" w:rsidRDefault="000B4E51" w:rsidP="000B4E51">
            <w:pPr>
              <w:rPr>
                <w:rFonts w:cs="Arial"/>
                <w:b/>
                <w:bCs/>
                <w:sz w:val="20"/>
                <w:szCs w:val="20"/>
                <w:lang w:eastAsia="da-DK"/>
              </w:rPr>
            </w:pPr>
            <w:r w:rsidRPr="00B720E6">
              <w:rPr>
                <w:rFonts w:cs="Arial"/>
                <w:b/>
                <w:bCs/>
                <w:sz w:val="20"/>
                <w:szCs w:val="20"/>
                <w:lang w:eastAsia="da-DK"/>
              </w:rPr>
              <w:t>Saldosystem, sælger</w:t>
            </w:r>
          </w:p>
        </w:tc>
        <w:tc>
          <w:tcPr>
            <w:tcW w:w="440"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18"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55"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r>
      <w:tr w:rsidR="000B4E51" w:rsidRPr="00B720E6" w:rsidTr="000B4E51">
        <w:trPr>
          <w:trHeight w:val="257"/>
        </w:trPr>
        <w:tc>
          <w:tcPr>
            <w:tcW w:w="1488"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1</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2</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3</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4</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5</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6</w:t>
            </w: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7</w:t>
            </w: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8 - 10</w:t>
            </w:r>
          </w:p>
        </w:tc>
      </w:tr>
      <w:tr w:rsidR="000B4E51" w:rsidRPr="00B720E6" w:rsidTr="000B4E51">
        <w:trPr>
          <w:trHeight w:val="257"/>
        </w:trPr>
        <w:tc>
          <w:tcPr>
            <w:tcW w:w="1488"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Saldo primo</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 xml:space="preserve">503.256 </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428.256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353.256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278.256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203.256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128.256</w:t>
            </w: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53.256</w:t>
            </w: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7"/>
        </w:trPr>
        <w:tc>
          <w:tcPr>
            <w:tcW w:w="1488"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løbende ydelse</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r>
      <w:tr w:rsidR="000B4E51" w:rsidRPr="00B720E6" w:rsidTr="000B4E51">
        <w:trPr>
          <w:trHeight w:val="257"/>
        </w:trPr>
        <w:tc>
          <w:tcPr>
            <w:tcW w:w="1488"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Saldo ultimo</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428.256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353.256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278.256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203.256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128.256</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53.256</w:t>
            </w: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-21.744</w:t>
            </w: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7"/>
        </w:trPr>
        <w:tc>
          <w:tcPr>
            <w:tcW w:w="1488"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7"/>
        </w:trPr>
        <w:tc>
          <w:tcPr>
            <w:tcW w:w="1488"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Nedbringelse af skattehenstand</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1.954</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7"/>
        </w:trPr>
        <w:tc>
          <w:tcPr>
            <w:tcW w:w="1488"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Rest skattehenstand</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226.954</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151.954</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76.954</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1.954</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0</w:t>
            </w: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7"/>
        </w:trPr>
        <w:tc>
          <w:tcPr>
            <w:tcW w:w="1488"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0B4E51">
        <w:trPr>
          <w:trHeight w:val="257"/>
        </w:trPr>
        <w:tc>
          <w:tcPr>
            <w:tcW w:w="2807" w:type="pct"/>
            <w:gridSpan w:val="4"/>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Skat af ydelser udover kapitaliseret værdi</w:t>
            </w:r>
          </w:p>
        </w:tc>
        <w:tc>
          <w:tcPr>
            <w:tcW w:w="440"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40"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1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13.046</w:t>
            </w:r>
          </w:p>
        </w:tc>
        <w:tc>
          <w:tcPr>
            <w:tcW w:w="455"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45.000</w:t>
            </w:r>
          </w:p>
        </w:tc>
      </w:tr>
    </w:tbl>
    <w:p w:rsidR="000B4E51" w:rsidRDefault="000B4E51" w:rsidP="000B4E51">
      <w:pPr>
        <w:pStyle w:val="Billedtekst"/>
      </w:pPr>
      <w:bookmarkStart w:id="37" w:name="_Toc218751391"/>
      <w:r>
        <w:t xml:space="preserve">Figur </w:t>
      </w:r>
      <w:fldSimple w:instr=" SEQ Figur \* ARABIC ">
        <w:r w:rsidR="000F066D">
          <w:rPr>
            <w:noProof/>
          </w:rPr>
          <w:t>9</w:t>
        </w:r>
      </w:fldSimple>
      <w:r>
        <w:t xml:space="preserve"> Forløb af saldosystemet for sælger</w:t>
      </w:r>
      <w:bookmarkEnd w:id="37"/>
    </w:p>
    <w:p w:rsidR="000B4E51" w:rsidRDefault="000B4E51" w:rsidP="000B4E51"/>
    <w:p w:rsidR="000B4E51" w:rsidRDefault="000B4E51" w:rsidP="000B4E51">
      <w:r>
        <w:t>Som det fremgår af oversigten vil skattehenstanden være endeligt udlignet i år 5, da sælger ikke skal betale mere af på henstandsbeløbet end der modtages fra køber. Da saldoen bliver negativ i år 7, skal der ske en beskatning af den negative værdi</w:t>
      </w:r>
      <w:r>
        <w:rPr>
          <w:rStyle w:val="Fodnotehenvisning"/>
        </w:rPr>
        <w:footnoteReference w:id="43"/>
      </w:r>
      <w:r>
        <w:t>. I årene 8 til 10 vil der skulle ske beskatning af de betalte ydelser, da disse ligger udover den kapitaliserede værdi. Skulle der ske det at betalingen af de løbende ydelser ophører før saldoen bliver 0 eller negativ, f.eks. hvis køberen er afgået ved døden, frafaldes kravet om ikke betalte henstandsbeløb</w:t>
      </w:r>
      <w:r>
        <w:rPr>
          <w:rStyle w:val="Fodnotehenvisning"/>
        </w:rPr>
        <w:footnoteReference w:id="44"/>
      </w:r>
      <w:r>
        <w:t xml:space="preserve">. </w:t>
      </w:r>
    </w:p>
    <w:p w:rsidR="000B4E51" w:rsidRDefault="000B4E51" w:rsidP="000B4E51">
      <w:r>
        <w:lastRenderedPageBreak/>
        <w:t xml:space="preserve">Der er således en risiko forbundet med at indgå aftaler om løbende ydelser, da der kan være risiko for at de løbende ydelser ophører før skattehenstanden er endeligt betalt. </w:t>
      </w:r>
    </w:p>
    <w:p w:rsidR="000B4E51" w:rsidRDefault="000B4E51" w:rsidP="000B4E51">
      <w:r>
        <w:t>Hvis sælgeren i eksemplet ovenfor kun får ydelser til og med år 3, vil denne have mo</w:t>
      </w:r>
      <w:r>
        <w:t>d</w:t>
      </w:r>
      <w:r>
        <w:t>taget t.DKK 225 i løbende ydelser og disse t.DKK 225 er anvendt til skattebetalingen. Da saldoværdien er positiv på dette tidspunkt med t.DKK 278, vil dette kunne fratræ</w:t>
      </w:r>
      <w:r>
        <w:t>k</w:t>
      </w:r>
      <w:r>
        <w:t>kes i den skattepligtige indkomst jf. LL § 12 B, stk. 4, 4. punktum – skattebetalingen bliver således endelig, da det resterende henstandsbeløb bortfalder.</w:t>
      </w:r>
    </w:p>
    <w:p w:rsidR="000B4E51" w:rsidRDefault="000B4E51" w:rsidP="000B4E51"/>
    <w:p w:rsidR="000B4E51" w:rsidRDefault="000B4E51" w:rsidP="000B4E51">
      <w:r>
        <w:t>For køberens side vil saldosystemet komme til at se således ud:</w:t>
      </w:r>
    </w:p>
    <w:tbl>
      <w:tblPr>
        <w:tblW w:w="5000" w:type="pct"/>
        <w:tblCellMar>
          <w:left w:w="70" w:type="dxa"/>
          <w:right w:w="70" w:type="dxa"/>
        </w:tblCellMar>
        <w:tblLook w:val="0000"/>
      </w:tblPr>
      <w:tblGrid>
        <w:gridCol w:w="2216"/>
        <w:gridCol w:w="800"/>
        <w:gridCol w:w="799"/>
        <w:gridCol w:w="800"/>
        <w:gridCol w:w="800"/>
        <w:gridCol w:w="800"/>
        <w:gridCol w:w="800"/>
        <w:gridCol w:w="802"/>
        <w:gridCol w:w="827"/>
      </w:tblGrid>
      <w:tr w:rsidR="000B4E51" w:rsidRPr="00B720E6" w:rsidTr="007235DB">
        <w:trPr>
          <w:trHeight w:val="255"/>
        </w:trPr>
        <w:tc>
          <w:tcPr>
            <w:tcW w:w="1743" w:type="pct"/>
            <w:gridSpan w:val="2"/>
            <w:tcBorders>
              <w:top w:val="nil"/>
              <w:left w:val="nil"/>
              <w:bottom w:val="nil"/>
              <w:right w:val="nil"/>
            </w:tcBorders>
            <w:noWrap/>
            <w:vAlign w:val="bottom"/>
          </w:tcPr>
          <w:p w:rsidR="000B4E51" w:rsidRPr="00B720E6" w:rsidRDefault="000B4E51" w:rsidP="000B4E51">
            <w:pPr>
              <w:rPr>
                <w:rFonts w:cs="Arial"/>
                <w:b/>
                <w:bCs/>
                <w:sz w:val="20"/>
                <w:szCs w:val="20"/>
                <w:lang w:eastAsia="da-DK"/>
              </w:rPr>
            </w:pPr>
            <w:r w:rsidRPr="00B720E6">
              <w:rPr>
                <w:rFonts w:cs="Arial"/>
                <w:b/>
                <w:bCs/>
                <w:sz w:val="20"/>
                <w:szCs w:val="20"/>
                <w:lang w:eastAsia="da-DK"/>
              </w:rPr>
              <w:t>Saldosystem, køber</w:t>
            </w:r>
          </w:p>
        </w:tc>
        <w:tc>
          <w:tcPr>
            <w:tcW w:w="462"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4"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78"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r>
      <w:tr w:rsidR="000B4E51" w:rsidRPr="00B720E6" w:rsidTr="007235DB">
        <w:trPr>
          <w:trHeight w:val="255"/>
        </w:trPr>
        <w:tc>
          <w:tcPr>
            <w:tcW w:w="1281"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1</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2</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3</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4</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5</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6</w:t>
            </w: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7</w:t>
            </w: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År 8 - 10</w:t>
            </w:r>
          </w:p>
        </w:tc>
      </w:tr>
      <w:tr w:rsidR="000B4E51" w:rsidRPr="00B720E6" w:rsidTr="007235DB">
        <w:trPr>
          <w:trHeight w:val="255"/>
        </w:trPr>
        <w:tc>
          <w:tcPr>
            <w:tcW w:w="1281"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Saldo primo</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503.256</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428.256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353.256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278.256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203.256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128.256</w:t>
            </w: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53.256</w:t>
            </w: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7235DB">
        <w:trPr>
          <w:trHeight w:val="255"/>
        </w:trPr>
        <w:tc>
          <w:tcPr>
            <w:tcW w:w="1281"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løbende ydelse</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75.000</w:t>
            </w:r>
          </w:p>
        </w:tc>
      </w:tr>
      <w:tr w:rsidR="000B4E51" w:rsidRPr="00B720E6" w:rsidTr="007235DB">
        <w:trPr>
          <w:trHeight w:val="255"/>
        </w:trPr>
        <w:tc>
          <w:tcPr>
            <w:tcW w:w="1281"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Saldo ultimo</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428.256</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353.256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278.256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203.256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128.256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53.256</w:t>
            </w: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-21.744</w:t>
            </w: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7235DB">
        <w:trPr>
          <w:trHeight w:val="255"/>
        </w:trPr>
        <w:tc>
          <w:tcPr>
            <w:tcW w:w="1281"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7235DB">
        <w:trPr>
          <w:trHeight w:val="255"/>
        </w:trPr>
        <w:tc>
          <w:tcPr>
            <w:tcW w:w="1281"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Afskrivning på goodwill</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71.894</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71.894</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71.894</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71.894</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71.894</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71.894</w:t>
            </w: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71.894</w:t>
            </w: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7235DB">
        <w:trPr>
          <w:trHeight w:val="255"/>
        </w:trPr>
        <w:tc>
          <w:tcPr>
            <w:tcW w:w="1281" w:type="pct"/>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Skatteværdi afskrivninger</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43.136</w:t>
            </w: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43.136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43.136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43.136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43.136</w:t>
            </w: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43.136</w:t>
            </w: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43.136</w:t>
            </w: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7235DB">
        <w:trPr>
          <w:trHeight w:val="255"/>
        </w:trPr>
        <w:tc>
          <w:tcPr>
            <w:tcW w:w="1281"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2"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p>
        </w:tc>
      </w:tr>
      <w:tr w:rsidR="000B4E51" w:rsidRPr="00B720E6" w:rsidTr="007235DB">
        <w:trPr>
          <w:trHeight w:val="255"/>
        </w:trPr>
        <w:tc>
          <w:tcPr>
            <w:tcW w:w="2668" w:type="pct"/>
            <w:gridSpan w:val="4"/>
            <w:tcBorders>
              <w:top w:val="nil"/>
              <w:left w:val="nil"/>
              <w:bottom w:val="nil"/>
              <w:right w:val="nil"/>
            </w:tcBorders>
            <w:noWrap/>
            <w:vAlign w:val="bottom"/>
          </w:tcPr>
          <w:p w:rsidR="000B4E51" w:rsidRPr="00B720E6" w:rsidRDefault="000B4E51" w:rsidP="000B4E51">
            <w:pPr>
              <w:rPr>
                <w:rFonts w:cs="Arial"/>
                <w:sz w:val="20"/>
                <w:szCs w:val="20"/>
                <w:lang w:eastAsia="da-DK"/>
              </w:rPr>
            </w:pPr>
            <w:r w:rsidRPr="00B720E6">
              <w:rPr>
                <w:rFonts w:cs="Arial"/>
                <w:sz w:val="20"/>
                <w:szCs w:val="20"/>
                <w:lang w:eastAsia="da-DK"/>
              </w:rPr>
              <w:t>Fradragsværdi af ydelser udover kapitaliseret værdi</w:t>
            </w:r>
          </w:p>
        </w:tc>
        <w:tc>
          <w:tcPr>
            <w:tcW w:w="463"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3" w:type="pct"/>
            <w:tcBorders>
              <w:top w:val="nil"/>
              <w:left w:val="nil"/>
              <w:bottom w:val="nil"/>
              <w:right w:val="nil"/>
            </w:tcBorders>
            <w:noWrap/>
            <w:vAlign w:val="bottom"/>
          </w:tcPr>
          <w:p w:rsidR="000B4E51" w:rsidRPr="00B720E6" w:rsidRDefault="000B4E51" w:rsidP="000B4E51">
            <w:pPr>
              <w:rPr>
                <w:rFonts w:cs="Arial"/>
                <w:sz w:val="20"/>
                <w:szCs w:val="20"/>
                <w:lang w:eastAsia="da-DK"/>
              </w:rPr>
            </w:pPr>
          </w:p>
        </w:tc>
        <w:tc>
          <w:tcPr>
            <w:tcW w:w="464"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13.046</w:t>
            </w:r>
          </w:p>
        </w:tc>
        <w:tc>
          <w:tcPr>
            <w:tcW w:w="478" w:type="pct"/>
            <w:tcBorders>
              <w:top w:val="nil"/>
              <w:left w:val="nil"/>
              <w:bottom w:val="nil"/>
              <w:right w:val="nil"/>
            </w:tcBorders>
            <w:noWrap/>
            <w:vAlign w:val="bottom"/>
          </w:tcPr>
          <w:p w:rsidR="000B4E51" w:rsidRPr="00B720E6" w:rsidRDefault="000B4E51" w:rsidP="000B4E51">
            <w:pPr>
              <w:jc w:val="right"/>
              <w:rPr>
                <w:rFonts w:cs="Arial"/>
                <w:sz w:val="20"/>
                <w:szCs w:val="20"/>
                <w:lang w:eastAsia="da-DK"/>
              </w:rPr>
            </w:pPr>
            <w:r w:rsidRPr="00B720E6">
              <w:rPr>
                <w:rFonts w:cs="Arial"/>
                <w:sz w:val="20"/>
                <w:szCs w:val="20"/>
                <w:lang w:eastAsia="da-DK"/>
              </w:rPr>
              <w:t>45.000</w:t>
            </w:r>
          </w:p>
        </w:tc>
      </w:tr>
    </w:tbl>
    <w:p w:rsidR="000B4E51" w:rsidRDefault="007235DB" w:rsidP="007235DB">
      <w:pPr>
        <w:pStyle w:val="Billedtekst"/>
      </w:pPr>
      <w:bookmarkStart w:id="38" w:name="_Toc218751392"/>
      <w:r>
        <w:t xml:space="preserve">Figur </w:t>
      </w:r>
      <w:fldSimple w:instr=" SEQ Figur \* ARABIC ">
        <w:r w:rsidR="000F066D">
          <w:rPr>
            <w:noProof/>
          </w:rPr>
          <w:t>10</w:t>
        </w:r>
      </w:fldSimple>
      <w:r>
        <w:t xml:space="preserve"> Forløb af saldosystemet for køber</w:t>
      </w:r>
      <w:bookmarkEnd w:id="38"/>
    </w:p>
    <w:p w:rsidR="007235DB" w:rsidRPr="007235DB" w:rsidRDefault="007235DB" w:rsidP="007235DB"/>
    <w:p w:rsidR="000B4E51" w:rsidRDefault="000B4E51" w:rsidP="000B4E51">
      <w:r>
        <w:t>Køberen kan afskrive fuldt ud på goodwill, selvom der er givet henstand med betali</w:t>
      </w:r>
      <w:r>
        <w:t>n</w:t>
      </w:r>
      <w:r>
        <w:t>gen. Der kan afskrives på den kontante værdi af goodwill, hvilket svarer til kapitalvæ</w:t>
      </w:r>
      <w:r>
        <w:t>r</w:t>
      </w:r>
      <w:r>
        <w:t>dien jf. ovenfor. Såfremt ydelserne overskrider saldobeløbet, vil disse overskydende ydelser kunne fradrages i den skattepligtige indkomst</w:t>
      </w:r>
      <w:r>
        <w:rPr>
          <w:rStyle w:val="Fodnotehenvisning"/>
        </w:rPr>
        <w:footnoteReference w:id="45"/>
      </w:r>
      <w:r>
        <w:t>.</w:t>
      </w:r>
    </w:p>
    <w:p w:rsidR="007A35E5" w:rsidRDefault="007A35E5" w:rsidP="00AF4FDF"/>
    <w:p w:rsidR="007A35E5" w:rsidRPr="00AF2D39" w:rsidRDefault="00AF2D39" w:rsidP="00AF2D39">
      <w:pPr>
        <w:pStyle w:val="Overskrift3"/>
      </w:pPr>
      <w:bookmarkStart w:id="39" w:name="_Toc212806415"/>
      <w:bookmarkStart w:id="40" w:name="_Toc214610754"/>
      <w:bookmarkStart w:id="41" w:name="_Toc221546192"/>
      <w:r w:rsidRPr="00AF2D39">
        <w:lastRenderedPageBreak/>
        <w:t xml:space="preserve">3.1.2 </w:t>
      </w:r>
      <w:r w:rsidR="007A35E5" w:rsidRPr="00AF2D39">
        <w:t>Ejendom</w:t>
      </w:r>
      <w:bookmarkEnd w:id="39"/>
      <w:bookmarkEnd w:id="40"/>
      <w:r w:rsidR="00627158">
        <w:t xml:space="preserve"> </w:t>
      </w:r>
      <w:r w:rsidR="00627158">
        <w:rPr>
          <w:b w:val="0"/>
          <w:sz w:val="22"/>
          <w:szCs w:val="22"/>
        </w:rPr>
        <w:t>(Jane</w:t>
      </w:r>
      <w:r w:rsidR="00627158" w:rsidRPr="00E75844">
        <w:rPr>
          <w:b w:val="0"/>
          <w:sz w:val="22"/>
          <w:szCs w:val="22"/>
        </w:rPr>
        <w:t>)</w:t>
      </w:r>
      <w:bookmarkEnd w:id="41"/>
    </w:p>
    <w:p w:rsidR="007235DB" w:rsidRDefault="007235DB" w:rsidP="007235DB">
      <w:r>
        <w:t>Når der skal overdrages fast ejendom til nærtstående, som i denne forbindelse anses for personer der er indenfor gaveafgiftskredsen jf. boafgiftsloven</w:t>
      </w:r>
      <w:r>
        <w:rPr>
          <w:rStyle w:val="Fodnotehenvisning"/>
        </w:rPr>
        <w:footnoteReference w:id="46"/>
      </w:r>
      <w:r>
        <w:t>, findes der et sæ</w:t>
      </w:r>
      <w:r>
        <w:t>r</w:t>
      </w:r>
      <w:r>
        <w:t>ligt regelsæt jf. værdiansættelsescirkulæret nr. 185 af 17.11.1982. Det fremgår heraf at det herved er muligt at handle mellem parterne til den seneste offentlige ejendom</w:t>
      </w:r>
      <w:r>
        <w:t>s</w:t>
      </w:r>
      <w:r>
        <w:t>vurdering +/- 15 %. Der findes mange afgørelser på området, hvoraf nedenfor vises et par eksempler:</w:t>
      </w:r>
    </w:p>
    <w:p w:rsidR="007235DB" w:rsidRDefault="007235DB" w:rsidP="007235DB"/>
    <w:p w:rsidR="007235DB" w:rsidRPr="006B3CFD" w:rsidRDefault="007235DB" w:rsidP="007235DB">
      <w:pPr>
        <w:rPr>
          <w:i/>
          <w:sz w:val="22"/>
        </w:rPr>
      </w:pPr>
      <w:r w:rsidRPr="006B3CFD">
        <w:rPr>
          <w:i/>
          <w:sz w:val="22"/>
        </w:rPr>
        <w:t>SKM2007.431.LSR:</w:t>
      </w:r>
      <w:r>
        <w:rPr>
          <w:i/>
          <w:sz w:val="22"/>
        </w:rPr>
        <w:t xml:space="preserve"> </w:t>
      </w:r>
      <w:r w:rsidRPr="006B3CFD">
        <w:rPr>
          <w:i/>
          <w:sz w:val="22"/>
        </w:rPr>
        <w:t>”En fader kunne overdrage en ejendom til sin datter til ejendomsvurderi</w:t>
      </w:r>
      <w:r w:rsidRPr="006B3CFD">
        <w:rPr>
          <w:i/>
          <w:sz w:val="22"/>
        </w:rPr>
        <w:t>n</w:t>
      </w:r>
      <w:r w:rsidRPr="006B3CFD">
        <w:rPr>
          <w:i/>
          <w:sz w:val="22"/>
        </w:rPr>
        <w:t>gen ÷15 %, uanset at han kort forinden havde erhvervet den til en højere pris, idet det af cirk</w:t>
      </w:r>
      <w:r w:rsidRPr="006B3CFD">
        <w:rPr>
          <w:i/>
          <w:sz w:val="22"/>
        </w:rPr>
        <w:t>u</w:t>
      </w:r>
      <w:r w:rsidRPr="006B3CFD">
        <w:rPr>
          <w:i/>
          <w:sz w:val="22"/>
        </w:rPr>
        <w:t>lære nr. 185 af 17. november 1982 fremgik, at denne værdi kunne anvendes i gavesituationer, hvis der ikke var sket faktiske eller retlige ændringer siden vurderingen”.</w:t>
      </w:r>
    </w:p>
    <w:p w:rsidR="007235DB" w:rsidRPr="006B3CFD" w:rsidRDefault="007235DB" w:rsidP="007235DB">
      <w:pPr>
        <w:rPr>
          <w:i/>
          <w:sz w:val="22"/>
        </w:rPr>
      </w:pPr>
    </w:p>
    <w:p w:rsidR="007235DB" w:rsidRPr="006B3CFD" w:rsidRDefault="007235DB" w:rsidP="007235DB">
      <w:pPr>
        <w:rPr>
          <w:i/>
          <w:sz w:val="22"/>
        </w:rPr>
      </w:pPr>
      <w:r>
        <w:rPr>
          <w:i/>
          <w:sz w:val="22"/>
        </w:rPr>
        <w:t>SKM2007.890.LSR:</w:t>
      </w:r>
      <w:r w:rsidRPr="006B3CFD">
        <w:rPr>
          <w:i/>
          <w:sz w:val="22"/>
        </w:rPr>
        <w:t xml:space="preserve"> ”Ved</w:t>
      </w:r>
      <w:r>
        <w:rPr>
          <w:i/>
          <w:sz w:val="22"/>
        </w:rPr>
        <w:t xml:space="preserve"> </w:t>
      </w:r>
      <w:r w:rsidRPr="006B3CFD">
        <w:rPr>
          <w:i/>
          <w:sz w:val="22"/>
        </w:rPr>
        <w:t>fastsættelsen af den gaveafgiftspligtige værdi ved overdragelse af en del af en fast ejendom fra far til søn kunne anvendes seneste ejendomsværdi - 15 % ”</w:t>
      </w:r>
    </w:p>
    <w:p w:rsidR="007235DB" w:rsidRDefault="007235DB" w:rsidP="007235DB"/>
    <w:p w:rsidR="00AC09E0" w:rsidRDefault="007235DB" w:rsidP="007235DB">
      <w:r>
        <w:t>Er der tale om overdragelse mellem interesseforbundne parter udenfor gaveafgift</w:t>
      </w:r>
      <w:r>
        <w:t>s</w:t>
      </w:r>
      <w:r w:rsidRPr="00AC09E0">
        <w:t>kredsen</w:t>
      </w:r>
      <w:r w:rsidR="00AC09E0">
        <w:t xml:space="preserve"> skal ejendommen overdrages til en pris svarende til, hvad en uafhængig tre</w:t>
      </w:r>
      <w:r w:rsidR="00AC09E0">
        <w:t>d</w:t>
      </w:r>
      <w:r w:rsidR="00AC09E0">
        <w:t>jemand ville have betalt på det tidspunkt, hvor den bindende aftale er indgået</w:t>
      </w:r>
      <w:r w:rsidR="00AC09E0">
        <w:rPr>
          <w:rStyle w:val="Fodnotehenvisning"/>
        </w:rPr>
        <w:footnoteReference w:id="47"/>
      </w:r>
      <w:r w:rsidR="00AC09E0">
        <w:t>. Li</w:t>
      </w:r>
      <w:r w:rsidR="00AC09E0">
        <w:t>g</w:t>
      </w:r>
      <w:r w:rsidR="00AC09E0">
        <w:t>ningsmyndighederne vil tage udgangspunkt i den senest offentliggjorte ejendomsvu</w:t>
      </w:r>
      <w:r w:rsidR="00AC09E0">
        <w:t>r</w:t>
      </w:r>
      <w:r w:rsidR="00AC09E0">
        <w:t>dering, når der skal vurderes om der er sket overdragelse på armslængde vilkår. Hvis det må antages at den offentlige ejendomsvurdering ikke er retvisende, fordi den må antages at være fejlbehæftet, er hverken parterne eller ligningsmyndighederne bundet af denne vurdering. Dette kunne være tilfældet hvis der siden den seneste vurdering er foretaget ombygning eller anden omforandring af bygningen som deraf må afspejles i handelsværdien for ejendommen.</w:t>
      </w:r>
    </w:p>
    <w:p w:rsidR="00AC09E0" w:rsidRPr="00D47B29" w:rsidRDefault="00D47B29" w:rsidP="00D47B29">
      <w:pPr>
        <w:rPr>
          <w:rFonts w:asciiTheme="minorHAnsi" w:hAnsiTheme="minorHAnsi"/>
          <w:i/>
          <w:sz w:val="22"/>
        </w:rPr>
      </w:pPr>
      <w:r>
        <w:rPr>
          <w:rFonts w:asciiTheme="minorHAnsi" w:hAnsiTheme="minorHAnsi"/>
          <w:i/>
          <w:sz w:val="22"/>
        </w:rPr>
        <w:lastRenderedPageBreak/>
        <w:t xml:space="preserve">SKM2001.64.ØLR: </w:t>
      </w:r>
      <w:r w:rsidRPr="00D47B29">
        <w:rPr>
          <w:rFonts w:asciiTheme="minorHAnsi" w:hAnsiTheme="minorHAnsi"/>
          <w:i/>
          <w:sz w:val="22"/>
        </w:rPr>
        <w:t>skatteyder havde solgt en fast ejendom i 1991 for 3.700.000 kr. til et selskab, hvori han var hovedaktionær. Ved en syns- og skønserklæring indhentet i forbindelse med Landsskatterettens behandling udtaltes, at ejendommens handelsværdi i 1991 som minimum udgjorde 3.000.000 kr., men at den ved salg til en liebhaver og med den fornødne tid til salg</w:t>
      </w:r>
      <w:r w:rsidRPr="00D47B29">
        <w:rPr>
          <w:rFonts w:asciiTheme="minorHAnsi" w:hAnsiTheme="minorHAnsi"/>
          <w:i/>
          <w:sz w:val="22"/>
        </w:rPr>
        <w:t>s</w:t>
      </w:r>
      <w:r w:rsidRPr="00D47B29">
        <w:rPr>
          <w:rFonts w:asciiTheme="minorHAnsi" w:hAnsiTheme="minorHAnsi"/>
          <w:i/>
          <w:sz w:val="22"/>
        </w:rPr>
        <w:t>arbejdet kunne have været solgt for 3.500.000 kr. Syn- og skønsmandens vurdering kunne ikke umiddelbart lægges til grund. Landsretten fandt ikke, at skatteyderen havde godtgjort, at eje</w:t>
      </w:r>
      <w:r w:rsidRPr="00D47B29">
        <w:rPr>
          <w:rFonts w:asciiTheme="minorHAnsi" w:hAnsiTheme="minorHAnsi"/>
          <w:i/>
          <w:sz w:val="22"/>
        </w:rPr>
        <w:t>n</w:t>
      </w:r>
      <w:r w:rsidRPr="00D47B29">
        <w:rPr>
          <w:rFonts w:asciiTheme="minorHAnsi" w:hAnsiTheme="minorHAnsi"/>
          <w:i/>
          <w:sz w:val="22"/>
        </w:rPr>
        <w:t>dommen var solgt til handelsværdien, og tiltrådte, at værdien var ansat til 3.000.000 kr., hvo</w:t>
      </w:r>
      <w:r w:rsidRPr="00D47B29">
        <w:rPr>
          <w:rFonts w:asciiTheme="minorHAnsi" w:hAnsiTheme="minorHAnsi"/>
          <w:i/>
          <w:sz w:val="22"/>
        </w:rPr>
        <w:t>r</w:t>
      </w:r>
      <w:r w:rsidRPr="00D47B29">
        <w:rPr>
          <w:rFonts w:asciiTheme="minorHAnsi" w:hAnsiTheme="minorHAnsi"/>
          <w:i/>
          <w:sz w:val="22"/>
        </w:rPr>
        <w:t>efter det resterende beløb på 700.000 kr. blev anset for maskeret udlodning, jf. LL § 16.</w:t>
      </w:r>
    </w:p>
    <w:p w:rsidR="00D47B29" w:rsidRDefault="00D47B29" w:rsidP="007235DB"/>
    <w:p w:rsidR="00D47B29" w:rsidRDefault="00D47B29" w:rsidP="007235DB">
      <w:r>
        <w:t xml:space="preserve">Ovennævnte afgørelse viser et eksempel på at myndighederne griber korrigerende ind, selv en vurdering fra en syn- og skønsmand synes ikke at kunne overbevise om den rette handelsværdi. Der er jo ikke modstridende interesser mellem hovedaktionæren og selskabet, </w:t>
      </w:r>
      <w:r w:rsidR="00E732C5">
        <w:t>derfor kan der være tvivl om hvorvidt en ejendom handles til handel</w:t>
      </w:r>
      <w:r w:rsidR="00E732C5">
        <w:t>s</w:t>
      </w:r>
      <w:r w:rsidR="00E732C5">
        <w:t xml:space="preserve">værdien mellem parterne. </w:t>
      </w:r>
    </w:p>
    <w:p w:rsidR="007235DB" w:rsidRDefault="007235DB" w:rsidP="007235DB"/>
    <w:p w:rsidR="007235DB" w:rsidRDefault="007235DB" w:rsidP="007235DB">
      <w:r>
        <w:t>Sker der overdragelse til tredjemand, der hverken er interesseforbunden part eller indenfor gaveafgiftskredsen, vil ejendommen skulle overdrages til handelsværdi, der både kan være større eller mindre end den offentlige vurdering.</w:t>
      </w:r>
    </w:p>
    <w:p w:rsidR="007235DB" w:rsidRDefault="007235DB" w:rsidP="007235DB"/>
    <w:p w:rsidR="007235DB" w:rsidRDefault="007235DB" w:rsidP="007235DB">
      <w:r>
        <w:t>Der kan med andre ord forekomme, at der er tre forskellige værdier for en ejendom, alt efter hvem, denne skal overdrages til. Man kunne godt forestille sig en situation hvor der ved et generationsskifte af en virksomhed dels overdrages til næste generat</w:t>
      </w:r>
      <w:r>
        <w:t>i</w:t>
      </w:r>
      <w:r>
        <w:t>on og samtidig overdrages til en nær medarbejder, hvorefter der opstår et interessen</w:t>
      </w:r>
      <w:r>
        <w:t>t</w:t>
      </w:r>
      <w:r>
        <w:t>skab, hvis virksomheden drives videre i personligt regi. Der vil i et sådant tilfælde ku</w:t>
      </w:r>
      <w:r>
        <w:t>n</w:t>
      </w:r>
      <w:r>
        <w:t>ne være tale om to forskellige værdiansættelser af ejendommen.</w:t>
      </w:r>
    </w:p>
    <w:p w:rsidR="007235DB" w:rsidRDefault="007235DB" w:rsidP="007235DB"/>
    <w:p w:rsidR="007235DB" w:rsidRDefault="007235DB" w:rsidP="007235DB">
      <w:r>
        <w:t>Skatteministeren har meddelt at der ikke længere vil blive offentliggjort ejendomsvu</w:t>
      </w:r>
      <w:r>
        <w:t>r</w:t>
      </w:r>
      <w:r>
        <w:t>deringer på grund af de mange klager i efteråret 2008 over stigningerne i værdiansæ</w:t>
      </w:r>
      <w:r>
        <w:t>t</w:t>
      </w:r>
      <w:r>
        <w:t xml:space="preserve">telsen. Hvis ejendomsvurderingerne ikke længere offentliggøres giver dette problem i forbindelse med værdiansættelse efter gavecirkulæret, ligesom det også vil være uvist </w:t>
      </w:r>
      <w:r>
        <w:lastRenderedPageBreak/>
        <w:t>hvilket grundlag ejendomsværdiskatten skal beregnes af. Det må derfor kunne forve</w:t>
      </w:r>
      <w:r>
        <w:t>n</w:t>
      </w:r>
      <w:r>
        <w:t>tes at der vil blive indført et alternativ til ejendomsvurderingen.</w:t>
      </w:r>
    </w:p>
    <w:p w:rsidR="007235DB" w:rsidRDefault="007235DB" w:rsidP="007235DB"/>
    <w:p w:rsidR="007235DB" w:rsidRDefault="007235DB" w:rsidP="007235DB">
      <w:r>
        <w:t>For sælgeren af den faste ejendom skal der herefter foretages vurdering af hvorledes denne afståelse skal beskattes. Hvis der er tale om at ejendommen er erhvervet som led i næring, vil fortjeneste/tabet beskattes efter SL § 4 som almindelig indkomst. Hvis ejendommen ikke er erhvervet som led i næring, vil den som hovedregel være omfa</w:t>
      </w:r>
      <w:r>
        <w:t>t</w:t>
      </w:r>
      <w:r>
        <w:t>tet af bestemmelserne i EBL og AL, hvis der har været foretaget skattemæssige afskri</w:t>
      </w:r>
      <w:r>
        <w:t>v</w:t>
      </w:r>
      <w:r>
        <w:t>ninger. Der kan være mulighed for at ejendommen er omfattet af fritagelsesbeste</w:t>
      </w:r>
      <w:r>
        <w:t>m</w:t>
      </w:r>
      <w:r>
        <w:t>melserne i EBL § 8 – ”parcelhusreglen”. Er ejendommen anskaffet før 19. maj 1993 findes der særlige regler for fastsættelse af indgangsværdier, der kan anvendes som anskaffelsessum i stedet for den faktiske anskaffelsessum. Der er frit valg for den ska</w:t>
      </w:r>
      <w:r>
        <w:t>t</w:t>
      </w:r>
      <w:r>
        <w:t>tepligtige i valg af indgangsværdi, når der skal opgøres ejendomsavance.</w:t>
      </w:r>
    </w:p>
    <w:p w:rsidR="007235DB" w:rsidRDefault="007235DB" w:rsidP="007235DB">
      <w:r>
        <w:t>Genvundne afskrivninger beskattes med 90 % for personer jf. AL § 21, stk. 6. Nedenfor er vist et simpelt eksempel på opgørelse af genvundne afskrivninger og ejendom</w:t>
      </w:r>
      <w:r>
        <w:t>s</w:t>
      </w:r>
      <w:r>
        <w:t>avance. Det er forudsat at ejertiden har været 5 år forud for salget af ejendommen og at ejendommen har været anvendt 100 % erhvervsmæssigt, der er således ingen eje</w:t>
      </w:r>
      <w:r>
        <w:t>r</w:t>
      </w:r>
      <w:r>
        <w:t>boligdel af ejendommen.</w:t>
      </w:r>
    </w:p>
    <w:p w:rsidR="007235DB" w:rsidRDefault="007235DB" w:rsidP="007235DB"/>
    <w:tbl>
      <w:tblPr>
        <w:tblW w:w="4740" w:type="dxa"/>
        <w:tblInd w:w="55" w:type="dxa"/>
        <w:tblCellMar>
          <w:left w:w="70" w:type="dxa"/>
          <w:right w:w="70" w:type="dxa"/>
        </w:tblCellMar>
        <w:tblLook w:val="0000"/>
      </w:tblPr>
      <w:tblGrid>
        <w:gridCol w:w="3780"/>
        <w:gridCol w:w="960"/>
      </w:tblGrid>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Forudsætninger</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t.DKK</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Driftsbygninger</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800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Jord</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200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Anskaffelsessum i alt</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1.000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Foretagne afskrivninger på driftsbygninger</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300</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Driftsbygninger</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600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Jord</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600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Afståelsessum i alt</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1200</w:t>
            </w:r>
          </w:p>
        </w:tc>
      </w:tr>
    </w:tbl>
    <w:p w:rsidR="002C0F6A" w:rsidRDefault="002C0F6A"/>
    <w:tbl>
      <w:tblPr>
        <w:tblW w:w="4740" w:type="dxa"/>
        <w:tblInd w:w="55" w:type="dxa"/>
        <w:tblCellMar>
          <w:left w:w="70" w:type="dxa"/>
          <w:right w:w="70" w:type="dxa"/>
        </w:tblCellMar>
        <w:tblLook w:val="0000"/>
      </w:tblPr>
      <w:tblGrid>
        <w:gridCol w:w="3780"/>
        <w:gridCol w:w="960"/>
      </w:tblGrid>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Opgørelse af genvundne afskrivninger</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Anskaffelsessum</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800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Foretagne afskrivninger</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300</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lastRenderedPageBreak/>
              <w:t>Nedskrevet værdi</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500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Afståelsessum</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600</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Genvundne afskrivninger</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100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Til beskatning, 90 %</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90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Ej genvundne afskrivninger</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200</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Ejendomsavance jf</w:t>
            </w:r>
            <w:r>
              <w:rPr>
                <w:rFonts w:cs="Arial"/>
                <w:sz w:val="20"/>
                <w:szCs w:val="20"/>
                <w:lang w:eastAsia="da-DK"/>
              </w:rPr>
              <w:t>.</w:t>
            </w:r>
            <w:r w:rsidRPr="00B720E6">
              <w:rPr>
                <w:rFonts w:cs="Arial"/>
                <w:sz w:val="20"/>
                <w:szCs w:val="20"/>
                <w:lang w:eastAsia="da-DK"/>
              </w:rPr>
              <w:t xml:space="preserve"> EBL</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Anskaffelsessum</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1.000</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Ej genvundne afskrivninger</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-200</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Evt</w:t>
            </w:r>
            <w:r>
              <w:rPr>
                <w:rFonts w:cs="Arial"/>
                <w:sz w:val="20"/>
                <w:szCs w:val="20"/>
                <w:lang w:eastAsia="da-DK"/>
              </w:rPr>
              <w:t>.</w:t>
            </w:r>
            <w:r w:rsidRPr="00B720E6">
              <w:rPr>
                <w:rFonts w:cs="Arial"/>
                <w:sz w:val="20"/>
                <w:szCs w:val="20"/>
                <w:lang w:eastAsia="da-DK"/>
              </w:rPr>
              <w:t xml:space="preserve"> t.DKK 10-tillæg jf</w:t>
            </w:r>
            <w:r>
              <w:rPr>
                <w:rFonts w:cs="Arial"/>
                <w:sz w:val="20"/>
                <w:szCs w:val="20"/>
                <w:lang w:eastAsia="da-DK"/>
              </w:rPr>
              <w:t>.</w:t>
            </w:r>
            <w:r w:rsidRPr="00B720E6">
              <w:rPr>
                <w:rFonts w:cs="Arial"/>
                <w:sz w:val="20"/>
                <w:szCs w:val="20"/>
                <w:lang w:eastAsia="da-DK"/>
              </w:rPr>
              <w:t xml:space="preserve"> EBL § 5, stk</w:t>
            </w:r>
            <w:r>
              <w:rPr>
                <w:rFonts w:cs="Arial"/>
                <w:sz w:val="20"/>
                <w:szCs w:val="20"/>
                <w:lang w:eastAsia="da-DK"/>
              </w:rPr>
              <w:t>.</w:t>
            </w:r>
            <w:r w:rsidRPr="00B720E6">
              <w:rPr>
                <w:rFonts w:cs="Arial"/>
                <w:sz w:val="20"/>
                <w:szCs w:val="20"/>
                <w:lang w:eastAsia="da-DK"/>
              </w:rPr>
              <w:t xml:space="preserve"> 1</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50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 forudsat ejet i 5 år forud for afståelsen</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 </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Reguleret anskaffelsessum</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850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 xml:space="preserve">Afståelsessum </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1200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Ejendomsavance</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350</w:t>
            </w:r>
          </w:p>
        </w:tc>
      </w:tr>
    </w:tbl>
    <w:p w:rsidR="007235DB" w:rsidRDefault="007235DB" w:rsidP="007235DB">
      <w:pPr>
        <w:pStyle w:val="Billedtekst"/>
      </w:pPr>
      <w:bookmarkStart w:id="42" w:name="_Toc218751393"/>
      <w:r>
        <w:t xml:space="preserve">Figur </w:t>
      </w:r>
      <w:fldSimple w:instr=" SEQ Figur \* ARABIC ">
        <w:r w:rsidR="000F066D">
          <w:rPr>
            <w:noProof/>
          </w:rPr>
          <w:t>11</w:t>
        </w:r>
      </w:fldSimple>
      <w:r>
        <w:t xml:space="preserve"> Eksempel på beregning af genvundne afskrivninger og ejendomsavance</w:t>
      </w:r>
      <w:bookmarkEnd w:id="42"/>
    </w:p>
    <w:p w:rsidR="007235DB" w:rsidRPr="007235DB" w:rsidRDefault="007235DB" w:rsidP="007235DB"/>
    <w:p w:rsidR="007235DB" w:rsidRDefault="007235DB" w:rsidP="007235DB">
      <w:r>
        <w:t>Som det fremgår af eksemplet vil der komme genvundne afskrivninger til beskatning med 90 % af t.DKK 100 og ejendomsavance til beskatning med t.DKK 350. Det vil være muligt at foretage genplacering af ejendomsavance jf. EBL § 6A i ny erhvervsejendom, hvorved den endelige beskatning af ejendomsavance udskydes til afståelsen af denne erhvervsejendom. Genplaceringen skal ske senest året efter afståelsen.</w:t>
      </w:r>
    </w:p>
    <w:p w:rsidR="007235DB" w:rsidRDefault="007235DB" w:rsidP="007235DB"/>
    <w:p w:rsidR="007235DB" w:rsidRDefault="007235DB" w:rsidP="007235DB">
      <w:r>
        <w:t>For køberen af den faste ejendom skal der opgøres anskaffelsessum og afskrivning</w:t>
      </w:r>
      <w:r>
        <w:t>s</w:t>
      </w:r>
      <w:r>
        <w:t>grundlag til brug for fremtidige indkomstopgørelser. I eksemplet ovenfor vil den a</w:t>
      </w:r>
      <w:r>
        <w:t>f</w:t>
      </w:r>
      <w:r>
        <w:t>skrivningsberettigede anskaffelsessum være t.DKK 600 under forudsætning af, at by</w:t>
      </w:r>
      <w:r>
        <w:t>g</w:t>
      </w:r>
      <w:r>
        <w:t>ningerne anvendes til afskrivningsberettiget formål.</w:t>
      </w:r>
    </w:p>
    <w:p w:rsidR="007A35E5" w:rsidRDefault="007A35E5" w:rsidP="00AF4FDF"/>
    <w:p w:rsidR="007A35E5" w:rsidRPr="00AF2D39" w:rsidRDefault="00AF2D39" w:rsidP="00AF2D39">
      <w:pPr>
        <w:pStyle w:val="Overskrift3"/>
      </w:pPr>
      <w:bookmarkStart w:id="43" w:name="_Toc212806416"/>
      <w:bookmarkStart w:id="44" w:name="_Toc214610755"/>
      <w:bookmarkStart w:id="45" w:name="_Toc221546193"/>
      <w:r w:rsidRPr="00AF2D39">
        <w:t xml:space="preserve">3.1.3 </w:t>
      </w:r>
      <w:r w:rsidR="007A35E5" w:rsidRPr="00AF2D39">
        <w:t>Driftsmidler</w:t>
      </w:r>
      <w:bookmarkEnd w:id="43"/>
      <w:bookmarkEnd w:id="44"/>
      <w:r w:rsidR="00627158">
        <w:t xml:space="preserve"> </w:t>
      </w:r>
      <w:r w:rsidR="00627158">
        <w:rPr>
          <w:b w:val="0"/>
          <w:sz w:val="22"/>
          <w:szCs w:val="22"/>
        </w:rPr>
        <w:t>(Jane</w:t>
      </w:r>
      <w:r w:rsidR="00627158" w:rsidRPr="00E75844">
        <w:rPr>
          <w:b w:val="0"/>
          <w:sz w:val="22"/>
          <w:szCs w:val="22"/>
        </w:rPr>
        <w:t>)</w:t>
      </w:r>
      <w:bookmarkEnd w:id="45"/>
    </w:p>
    <w:p w:rsidR="007235DB" w:rsidRDefault="007235DB" w:rsidP="007235DB">
      <w:r>
        <w:t>Driftsmidler er de løsøregenstande der ikke er omfattet af de fysiske aktiver i form af fast ejendom, der består af jord, bygninger, installationer mv. Det vil derfor være v</w:t>
      </w:r>
      <w:r>
        <w:t>æ</w:t>
      </w:r>
      <w:r>
        <w:t>sentligt at sondre mellem løsøre og fast ejendom, når der skal foretages en avanceo</w:t>
      </w:r>
      <w:r>
        <w:t>p</w:t>
      </w:r>
      <w:r>
        <w:t>gørelse i forbindelse med salg.</w:t>
      </w:r>
    </w:p>
    <w:p w:rsidR="007235DB" w:rsidRDefault="007235DB" w:rsidP="007235DB">
      <w:r>
        <w:lastRenderedPageBreak/>
        <w:t>Driftsmidlerne kan opgøres af sælger ved at denne udarbejder en liste over driftsmi</w:t>
      </w:r>
      <w:r>
        <w:t>d</w:t>
      </w:r>
      <w:r>
        <w:t>lerne i virksomheden eksempelvis med udgangspunkt i anlægskartoteket. Værdiansæ</w:t>
      </w:r>
      <w:r>
        <w:t>t</w:t>
      </w:r>
      <w:r>
        <w:t xml:space="preserve">telsen kan eventuelt foretages af 3. mand. Udgangspunktet er dermed handelsværdier for driftsmidlerne. </w:t>
      </w:r>
    </w:p>
    <w:p w:rsidR="007235DB" w:rsidRDefault="007235DB" w:rsidP="007235DB">
      <w:r>
        <w:t>Sælgerens salgssum indgår i dennes skattemæssige driftsmiddelsaldo og såfremt den bliver negativ i forbindelse med salget, indtægtsføres 90 % heraf som skattepligtig in</w:t>
      </w:r>
      <w:r>
        <w:t>d</w:t>
      </w:r>
      <w:r>
        <w:t>komst</w:t>
      </w:r>
      <w:r>
        <w:rPr>
          <w:rStyle w:val="Fodnotehenvisning"/>
        </w:rPr>
        <w:footnoteReference w:id="48"/>
      </w:r>
      <w:r>
        <w:t>, hvilket kan illustreres ved nedenstående eksempel;</w:t>
      </w:r>
    </w:p>
    <w:p w:rsidR="007235DB" w:rsidRDefault="007235DB" w:rsidP="007235DB"/>
    <w:tbl>
      <w:tblPr>
        <w:tblW w:w="4740" w:type="dxa"/>
        <w:tblInd w:w="55" w:type="dxa"/>
        <w:tblCellMar>
          <w:left w:w="70" w:type="dxa"/>
          <w:right w:w="70" w:type="dxa"/>
        </w:tblCellMar>
        <w:tblLook w:val="0000"/>
      </w:tblPr>
      <w:tblGrid>
        <w:gridCol w:w="3780"/>
        <w:gridCol w:w="960"/>
      </w:tblGrid>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Driftsmiddelsaldo</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t.DKK</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Saldo primo</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500</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Årets tilgang (købesum)</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50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Årets afgang (salgssum)</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-700</w:t>
            </w:r>
          </w:p>
        </w:tc>
      </w:tr>
      <w:tr w:rsidR="007235DB" w:rsidRPr="00B720E6" w:rsidTr="00A71657">
        <w:trPr>
          <w:trHeight w:val="255"/>
        </w:trPr>
        <w:tc>
          <w:tcPr>
            <w:tcW w:w="3780" w:type="dxa"/>
            <w:tcBorders>
              <w:top w:val="nil"/>
              <w:left w:val="nil"/>
              <w:bottom w:val="nil"/>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Saldo til indtægtsførsel</w:t>
            </w:r>
          </w:p>
        </w:tc>
        <w:tc>
          <w:tcPr>
            <w:tcW w:w="960" w:type="dxa"/>
            <w:tcBorders>
              <w:top w:val="nil"/>
              <w:left w:val="nil"/>
              <w:bottom w:val="nil"/>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-150</w:t>
            </w:r>
          </w:p>
        </w:tc>
      </w:tr>
      <w:tr w:rsidR="007235DB" w:rsidRPr="00B720E6" w:rsidTr="00A71657">
        <w:trPr>
          <w:trHeight w:val="255"/>
        </w:trPr>
        <w:tc>
          <w:tcPr>
            <w:tcW w:w="3780" w:type="dxa"/>
            <w:tcBorders>
              <w:top w:val="nil"/>
              <w:left w:val="nil"/>
              <w:bottom w:val="single" w:sz="4" w:space="0" w:color="auto"/>
              <w:right w:val="nil"/>
            </w:tcBorders>
            <w:noWrap/>
            <w:vAlign w:val="bottom"/>
          </w:tcPr>
          <w:p w:rsidR="007235DB" w:rsidRPr="00B720E6" w:rsidRDefault="007235DB" w:rsidP="00A71657">
            <w:pPr>
              <w:rPr>
                <w:rFonts w:cs="Arial"/>
                <w:sz w:val="20"/>
                <w:szCs w:val="20"/>
                <w:lang w:eastAsia="da-DK"/>
              </w:rPr>
            </w:pPr>
            <w:r w:rsidRPr="00B720E6">
              <w:rPr>
                <w:rFonts w:cs="Arial"/>
                <w:sz w:val="20"/>
                <w:szCs w:val="20"/>
                <w:lang w:eastAsia="da-DK"/>
              </w:rPr>
              <w:t>Til beskatning, 90 %</w:t>
            </w:r>
          </w:p>
        </w:tc>
        <w:tc>
          <w:tcPr>
            <w:tcW w:w="960" w:type="dxa"/>
            <w:tcBorders>
              <w:top w:val="nil"/>
              <w:left w:val="nil"/>
              <w:bottom w:val="single" w:sz="4" w:space="0" w:color="auto"/>
              <w:right w:val="nil"/>
            </w:tcBorders>
            <w:noWrap/>
            <w:vAlign w:val="bottom"/>
          </w:tcPr>
          <w:p w:rsidR="007235DB" w:rsidRPr="00B720E6" w:rsidRDefault="007235DB" w:rsidP="00A71657">
            <w:pPr>
              <w:jc w:val="right"/>
              <w:rPr>
                <w:rFonts w:cs="Arial"/>
                <w:sz w:val="20"/>
                <w:szCs w:val="20"/>
                <w:lang w:eastAsia="da-DK"/>
              </w:rPr>
            </w:pPr>
            <w:r w:rsidRPr="00B720E6">
              <w:rPr>
                <w:rFonts w:cs="Arial"/>
                <w:sz w:val="20"/>
                <w:szCs w:val="20"/>
                <w:lang w:eastAsia="da-DK"/>
              </w:rPr>
              <w:t>-135</w:t>
            </w:r>
          </w:p>
        </w:tc>
      </w:tr>
    </w:tbl>
    <w:p w:rsidR="007A35E5" w:rsidRDefault="007235DB" w:rsidP="00974F32">
      <w:pPr>
        <w:pStyle w:val="Billedtekst"/>
      </w:pPr>
      <w:bookmarkStart w:id="46" w:name="_Toc218751394"/>
      <w:r>
        <w:t xml:space="preserve">Figur </w:t>
      </w:r>
      <w:fldSimple w:instr=" SEQ Figur \* ARABIC ">
        <w:r w:rsidR="000F066D">
          <w:rPr>
            <w:noProof/>
          </w:rPr>
          <w:t>12</w:t>
        </w:r>
      </w:fldSimple>
      <w:r>
        <w:t xml:space="preserve"> Skattemæssige konsekvenser ved afståelse af driftsmidler</w:t>
      </w:r>
      <w:bookmarkEnd w:id="46"/>
    </w:p>
    <w:p w:rsidR="002C0F6A" w:rsidRDefault="002C0F6A" w:rsidP="00EA7AB6"/>
    <w:p w:rsidR="00EA7AB6" w:rsidRDefault="00EA7AB6" w:rsidP="00EA7AB6">
      <w:r>
        <w:t>For køberen indgår overdragelsessummen i dennes driftsmiddelsaldo og der kan for</w:t>
      </w:r>
      <w:r>
        <w:t>e</w:t>
      </w:r>
      <w:r>
        <w:t>tages årlige saldoafskrivninger jf. reglerne i afskrivningsloven.</w:t>
      </w:r>
    </w:p>
    <w:p w:rsidR="00EA7AB6" w:rsidRDefault="00EA7AB6" w:rsidP="00AF4FDF"/>
    <w:p w:rsidR="007A35E5" w:rsidRPr="00AF2D39" w:rsidRDefault="00AF2D39" w:rsidP="00AF2D39">
      <w:pPr>
        <w:pStyle w:val="Overskrift3"/>
      </w:pPr>
      <w:bookmarkStart w:id="47" w:name="_Toc212806417"/>
      <w:bookmarkStart w:id="48" w:name="_Toc214610756"/>
      <w:bookmarkStart w:id="49" w:name="_Toc221546194"/>
      <w:r w:rsidRPr="00AF2D39">
        <w:t xml:space="preserve">3.1.4 </w:t>
      </w:r>
      <w:r w:rsidR="007A35E5" w:rsidRPr="00AF2D39">
        <w:t>Øvrige aktiver og gæld</w:t>
      </w:r>
      <w:bookmarkEnd w:id="47"/>
      <w:bookmarkEnd w:id="48"/>
      <w:r w:rsidR="00627158">
        <w:t xml:space="preserve"> </w:t>
      </w:r>
      <w:r w:rsidR="00627158">
        <w:rPr>
          <w:b w:val="0"/>
          <w:sz w:val="22"/>
          <w:szCs w:val="22"/>
        </w:rPr>
        <w:t>(Jane</w:t>
      </w:r>
      <w:r w:rsidR="00627158" w:rsidRPr="00E75844">
        <w:rPr>
          <w:b w:val="0"/>
          <w:sz w:val="22"/>
          <w:szCs w:val="22"/>
        </w:rPr>
        <w:t>)</w:t>
      </w:r>
      <w:bookmarkEnd w:id="49"/>
    </w:p>
    <w:p w:rsidR="007235DB" w:rsidRDefault="007235DB" w:rsidP="007235DB">
      <w:r>
        <w:t>Varelager overtages almindeligvis i forbindelse med en samlet virksomhedsoverdrage</w:t>
      </w:r>
      <w:r>
        <w:t>l</w:t>
      </w:r>
      <w:r>
        <w:t>se. Selve værdiansættelsen foretages ud fra en fysisk optælling på overtagelsesdagen og der accepteres i almindelighed en vis nedskrivning i forhold til dags- indkøbs- eller fremstillingspris</w:t>
      </w:r>
      <w:r>
        <w:rPr>
          <w:rStyle w:val="Fodnotehenvisning"/>
        </w:rPr>
        <w:footnoteReference w:id="49"/>
      </w:r>
      <w:r>
        <w:t>.</w:t>
      </w:r>
    </w:p>
    <w:p w:rsidR="007235DB" w:rsidRDefault="007235DB" w:rsidP="007235DB">
      <w:r>
        <w:t>For sælgeren af varelageret vil afståelsessummen indgå i indkomstopgørelsen for vir</w:t>
      </w:r>
      <w:r>
        <w:t>k</w:t>
      </w:r>
      <w:r>
        <w:t>somheden, og for køberen indgår købesummen ligeledes i indkomstopgørelsen.</w:t>
      </w:r>
    </w:p>
    <w:p w:rsidR="007235DB" w:rsidRDefault="007235DB" w:rsidP="007235DB">
      <w:r>
        <w:lastRenderedPageBreak/>
        <w:t>Det kan være forskelligt om beholdning af debitorer overtages af køber, man har ofte set at sælgeren beholder disse, da debitor har handlet med sælgeren og det derfor vil være det mest naturlige at det også er denne der skal betales til. Endvidere kan der være debitorer der kan være langsomme betalere og derfor ikke er hensigtsmæssig at overdrage til køberen. Såfremt køberen overtager debitorbeholdningen kan der være et værdiansættelsesproblem, da der bør foretages reservationer for tab.</w:t>
      </w:r>
    </w:p>
    <w:p w:rsidR="007235DB" w:rsidRDefault="007235DB" w:rsidP="007235DB">
      <w:r>
        <w:t>Hvis sælgeren beholder debitorbeholdningen, og alle debitorerne betaler hvad de skylder, vil der ikke være nogen form for avancer at skulle beskatte, da debitormassen alene er udtryk for tidligere perioders salg og derfor allerede er indgået i indkomsto</w:t>
      </w:r>
      <w:r>
        <w:t>p</w:t>
      </w:r>
      <w:r>
        <w:t>gørelsen. Men viser det sig at nogle fordringer er uerholdelige, da vil sælgeren kunne få fradrag for tabet på disse.</w:t>
      </w:r>
    </w:p>
    <w:p w:rsidR="007235DB" w:rsidRDefault="007235DB" w:rsidP="007235DB">
      <w:r>
        <w:t>Overtager køber debitormassen, og der er foretaget reservation for tab, og det viser sig at alle debitorerne betaler hvad de skylder, vil der for køberen være tale om en kursgevinst, som vil være skattepligt for køberen</w:t>
      </w:r>
      <w:r>
        <w:rPr>
          <w:rStyle w:val="Fodnotehenvisning"/>
        </w:rPr>
        <w:footnoteReference w:id="50"/>
      </w:r>
    </w:p>
    <w:p w:rsidR="00B951CC" w:rsidRDefault="00B951CC" w:rsidP="007235DB"/>
    <w:p w:rsidR="007235DB" w:rsidRDefault="007235DB" w:rsidP="007235DB">
      <w:r>
        <w:t>Af gældsposter der vil være relevante at overtage i et generationsskifte kunne være prioritetsgæld i ejendommen. Eventuelle kursforskelle vil have betydning for kontan</w:t>
      </w:r>
      <w:r>
        <w:t>t</w:t>
      </w:r>
      <w:r>
        <w:t>omregning af overtagelsessummen for ejendommen. Det er dog i praksis anset for at være handlet til kontantværdien, når der handles mellem nærtstående til ejendom</w:t>
      </w:r>
      <w:r>
        <w:t>s</w:t>
      </w:r>
      <w:r>
        <w:t>værdien +/- 15 %. Der skal således ikke ske en yderligere kontantomregning, hvis der overtages prioritetsgæld, hvor der er en kursforskel.</w:t>
      </w:r>
    </w:p>
    <w:p w:rsidR="00B951CC" w:rsidRDefault="00B951CC" w:rsidP="007235DB"/>
    <w:p w:rsidR="007235DB" w:rsidRDefault="007235DB" w:rsidP="007235DB">
      <w:r>
        <w:t>Bankgæld kan i princippet også overtages, men i praksis ved overdragelse af personligt drevne virksomheder, vil det være mere almindeligt, at køberen har et andet pengei</w:t>
      </w:r>
      <w:r>
        <w:t>n</w:t>
      </w:r>
      <w:r>
        <w:t>stitut end sælgeren og derfor bruger denne til at finansiere købesummen via ekse</w:t>
      </w:r>
      <w:r>
        <w:t>m</w:t>
      </w:r>
      <w:r>
        <w:t>pelvis via langfristet gæld og driftskredit. I Interessentskaber vil den indtrædende int</w:t>
      </w:r>
      <w:r>
        <w:t>e</w:t>
      </w:r>
      <w:r>
        <w:t>ressent indtræde i den allerede eksisterende bankgæld, og vil udover accept af de ø</w:t>
      </w:r>
      <w:r>
        <w:t>v</w:t>
      </w:r>
      <w:r>
        <w:lastRenderedPageBreak/>
        <w:t>rige interessenter også skulle underkastes en kreditvurdering af interessentskabets pengeinstitut.</w:t>
      </w:r>
    </w:p>
    <w:p w:rsidR="00B951CC" w:rsidRDefault="00B951CC" w:rsidP="007235DB"/>
    <w:p w:rsidR="007235DB" w:rsidRDefault="007235DB" w:rsidP="007235DB">
      <w:r>
        <w:t>Leverandørgæld kan også overtages af køberen, men her vil der være nogenlunde de samme betragtninger som under debitorerne; at køber sørger for at afregne egne me</w:t>
      </w:r>
      <w:r>
        <w:t>l</w:t>
      </w:r>
      <w:r>
        <w:t>lemværender med kreditorerne og køberen starter på en frisk når der er tale om ove</w:t>
      </w:r>
      <w:r>
        <w:t>r</w:t>
      </w:r>
      <w:r>
        <w:t>dragelse af en personligt drevet enkeltmandsvirksomhed. Er der derimod tale om int</w:t>
      </w:r>
      <w:r>
        <w:t>e</w:t>
      </w:r>
      <w:r>
        <w:t>ressentskabsforhold vil nogenlunde de samme betragtninger være til stede som under bankgælden, at den nye interessent indtræder i en ideel andel af leverandørgælden.</w:t>
      </w:r>
    </w:p>
    <w:p w:rsidR="007235DB" w:rsidRDefault="007235DB" w:rsidP="007235DB">
      <w:r>
        <w:t>Det samme vil gøre sig gældende under anden gæld, der kan eksempelvis omfatte momsgæld, lønafhængig gæld mv. – den indtrædende interessent indtræder i en ideel andel af disse gældsposter og påtager sig dermed solidarisk forpligtelse til at afregne disse rettidigt.</w:t>
      </w:r>
    </w:p>
    <w:p w:rsidR="007235DB" w:rsidRDefault="007235DB" w:rsidP="007235DB">
      <w:r>
        <w:t>Det er vor opfattelse, at der ved udskiftning af interessenter i et interessentskab vil det normale være at den indtrædende overtager de ideelle andele af såvel tilgodehave</w:t>
      </w:r>
      <w:r>
        <w:t>n</w:t>
      </w:r>
      <w:r>
        <w:t>der som gæld, mens hvis der var tale om at en virksomhedsejer ville overdrage sin vir</w:t>
      </w:r>
      <w:r>
        <w:t>k</w:t>
      </w:r>
      <w:r>
        <w:t>somhed som led i ophør, da ville det være mere almindeligt at erhververen alene ove</w:t>
      </w:r>
      <w:r>
        <w:t>r</w:t>
      </w:r>
      <w:r>
        <w:t>tager anlægsaktiver og goodwill. Goodwill er dels bestående af kundekartoteket for virksomheden men også andre oparbejdede præferencer, forretningsmetoder mv.</w:t>
      </w:r>
    </w:p>
    <w:p w:rsidR="007A35E5" w:rsidRDefault="007A35E5" w:rsidP="00AF4FDF"/>
    <w:p w:rsidR="007A35E5" w:rsidRPr="00AF2D39" w:rsidRDefault="00AF2D39" w:rsidP="00AF2D39">
      <w:pPr>
        <w:pStyle w:val="Overskrift3"/>
      </w:pPr>
      <w:bookmarkStart w:id="50" w:name="_Toc212806418"/>
      <w:bookmarkStart w:id="51" w:name="_Toc214610757"/>
      <w:bookmarkStart w:id="52" w:name="_Toc221546195"/>
      <w:r w:rsidRPr="00AF2D39">
        <w:t xml:space="preserve">3.1.5 </w:t>
      </w:r>
      <w:r>
        <w:t>Opsparet</w:t>
      </w:r>
      <w:r w:rsidR="007A35E5" w:rsidRPr="00AF2D39">
        <w:t xml:space="preserve"> overskud</w:t>
      </w:r>
      <w:bookmarkEnd w:id="50"/>
      <w:bookmarkEnd w:id="51"/>
      <w:r w:rsidR="00627158">
        <w:t xml:space="preserve"> </w:t>
      </w:r>
      <w:r w:rsidR="00627158">
        <w:rPr>
          <w:b w:val="0"/>
          <w:sz w:val="22"/>
          <w:szCs w:val="22"/>
        </w:rPr>
        <w:t>(Jane</w:t>
      </w:r>
      <w:r w:rsidR="00627158" w:rsidRPr="00E75844">
        <w:rPr>
          <w:b w:val="0"/>
          <w:sz w:val="22"/>
          <w:szCs w:val="22"/>
        </w:rPr>
        <w:t>)</w:t>
      </w:r>
      <w:bookmarkEnd w:id="52"/>
    </w:p>
    <w:p w:rsidR="007235DB" w:rsidRDefault="007235DB" w:rsidP="007235DB">
      <w:r>
        <w:t>For sælgeren af virksomheden, der benytter virksomhedsskatteordningens regler, b</w:t>
      </w:r>
      <w:r>
        <w:t>e</w:t>
      </w:r>
      <w:r>
        <w:t>tyder overdragelsen endvidere at eventuelle opsparede overskud i henhold til vir</w:t>
      </w:r>
      <w:r>
        <w:t>k</w:t>
      </w:r>
      <w:r>
        <w:t>somhedsskatteordningen vil komme til genbeskatning, da sælgeren ophører med at drive virksomhed i kraft af salget</w:t>
      </w:r>
      <w:r>
        <w:rPr>
          <w:rStyle w:val="Fodnotehenvisning"/>
        </w:rPr>
        <w:footnoteReference w:id="51"/>
      </w:r>
      <w:r>
        <w:t>.</w:t>
      </w:r>
    </w:p>
    <w:p w:rsidR="007235DB" w:rsidRDefault="007235DB" w:rsidP="007235DB">
      <w:r>
        <w:t>Det er dog muligt for sælgeren at bibeholde virksomhedsskatteordningen i et år efter salget, hvis denne har planer om at starte en ny virksomhed. Derved forhindres at o</w:t>
      </w:r>
      <w:r>
        <w:t>p</w:t>
      </w:r>
      <w:r>
        <w:lastRenderedPageBreak/>
        <w:t>sparet overskud skal indtægtsføres i salgsåret</w:t>
      </w:r>
      <w:r>
        <w:rPr>
          <w:rStyle w:val="Fodnotehenvisning"/>
        </w:rPr>
        <w:footnoteReference w:id="52"/>
      </w:r>
      <w:r>
        <w:t>, det er dog en betingelse at der fortsat er opretholdt adskillelse mellem virksomhedsøkonomien og privatøkonomien indtil det endelige ophør med virksomhedsskatteordningen.</w:t>
      </w:r>
    </w:p>
    <w:p w:rsidR="007235DB" w:rsidRDefault="007235DB" w:rsidP="007235DB">
      <w:r>
        <w:t xml:space="preserve">Hvis virksomhedskatteordningen bibeholdes vil avancer fra salg af virksomheden indgå i skattepligtig virksomhedsindkomst og der kan foretages overskudsdisponering, hvor indkomsten opdeles i personlig indkomst, kapitalafkast og opsparet overskud. </w:t>
      </w:r>
    </w:p>
    <w:p w:rsidR="007235DB" w:rsidRDefault="007235DB" w:rsidP="007235DB">
      <w:r>
        <w:t>Såfremt en interessent afstår en ideel andel af virksomheden indgår salgssummen lig</w:t>
      </w:r>
      <w:r>
        <w:t>e</w:t>
      </w:r>
      <w:r>
        <w:t>ledes i virksomhedsordningen</w:t>
      </w:r>
      <w:r>
        <w:rPr>
          <w:rStyle w:val="Fodnotehenvisning"/>
        </w:rPr>
        <w:footnoteReference w:id="53"/>
      </w:r>
    </w:p>
    <w:p w:rsidR="007A35E5" w:rsidRDefault="007A35E5" w:rsidP="00617CE3"/>
    <w:p w:rsidR="00617CE3" w:rsidRPr="00ED4B9F" w:rsidRDefault="00312092" w:rsidP="00312092">
      <w:pPr>
        <w:pStyle w:val="Overskrift3"/>
      </w:pPr>
      <w:bookmarkStart w:id="53" w:name="_Toc221546196"/>
      <w:r>
        <w:t>3.1.</w:t>
      </w:r>
      <w:r w:rsidR="007235DB">
        <w:t>6</w:t>
      </w:r>
      <w:r w:rsidR="00617CE3" w:rsidRPr="00ED4B9F">
        <w:t xml:space="preserve"> Caseregnskab beregning af overdragelse</w:t>
      </w:r>
      <w:r w:rsidR="00627158">
        <w:t xml:space="preserve"> </w:t>
      </w:r>
      <w:r w:rsidR="00627158">
        <w:rPr>
          <w:b w:val="0"/>
          <w:sz w:val="22"/>
          <w:szCs w:val="22"/>
        </w:rPr>
        <w:t>(Jane</w:t>
      </w:r>
      <w:r w:rsidR="00627158" w:rsidRPr="00E75844">
        <w:rPr>
          <w:b w:val="0"/>
          <w:sz w:val="22"/>
          <w:szCs w:val="22"/>
        </w:rPr>
        <w:t>)</w:t>
      </w:r>
      <w:bookmarkEnd w:id="53"/>
    </w:p>
    <w:p w:rsidR="00ED4B9F" w:rsidRPr="007235DB" w:rsidRDefault="00ED4B9F" w:rsidP="00ED4B9F">
      <w:r w:rsidRPr="007235DB">
        <w:t>I nedenstående vil mulighederne for datterens indtræden i virksomheden gennemgås. Datteren kan enten overtage sin fars andel, så hun bliver interessent sammen med sin onkel. Alternativt kan hun overtage en andel fra dem begge, så der bliver 3 interesse</w:t>
      </w:r>
      <w:r w:rsidRPr="007235DB">
        <w:t>n</w:t>
      </w:r>
      <w:r w:rsidRPr="007235DB">
        <w:t xml:space="preserve">ter. </w:t>
      </w:r>
    </w:p>
    <w:p w:rsidR="00312092" w:rsidRDefault="00312092" w:rsidP="00312092">
      <w:bookmarkStart w:id="54" w:name="_Toc212806419"/>
      <w:bookmarkStart w:id="55" w:name="_Toc214610758"/>
    </w:p>
    <w:p w:rsidR="007A35E5" w:rsidRPr="00AF2D39" w:rsidRDefault="00312092" w:rsidP="00312092">
      <w:pPr>
        <w:pStyle w:val="Overskrift4"/>
      </w:pPr>
      <w:bookmarkStart w:id="56" w:name="_Ref218750321"/>
      <w:bookmarkStart w:id="57" w:name="_Toc221546197"/>
      <w:r>
        <w:t>3.</w:t>
      </w:r>
      <w:r w:rsidR="00617CE3">
        <w:t>1</w:t>
      </w:r>
      <w:r>
        <w:t>.</w:t>
      </w:r>
      <w:r w:rsidR="007235DB">
        <w:t>6</w:t>
      </w:r>
      <w:r>
        <w:t>.1</w:t>
      </w:r>
      <w:r w:rsidR="00AF2D39" w:rsidRPr="00AF2D39">
        <w:t xml:space="preserve"> </w:t>
      </w:r>
      <w:bookmarkEnd w:id="54"/>
      <w:bookmarkEnd w:id="55"/>
      <w:r w:rsidR="007235DB">
        <w:t>O</w:t>
      </w:r>
      <w:r w:rsidR="00AF2D39">
        <w:t>verdragelse ved køb af ideel andel</w:t>
      </w:r>
      <w:r w:rsidR="007235DB">
        <w:t>, skattemæssige konsekve</w:t>
      </w:r>
      <w:r w:rsidR="007235DB">
        <w:t>n</w:t>
      </w:r>
      <w:r w:rsidR="007235DB">
        <w:t>ser herved</w:t>
      </w:r>
      <w:bookmarkEnd w:id="56"/>
      <w:r w:rsidR="00627158">
        <w:t xml:space="preserve"> </w:t>
      </w:r>
      <w:r w:rsidR="00627158">
        <w:rPr>
          <w:b w:val="0"/>
          <w:sz w:val="22"/>
          <w:szCs w:val="22"/>
        </w:rPr>
        <w:t>(Jane</w:t>
      </w:r>
      <w:r w:rsidR="00627158" w:rsidRPr="00E75844">
        <w:rPr>
          <w:b w:val="0"/>
          <w:sz w:val="22"/>
          <w:szCs w:val="22"/>
        </w:rPr>
        <w:t>)</w:t>
      </w:r>
      <w:bookmarkEnd w:id="57"/>
    </w:p>
    <w:p w:rsidR="007235DB" w:rsidRDefault="007235DB" w:rsidP="007235DB">
      <w:r>
        <w:t>I det gennemgående case-regnskab vil vi nu simulere at A’s datter C køber faderens ideelle andel. Ved at datteren overtager en andel af virksomheden som et led i gener</w:t>
      </w:r>
      <w:r>
        <w:t>a</w:t>
      </w:r>
      <w:r>
        <w:t>tionsskiftet vil der etableres en glidende overgang, der kan være store fordele forbu</w:t>
      </w:r>
      <w:r>
        <w:t>n</w:t>
      </w:r>
      <w:r>
        <w:t>det med. Datteren har ikke eneansvaret for virksomheden fra overtagelsen og den tilbageværende anden interessent har mulighed for at hjælpe den næste generation i videreførelsen af virksomheden. Endelig vil det overfor kunder og forretningsforbi</w:t>
      </w:r>
      <w:r>
        <w:t>n</w:t>
      </w:r>
      <w:r>
        <w:t>delser ikke virke som en alt for stor omvæltning når generationsskiftet sker ved glide</w:t>
      </w:r>
      <w:r>
        <w:t>n</w:t>
      </w:r>
      <w:r>
        <w:t xml:space="preserve">de overgang. Ulempen kan dog være at det kan være svært for den yngre generation </w:t>
      </w:r>
      <w:r>
        <w:lastRenderedPageBreak/>
        <w:t>at indføre nye og moderne tiltag, når der stadig er den ældre generation at tage he</w:t>
      </w:r>
      <w:r>
        <w:t>n</w:t>
      </w:r>
      <w:r>
        <w:t>syn til.</w:t>
      </w:r>
    </w:p>
    <w:p w:rsidR="007235DB" w:rsidRDefault="007235DB" w:rsidP="007235DB"/>
    <w:p w:rsidR="007235DB" w:rsidRDefault="007235DB" w:rsidP="007235DB">
      <w:r>
        <w:t>Jf. ovenstående gennemgang vil dette medføre, at der skal beregnes en goodwill efter lignings</w:t>
      </w:r>
      <w:r w:rsidR="00B951CC">
        <w:t>vejledningens regler, der vises i ”</w:t>
      </w:r>
      <w:r w:rsidR="00012FAC">
        <w:fldChar w:fldCharType="begin"/>
      </w:r>
      <w:r w:rsidR="00B951CC">
        <w:instrText xml:space="preserve"> REF _Ref219213526 \h </w:instrText>
      </w:r>
      <w:r w:rsidR="00012FAC">
        <w:fldChar w:fldCharType="separate"/>
      </w:r>
      <w:r w:rsidR="000F066D">
        <w:t>Bilag 2 – Goodwill fordelt på interessenter ved overdragelse af ideel andel</w:t>
      </w:r>
      <w:r w:rsidR="00012FAC">
        <w:fldChar w:fldCharType="end"/>
      </w:r>
      <w:r w:rsidR="00B951CC">
        <w:t>”.</w:t>
      </w:r>
    </w:p>
    <w:p w:rsidR="007235DB" w:rsidRDefault="007235DB" w:rsidP="007235DB"/>
    <w:p w:rsidR="007235DB" w:rsidRDefault="007235DB" w:rsidP="007235DB">
      <w:r>
        <w:t>Ejendommen overdrages til andelen af den seneste ejendomsværdi – 15 %, hvilket svarer til t.DKK 1.743 (50 % af t.DKK 4.100 – 15 %). Indretning af lejede lokaler er vu</w:t>
      </w:r>
      <w:r>
        <w:t>r</w:t>
      </w:r>
      <w:r>
        <w:t xml:space="preserve">deret til at andrage t.DKK 450 for den ene andel, ligesom driftsmateriel og inventar er vurderet til t.DKK 300 for andelen – begge beløb er svarende til handelsværdier. </w:t>
      </w:r>
    </w:p>
    <w:p w:rsidR="007235DB" w:rsidRDefault="007235DB" w:rsidP="007235DB">
      <w:r>
        <w:t>Dette giver nedenstående oversigt over de skattemæssige værdier, salgssummer og skattepligtig avancer:</w:t>
      </w:r>
    </w:p>
    <w:p w:rsidR="007235DB" w:rsidRDefault="007235DB" w:rsidP="007235DB"/>
    <w:p w:rsidR="00974F32" w:rsidRDefault="00974F32">
      <w:r>
        <w:br w:type="page"/>
      </w:r>
    </w:p>
    <w:tbl>
      <w:tblPr>
        <w:tblW w:w="5000" w:type="pct"/>
        <w:tblCellMar>
          <w:left w:w="70" w:type="dxa"/>
          <w:right w:w="70" w:type="dxa"/>
        </w:tblCellMar>
        <w:tblLook w:val="0000"/>
      </w:tblPr>
      <w:tblGrid>
        <w:gridCol w:w="2440"/>
        <w:gridCol w:w="1450"/>
        <w:gridCol w:w="1305"/>
        <w:gridCol w:w="1314"/>
        <w:gridCol w:w="928"/>
        <w:gridCol w:w="1207"/>
      </w:tblGrid>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Samlet balance</w:t>
            </w: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Ideel andel til</w:t>
            </w: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skattemæssig</w:t>
            </w:r>
          </w:p>
        </w:tc>
        <w:tc>
          <w:tcPr>
            <w:tcW w:w="537"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Salgssum</w:t>
            </w:r>
          </w:p>
        </w:tc>
        <w:tc>
          <w:tcPr>
            <w:tcW w:w="698"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Skattepligtig</w:t>
            </w:r>
          </w:p>
        </w:tc>
      </w:tr>
      <w:tr w:rsidR="007235DB" w:rsidRPr="008C297C" w:rsidTr="00974F32">
        <w:trPr>
          <w:trHeight w:val="255"/>
        </w:trPr>
        <w:tc>
          <w:tcPr>
            <w:tcW w:w="1411"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Beløb i t.DKK</w:t>
            </w:r>
          </w:p>
        </w:tc>
        <w:tc>
          <w:tcPr>
            <w:tcW w:w="839"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2007</w:t>
            </w:r>
          </w:p>
        </w:tc>
        <w:tc>
          <w:tcPr>
            <w:tcW w:w="755"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overdragelse</w:t>
            </w:r>
          </w:p>
        </w:tc>
        <w:tc>
          <w:tcPr>
            <w:tcW w:w="760"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Værdi</w:t>
            </w:r>
          </w:p>
        </w:tc>
        <w:tc>
          <w:tcPr>
            <w:tcW w:w="537"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 </w:t>
            </w:r>
          </w:p>
        </w:tc>
        <w:tc>
          <w:tcPr>
            <w:tcW w:w="698"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avance</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Goodwill</w:t>
            </w: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0</w:t>
            </w: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290</w:t>
            </w: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290</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Ejendom</w:t>
            </w: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3.061</w:t>
            </w: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1.530</w:t>
            </w: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999</w:t>
            </w: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1.743</w:t>
            </w: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728</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ind w:firstLineChars="100" w:firstLine="200"/>
              <w:rPr>
                <w:rFonts w:cs="Arial"/>
                <w:sz w:val="20"/>
                <w:szCs w:val="20"/>
                <w:lang w:eastAsia="da-DK"/>
              </w:rPr>
            </w:pPr>
            <w:r w:rsidRPr="008C297C">
              <w:rPr>
                <w:rFonts w:cs="Arial"/>
                <w:sz w:val="20"/>
                <w:szCs w:val="20"/>
                <w:lang w:eastAsia="da-DK"/>
              </w:rPr>
              <w:t>ejd. værdi t.DKK 4.100</w:t>
            </w:r>
          </w:p>
        </w:tc>
        <w:tc>
          <w:tcPr>
            <w:tcW w:w="839"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Indretning lejede lokaler</w:t>
            </w: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780</w:t>
            </w: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390</w:t>
            </w: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140</w:t>
            </w: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450</w:t>
            </w: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310</w:t>
            </w:r>
          </w:p>
        </w:tc>
      </w:tr>
      <w:tr w:rsidR="007235DB" w:rsidRPr="008C297C" w:rsidTr="00974F32">
        <w:trPr>
          <w:trHeight w:val="255"/>
        </w:trPr>
        <w:tc>
          <w:tcPr>
            <w:tcW w:w="1411"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Driftsmateriel og inventar</w:t>
            </w:r>
          </w:p>
        </w:tc>
        <w:tc>
          <w:tcPr>
            <w:tcW w:w="839"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429</w:t>
            </w:r>
          </w:p>
        </w:tc>
        <w:tc>
          <w:tcPr>
            <w:tcW w:w="755"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215</w:t>
            </w:r>
          </w:p>
        </w:tc>
        <w:tc>
          <w:tcPr>
            <w:tcW w:w="760"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231</w:t>
            </w:r>
          </w:p>
        </w:tc>
        <w:tc>
          <w:tcPr>
            <w:tcW w:w="537"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300</w:t>
            </w:r>
          </w:p>
        </w:tc>
        <w:tc>
          <w:tcPr>
            <w:tcW w:w="698"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62</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974F32">
        <w:trPr>
          <w:trHeight w:val="255"/>
        </w:trPr>
        <w:tc>
          <w:tcPr>
            <w:tcW w:w="1411"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Anlægsaktiver i alt</w:t>
            </w:r>
          </w:p>
        </w:tc>
        <w:tc>
          <w:tcPr>
            <w:tcW w:w="839"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4.270</w:t>
            </w:r>
          </w:p>
        </w:tc>
        <w:tc>
          <w:tcPr>
            <w:tcW w:w="755"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2.135</w:t>
            </w:r>
          </w:p>
        </w:tc>
        <w:tc>
          <w:tcPr>
            <w:tcW w:w="760"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1.370</w:t>
            </w:r>
          </w:p>
        </w:tc>
        <w:tc>
          <w:tcPr>
            <w:tcW w:w="537"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2.783</w:t>
            </w:r>
          </w:p>
        </w:tc>
        <w:tc>
          <w:tcPr>
            <w:tcW w:w="698"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1.390</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Varelager</w:t>
            </w: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2.640</w:t>
            </w: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1.320</w:t>
            </w: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1.320</w:t>
            </w: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1.320</w:t>
            </w: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0</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Debitorer</w:t>
            </w: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2.080</w:t>
            </w: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1.040</w:t>
            </w: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1.040</w:t>
            </w: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1.040</w:t>
            </w: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0</w:t>
            </w:r>
          </w:p>
        </w:tc>
      </w:tr>
      <w:tr w:rsidR="007235DB" w:rsidRPr="008C297C" w:rsidTr="00974F32">
        <w:trPr>
          <w:trHeight w:val="255"/>
        </w:trPr>
        <w:tc>
          <w:tcPr>
            <w:tcW w:w="1411"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Likvide beholdninger</w:t>
            </w:r>
          </w:p>
        </w:tc>
        <w:tc>
          <w:tcPr>
            <w:tcW w:w="839"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50</w:t>
            </w:r>
          </w:p>
        </w:tc>
        <w:tc>
          <w:tcPr>
            <w:tcW w:w="755"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25</w:t>
            </w:r>
          </w:p>
        </w:tc>
        <w:tc>
          <w:tcPr>
            <w:tcW w:w="760"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25</w:t>
            </w:r>
          </w:p>
        </w:tc>
        <w:tc>
          <w:tcPr>
            <w:tcW w:w="537"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25</w:t>
            </w:r>
          </w:p>
        </w:tc>
        <w:tc>
          <w:tcPr>
            <w:tcW w:w="698"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0</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974F32">
        <w:trPr>
          <w:trHeight w:val="255"/>
        </w:trPr>
        <w:tc>
          <w:tcPr>
            <w:tcW w:w="1411"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Omsætningsaktiver i alt</w:t>
            </w:r>
          </w:p>
        </w:tc>
        <w:tc>
          <w:tcPr>
            <w:tcW w:w="839"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4.770</w:t>
            </w:r>
          </w:p>
        </w:tc>
        <w:tc>
          <w:tcPr>
            <w:tcW w:w="755"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2.385</w:t>
            </w:r>
          </w:p>
        </w:tc>
        <w:tc>
          <w:tcPr>
            <w:tcW w:w="760"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2.385</w:t>
            </w:r>
          </w:p>
        </w:tc>
        <w:tc>
          <w:tcPr>
            <w:tcW w:w="537"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2.385</w:t>
            </w:r>
          </w:p>
        </w:tc>
        <w:tc>
          <w:tcPr>
            <w:tcW w:w="698"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0</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974F32">
        <w:trPr>
          <w:trHeight w:val="255"/>
        </w:trPr>
        <w:tc>
          <w:tcPr>
            <w:tcW w:w="1411"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Aktiver i alt</w:t>
            </w:r>
          </w:p>
        </w:tc>
        <w:tc>
          <w:tcPr>
            <w:tcW w:w="839"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9.040</w:t>
            </w:r>
          </w:p>
        </w:tc>
        <w:tc>
          <w:tcPr>
            <w:tcW w:w="755"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4.520</w:t>
            </w:r>
          </w:p>
        </w:tc>
        <w:tc>
          <w:tcPr>
            <w:tcW w:w="760"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3.755</w:t>
            </w:r>
          </w:p>
        </w:tc>
        <w:tc>
          <w:tcPr>
            <w:tcW w:w="537"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5.168</w:t>
            </w:r>
          </w:p>
        </w:tc>
        <w:tc>
          <w:tcPr>
            <w:tcW w:w="698"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1.390</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974F32">
        <w:trPr>
          <w:trHeight w:val="255"/>
        </w:trPr>
        <w:tc>
          <w:tcPr>
            <w:tcW w:w="1411" w:type="pct"/>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Gældsforpligtelser i alt</w:t>
            </w:r>
          </w:p>
        </w:tc>
        <w:tc>
          <w:tcPr>
            <w:tcW w:w="839"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6.679</w:t>
            </w:r>
          </w:p>
        </w:tc>
        <w:tc>
          <w:tcPr>
            <w:tcW w:w="755"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3.340</w:t>
            </w:r>
          </w:p>
        </w:tc>
        <w:tc>
          <w:tcPr>
            <w:tcW w:w="760"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3.285</w:t>
            </w:r>
          </w:p>
        </w:tc>
        <w:tc>
          <w:tcPr>
            <w:tcW w:w="537"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3.285</w:t>
            </w:r>
          </w:p>
        </w:tc>
        <w:tc>
          <w:tcPr>
            <w:tcW w:w="698" w:type="pct"/>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0</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r>
      <w:tr w:rsidR="007235DB" w:rsidRPr="008C297C" w:rsidTr="00974F32">
        <w:trPr>
          <w:trHeight w:val="255"/>
        </w:trPr>
        <w:tc>
          <w:tcPr>
            <w:tcW w:w="2250" w:type="pct"/>
            <w:gridSpan w:val="2"/>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 xml:space="preserve">Kapitalbehov for </w:t>
            </w:r>
            <w:r>
              <w:rPr>
                <w:rFonts w:cs="Arial"/>
                <w:sz w:val="20"/>
                <w:szCs w:val="20"/>
                <w:lang w:eastAsia="da-DK"/>
              </w:rPr>
              <w:t>erhverver</w:t>
            </w: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1.883</w:t>
            </w: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839"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Netto til beskatning</w:t>
            </w:r>
          </w:p>
        </w:tc>
        <w:tc>
          <w:tcPr>
            <w:tcW w:w="839"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1.390</w:t>
            </w:r>
          </w:p>
        </w:tc>
      </w:tr>
      <w:tr w:rsidR="007235DB" w:rsidRPr="008C297C" w:rsidTr="00974F32">
        <w:trPr>
          <w:trHeight w:val="255"/>
        </w:trPr>
        <w:tc>
          <w:tcPr>
            <w:tcW w:w="1411" w:type="pct"/>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Opsparet overskud, brutto</w:t>
            </w:r>
          </w:p>
        </w:tc>
        <w:tc>
          <w:tcPr>
            <w:tcW w:w="839"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812</w:t>
            </w:r>
          </w:p>
        </w:tc>
      </w:tr>
      <w:tr w:rsidR="007235DB" w:rsidRPr="008C297C" w:rsidTr="00974F32">
        <w:trPr>
          <w:trHeight w:val="255"/>
        </w:trPr>
        <w:tc>
          <w:tcPr>
            <w:tcW w:w="2250" w:type="pct"/>
            <w:gridSpan w:val="2"/>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indeholdt aconto virksomhedsskat</w:t>
            </w:r>
          </w:p>
        </w:tc>
        <w:tc>
          <w:tcPr>
            <w:tcW w:w="755"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760" w:type="pct"/>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537"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c>
          <w:tcPr>
            <w:tcW w:w="698" w:type="pct"/>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-241</w:t>
            </w:r>
          </w:p>
        </w:tc>
      </w:tr>
    </w:tbl>
    <w:p w:rsidR="007235DB" w:rsidRPr="0007728E" w:rsidRDefault="00666840" w:rsidP="00666840">
      <w:pPr>
        <w:pStyle w:val="Billedtekst"/>
      </w:pPr>
      <w:bookmarkStart w:id="58" w:name="_Toc218751396"/>
      <w:r>
        <w:t xml:space="preserve">Figur </w:t>
      </w:r>
      <w:fldSimple w:instr=" SEQ Figur \* ARABIC ">
        <w:r w:rsidR="000F066D">
          <w:rPr>
            <w:noProof/>
          </w:rPr>
          <w:t>13</w:t>
        </w:r>
      </w:fldSimple>
      <w:r w:rsidR="007235DB">
        <w:t xml:space="preserve"> Oversigt over skattemæssige værdier, salgssummer og skattepligtige avancer samt kapitalb</w:t>
      </w:r>
      <w:r w:rsidR="007235DB">
        <w:t>e</w:t>
      </w:r>
      <w:r w:rsidR="007235DB">
        <w:t>hov for erhververen og avancer for overdrageren</w:t>
      </w:r>
      <w:bookmarkEnd w:id="58"/>
    </w:p>
    <w:p w:rsidR="007235DB" w:rsidRDefault="007235DB" w:rsidP="007235DB"/>
    <w:p w:rsidR="007235DB" w:rsidRDefault="007235DB" w:rsidP="007235DB">
      <w:r>
        <w:t>Som det fremgår af oversigten kræver overdragelsen at datteren C kan få fremskaffet eller finansieret t.DKK 1.883 til at købe faderens andel, dertil kan komme eventuelle omkostninger i forbindelse med overdragelsen f.eks. advokat, tinglysning mv.</w:t>
      </w:r>
      <w:r>
        <w:br/>
        <w:t xml:space="preserve">De samlede avancer for faderen udgør t.DKK 1.471, da ejendomsavancen bliver negativ </w:t>
      </w:r>
      <w:r>
        <w:lastRenderedPageBreak/>
        <w:t>med t.DKK 278 ud fra de givne forhold kan denne alene modregnes i tilsvarende fre</w:t>
      </w:r>
      <w:r>
        <w:t>m</w:t>
      </w:r>
      <w:r>
        <w:t>tidige tilsvarende avancer. Af de foretagne afskrivninger kommer til t.DKK 809 genb</w:t>
      </w:r>
      <w:r>
        <w:t>e</w:t>
      </w:r>
      <w:r>
        <w:t>skatning, dog kun med 90 %, dvs. t.DKK 728. Beregning af ejendomsavance og ge</w:t>
      </w:r>
      <w:r>
        <w:t>n</w:t>
      </w:r>
      <w:r w:rsidR="00D457AA">
        <w:t>vundne afskrivninger er vist i</w:t>
      </w:r>
      <w:r>
        <w:t xml:space="preserve"> </w:t>
      </w:r>
      <w:r w:rsidR="00012FAC">
        <w:fldChar w:fldCharType="begin"/>
      </w:r>
      <w:r w:rsidR="00D457AA">
        <w:instrText xml:space="preserve"> REF _Ref218748562 \h </w:instrText>
      </w:r>
      <w:r w:rsidR="00012FAC">
        <w:fldChar w:fldCharType="separate"/>
      </w:r>
      <w:r w:rsidR="000F066D">
        <w:t>Bilag 3 – Ejendomsavanceopgørelse ved beskattet ove</w:t>
      </w:r>
      <w:r w:rsidR="000F066D">
        <w:t>r</w:t>
      </w:r>
      <w:r w:rsidR="000F066D">
        <w:t>dragelse</w:t>
      </w:r>
      <w:r w:rsidR="00012FAC">
        <w:fldChar w:fldCharType="end"/>
      </w:r>
      <w:r w:rsidR="00D457AA">
        <w:t>.</w:t>
      </w:r>
    </w:p>
    <w:p w:rsidR="007235DB" w:rsidRDefault="007235DB" w:rsidP="007235DB"/>
    <w:p w:rsidR="007235DB" w:rsidRDefault="007235DB" w:rsidP="007235DB">
      <w:r>
        <w:t>Såfremt at faderen ophører fuldstændigt med at drive erhvervsmæssig virksomhed vil det opsparede overskud skulle indkomstbeskattes, og de aconto betalte skatter af o</w:t>
      </w:r>
      <w:r>
        <w:t>p</w:t>
      </w:r>
      <w:r>
        <w:t>sparet overskud modregnes i den endelige skatteopgørelse.</w:t>
      </w:r>
    </w:p>
    <w:p w:rsidR="007235DB" w:rsidRDefault="007235DB" w:rsidP="007235DB">
      <w:r>
        <w:t>Der kan for faderens situation opstilles følgende scenarie, hvor de faktiske skatter og likviditetsoversigt vises (beløb i t.DKK):</w:t>
      </w:r>
    </w:p>
    <w:p w:rsidR="007235DB" w:rsidRDefault="007235DB" w:rsidP="007235DB"/>
    <w:tbl>
      <w:tblPr>
        <w:tblW w:w="6080" w:type="dxa"/>
        <w:tblInd w:w="55" w:type="dxa"/>
        <w:tblCellMar>
          <w:left w:w="70" w:type="dxa"/>
          <w:right w:w="70" w:type="dxa"/>
        </w:tblCellMar>
        <w:tblLook w:val="0000"/>
      </w:tblPr>
      <w:tblGrid>
        <w:gridCol w:w="2880"/>
        <w:gridCol w:w="1600"/>
        <w:gridCol w:w="1600"/>
      </w:tblGrid>
      <w:tr w:rsidR="007235DB" w:rsidRPr="008C297C" w:rsidTr="00A71657">
        <w:trPr>
          <w:trHeight w:val="255"/>
        </w:trPr>
        <w:tc>
          <w:tcPr>
            <w:tcW w:w="2880" w:type="dxa"/>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Avancer til beskatning</w:t>
            </w:r>
          </w:p>
        </w:tc>
        <w:tc>
          <w:tcPr>
            <w:tcW w:w="160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1.390</w:t>
            </w:r>
          </w:p>
        </w:tc>
      </w:tr>
      <w:tr w:rsidR="007235DB" w:rsidRPr="008C297C" w:rsidTr="00A71657">
        <w:trPr>
          <w:trHeight w:val="255"/>
        </w:trPr>
        <w:tc>
          <w:tcPr>
            <w:tcW w:w="2880" w:type="dxa"/>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Opsparet overskud</w:t>
            </w:r>
          </w:p>
        </w:tc>
        <w:tc>
          <w:tcPr>
            <w:tcW w:w="1600" w:type="dxa"/>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 </w:t>
            </w:r>
          </w:p>
        </w:tc>
        <w:tc>
          <w:tcPr>
            <w:tcW w:w="1600" w:type="dxa"/>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812</w:t>
            </w:r>
          </w:p>
        </w:tc>
      </w:tr>
      <w:tr w:rsidR="007235DB" w:rsidRPr="008C297C" w:rsidTr="00A71657">
        <w:trPr>
          <w:trHeight w:val="255"/>
        </w:trPr>
        <w:tc>
          <w:tcPr>
            <w:tcW w:w="288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A71657">
        <w:trPr>
          <w:trHeight w:val="255"/>
        </w:trPr>
        <w:tc>
          <w:tcPr>
            <w:tcW w:w="2880" w:type="dxa"/>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Samlet til beskatning</w:t>
            </w:r>
          </w:p>
        </w:tc>
        <w:tc>
          <w:tcPr>
            <w:tcW w:w="1600" w:type="dxa"/>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 </w:t>
            </w:r>
          </w:p>
        </w:tc>
        <w:tc>
          <w:tcPr>
            <w:tcW w:w="1600" w:type="dxa"/>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2.202</w:t>
            </w:r>
          </w:p>
        </w:tc>
      </w:tr>
      <w:tr w:rsidR="007235DB" w:rsidRPr="008C297C" w:rsidTr="00A71657">
        <w:trPr>
          <w:trHeight w:val="255"/>
        </w:trPr>
        <w:tc>
          <w:tcPr>
            <w:tcW w:w="288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A71657">
        <w:trPr>
          <w:trHeight w:val="255"/>
        </w:trPr>
        <w:tc>
          <w:tcPr>
            <w:tcW w:w="4480" w:type="dxa"/>
            <w:gridSpan w:val="2"/>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Marginalt maks. skat inkl. AM-bidrag</w:t>
            </w: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1.387</w:t>
            </w:r>
          </w:p>
        </w:tc>
      </w:tr>
      <w:tr w:rsidR="007235DB" w:rsidRPr="008C297C" w:rsidTr="00A71657">
        <w:trPr>
          <w:trHeight w:val="255"/>
        </w:trPr>
        <w:tc>
          <w:tcPr>
            <w:tcW w:w="4480" w:type="dxa"/>
            <w:gridSpan w:val="2"/>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Aconto indeholdt virksomhedsskat</w:t>
            </w:r>
          </w:p>
        </w:tc>
        <w:tc>
          <w:tcPr>
            <w:tcW w:w="1600" w:type="dxa"/>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-241</w:t>
            </w:r>
          </w:p>
        </w:tc>
      </w:tr>
      <w:tr w:rsidR="007235DB" w:rsidRPr="008C297C" w:rsidTr="00A71657">
        <w:trPr>
          <w:trHeight w:val="255"/>
        </w:trPr>
        <w:tc>
          <w:tcPr>
            <w:tcW w:w="288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A71657">
        <w:trPr>
          <w:trHeight w:val="255"/>
        </w:trPr>
        <w:tc>
          <w:tcPr>
            <w:tcW w:w="4480" w:type="dxa"/>
            <w:gridSpan w:val="2"/>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Samlet faktisk skattebetaling </w:t>
            </w:r>
          </w:p>
        </w:tc>
        <w:tc>
          <w:tcPr>
            <w:tcW w:w="1600" w:type="dxa"/>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1.146</w:t>
            </w:r>
          </w:p>
        </w:tc>
      </w:tr>
      <w:tr w:rsidR="007235DB" w:rsidRPr="008C297C" w:rsidTr="00A71657">
        <w:trPr>
          <w:trHeight w:val="255"/>
        </w:trPr>
        <w:tc>
          <w:tcPr>
            <w:tcW w:w="288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A71657">
        <w:trPr>
          <w:trHeight w:val="255"/>
        </w:trPr>
        <w:tc>
          <w:tcPr>
            <w:tcW w:w="2880" w:type="dxa"/>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Likviditet:</w:t>
            </w:r>
          </w:p>
        </w:tc>
        <w:tc>
          <w:tcPr>
            <w:tcW w:w="160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A71657">
        <w:trPr>
          <w:trHeight w:val="255"/>
        </w:trPr>
        <w:tc>
          <w:tcPr>
            <w:tcW w:w="4480" w:type="dxa"/>
            <w:gridSpan w:val="2"/>
            <w:tcBorders>
              <w:top w:val="nil"/>
              <w:left w:val="nil"/>
              <w:bottom w:val="nil"/>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Kontant fra salg af virksomhed</w:t>
            </w: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1.883</w:t>
            </w:r>
          </w:p>
        </w:tc>
      </w:tr>
      <w:tr w:rsidR="007235DB" w:rsidRPr="008C297C" w:rsidTr="00A71657">
        <w:trPr>
          <w:trHeight w:val="255"/>
        </w:trPr>
        <w:tc>
          <w:tcPr>
            <w:tcW w:w="2880" w:type="dxa"/>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Faktisk skattebetaling</w:t>
            </w:r>
          </w:p>
        </w:tc>
        <w:tc>
          <w:tcPr>
            <w:tcW w:w="1600" w:type="dxa"/>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 </w:t>
            </w:r>
          </w:p>
        </w:tc>
        <w:tc>
          <w:tcPr>
            <w:tcW w:w="1600" w:type="dxa"/>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-1.146</w:t>
            </w:r>
          </w:p>
        </w:tc>
      </w:tr>
      <w:tr w:rsidR="007235DB" w:rsidRPr="008C297C" w:rsidTr="00A71657">
        <w:trPr>
          <w:trHeight w:val="255"/>
        </w:trPr>
        <w:tc>
          <w:tcPr>
            <w:tcW w:w="288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rPr>
                <w:rFonts w:cs="Arial"/>
                <w:sz w:val="20"/>
                <w:szCs w:val="20"/>
                <w:lang w:eastAsia="da-DK"/>
              </w:rPr>
            </w:pPr>
          </w:p>
        </w:tc>
        <w:tc>
          <w:tcPr>
            <w:tcW w:w="1600" w:type="dxa"/>
            <w:tcBorders>
              <w:top w:val="nil"/>
              <w:left w:val="nil"/>
              <w:bottom w:val="nil"/>
              <w:right w:val="nil"/>
            </w:tcBorders>
            <w:noWrap/>
            <w:vAlign w:val="bottom"/>
          </w:tcPr>
          <w:p w:rsidR="007235DB" w:rsidRPr="008C297C" w:rsidRDefault="007235DB" w:rsidP="00A71657">
            <w:pPr>
              <w:jc w:val="right"/>
              <w:rPr>
                <w:rFonts w:cs="Arial"/>
                <w:sz w:val="20"/>
                <w:szCs w:val="20"/>
                <w:lang w:eastAsia="da-DK"/>
              </w:rPr>
            </w:pPr>
          </w:p>
        </w:tc>
      </w:tr>
      <w:tr w:rsidR="007235DB" w:rsidRPr="008C297C" w:rsidTr="00A71657">
        <w:trPr>
          <w:trHeight w:val="255"/>
        </w:trPr>
        <w:tc>
          <w:tcPr>
            <w:tcW w:w="2880" w:type="dxa"/>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Provenu</w:t>
            </w:r>
          </w:p>
        </w:tc>
        <w:tc>
          <w:tcPr>
            <w:tcW w:w="1600" w:type="dxa"/>
            <w:tcBorders>
              <w:top w:val="nil"/>
              <w:left w:val="nil"/>
              <w:bottom w:val="single" w:sz="4" w:space="0" w:color="auto"/>
              <w:right w:val="nil"/>
            </w:tcBorders>
            <w:noWrap/>
            <w:vAlign w:val="bottom"/>
          </w:tcPr>
          <w:p w:rsidR="007235DB" w:rsidRPr="008C297C" w:rsidRDefault="007235DB" w:rsidP="00A71657">
            <w:pPr>
              <w:rPr>
                <w:rFonts w:cs="Arial"/>
                <w:sz w:val="20"/>
                <w:szCs w:val="20"/>
                <w:lang w:eastAsia="da-DK"/>
              </w:rPr>
            </w:pPr>
            <w:r w:rsidRPr="008C297C">
              <w:rPr>
                <w:rFonts w:cs="Arial"/>
                <w:sz w:val="20"/>
                <w:szCs w:val="20"/>
                <w:lang w:eastAsia="da-DK"/>
              </w:rPr>
              <w:t> </w:t>
            </w:r>
          </w:p>
        </w:tc>
        <w:tc>
          <w:tcPr>
            <w:tcW w:w="1600" w:type="dxa"/>
            <w:tcBorders>
              <w:top w:val="nil"/>
              <w:left w:val="nil"/>
              <w:bottom w:val="single" w:sz="4" w:space="0" w:color="auto"/>
              <w:right w:val="nil"/>
            </w:tcBorders>
            <w:noWrap/>
            <w:vAlign w:val="bottom"/>
          </w:tcPr>
          <w:p w:rsidR="007235DB" w:rsidRPr="008C297C" w:rsidRDefault="007235DB" w:rsidP="00A71657">
            <w:pPr>
              <w:jc w:val="right"/>
              <w:rPr>
                <w:rFonts w:cs="Arial"/>
                <w:sz w:val="20"/>
                <w:szCs w:val="20"/>
                <w:lang w:eastAsia="da-DK"/>
              </w:rPr>
            </w:pPr>
            <w:r w:rsidRPr="008C297C">
              <w:rPr>
                <w:rFonts w:cs="Arial"/>
                <w:sz w:val="20"/>
                <w:szCs w:val="20"/>
                <w:lang w:eastAsia="da-DK"/>
              </w:rPr>
              <w:t>736</w:t>
            </w:r>
          </w:p>
        </w:tc>
      </w:tr>
    </w:tbl>
    <w:p w:rsidR="007235DB" w:rsidRPr="0007728E" w:rsidRDefault="00666840" w:rsidP="00666840">
      <w:pPr>
        <w:pStyle w:val="Billedtekst"/>
      </w:pPr>
      <w:bookmarkStart w:id="59" w:name="_Toc218751397"/>
      <w:r>
        <w:t xml:space="preserve">Figur </w:t>
      </w:r>
      <w:fldSimple w:instr=" SEQ Figur \* ARABIC ">
        <w:r w:rsidR="000F066D">
          <w:rPr>
            <w:noProof/>
          </w:rPr>
          <w:t>14</w:t>
        </w:r>
      </w:fldSimple>
      <w:r w:rsidR="007235DB">
        <w:t xml:space="preserve"> Oversigt over likviditet og skattebetaling ved beskattet overdragelse</w:t>
      </w:r>
      <w:bookmarkEnd w:id="59"/>
    </w:p>
    <w:p w:rsidR="007235DB" w:rsidRDefault="007235DB" w:rsidP="007235DB"/>
    <w:p w:rsidR="007235DB" w:rsidRDefault="007235DB" w:rsidP="007235DB">
      <w:r>
        <w:t>Som det fremgår af ovennævnte afsnit vil en beskattet overdragelse kræve stor likvid</w:t>
      </w:r>
      <w:r>
        <w:t>i</w:t>
      </w:r>
      <w:r>
        <w:t>tet for erhververen af virksomhedsandelen. Der er som anført et likviditetsbehov på t.DKK 1.883.</w:t>
      </w:r>
    </w:p>
    <w:p w:rsidR="007235DB" w:rsidRDefault="007235DB" w:rsidP="007235DB">
      <w:r>
        <w:lastRenderedPageBreak/>
        <w:t>Likviditetsbehovet hos datteren kunne løses ved at der etableres et uforrentet anfo</w:t>
      </w:r>
      <w:r>
        <w:t>r</w:t>
      </w:r>
      <w:r>
        <w:t>dringsgældsbrev mellem hende og faderen på overdragelsessummen, derved behøver datteren ikke at skulle ud på lånemarkedet, hvis hun ikke har midler selv. Anfordring</w:t>
      </w:r>
      <w:r>
        <w:t>s</w:t>
      </w:r>
      <w:r>
        <w:t>gældsbrevet</w:t>
      </w:r>
      <w:r>
        <w:rPr>
          <w:rStyle w:val="Fodnotehenvisning"/>
        </w:rPr>
        <w:footnoteReference w:id="54"/>
      </w:r>
      <w:r>
        <w:t xml:space="preserve"> kan henover de kommende år nedskrives med årlige maksimumbeløb for afgiftsfrie gavebeløb.</w:t>
      </w:r>
    </w:p>
    <w:p w:rsidR="007235DB" w:rsidRDefault="007235DB" w:rsidP="007235DB">
      <w:r>
        <w:t>Afhængig af anfordringsgældsbrevets størrelse vil det til gengæld betyde, at faderen kan komme til at mangle likviditet til at afregne skatten med i forbindelse med afståe</w:t>
      </w:r>
      <w:r>
        <w:t>l</w:t>
      </w:r>
      <w:r>
        <w:t>sen.</w:t>
      </w:r>
    </w:p>
    <w:p w:rsidR="00D34604" w:rsidRDefault="00D34604" w:rsidP="00D34604"/>
    <w:p w:rsidR="007A35E5" w:rsidRDefault="00312092" w:rsidP="00312092">
      <w:pPr>
        <w:pStyle w:val="Overskrift4"/>
      </w:pPr>
      <w:bookmarkStart w:id="60" w:name="_Ref218750457"/>
      <w:bookmarkStart w:id="61" w:name="_Toc221546198"/>
      <w:r>
        <w:t>3.1.</w:t>
      </w:r>
      <w:r w:rsidR="00A71657">
        <w:t>6</w:t>
      </w:r>
      <w:r>
        <w:t>.2</w:t>
      </w:r>
      <w:r w:rsidR="00AF2D39">
        <w:t xml:space="preserve"> Overdragelse ve</w:t>
      </w:r>
      <w:r w:rsidR="007A35E5">
        <w:t xml:space="preserve">d optagelse af </w:t>
      </w:r>
      <w:r w:rsidR="00617CE3">
        <w:t xml:space="preserve">en </w:t>
      </w:r>
      <w:r w:rsidR="007A35E5">
        <w:t>interessent</w:t>
      </w:r>
      <w:bookmarkEnd w:id="60"/>
      <w:r w:rsidR="00627158">
        <w:t xml:space="preserve"> </w:t>
      </w:r>
      <w:r w:rsidR="00627158">
        <w:rPr>
          <w:b w:val="0"/>
          <w:sz w:val="22"/>
          <w:szCs w:val="22"/>
        </w:rPr>
        <w:t>(Jane</w:t>
      </w:r>
      <w:r w:rsidR="00627158" w:rsidRPr="00E75844">
        <w:rPr>
          <w:b w:val="0"/>
          <w:sz w:val="22"/>
          <w:szCs w:val="22"/>
        </w:rPr>
        <w:t>)</w:t>
      </w:r>
      <w:bookmarkEnd w:id="61"/>
    </w:p>
    <w:p w:rsidR="00974F32" w:rsidRDefault="007235DB">
      <w:r>
        <w:t>Det er også en mulighed at datteren C indtræder i interessentskabet, således at I/S’et vil komme til at bestå af A, B og C og disse ejer hver en lige stor tredjedel af intere</w:t>
      </w:r>
      <w:r>
        <w:t>s</w:t>
      </w:r>
      <w:r>
        <w:t>sentskabet. For at C kan komme til at eje en tredjedel af virksomheden, vil hver af de eksisterende interessenter afstå en ideel andel af deres del af virksomheden. Dette får den konsekvens at der skal opgøres avanceopgørelser for hver interessent, da der sker delafståelse af en ideel andel.</w:t>
      </w:r>
    </w:p>
    <w:p w:rsidR="00974F32" w:rsidRDefault="00974F32">
      <w:r>
        <w:br w:type="page"/>
      </w:r>
    </w:p>
    <w:tbl>
      <w:tblPr>
        <w:tblW w:w="7440" w:type="dxa"/>
        <w:tblInd w:w="55" w:type="dxa"/>
        <w:tblCellMar>
          <w:left w:w="70" w:type="dxa"/>
          <w:right w:w="70" w:type="dxa"/>
        </w:tblCellMar>
        <w:tblLook w:val="0000"/>
      </w:tblPr>
      <w:tblGrid>
        <w:gridCol w:w="2700"/>
        <w:gridCol w:w="1580"/>
        <w:gridCol w:w="1580"/>
        <w:gridCol w:w="1580"/>
      </w:tblGrid>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Resultatopgørelse</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2008</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Beløb i t.DKK</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01.01.-30.06.</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Resultat af primær drift</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950</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Renteindtægter</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25</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Renteomkostninger</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125</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Årets resultat</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850</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Balance</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Samlet balance</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Ideel andel til</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Beløb i t.DKK</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30.06.08</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overdragelse</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Salgssum</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Goodwill</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190</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Ejendom</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2.987</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996</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1.667</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Indretning lejede lokaler</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690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230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300</w:t>
            </w: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Driftsmateriel og inventar</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371</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124</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200</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Anlægsaktiver i alt</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4.048</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1.349</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2.167</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Varelager</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2.140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713</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713</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Debitorer</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1.880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627</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627</w:t>
            </w: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Likvide beholdninger</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50</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17</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17</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Omsætningsaktiver i alt</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4.070</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1.357</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1.357</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Aktiver i alt</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8.118</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2.706</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3.524</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Kapitalkonto A</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1.000</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Kapitalkonto B</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1.000</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Mellemregning interessenter</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255</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 </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 </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Egenkapital i alt</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2.255</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 </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 </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Prioritetsgæld ejendom</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1.870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623</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623</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Driftskredit</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2.100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700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700</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Leverandører</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1.480</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493</w:t>
            </w: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493</w:t>
            </w: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Anden gæld</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413</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138</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138</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Gældsforpligtelser i alt</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5.863</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1.954</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1.954</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single" w:sz="4" w:space="0" w:color="auto"/>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Passiver i alt</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8.118</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1.954</w:t>
            </w:r>
          </w:p>
        </w:tc>
        <w:tc>
          <w:tcPr>
            <w:tcW w:w="1580" w:type="dxa"/>
            <w:tcBorders>
              <w:top w:val="nil"/>
              <w:left w:val="nil"/>
              <w:bottom w:val="single" w:sz="4" w:space="0" w:color="auto"/>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1.954</w:t>
            </w: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r>
      <w:tr w:rsidR="007235DB" w:rsidRPr="00F634D1" w:rsidTr="00A71657">
        <w:trPr>
          <w:trHeight w:val="255"/>
        </w:trPr>
        <w:tc>
          <w:tcPr>
            <w:tcW w:w="270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r w:rsidRPr="00F634D1">
              <w:rPr>
                <w:rFonts w:cs="Arial"/>
                <w:sz w:val="20"/>
                <w:szCs w:val="20"/>
                <w:lang w:eastAsia="da-DK"/>
              </w:rPr>
              <w:t>Kapitalbehov for C</w:t>
            </w: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left"/>
              <w:rPr>
                <w:rFonts w:cs="Arial"/>
                <w:sz w:val="20"/>
                <w:szCs w:val="20"/>
                <w:lang w:eastAsia="da-DK"/>
              </w:rPr>
            </w:pPr>
          </w:p>
        </w:tc>
        <w:tc>
          <w:tcPr>
            <w:tcW w:w="1580" w:type="dxa"/>
            <w:tcBorders>
              <w:top w:val="nil"/>
              <w:left w:val="nil"/>
              <w:bottom w:val="nil"/>
              <w:right w:val="nil"/>
            </w:tcBorders>
            <w:noWrap/>
            <w:vAlign w:val="bottom"/>
          </w:tcPr>
          <w:p w:rsidR="007235DB" w:rsidRPr="00F634D1" w:rsidRDefault="007235DB" w:rsidP="00A71657">
            <w:pPr>
              <w:spacing w:line="240" w:lineRule="auto"/>
              <w:jc w:val="right"/>
              <w:rPr>
                <w:rFonts w:cs="Arial"/>
                <w:sz w:val="20"/>
                <w:szCs w:val="20"/>
                <w:lang w:eastAsia="da-DK"/>
              </w:rPr>
            </w:pPr>
            <w:r w:rsidRPr="00F634D1">
              <w:rPr>
                <w:rFonts w:cs="Arial"/>
                <w:sz w:val="20"/>
                <w:szCs w:val="20"/>
                <w:lang w:eastAsia="da-DK"/>
              </w:rPr>
              <w:t>1.569</w:t>
            </w:r>
          </w:p>
        </w:tc>
      </w:tr>
    </w:tbl>
    <w:p w:rsidR="007235DB" w:rsidRPr="0007728E" w:rsidRDefault="00666840" w:rsidP="00666840">
      <w:pPr>
        <w:pStyle w:val="Billedtekst"/>
      </w:pPr>
      <w:bookmarkStart w:id="62" w:name="_Toc218751398"/>
      <w:r>
        <w:t xml:space="preserve">Figur </w:t>
      </w:r>
      <w:fldSimple w:instr=" SEQ Figur \* ARABIC ">
        <w:r w:rsidR="000F066D">
          <w:rPr>
            <w:noProof/>
          </w:rPr>
          <w:t>15</w:t>
        </w:r>
      </w:fldSimple>
      <w:r w:rsidR="007235DB">
        <w:t xml:space="preserve"> Oversigt over bogførte værdier og overdragelsessummer ved optagelse af interessent samt kapitalbehov for erhverver</w:t>
      </w:r>
      <w:bookmarkEnd w:id="62"/>
    </w:p>
    <w:p w:rsidR="007235DB" w:rsidRDefault="007235DB" w:rsidP="007235DB">
      <w:r>
        <w:lastRenderedPageBreak/>
        <w:t>Det er her forudsat at overdragelsen sker pr. 30.06.08, og derved udarbejdes et delår</w:t>
      </w:r>
      <w:r>
        <w:t>s</w:t>
      </w:r>
      <w:r>
        <w:t>regnskab med henblik på at afstå 1/3 af virksomheden til datteren C. Der er taget u</w:t>
      </w:r>
      <w:r>
        <w:t>d</w:t>
      </w:r>
      <w:r>
        <w:t>gangspunkt i at den samlede goodwill-værdi er den samme som tidligere beregnet; t.DKK 580, hvor C køber en tredjedel heraf, svarende til t.DKK 190. Ejendommen del</w:t>
      </w:r>
      <w:r>
        <w:softHyphen/>
        <w:t>afståes til handelsværdien som samlet udgør t.DKK 5.000, hvorefter andelen, der ove</w:t>
      </w:r>
      <w:r>
        <w:t>r</w:t>
      </w:r>
      <w:r>
        <w:t>drages vil udgøre t.DKK 1.667. Principielt vil datteren C vil dog kunne erhverve andelen fra sin far til ejendomsværdien – 15 %, da der er tale om handel mellem nærtstående jf. BAL, mens andelen efter B, som er onkel til C, vil der skulle handles til handelsværd</w:t>
      </w:r>
      <w:r>
        <w:t>i</w:t>
      </w:r>
      <w:r>
        <w:t>en</w:t>
      </w:r>
      <w:r w:rsidR="00666840">
        <w:rPr>
          <w:rStyle w:val="Fodnotehenvisning"/>
        </w:rPr>
        <w:footnoteReference w:id="55"/>
      </w:r>
      <w:r>
        <w:t>. For ikke at gøre beregningen yderligere kompliceret er det derfor valgt at bere</w:t>
      </w:r>
      <w:r>
        <w:t>g</w:t>
      </w:r>
      <w:r>
        <w:t xml:space="preserve">ne på afståelse til handelsværdien jf. ovenfor. </w:t>
      </w:r>
    </w:p>
    <w:p w:rsidR="007235DB" w:rsidRDefault="007235DB" w:rsidP="007235DB">
      <w:r>
        <w:t>Indretning af lejede lokaler samt driftsmateriel og inventar afstås ligeledes til de sa</w:t>
      </w:r>
      <w:r>
        <w:t>m</w:t>
      </w:r>
      <w:r>
        <w:t>me salgssummer som i forrige afsnit, nu blot med den forskel at der erhverves en 1/3 af disse aktiver. Alle de øvrige aktiver handles til andelen af de bogførte værdier.</w:t>
      </w:r>
    </w:p>
    <w:p w:rsidR="007235DB" w:rsidRDefault="007235DB" w:rsidP="007235DB">
      <w:r>
        <w:t xml:space="preserve">Det samlede kapitalbehov for C udgør </w:t>
      </w:r>
      <w:r w:rsidR="00666840">
        <w:t>som opgjort ovenfor t.DKK 1.569, hvilket er m</w:t>
      </w:r>
      <w:r w:rsidR="00666840">
        <w:t>e</w:t>
      </w:r>
      <w:r w:rsidR="00666840">
        <w:t>get tæt på beløbet som ved køb af den ideelle andel som omtalt i afsnit ”</w:t>
      </w:r>
      <w:r w:rsidR="00012FAC">
        <w:fldChar w:fldCharType="begin"/>
      </w:r>
      <w:r w:rsidR="00666840">
        <w:instrText xml:space="preserve"> REF _Ref218750321 \h </w:instrText>
      </w:r>
      <w:r w:rsidR="00012FAC">
        <w:fldChar w:fldCharType="separate"/>
      </w:r>
      <w:r w:rsidR="000F066D">
        <w:t>3.1.6.1</w:t>
      </w:r>
      <w:r w:rsidR="000F066D" w:rsidRPr="00AF2D39">
        <w:t xml:space="preserve"> </w:t>
      </w:r>
      <w:r w:rsidR="000F066D">
        <w:t>Ove</w:t>
      </w:r>
      <w:r w:rsidR="000F066D">
        <w:t>r</w:t>
      </w:r>
      <w:r w:rsidR="000F066D">
        <w:t>dragelse ved køb af ideel andel, skattemæssige konsekvenser herved</w:t>
      </w:r>
      <w:r w:rsidR="00012FAC">
        <w:fldChar w:fldCharType="end"/>
      </w:r>
      <w:r w:rsidR="00666840">
        <w:t>” – forskellen skyldes at ejendommen overdrages til en større værdi i dette eksempel.</w:t>
      </w:r>
    </w:p>
    <w:p w:rsidR="007235DB" w:rsidRDefault="007235DB" w:rsidP="007235DB"/>
    <w:p w:rsidR="007235DB" w:rsidRDefault="007235DB" w:rsidP="007235DB">
      <w:r>
        <w:t>Den helt særlige problemstilling for interessentskaber viser sig, når der skal udarbejdes de skattemæssige opgørelser for interessent A og B. De vises nedenfor, hvor der for</w:t>
      </w:r>
      <w:r>
        <w:t>e</w:t>
      </w:r>
      <w:r>
        <w:t>tages avanceopgørelser for goodwill, ejendom, indretning af lejede lokaler samt driftsmidler. Hver gang der sker en forskydning i ejerforholdene skal der opgøres ava</w:t>
      </w:r>
      <w:r>
        <w:t>n</w:t>
      </w:r>
      <w:r>
        <w:t>cer og tab for hvert enkelt aktiv som vist nedenfor</w:t>
      </w:r>
      <w:r w:rsidR="00666840">
        <w:t>, hvor det er forudsat at der ikke er sket yderligere til- og afgange i året</w:t>
      </w:r>
      <w:r>
        <w:t>. Et generationsskifte med glidende overgange, hvor den indtrædende interessent erhverver ideelle andele fra de øvrige eller en af interessenter resulterer i en avanceopgørelse for de involverede interessenter.</w:t>
      </w:r>
    </w:p>
    <w:p w:rsidR="007235DB" w:rsidRDefault="007235DB" w:rsidP="007235DB"/>
    <w:tbl>
      <w:tblPr>
        <w:tblW w:w="6720" w:type="dxa"/>
        <w:tblInd w:w="55" w:type="dxa"/>
        <w:tblCellMar>
          <w:left w:w="70" w:type="dxa"/>
          <w:right w:w="70" w:type="dxa"/>
        </w:tblCellMar>
        <w:tblLook w:val="0000"/>
      </w:tblPr>
      <w:tblGrid>
        <w:gridCol w:w="960"/>
        <w:gridCol w:w="960"/>
        <w:gridCol w:w="960"/>
        <w:gridCol w:w="960"/>
        <w:gridCol w:w="960"/>
        <w:gridCol w:w="960"/>
        <w:gridCol w:w="960"/>
      </w:tblGrid>
      <w:tr w:rsidR="007235DB" w:rsidRPr="00535E0B" w:rsidTr="00A71657">
        <w:trPr>
          <w:trHeight w:val="255"/>
        </w:trPr>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right"/>
              <w:rPr>
                <w:rFonts w:cs="Arial"/>
                <w:b/>
                <w:bCs/>
                <w:sz w:val="20"/>
                <w:szCs w:val="20"/>
                <w:lang w:eastAsia="da-DK"/>
              </w:rPr>
            </w:pPr>
            <w:r w:rsidRPr="00535E0B">
              <w:rPr>
                <w:rFonts w:cs="Arial"/>
                <w:b/>
                <w:bCs/>
                <w:sz w:val="20"/>
                <w:szCs w:val="20"/>
                <w:lang w:eastAsia="da-DK"/>
              </w:rPr>
              <w:t>C</w:t>
            </w:r>
          </w:p>
        </w:tc>
        <w:tc>
          <w:tcPr>
            <w:tcW w:w="960" w:type="dxa"/>
            <w:tcBorders>
              <w:top w:val="nil"/>
              <w:left w:val="nil"/>
              <w:bottom w:val="nil"/>
              <w:right w:val="nil"/>
            </w:tcBorders>
            <w:noWrap/>
            <w:vAlign w:val="bottom"/>
          </w:tcPr>
          <w:p w:rsidR="007235DB" w:rsidRPr="00535E0B" w:rsidRDefault="007235DB" w:rsidP="00A71657">
            <w:pPr>
              <w:spacing w:line="240" w:lineRule="auto"/>
              <w:jc w:val="right"/>
              <w:rPr>
                <w:rFonts w:cs="Arial"/>
                <w:b/>
                <w:bCs/>
                <w:sz w:val="20"/>
                <w:szCs w:val="20"/>
                <w:lang w:eastAsia="da-DK"/>
              </w:rPr>
            </w:pPr>
            <w:r w:rsidRPr="00535E0B">
              <w:rPr>
                <w:rFonts w:cs="Arial"/>
                <w:b/>
                <w:bCs/>
                <w:sz w:val="20"/>
                <w:szCs w:val="20"/>
                <w:lang w:eastAsia="da-DK"/>
              </w:rPr>
              <w:t>B</w:t>
            </w:r>
          </w:p>
        </w:tc>
        <w:tc>
          <w:tcPr>
            <w:tcW w:w="960" w:type="dxa"/>
            <w:tcBorders>
              <w:top w:val="nil"/>
              <w:left w:val="nil"/>
              <w:bottom w:val="nil"/>
              <w:right w:val="nil"/>
            </w:tcBorders>
            <w:noWrap/>
            <w:vAlign w:val="bottom"/>
          </w:tcPr>
          <w:p w:rsidR="007235DB" w:rsidRPr="00535E0B" w:rsidRDefault="007235DB" w:rsidP="00A71657">
            <w:pPr>
              <w:spacing w:line="240" w:lineRule="auto"/>
              <w:jc w:val="right"/>
              <w:rPr>
                <w:rFonts w:cs="Arial"/>
                <w:b/>
                <w:bCs/>
                <w:sz w:val="20"/>
                <w:szCs w:val="20"/>
                <w:lang w:eastAsia="da-DK"/>
              </w:rPr>
            </w:pPr>
            <w:r w:rsidRPr="00535E0B">
              <w:rPr>
                <w:rFonts w:cs="Arial"/>
                <w:b/>
                <w:bCs/>
                <w:sz w:val="20"/>
                <w:szCs w:val="20"/>
                <w:lang w:eastAsia="da-DK"/>
              </w:rPr>
              <w:t>A</w:t>
            </w:r>
          </w:p>
        </w:tc>
      </w:tr>
      <w:tr w:rsidR="007235DB" w:rsidRPr="00535E0B" w:rsidTr="00A71657">
        <w:trPr>
          <w:trHeight w:val="255"/>
        </w:trPr>
        <w:tc>
          <w:tcPr>
            <w:tcW w:w="3840" w:type="dxa"/>
            <w:gridSpan w:val="4"/>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Skattemæssig</w:t>
            </w:r>
            <w:r>
              <w:rPr>
                <w:rFonts w:cs="Arial"/>
                <w:sz w:val="20"/>
                <w:szCs w:val="20"/>
                <w:lang w:eastAsia="da-DK"/>
              </w:rPr>
              <w:t>e</w:t>
            </w:r>
            <w:r w:rsidRPr="00535E0B">
              <w:rPr>
                <w:rFonts w:cs="Arial"/>
                <w:sz w:val="20"/>
                <w:szCs w:val="20"/>
                <w:lang w:eastAsia="da-DK"/>
              </w:rPr>
              <w:t xml:space="preserve"> </w:t>
            </w:r>
            <w:r>
              <w:rPr>
                <w:rFonts w:cs="Arial"/>
                <w:sz w:val="20"/>
                <w:szCs w:val="20"/>
                <w:lang w:eastAsia="da-DK"/>
              </w:rPr>
              <w:t>opgørelser for</w:t>
            </w:r>
            <w:r w:rsidRPr="00535E0B">
              <w:rPr>
                <w:rFonts w:cs="Arial"/>
                <w:sz w:val="20"/>
                <w:szCs w:val="20"/>
                <w:lang w:eastAsia="da-DK"/>
              </w:rPr>
              <w:t xml:space="preserve"> goodwill</w:t>
            </w: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r>
      <w:tr w:rsidR="007235DB" w:rsidRPr="00535E0B" w:rsidTr="00A71657">
        <w:trPr>
          <w:trHeight w:val="255"/>
        </w:trPr>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r>
      <w:tr w:rsidR="007235DB" w:rsidRPr="00535E0B" w:rsidTr="00A71657">
        <w:trPr>
          <w:trHeight w:val="255"/>
        </w:trPr>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Kostpris</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190</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0</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0</w:t>
            </w:r>
          </w:p>
        </w:tc>
      </w:tr>
      <w:tr w:rsidR="007235DB" w:rsidRPr="00535E0B" w:rsidTr="00A71657">
        <w:trPr>
          <w:trHeight w:val="255"/>
        </w:trPr>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r>
      <w:tr w:rsidR="007235DB" w:rsidRPr="00535E0B" w:rsidTr="00A71657">
        <w:trPr>
          <w:trHeight w:val="255"/>
        </w:trPr>
        <w:tc>
          <w:tcPr>
            <w:tcW w:w="1920" w:type="dxa"/>
            <w:gridSpan w:val="2"/>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Årets afskrivning</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27</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0</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0</w:t>
            </w:r>
          </w:p>
        </w:tc>
      </w:tr>
      <w:tr w:rsidR="007235DB" w:rsidRPr="00535E0B" w:rsidTr="00A71657">
        <w:trPr>
          <w:trHeight w:val="255"/>
        </w:trPr>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r>
      <w:tr w:rsidR="007235DB" w:rsidRPr="00535E0B" w:rsidTr="00A71657">
        <w:trPr>
          <w:trHeight w:val="255"/>
        </w:trPr>
        <w:tc>
          <w:tcPr>
            <w:tcW w:w="2880" w:type="dxa"/>
            <w:gridSpan w:val="3"/>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Skattemæssig værdi 31.12.</w:t>
            </w:r>
            <w:r>
              <w:rPr>
                <w:rFonts w:cs="Arial"/>
                <w:sz w:val="20"/>
                <w:szCs w:val="20"/>
                <w:lang w:eastAsia="da-DK"/>
              </w:rPr>
              <w:t>20</w:t>
            </w:r>
            <w:r w:rsidRPr="00535E0B">
              <w:rPr>
                <w:rFonts w:cs="Arial"/>
                <w:sz w:val="20"/>
                <w:szCs w:val="20"/>
                <w:lang w:eastAsia="da-DK"/>
              </w:rPr>
              <w:t>08</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163</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0</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0</w:t>
            </w:r>
          </w:p>
        </w:tc>
      </w:tr>
      <w:tr w:rsidR="007235DB" w:rsidRPr="00535E0B" w:rsidTr="00A71657">
        <w:trPr>
          <w:trHeight w:val="255"/>
        </w:trPr>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r>
      <w:tr w:rsidR="007235DB" w:rsidRPr="00535E0B" w:rsidTr="00A71657">
        <w:trPr>
          <w:trHeight w:val="255"/>
        </w:trPr>
        <w:tc>
          <w:tcPr>
            <w:tcW w:w="1920" w:type="dxa"/>
            <w:gridSpan w:val="2"/>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Afståelse af goodwill</w:t>
            </w: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r>
      <w:tr w:rsidR="007235DB" w:rsidRPr="00535E0B" w:rsidTr="00A71657">
        <w:trPr>
          <w:trHeight w:val="255"/>
        </w:trPr>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r>
      <w:tr w:rsidR="007235DB" w:rsidRPr="00535E0B" w:rsidTr="00A71657">
        <w:trPr>
          <w:trHeight w:val="255"/>
        </w:trPr>
        <w:tc>
          <w:tcPr>
            <w:tcW w:w="1920" w:type="dxa"/>
            <w:gridSpan w:val="2"/>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Afståelsessum</w:t>
            </w: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85</w:t>
            </w:r>
          </w:p>
        </w:tc>
        <w:tc>
          <w:tcPr>
            <w:tcW w:w="960" w:type="dxa"/>
            <w:tcBorders>
              <w:top w:val="nil"/>
              <w:left w:val="nil"/>
              <w:bottom w:val="nil"/>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85</w:t>
            </w:r>
          </w:p>
        </w:tc>
      </w:tr>
      <w:tr w:rsidR="007235DB" w:rsidRPr="00535E0B" w:rsidTr="00A71657">
        <w:trPr>
          <w:trHeight w:val="255"/>
        </w:trPr>
        <w:tc>
          <w:tcPr>
            <w:tcW w:w="1920" w:type="dxa"/>
            <w:gridSpan w:val="2"/>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Skattemæssig værdi</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0</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0</w:t>
            </w:r>
          </w:p>
        </w:tc>
      </w:tr>
      <w:tr w:rsidR="007235DB" w:rsidRPr="00535E0B" w:rsidTr="00A71657">
        <w:trPr>
          <w:trHeight w:val="255"/>
        </w:trPr>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35E0B" w:rsidRDefault="007235DB" w:rsidP="00A71657">
            <w:pPr>
              <w:spacing w:line="240" w:lineRule="auto"/>
              <w:jc w:val="left"/>
              <w:rPr>
                <w:rFonts w:cs="Arial"/>
                <w:sz w:val="20"/>
                <w:szCs w:val="20"/>
                <w:lang w:eastAsia="da-DK"/>
              </w:rPr>
            </w:pPr>
          </w:p>
        </w:tc>
      </w:tr>
      <w:tr w:rsidR="007235DB" w:rsidRPr="00535E0B" w:rsidTr="00A71657">
        <w:trPr>
          <w:trHeight w:val="255"/>
        </w:trPr>
        <w:tc>
          <w:tcPr>
            <w:tcW w:w="3840" w:type="dxa"/>
            <w:gridSpan w:val="4"/>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Fortjeneste ved afståelse af goodwill</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left"/>
              <w:rPr>
                <w:rFonts w:cs="Arial"/>
                <w:sz w:val="20"/>
                <w:szCs w:val="20"/>
                <w:lang w:eastAsia="da-DK"/>
              </w:rPr>
            </w:pPr>
            <w:r w:rsidRPr="00535E0B">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85</w:t>
            </w:r>
          </w:p>
        </w:tc>
        <w:tc>
          <w:tcPr>
            <w:tcW w:w="960" w:type="dxa"/>
            <w:tcBorders>
              <w:top w:val="nil"/>
              <w:left w:val="nil"/>
              <w:bottom w:val="single" w:sz="4" w:space="0" w:color="auto"/>
              <w:right w:val="nil"/>
            </w:tcBorders>
            <w:noWrap/>
            <w:vAlign w:val="bottom"/>
          </w:tcPr>
          <w:p w:rsidR="007235DB" w:rsidRPr="00535E0B" w:rsidRDefault="007235DB" w:rsidP="00A71657">
            <w:pPr>
              <w:spacing w:line="240" w:lineRule="auto"/>
              <w:jc w:val="right"/>
              <w:rPr>
                <w:rFonts w:cs="Arial"/>
                <w:sz w:val="20"/>
                <w:szCs w:val="20"/>
                <w:lang w:eastAsia="da-DK"/>
              </w:rPr>
            </w:pPr>
            <w:r w:rsidRPr="00535E0B">
              <w:rPr>
                <w:rFonts w:cs="Arial"/>
                <w:sz w:val="20"/>
                <w:szCs w:val="20"/>
                <w:lang w:eastAsia="da-DK"/>
              </w:rPr>
              <w:t>85</w:t>
            </w:r>
          </w:p>
        </w:tc>
      </w:tr>
    </w:tbl>
    <w:p w:rsidR="007235DB" w:rsidRPr="0007728E" w:rsidRDefault="00666840" w:rsidP="00666840">
      <w:pPr>
        <w:pStyle w:val="Billedtekst"/>
      </w:pPr>
      <w:bookmarkStart w:id="63" w:name="_Toc218751399"/>
      <w:r>
        <w:t xml:space="preserve">Figur </w:t>
      </w:r>
      <w:fldSimple w:instr=" SEQ Figur \* ARABIC ">
        <w:r w:rsidR="000F066D">
          <w:rPr>
            <w:noProof/>
          </w:rPr>
          <w:t>16</w:t>
        </w:r>
      </w:fldSimple>
      <w:r w:rsidR="007235DB">
        <w:t xml:space="preserve"> Skattemæssige opgørelser for goodwill ved optagelse af interessent</w:t>
      </w:r>
      <w:bookmarkEnd w:id="63"/>
    </w:p>
    <w:p w:rsidR="007235DB" w:rsidRDefault="007235DB" w:rsidP="007235DB"/>
    <w:p w:rsidR="007235DB" w:rsidRDefault="007235DB" w:rsidP="007235DB">
      <w:r>
        <w:t>For goodwill fremgår det at A og B hver beskattes af t.DKK 85 som værdi af den afstå</w:t>
      </w:r>
      <w:r>
        <w:t>e</w:t>
      </w:r>
      <w:r>
        <w:t>de goodwill.</w:t>
      </w:r>
    </w:p>
    <w:p w:rsidR="007235DB" w:rsidRDefault="007235DB" w:rsidP="007235DB"/>
    <w:tbl>
      <w:tblPr>
        <w:tblW w:w="6720" w:type="dxa"/>
        <w:tblInd w:w="55" w:type="dxa"/>
        <w:tblCellMar>
          <w:left w:w="70" w:type="dxa"/>
          <w:right w:w="70" w:type="dxa"/>
        </w:tblCellMar>
        <w:tblLook w:val="0000"/>
      </w:tblPr>
      <w:tblGrid>
        <w:gridCol w:w="960"/>
        <w:gridCol w:w="960"/>
        <w:gridCol w:w="960"/>
        <w:gridCol w:w="960"/>
        <w:gridCol w:w="960"/>
        <w:gridCol w:w="960"/>
        <w:gridCol w:w="960"/>
      </w:tblGrid>
      <w:tr w:rsidR="007235DB" w:rsidRPr="005D41DC" w:rsidTr="00A71657">
        <w:trPr>
          <w:trHeight w:val="255"/>
        </w:trPr>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b/>
                <w:bCs/>
                <w:sz w:val="20"/>
                <w:szCs w:val="20"/>
                <w:lang w:eastAsia="da-DK"/>
              </w:rPr>
            </w:pPr>
            <w:r w:rsidRPr="005D41DC">
              <w:rPr>
                <w:rFonts w:cs="Arial"/>
                <w:b/>
                <w:bCs/>
                <w:sz w:val="20"/>
                <w:szCs w:val="20"/>
                <w:lang w:eastAsia="da-DK"/>
              </w:rPr>
              <w:t>C</w:t>
            </w: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b/>
                <w:bCs/>
                <w:sz w:val="20"/>
                <w:szCs w:val="20"/>
                <w:lang w:eastAsia="da-DK"/>
              </w:rPr>
            </w:pPr>
            <w:r w:rsidRPr="005D41DC">
              <w:rPr>
                <w:rFonts w:cs="Arial"/>
                <w:b/>
                <w:bCs/>
                <w:sz w:val="20"/>
                <w:szCs w:val="20"/>
                <w:lang w:eastAsia="da-DK"/>
              </w:rPr>
              <w:t>B</w:t>
            </w: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b/>
                <w:bCs/>
                <w:sz w:val="20"/>
                <w:szCs w:val="20"/>
                <w:lang w:eastAsia="da-DK"/>
              </w:rPr>
            </w:pPr>
            <w:r w:rsidRPr="005D41DC">
              <w:rPr>
                <w:rFonts w:cs="Arial"/>
                <w:b/>
                <w:bCs/>
                <w:sz w:val="20"/>
                <w:szCs w:val="20"/>
                <w:lang w:eastAsia="da-DK"/>
              </w:rPr>
              <w:t>A</w:t>
            </w:r>
          </w:p>
        </w:tc>
      </w:tr>
      <w:tr w:rsidR="007235DB" w:rsidRPr="005D41DC" w:rsidTr="00A71657">
        <w:trPr>
          <w:trHeight w:val="255"/>
        </w:trPr>
        <w:tc>
          <w:tcPr>
            <w:tcW w:w="3840" w:type="dxa"/>
            <w:gridSpan w:val="4"/>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Skattemæssig kostpris for ejendom</w:t>
            </w: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r>
      <w:tr w:rsidR="007235DB" w:rsidRPr="005D41DC" w:rsidTr="00A71657">
        <w:trPr>
          <w:trHeight w:val="255"/>
        </w:trPr>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r>
      <w:tr w:rsidR="007235DB" w:rsidRPr="005D41DC" w:rsidTr="00A71657">
        <w:trPr>
          <w:trHeight w:val="255"/>
        </w:trPr>
        <w:tc>
          <w:tcPr>
            <w:tcW w:w="1920" w:type="dxa"/>
            <w:gridSpan w:val="2"/>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Kontant kostpris</w:t>
            </w: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2.187</w:t>
            </w: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2.187</w:t>
            </w:r>
          </w:p>
        </w:tc>
      </w:tr>
      <w:tr w:rsidR="007235DB" w:rsidRPr="005D41DC" w:rsidTr="00A71657">
        <w:trPr>
          <w:trHeight w:val="255"/>
        </w:trPr>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1.667</w:t>
            </w: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r>
      <w:tr w:rsidR="007235DB" w:rsidRPr="005D41DC" w:rsidTr="00A71657">
        <w:trPr>
          <w:trHeight w:val="255"/>
        </w:trPr>
        <w:tc>
          <w:tcPr>
            <w:tcW w:w="1920" w:type="dxa"/>
            <w:gridSpan w:val="2"/>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Afståelse 1/3</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0</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-729</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-729</w:t>
            </w:r>
          </w:p>
        </w:tc>
      </w:tr>
      <w:tr w:rsidR="007235DB" w:rsidRPr="005D41DC" w:rsidTr="00A71657">
        <w:trPr>
          <w:trHeight w:val="255"/>
        </w:trPr>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r>
      <w:tr w:rsidR="007235DB" w:rsidRPr="005D41DC" w:rsidTr="00A71657">
        <w:trPr>
          <w:trHeight w:val="255"/>
        </w:trPr>
        <w:tc>
          <w:tcPr>
            <w:tcW w:w="2880" w:type="dxa"/>
            <w:gridSpan w:val="3"/>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Samlet kostpris for ejendom</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1.667</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1.458</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1.458</w:t>
            </w:r>
          </w:p>
        </w:tc>
      </w:tr>
      <w:tr w:rsidR="007235DB" w:rsidRPr="005D41DC" w:rsidTr="00A71657">
        <w:trPr>
          <w:trHeight w:val="255"/>
        </w:trPr>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r>
      <w:tr w:rsidR="007235DB" w:rsidRPr="005D41DC" w:rsidTr="00A71657">
        <w:trPr>
          <w:trHeight w:val="255"/>
        </w:trPr>
        <w:tc>
          <w:tcPr>
            <w:tcW w:w="2880" w:type="dxa"/>
            <w:gridSpan w:val="3"/>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Genvundne afskrivninger jf. spec</w:t>
            </w:r>
            <w:r>
              <w:rPr>
                <w:rFonts w:cs="Arial"/>
                <w:sz w:val="20"/>
                <w:szCs w:val="20"/>
                <w:lang w:eastAsia="da-DK"/>
              </w:rPr>
              <w:t>.</w:t>
            </w: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396</w:t>
            </w: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396</w:t>
            </w:r>
          </w:p>
        </w:tc>
      </w:tr>
      <w:tr w:rsidR="007235DB" w:rsidRPr="005D41DC" w:rsidTr="00A71657">
        <w:trPr>
          <w:trHeight w:val="255"/>
        </w:trPr>
        <w:tc>
          <w:tcPr>
            <w:tcW w:w="1920" w:type="dxa"/>
            <w:gridSpan w:val="2"/>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Til beskatning, 90 %</w:t>
            </w: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356</w:t>
            </w:r>
          </w:p>
        </w:tc>
        <w:tc>
          <w:tcPr>
            <w:tcW w:w="960" w:type="dxa"/>
            <w:tcBorders>
              <w:top w:val="nil"/>
              <w:left w:val="nil"/>
              <w:bottom w:val="nil"/>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356</w:t>
            </w:r>
          </w:p>
        </w:tc>
      </w:tr>
      <w:tr w:rsidR="007235DB" w:rsidRPr="005D41DC" w:rsidTr="00A71657">
        <w:trPr>
          <w:trHeight w:val="255"/>
        </w:trPr>
        <w:tc>
          <w:tcPr>
            <w:tcW w:w="1920" w:type="dxa"/>
            <w:gridSpan w:val="2"/>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Ejendomsavance</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left"/>
              <w:rPr>
                <w:rFonts w:cs="Arial"/>
                <w:sz w:val="20"/>
                <w:szCs w:val="20"/>
                <w:lang w:eastAsia="da-DK"/>
              </w:rPr>
            </w:pPr>
            <w:r w:rsidRPr="005D41DC">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33</w:t>
            </w:r>
          </w:p>
        </w:tc>
        <w:tc>
          <w:tcPr>
            <w:tcW w:w="960" w:type="dxa"/>
            <w:tcBorders>
              <w:top w:val="nil"/>
              <w:left w:val="nil"/>
              <w:bottom w:val="single" w:sz="4" w:space="0" w:color="auto"/>
              <w:right w:val="nil"/>
            </w:tcBorders>
            <w:noWrap/>
            <w:vAlign w:val="bottom"/>
          </w:tcPr>
          <w:p w:rsidR="007235DB" w:rsidRPr="005D41DC" w:rsidRDefault="007235DB" w:rsidP="00A71657">
            <w:pPr>
              <w:spacing w:line="240" w:lineRule="auto"/>
              <w:jc w:val="right"/>
              <w:rPr>
                <w:rFonts w:cs="Arial"/>
                <w:sz w:val="20"/>
                <w:szCs w:val="20"/>
                <w:lang w:eastAsia="da-DK"/>
              </w:rPr>
            </w:pPr>
            <w:r w:rsidRPr="005D41DC">
              <w:rPr>
                <w:rFonts w:cs="Arial"/>
                <w:sz w:val="20"/>
                <w:szCs w:val="20"/>
                <w:lang w:eastAsia="da-DK"/>
              </w:rPr>
              <w:t>33</w:t>
            </w:r>
          </w:p>
        </w:tc>
      </w:tr>
    </w:tbl>
    <w:p w:rsidR="007235DB" w:rsidRPr="0007728E" w:rsidRDefault="00666840" w:rsidP="00666840">
      <w:pPr>
        <w:pStyle w:val="Billedtekst"/>
      </w:pPr>
      <w:bookmarkStart w:id="64" w:name="_Toc218751400"/>
      <w:r>
        <w:t xml:space="preserve">Figur </w:t>
      </w:r>
      <w:fldSimple w:instr=" SEQ Figur \* ARABIC ">
        <w:r w:rsidR="000F066D">
          <w:rPr>
            <w:noProof/>
          </w:rPr>
          <w:t>17</w:t>
        </w:r>
      </w:fldSimple>
      <w:r w:rsidR="007235DB">
        <w:t xml:space="preserve"> Skattemæssige opgørelser  for ejendommen ved optagelse af interessent</w:t>
      </w:r>
      <w:bookmarkEnd w:id="64"/>
    </w:p>
    <w:p w:rsidR="007235DB" w:rsidRDefault="007235DB" w:rsidP="007235DB"/>
    <w:p w:rsidR="007235DB" w:rsidRDefault="007235DB" w:rsidP="007235DB">
      <w:r>
        <w:t xml:space="preserve">Ejendommens avanceopgørelse er vist i </w:t>
      </w:r>
      <w:r w:rsidR="00012FAC">
        <w:fldChar w:fldCharType="begin"/>
      </w:r>
      <w:r w:rsidR="00D457AA">
        <w:instrText xml:space="preserve"> REF _Ref218748650 \h </w:instrText>
      </w:r>
      <w:r w:rsidR="00012FAC">
        <w:fldChar w:fldCharType="separate"/>
      </w:r>
      <w:r w:rsidR="000F066D">
        <w:t>Bilag 4 – Ejendomsavanceopgørelse ved opt</w:t>
      </w:r>
      <w:r w:rsidR="000F066D">
        <w:t>a</w:t>
      </w:r>
      <w:r w:rsidR="000F066D">
        <w:t>gelse af interessent</w:t>
      </w:r>
      <w:r w:rsidR="00012FAC">
        <w:fldChar w:fldCharType="end"/>
      </w:r>
      <w:r>
        <w:t>, heraf fremgår den komplicerede beregning, hvor A og B hver især afstår en ideel andel af ejendommen til C. Resultatet af beregningen viser, at der er genvundne afskrivninger på t.DKK 396 for hver interessent, der skal indtægtsføres, dog kun med 90 % svarende til t.DKK 356. Ejendomsavancen bliver positiv ved afståelse til handelsværdien og kommer derved til beskatning. Såvel de genvundn</w:t>
      </w:r>
      <w:r w:rsidR="00666840">
        <w:t>e</w:t>
      </w:r>
      <w:r>
        <w:t xml:space="preserve"> afskrivninger </w:t>
      </w:r>
      <w:r>
        <w:lastRenderedPageBreak/>
        <w:t>som ejendomsavancen indtægtsføres i virksomhedens skattemæssige resultat, og kan opspares i virksomhedsskatteordningen.</w:t>
      </w:r>
    </w:p>
    <w:p w:rsidR="007235DB" w:rsidRDefault="007235DB" w:rsidP="007235DB"/>
    <w:tbl>
      <w:tblPr>
        <w:tblW w:w="6720" w:type="dxa"/>
        <w:tblInd w:w="55" w:type="dxa"/>
        <w:tblCellMar>
          <w:left w:w="70" w:type="dxa"/>
          <w:right w:w="70" w:type="dxa"/>
        </w:tblCellMar>
        <w:tblLook w:val="0000"/>
      </w:tblPr>
      <w:tblGrid>
        <w:gridCol w:w="960"/>
        <w:gridCol w:w="960"/>
        <w:gridCol w:w="960"/>
        <w:gridCol w:w="960"/>
        <w:gridCol w:w="960"/>
        <w:gridCol w:w="960"/>
        <w:gridCol w:w="960"/>
      </w:tblGrid>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b/>
                <w:bCs/>
                <w:sz w:val="20"/>
                <w:szCs w:val="20"/>
                <w:lang w:eastAsia="da-DK"/>
              </w:rPr>
            </w:pPr>
            <w:r w:rsidRPr="008B17A2">
              <w:rPr>
                <w:rFonts w:cs="Arial"/>
                <w:b/>
                <w:bCs/>
                <w:sz w:val="20"/>
                <w:szCs w:val="20"/>
                <w:lang w:eastAsia="da-DK"/>
              </w:rPr>
              <w:t>C</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b/>
                <w:bCs/>
                <w:sz w:val="20"/>
                <w:szCs w:val="20"/>
                <w:lang w:eastAsia="da-DK"/>
              </w:rPr>
            </w:pPr>
            <w:r w:rsidRPr="008B17A2">
              <w:rPr>
                <w:rFonts w:cs="Arial"/>
                <w:b/>
                <w:bCs/>
                <w:sz w:val="20"/>
                <w:szCs w:val="20"/>
                <w:lang w:eastAsia="da-DK"/>
              </w:rPr>
              <w:t>B</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b/>
                <w:bCs/>
                <w:sz w:val="20"/>
                <w:szCs w:val="20"/>
                <w:lang w:eastAsia="da-DK"/>
              </w:rPr>
            </w:pPr>
            <w:r w:rsidRPr="008B17A2">
              <w:rPr>
                <w:rFonts w:cs="Arial"/>
                <w:b/>
                <w:bCs/>
                <w:sz w:val="20"/>
                <w:szCs w:val="20"/>
                <w:lang w:eastAsia="da-DK"/>
              </w:rPr>
              <w:t>A</w:t>
            </w:r>
          </w:p>
        </w:tc>
      </w:tr>
      <w:tr w:rsidR="007235DB" w:rsidRPr="008B17A2" w:rsidTr="00A71657">
        <w:trPr>
          <w:trHeight w:val="255"/>
        </w:trPr>
        <w:tc>
          <w:tcPr>
            <w:tcW w:w="4800" w:type="dxa"/>
            <w:gridSpan w:val="5"/>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Skattemæssig</w:t>
            </w:r>
            <w:r>
              <w:rPr>
                <w:rFonts w:cs="Arial"/>
                <w:sz w:val="20"/>
                <w:szCs w:val="20"/>
                <w:lang w:eastAsia="da-DK"/>
              </w:rPr>
              <w:t>e</w:t>
            </w:r>
            <w:r w:rsidRPr="008B17A2">
              <w:rPr>
                <w:rFonts w:cs="Arial"/>
                <w:sz w:val="20"/>
                <w:szCs w:val="20"/>
                <w:lang w:eastAsia="da-DK"/>
              </w:rPr>
              <w:t xml:space="preserve"> </w:t>
            </w:r>
            <w:r>
              <w:rPr>
                <w:rFonts w:cs="Arial"/>
                <w:sz w:val="20"/>
                <w:szCs w:val="20"/>
                <w:lang w:eastAsia="da-DK"/>
              </w:rPr>
              <w:t>opgørelser</w:t>
            </w:r>
            <w:r w:rsidRPr="008B17A2">
              <w:rPr>
                <w:rFonts w:cs="Arial"/>
                <w:sz w:val="20"/>
                <w:szCs w:val="20"/>
                <w:lang w:eastAsia="da-DK"/>
              </w:rPr>
              <w:t xml:space="preserve"> for indretning </w:t>
            </w:r>
            <w:r>
              <w:rPr>
                <w:rFonts w:cs="Arial"/>
                <w:sz w:val="20"/>
                <w:szCs w:val="20"/>
                <w:lang w:eastAsia="da-DK"/>
              </w:rPr>
              <w:t xml:space="preserve">af </w:t>
            </w:r>
            <w:r w:rsidRPr="008B17A2">
              <w:rPr>
                <w:rFonts w:cs="Arial"/>
                <w:sz w:val="20"/>
                <w:szCs w:val="20"/>
                <w:lang w:eastAsia="da-DK"/>
              </w:rPr>
              <w:t>lejede lokaler</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Kontant kostpris</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300</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900</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900</w:t>
            </w:r>
          </w:p>
        </w:tc>
      </w:tr>
      <w:tr w:rsidR="007235DB" w:rsidRPr="008B17A2" w:rsidTr="00A71657">
        <w:trPr>
          <w:trHeight w:val="255"/>
        </w:trPr>
        <w:tc>
          <w:tcPr>
            <w:tcW w:w="1920" w:type="dxa"/>
            <w:gridSpan w:val="2"/>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Afståelse 1/3</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-300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-300</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Skattemæssig kos</w:t>
            </w:r>
            <w:r w:rsidRPr="008B17A2">
              <w:rPr>
                <w:rFonts w:cs="Arial"/>
                <w:sz w:val="20"/>
                <w:szCs w:val="20"/>
                <w:lang w:eastAsia="da-DK"/>
              </w:rPr>
              <w:t>t</w:t>
            </w:r>
            <w:r w:rsidRPr="008B17A2">
              <w:rPr>
                <w:rFonts w:cs="Arial"/>
                <w:sz w:val="20"/>
                <w:szCs w:val="20"/>
                <w:lang w:eastAsia="da-DK"/>
              </w:rPr>
              <w:t>pris</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300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600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600</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Afskrivninger primo</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760</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760</w:t>
            </w:r>
          </w:p>
        </w:tc>
      </w:tr>
      <w:tr w:rsidR="007235DB" w:rsidRPr="008B17A2" w:rsidTr="00A71657">
        <w:trPr>
          <w:trHeight w:val="255"/>
        </w:trPr>
        <w:tc>
          <w:tcPr>
            <w:tcW w:w="2880" w:type="dxa"/>
            <w:gridSpan w:val="3"/>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Afskrivning vedr</w:t>
            </w:r>
            <w:r>
              <w:rPr>
                <w:rFonts w:cs="Arial"/>
                <w:sz w:val="20"/>
                <w:szCs w:val="20"/>
                <w:lang w:eastAsia="da-DK"/>
              </w:rPr>
              <w:t>.</w:t>
            </w:r>
            <w:r w:rsidRPr="008B17A2">
              <w:rPr>
                <w:rFonts w:cs="Arial"/>
                <w:sz w:val="20"/>
                <w:szCs w:val="20"/>
                <w:lang w:eastAsia="da-DK"/>
              </w:rPr>
              <w:t xml:space="preserve"> afståelse 1/3</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-253</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-253</w:t>
            </w:r>
          </w:p>
        </w:tc>
      </w:tr>
      <w:tr w:rsidR="007235DB" w:rsidRPr="008B17A2" w:rsidTr="00A71657">
        <w:trPr>
          <w:trHeight w:val="255"/>
        </w:trPr>
        <w:tc>
          <w:tcPr>
            <w:tcW w:w="1920" w:type="dxa"/>
            <w:gridSpan w:val="2"/>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Årets afskrivninger</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60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46</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46</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2880" w:type="dxa"/>
            <w:gridSpan w:val="3"/>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Skattemæssige afskrivninger i alt</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60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553</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553</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xml:space="preserve">Skattemæssig saldo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240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47</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47</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4800" w:type="dxa"/>
            <w:gridSpan w:val="5"/>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Skattemæssig avance indretning lejede lokaler</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Afståelsessum</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150</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150</w:t>
            </w:r>
          </w:p>
        </w:tc>
      </w:tr>
      <w:tr w:rsidR="007235DB" w:rsidRPr="008B17A2" w:rsidTr="00A71657">
        <w:trPr>
          <w:trHeight w:val="255"/>
        </w:trPr>
        <w:tc>
          <w:tcPr>
            <w:tcW w:w="1920" w:type="dxa"/>
            <w:gridSpan w:val="2"/>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Nedskrevet værdi</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-47</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-47</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2880" w:type="dxa"/>
            <w:gridSpan w:val="3"/>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Genvundne afskrivninger</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103</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103</w:t>
            </w:r>
          </w:p>
        </w:tc>
      </w:tr>
    </w:tbl>
    <w:p w:rsidR="007235DB" w:rsidRPr="0007728E" w:rsidRDefault="00666840" w:rsidP="00666840">
      <w:pPr>
        <w:pStyle w:val="Billedtekst"/>
      </w:pPr>
      <w:bookmarkStart w:id="65" w:name="_Toc218751401"/>
      <w:r>
        <w:t xml:space="preserve">Figur </w:t>
      </w:r>
      <w:fldSimple w:instr=" SEQ Figur \* ARABIC ">
        <w:r w:rsidR="000F066D">
          <w:rPr>
            <w:noProof/>
          </w:rPr>
          <w:t>18</w:t>
        </w:r>
      </w:fldSimple>
      <w:r w:rsidR="007235DB">
        <w:t xml:space="preserve"> Skattemæssige opgørelser for indretning af lejede lokaer ved optagelse af interessent</w:t>
      </w:r>
      <w:bookmarkEnd w:id="65"/>
    </w:p>
    <w:p w:rsidR="007235DB" w:rsidRDefault="007235DB" w:rsidP="007235DB"/>
    <w:p w:rsidR="002B5FE5" w:rsidRDefault="007235DB" w:rsidP="007235DB">
      <w:r>
        <w:t>For indretning af lejede lokaler viser avanceopgørelsen at der for A og B skal indtægt</w:t>
      </w:r>
      <w:r>
        <w:t>s</w:t>
      </w:r>
      <w:r>
        <w:t>føres t.DKK 103 i genvundne afskrivninger på afståelse af indretning af lejede lokaler.</w:t>
      </w:r>
    </w:p>
    <w:p w:rsidR="007235DB" w:rsidRDefault="002B5FE5" w:rsidP="007235DB">
      <w:r>
        <w:br w:type="page"/>
      </w:r>
    </w:p>
    <w:tbl>
      <w:tblPr>
        <w:tblW w:w="6720" w:type="dxa"/>
        <w:tblInd w:w="55" w:type="dxa"/>
        <w:tblCellMar>
          <w:left w:w="70" w:type="dxa"/>
          <w:right w:w="70" w:type="dxa"/>
        </w:tblCellMar>
        <w:tblLook w:val="0000"/>
      </w:tblPr>
      <w:tblGrid>
        <w:gridCol w:w="960"/>
        <w:gridCol w:w="960"/>
        <w:gridCol w:w="960"/>
        <w:gridCol w:w="960"/>
        <w:gridCol w:w="960"/>
        <w:gridCol w:w="960"/>
        <w:gridCol w:w="960"/>
      </w:tblGrid>
      <w:tr w:rsidR="007235DB" w:rsidRPr="008B17A2" w:rsidTr="00A71657">
        <w:trPr>
          <w:trHeight w:val="255"/>
        </w:trPr>
        <w:tc>
          <w:tcPr>
            <w:tcW w:w="960" w:type="dxa"/>
            <w:tcBorders>
              <w:top w:val="nil"/>
              <w:left w:val="nil"/>
              <w:bottom w:val="nil"/>
              <w:right w:val="nil"/>
            </w:tcBorders>
            <w:noWrap/>
            <w:vAlign w:val="bottom"/>
          </w:tcPr>
          <w:p w:rsidR="007235DB" w:rsidRPr="008B17A2" w:rsidRDefault="002B5FE5" w:rsidP="00A71657">
            <w:pPr>
              <w:spacing w:line="240" w:lineRule="auto"/>
              <w:jc w:val="left"/>
              <w:rPr>
                <w:rFonts w:cs="Arial"/>
                <w:b/>
                <w:bCs/>
                <w:sz w:val="20"/>
                <w:szCs w:val="20"/>
                <w:lang w:eastAsia="da-DK"/>
              </w:rPr>
            </w:pPr>
            <w:r>
              <w:br w:type="page"/>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b/>
                <w:bCs/>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b/>
                <w:bCs/>
                <w:sz w:val="20"/>
                <w:szCs w:val="20"/>
                <w:lang w:eastAsia="da-DK"/>
              </w:rPr>
            </w:pPr>
            <w:r w:rsidRPr="008B17A2">
              <w:rPr>
                <w:rFonts w:cs="Arial"/>
                <w:b/>
                <w:bCs/>
                <w:sz w:val="20"/>
                <w:szCs w:val="20"/>
                <w:lang w:eastAsia="da-DK"/>
              </w:rPr>
              <w:t>C</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b/>
                <w:bCs/>
                <w:sz w:val="20"/>
                <w:szCs w:val="20"/>
                <w:lang w:eastAsia="da-DK"/>
              </w:rPr>
            </w:pPr>
            <w:r w:rsidRPr="008B17A2">
              <w:rPr>
                <w:rFonts w:cs="Arial"/>
                <w:b/>
                <w:bCs/>
                <w:sz w:val="20"/>
                <w:szCs w:val="20"/>
                <w:lang w:eastAsia="da-DK"/>
              </w:rPr>
              <w:t>B</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b/>
                <w:bCs/>
                <w:sz w:val="20"/>
                <w:szCs w:val="20"/>
                <w:lang w:eastAsia="da-DK"/>
              </w:rPr>
            </w:pPr>
            <w:r w:rsidRPr="008B17A2">
              <w:rPr>
                <w:rFonts w:cs="Arial"/>
                <w:b/>
                <w:bCs/>
                <w:sz w:val="20"/>
                <w:szCs w:val="20"/>
                <w:lang w:eastAsia="da-DK"/>
              </w:rPr>
              <w:t>A</w:t>
            </w:r>
          </w:p>
        </w:tc>
      </w:tr>
      <w:tr w:rsidR="007235DB" w:rsidRPr="008B17A2" w:rsidTr="00A71657">
        <w:trPr>
          <w:trHeight w:val="255"/>
        </w:trPr>
        <w:tc>
          <w:tcPr>
            <w:tcW w:w="3840" w:type="dxa"/>
            <w:gridSpan w:val="4"/>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Skattemæssige opgørelser for driftsmidler</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Saldo pr. 01.01.08</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0</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183</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231</w:t>
            </w:r>
          </w:p>
        </w:tc>
      </w:tr>
      <w:tr w:rsidR="007235DB" w:rsidRPr="008B17A2" w:rsidTr="00A71657">
        <w:trPr>
          <w:trHeight w:val="255"/>
        </w:trPr>
        <w:tc>
          <w:tcPr>
            <w:tcW w:w="1920" w:type="dxa"/>
            <w:gridSpan w:val="2"/>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Afståelse (1/3)</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0</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-61</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-77</w:t>
            </w:r>
          </w:p>
        </w:tc>
      </w:tr>
      <w:tr w:rsidR="007235DB" w:rsidRPr="008B17A2" w:rsidTr="00A71657">
        <w:trPr>
          <w:trHeight w:val="255"/>
        </w:trPr>
        <w:tc>
          <w:tcPr>
            <w:tcW w:w="1920" w:type="dxa"/>
            <w:gridSpan w:val="2"/>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Anskaffelsessum</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200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0</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2880" w:type="dxa"/>
            <w:gridSpan w:val="3"/>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Afskrivningsberettiget saldo</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200</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122</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154</w:t>
            </w:r>
          </w:p>
        </w:tc>
      </w:tr>
      <w:tr w:rsidR="007235DB" w:rsidRPr="008B17A2" w:rsidTr="00A71657">
        <w:trPr>
          <w:trHeight w:val="255"/>
        </w:trPr>
        <w:tc>
          <w:tcPr>
            <w:tcW w:w="1920" w:type="dxa"/>
            <w:gridSpan w:val="2"/>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Afskrivninger i året</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-50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-31</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-39</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2880" w:type="dxa"/>
            <w:gridSpan w:val="3"/>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Skattemæssig værdi 31.12.</w:t>
            </w:r>
            <w:r>
              <w:rPr>
                <w:rFonts w:cs="Arial"/>
                <w:sz w:val="20"/>
                <w:szCs w:val="20"/>
                <w:lang w:eastAsia="da-DK"/>
              </w:rPr>
              <w:t>20</w:t>
            </w:r>
            <w:r w:rsidRPr="008B17A2">
              <w:rPr>
                <w:rFonts w:cs="Arial"/>
                <w:sz w:val="20"/>
                <w:szCs w:val="20"/>
                <w:lang w:eastAsia="da-DK"/>
              </w:rPr>
              <w:t>08</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150</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92</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116</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Afståelse driftsmidler</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Afståelsessum</w:t>
            </w: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100</w:t>
            </w:r>
          </w:p>
        </w:tc>
        <w:tc>
          <w:tcPr>
            <w:tcW w:w="960" w:type="dxa"/>
            <w:tcBorders>
              <w:top w:val="nil"/>
              <w:left w:val="nil"/>
              <w:bottom w:val="nil"/>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100</w:t>
            </w:r>
          </w:p>
        </w:tc>
      </w:tr>
      <w:tr w:rsidR="007235DB" w:rsidRPr="008B17A2" w:rsidTr="00A71657">
        <w:trPr>
          <w:trHeight w:val="255"/>
        </w:trPr>
        <w:tc>
          <w:tcPr>
            <w:tcW w:w="2880" w:type="dxa"/>
            <w:gridSpan w:val="3"/>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Skattemæssig saldoværdi</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-61</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-77</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Avance</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39</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23</w:t>
            </w:r>
          </w:p>
        </w:tc>
      </w:tr>
      <w:tr w:rsidR="007235DB" w:rsidRPr="008B17A2" w:rsidTr="00A71657">
        <w:trPr>
          <w:trHeight w:val="255"/>
        </w:trPr>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c>
          <w:tcPr>
            <w:tcW w:w="960" w:type="dxa"/>
            <w:tcBorders>
              <w:top w:val="nil"/>
              <w:left w:val="nil"/>
              <w:bottom w:val="nil"/>
              <w:right w:val="nil"/>
            </w:tcBorders>
            <w:noWrap/>
            <w:vAlign w:val="bottom"/>
          </w:tcPr>
          <w:p w:rsidR="007235DB" w:rsidRPr="008B17A2" w:rsidRDefault="007235DB" w:rsidP="00A71657">
            <w:pPr>
              <w:spacing w:line="240" w:lineRule="auto"/>
              <w:jc w:val="left"/>
              <w:rPr>
                <w:rFonts w:cs="Arial"/>
                <w:sz w:val="20"/>
                <w:szCs w:val="20"/>
                <w:lang w:eastAsia="da-DK"/>
              </w:rPr>
            </w:pPr>
          </w:p>
        </w:tc>
      </w:tr>
      <w:tr w:rsidR="007235DB" w:rsidRPr="008B17A2" w:rsidTr="00A71657">
        <w:trPr>
          <w:trHeight w:val="255"/>
        </w:trPr>
        <w:tc>
          <w:tcPr>
            <w:tcW w:w="1920" w:type="dxa"/>
            <w:gridSpan w:val="2"/>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Til beskatning 90 %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left"/>
              <w:rPr>
                <w:rFonts w:cs="Arial"/>
                <w:sz w:val="20"/>
                <w:szCs w:val="20"/>
                <w:lang w:eastAsia="da-DK"/>
              </w:rPr>
            </w:pPr>
            <w:r w:rsidRPr="008B17A2">
              <w:rPr>
                <w:rFonts w:cs="Arial"/>
                <w:sz w:val="20"/>
                <w:szCs w:val="20"/>
                <w:lang w:eastAsia="da-DK"/>
              </w:rPr>
              <w:t> </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35</w:t>
            </w:r>
          </w:p>
        </w:tc>
        <w:tc>
          <w:tcPr>
            <w:tcW w:w="960" w:type="dxa"/>
            <w:tcBorders>
              <w:top w:val="nil"/>
              <w:left w:val="nil"/>
              <w:bottom w:val="single" w:sz="4" w:space="0" w:color="auto"/>
              <w:right w:val="nil"/>
            </w:tcBorders>
            <w:noWrap/>
            <w:vAlign w:val="bottom"/>
          </w:tcPr>
          <w:p w:rsidR="007235DB" w:rsidRPr="008B17A2" w:rsidRDefault="007235DB" w:rsidP="00A71657">
            <w:pPr>
              <w:spacing w:line="240" w:lineRule="auto"/>
              <w:jc w:val="right"/>
              <w:rPr>
                <w:rFonts w:cs="Arial"/>
                <w:sz w:val="20"/>
                <w:szCs w:val="20"/>
                <w:lang w:eastAsia="da-DK"/>
              </w:rPr>
            </w:pPr>
            <w:r w:rsidRPr="008B17A2">
              <w:rPr>
                <w:rFonts w:cs="Arial"/>
                <w:sz w:val="20"/>
                <w:szCs w:val="20"/>
                <w:lang w:eastAsia="da-DK"/>
              </w:rPr>
              <w:t>21</w:t>
            </w:r>
          </w:p>
        </w:tc>
      </w:tr>
    </w:tbl>
    <w:p w:rsidR="007235DB" w:rsidRPr="0007728E" w:rsidRDefault="00666840" w:rsidP="00666840">
      <w:pPr>
        <w:pStyle w:val="Billedtekst"/>
      </w:pPr>
      <w:bookmarkStart w:id="66" w:name="_Toc218751402"/>
      <w:r>
        <w:t xml:space="preserve">Figur </w:t>
      </w:r>
      <w:fldSimple w:instr=" SEQ Figur \* ARABIC ">
        <w:r w:rsidR="000F066D">
          <w:rPr>
            <w:noProof/>
          </w:rPr>
          <w:t>19</w:t>
        </w:r>
      </w:fldSimple>
      <w:r w:rsidR="007235DB">
        <w:t xml:space="preserve"> Skattemæssige opgørelser for driftsmidler ved optagelse af interessent</w:t>
      </w:r>
      <w:bookmarkEnd w:id="66"/>
    </w:p>
    <w:p w:rsidR="007235DB" w:rsidRDefault="007235DB" w:rsidP="007235DB"/>
    <w:p w:rsidR="007235DB" w:rsidRDefault="007235DB" w:rsidP="007235DB">
      <w:r>
        <w:t>Tilsvarende for driftsmidler vil der ske beskatning af genvundne afskrivninger på driftsmidlerne. Her er beløbene for A og B ikke ens, det skyldes, at de ikke har afskr</w:t>
      </w:r>
      <w:r>
        <w:t>e</w:t>
      </w:r>
      <w:r>
        <w:t>vet ens gennem årene. Begrundelsen for at det kun er 90 %, der skal beskattes skyldes at det anses for at være et delophør med virksomheden og det er ved ophør at negativ driftsmiddelsaldo skal indtægtsføres med 90 %.</w:t>
      </w:r>
    </w:p>
    <w:p w:rsidR="00A71657" w:rsidRDefault="00A71657" w:rsidP="007235DB"/>
    <w:p w:rsidR="00A71657" w:rsidRDefault="00A71657" w:rsidP="00A71657">
      <w:pPr>
        <w:pStyle w:val="Overskrift3"/>
      </w:pPr>
      <w:bookmarkStart w:id="67" w:name="_Toc217448653"/>
      <w:bookmarkStart w:id="68" w:name="_Toc221546199"/>
      <w:r>
        <w:t xml:space="preserve">3.1.7 </w:t>
      </w:r>
      <w:r w:rsidR="005E2C30">
        <w:t xml:space="preserve">Fordele ved en beskattet overdragelse. </w:t>
      </w:r>
      <w:bookmarkEnd w:id="67"/>
      <w:r w:rsidR="00627158">
        <w:rPr>
          <w:b w:val="0"/>
          <w:sz w:val="22"/>
          <w:szCs w:val="22"/>
        </w:rPr>
        <w:t>(Jane</w:t>
      </w:r>
      <w:r w:rsidR="00627158" w:rsidRPr="00E75844">
        <w:rPr>
          <w:b w:val="0"/>
          <w:sz w:val="22"/>
          <w:szCs w:val="22"/>
        </w:rPr>
        <w:t>)</w:t>
      </w:r>
      <w:bookmarkEnd w:id="68"/>
    </w:p>
    <w:p w:rsidR="00A71657" w:rsidRDefault="00A71657" w:rsidP="00A71657">
      <w:r>
        <w:t>En beskattet overdragelse kunne være hensigtsmæssig i det tilfælde hvor overdrag</w:t>
      </w:r>
      <w:r>
        <w:t>e</w:t>
      </w:r>
      <w:r>
        <w:t>ren har store underskud til fremførsel, der derved kan blive udnyttet i de avancer, der opstår ved afståelsen. Der kunne også være tale om at overdrageren har en negativ ejendomsavance til fremførsel, der alene kan modregnes i fremtidige positive avancer, disse kan derved blive udnyttet ved en beskattet overdragelse, hvor der opstår en p</w:t>
      </w:r>
      <w:r>
        <w:t>o</w:t>
      </w:r>
      <w:r>
        <w:t>sitiv ejendomsavance.</w:t>
      </w:r>
    </w:p>
    <w:p w:rsidR="00A71657" w:rsidRDefault="00A71657" w:rsidP="00A71657"/>
    <w:p w:rsidR="00A71657" w:rsidRDefault="00A71657" w:rsidP="00A71657">
      <w:r>
        <w:lastRenderedPageBreak/>
        <w:t>Der kunne også være det tilfælde at den yngre generation har mange midler og den ældre generation ikke har midler, dette kan tale for at lave en beskattet overdragelse, da den yngre generation derved får mulighed for at overføre midler til den ældre gen</w:t>
      </w:r>
      <w:r>
        <w:t>e</w:t>
      </w:r>
      <w:r>
        <w:t xml:space="preserve">ration. </w:t>
      </w:r>
    </w:p>
    <w:p w:rsidR="00A71657" w:rsidRDefault="00A71657" w:rsidP="00A71657">
      <w:r>
        <w:t>Man kunne dog også forestille sig det tilfælde at den ældre generation er håbløst fo</w:t>
      </w:r>
      <w:r>
        <w:t>r</w:t>
      </w:r>
      <w:r>
        <w:t>gældet og selv en beskattet overdragelse med overførsel af midler ikke kan udligne denne håbløse gæld. Da vil den beskattede overdragelse ikke være at foretrække, da kreditorerne vil ”opsluge” hele provenuet. Den yngre generation vil kunne hjælpe den ældre generation på anden fornuftig måde i stedet.</w:t>
      </w:r>
    </w:p>
    <w:p w:rsidR="007A35E5" w:rsidRDefault="007A35E5" w:rsidP="00AF4FDF"/>
    <w:p w:rsidR="007A35E5" w:rsidRPr="00F750C5" w:rsidRDefault="00312092" w:rsidP="00312092">
      <w:pPr>
        <w:pStyle w:val="Overskrift3"/>
      </w:pPr>
      <w:bookmarkStart w:id="69" w:name="_Toc212806420"/>
      <w:bookmarkStart w:id="70" w:name="_Toc214610759"/>
      <w:bookmarkStart w:id="71" w:name="_Toc221546200"/>
      <w:r>
        <w:t>3.1.8</w:t>
      </w:r>
      <w:r w:rsidR="00D34604">
        <w:t xml:space="preserve"> </w:t>
      </w:r>
      <w:r w:rsidR="007A35E5">
        <w:t>Indskud på pensionsordninger</w:t>
      </w:r>
      <w:bookmarkEnd w:id="69"/>
      <w:bookmarkEnd w:id="70"/>
      <w:r w:rsidR="00627158">
        <w:t xml:space="preserve"> </w:t>
      </w:r>
      <w:r w:rsidR="00627158">
        <w:rPr>
          <w:b w:val="0"/>
          <w:sz w:val="22"/>
          <w:szCs w:val="22"/>
        </w:rPr>
        <w:t>(Jane</w:t>
      </w:r>
      <w:r w:rsidR="00627158" w:rsidRPr="00E75844">
        <w:rPr>
          <w:b w:val="0"/>
          <w:sz w:val="22"/>
          <w:szCs w:val="22"/>
        </w:rPr>
        <w:t>)</w:t>
      </w:r>
      <w:bookmarkEnd w:id="71"/>
    </w:p>
    <w:p w:rsidR="00A71657" w:rsidRDefault="00A71657" w:rsidP="00A71657">
      <w:r>
        <w:t>Der findes flere muligheder for indskud på pensionsordninger. I hovedtræk kan der indskydes på en kapitalpension eller en ratepensionsordning. En kapitalpensionsor</w:t>
      </w:r>
      <w:r>
        <w:t>d</w:t>
      </w:r>
      <w:r>
        <w:t>ning er kendetegnet ved at udbetalingen af det indskudte beløb udbetales på én gang med fradrag af afgift, mens ratepensionsmidler udbetales i rater, typisk over en 10 års periode og bliver løbende indkomstbeskattet.</w:t>
      </w:r>
    </w:p>
    <w:p w:rsidR="00A71657" w:rsidRDefault="00A71657" w:rsidP="00A71657">
      <w:r>
        <w:t>Indskud på pensionsordninger fradrages i den personlige indkomst inden for beløbs</w:t>
      </w:r>
      <w:r>
        <w:softHyphen/>
        <w:t>grænserne reguleret i PBL. For ratepensionerne er det muligt at indskyde mere end det regulerede beløb, hvis der indgås en 10 årig aftale om indskud af disse beløb hvert år. Hvis aftalen brydes, vil det overskydende indbetalte beløb over opfyldingsfradraget blive fordelt over den 10 årige periode, dog således at opfyldningsfradaget udnyttes for hvert af de følgende år.</w:t>
      </w:r>
    </w:p>
    <w:p w:rsidR="00A71657" w:rsidRDefault="00A71657" w:rsidP="00A71657">
      <w:r>
        <w:t>For selvstændige erhvervsdrivende er der indført et særligt opfyldningsfradrag i 2004</w:t>
      </w:r>
      <w:r>
        <w:rPr>
          <w:rStyle w:val="Fodnotehenvisning"/>
        </w:rPr>
        <w:footnoteReference w:id="56"/>
      </w:r>
      <w:r>
        <w:t>, hvor der er mulighed for at indskyde op til 30 % af virksomhedens resultat før renter. Indskuddet skal altså ikke reguleres over en 10 årig periode, selvom det ove</w:t>
      </w:r>
      <w:r>
        <w:t>r</w:t>
      </w:r>
      <w:r>
        <w:t>stiger det ”normale” bundfradrag. Virksomhedsejeren har derfor mulighed for at in</w:t>
      </w:r>
      <w:r>
        <w:t>d</w:t>
      </w:r>
      <w:r>
        <w:t xml:space="preserve">skyde variable beløb for de enkelte indkomstår, fordi netop selvstændige kan have </w:t>
      </w:r>
      <w:r>
        <w:lastRenderedPageBreak/>
        <w:t>svingende resultater og det vil derfor ikke være hensigtsmæssigt at binde sig til at sku</w:t>
      </w:r>
      <w:r>
        <w:t>l</w:t>
      </w:r>
      <w:r>
        <w:t>le indbetale større fast beløb over en 10 årig periode.</w:t>
      </w:r>
    </w:p>
    <w:p w:rsidR="007A35E5" w:rsidRDefault="007A35E5" w:rsidP="00AF4FDF"/>
    <w:p w:rsidR="007A35E5" w:rsidRDefault="00312092" w:rsidP="00312092">
      <w:pPr>
        <w:pStyle w:val="Overskrift4"/>
      </w:pPr>
      <w:bookmarkStart w:id="72" w:name="_Toc221546201"/>
      <w:r>
        <w:t>3</w:t>
      </w:r>
      <w:r w:rsidR="00D34604">
        <w:t>.1</w:t>
      </w:r>
      <w:r>
        <w:t>.8.1</w:t>
      </w:r>
      <w:r w:rsidR="00D34604">
        <w:t xml:space="preserve"> </w:t>
      </w:r>
      <w:r w:rsidR="007A35E5" w:rsidRPr="00402585">
        <w:t>Ophørspension</w:t>
      </w:r>
      <w:r w:rsidR="00627158">
        <w:t xml:space="preserve"> </w:t>
      </w:r>
      <w:r w:rsidR="00627158">
        <w:rPr>
          <w:b w:val="0"/>
          <w:sz w:val="22"/>
          <w:szCs w:val="22"/>
        </w:rPr>
        <w:t>(Jane</w:t>
      </w:r>
      <w:r w:rsidR="00627158" w:rsidRPr="00E75844">
        <w:rPr>
          <w:b w:val="0"/>
          <w:sz w:val="22"/>
          <w:szCs w:val="22"/>
        </w:rPr>
        <w:t>)</w:t>
      </w:r>
      <w:bookmarkEnd w:id="72"/>
    </w:p>
    <w:p w:rsidR="00A71657" w:rsidRDefault="00A71657" w:rsidP="00A71657">
      <w:r>
        <w:t xml:space="preserve">Ved </w:t>
      </w:r>
      <w:r w:rsidRPr="005026D7">
        <w:t>lov nr. 816 af 30.9.2003</w:t>
      </w:r>
      <w:r>
        <w:t xml:space="preserve"> blev der indført mulighed for at indskyde avancer ved a</w:t>
      </w:r>
      <w:r>
        <w:t>f</w:t>
      </w:r>
      <w:r>
        <w:t>ståelse af virksomhed på en ophørspension. I betænkning nr. 1374 fra 1999 blev pr</w:t>
      </w:r>
      <w:r>
        <w:t>o</w:t>
      </w:r>
      <w:r>
        <w:t>blematikken omkring eventuel ophørspensionsmulighed drøftet. Et af argumenterne for at indføre muligheden var at fremme generationsskifteprocessen for de selvstæ</w:t>
      </w:r>
      <w:r>
        <w:t>n</w:t>
      </w:r>
      <w:r>
        <w:t>digt erhvervsdrivende. Alternativet var dengang at avancerne ved afståelse af vir</w:t>
      </w:r>
      <w:r>
        <w:t>k</w:t>
      </w:r>
      <w:r>
        <w:t>somheden ville blive fordelt over en 10 årig periode, hvis avancen blev indskudt på en ratepensionsordning. Der er fuldt fradrag i afståelsesåret, såfremt indbetaling sker inden 1. juli året efter. Ved en senere indbetaling opnås der først fradrag i indbet</w:t>
      </w:r>
      <w:r>
        <w:t>a</w:t>
      </w:r>
      <w:r>
        <w:t>lingsåret. Bindingsperioden er minimum 5 år og ordningen kan tegnes efter det fyldte 60. år i modsætning til øvrige ratepensioner.</w:t>
      </w:r>
    </w:p>
    <w:p w:rsidR="00A71657" w:rsidRPr="00402585" w:rsidRDefault="00A71657" w:rsidP="00A71657"/>
    <w:p w:rsidR="00A71657" w:rsidRDefault="00A71657" w:rsidP="00A71657">
      <w:r>
        <w:t>Hvis situationen var den at datteren rent faktisk fik mulighed for at kunne afregne k</w:t>
      </w:r>
      <w:r>
        <w:t>ø</w:t>
      </w:r>
      <w:r>
        <w:t>besummen kontant til faderen, da ville det være en fordel for ham at indskyde størst muligt beløb på en ophørspension</w:t>
      </w:r>
      <w:r>
        <w:rPr>
          <w:rStyle w:val="Fodnotehenvisning"/>
        </w:rPr>
        <w:footnoteReference w:id="57"/>
      </w:r>
      <w:r>
        <w:t xml:space="preserve">, såfremt betingelserne er opfyldte. </w:t>
      </w:r>
    </w:p>
    <w:p w:rsidR="00A71657" w:rsidRDefault="00A71657" w:rsidP="00A71657">
      <w:r>
        <w:t>Betingelserne er:</w:t>
      </w:r>
    </w:p>
    <w:p w:rsidR="00A71657" w:rsidRDefault="00A71657" w:rsidP="00A71657">
      <w:pPr>
        <w:pStyle w:val="Listeafsnit1"/>
        <w:numPr>
          <w:ilvl w:val="0"/>
          <w:numId w:val="6"/>
        </w:numPr>
      </w:pPr>
      <w:r>
        <w:t>indskyder skal være fyldt 55 år inden afståelsen</w:t>
      </w:r>
    </w:p>
    <w:p w:rsidR="00A71657" w:rsidRDefault="00A71657" w:rsidP="00A71657">
      <w:pPr>
        <w:pStyle w:val="Listeafsnit1"/>
        <w:numPr>
          <w:ilvl w:val="0"/>
          <w:numId w:val="6"/>
        </w:numPr>
      </w:pPr>
      <w:r>
        <w:t>skal have drevet selvstændig virksomhed i mindst 10 år inden for de seneste 15 år.</w:t>
      </w:r>
    </w:p>
    <w:p w:rsidR="00A71657" w:rsidRDefault="00A71657" w:rsidP="00A71657">
      <w:pPr>
        <w:pStyle w:val="Listeafsnit1"/>
        <w:numPr>
          <w:ilvl w:val="0"/>
          <w:numId w:val="6"/>
        </w:numPr>
      </w:pPr>
      <w:r>
        <w:t>Den erhvervsmæssige virksomhed må ikke have bestået i passiv virksomhed</w:t>
      </w:r>
    </w:p>
    <w:p w:rsidR="00A71657" w:rsidRDefault="00A71657" w:rsidP="00A71657">
      <w:pPr>
        <w:pStyle w:val="Listeafsnit1"/>
        <w:numPr>
          <w:ilvl w:val="0"/>
          <w:numId w:val="6"/>
        </w:numPr>
      </w:pPr>
      <w:r>
        <w:t>Der kan maksimalt indskydes t.DKK 2.425 (2008)</w:t>
      </w:r>
    </w:p>
    <w:p w:rsidR="00A71657" w:rsidRDefault="00A71657" w:rsidP="00A71657">
      <w:pPr>
        <w:pStyle w:val="Listeafsnit1"/>
        <w:numPr>
          <w:ilvl w:val="0"/>
          <w:numId w:val="6"/>
        </w:numPr>
      </w:pPr>
      <w:r>
        <w:t>Det er alene avancer ved afståelsen af den selvstændige virksomhed, der kan indskydes på pensionsordningen.</w:t>
      </w:r>
    </w:p>
    <w:p w:rsidR="00A71657" w:rsidRDefault="00A71657" w:rsidP="00A71657"/>
    <w:p w:rsidR="00A71657" w:rsidRPr="006B3CFD" w:rsidRDefault="00A71657" w:rsidP="00A71657">
      <w:pPr>
        <w:rPr>
          <w:i/>
          <w:sz w:val="22"/>
        </w:rPr>
      </w:pPr>
      <w:r w:rsidRPr="006B3CFD">
        <w:rPr>
          <w:i/>
          <w:sz w:val="22"/>
        </w:rPr>
        <w:lastRenderedPageBreak/>
        <w:t>SKM2006.175SR: En interessent i et mosebrug spurgte, om han opfyldte betingelserne i pens</w:t>
      </w:r>
      <w:r w:rsidRPr="006B3CFD">
        <w:rPr>
          <w:i/>
          <w:sz w:val="22"/>
        </w:rPr>
        <w:t>i</w:t>
      </w:r>
      <w:r w:rsidRPr="006B3CFD">
        <w:rPr>
          <w:i/>
          <w:sz w:val="22"/>
        </w:rPr>
        <w:t>onsbeskatningslovens § 15 A, således at han kunne få fradrag for indskud på en pensionsor</w:t>
      </w:r>
      <w:r w:rsidRPr="006B3CFD">
        <w:rPr>
          <w:i/>
          <w:sz w:val="22"/>
        </w:rPr>
        <w:t>d</w:t>
      </w:r>
      <w:r w:rsidRPr="006B3CFD">
        <w:rPr>
          <w:i/>
          <w:sz w:val="22"/>
        </w:rPr>
        <w:t>ning, hvis indskuddet bestod af hans andel af avance fra salg af mosebruget. Skatterådet sv</w:t>
      </w:r>
      <w:r w:rsidRPr="006B3CFD">
        <w:rPr>
          <w:i/>
          <w:sz w:val="22"/>
        </w:rPr>
        <w:t>a</w:t>
      </w:r>
      <w:r w:rsidRPr="006B3CFD">
        <w:rPr>
          <w:i/>
          <w:sz w:val="22"/>
        </w:rPr>
        <w:t>rede ja.</w:t>
      </w:r>
    </w:p>
    <w:p w:rsidR="00A71657" w:rsidRPr="000426E8" w:rsidRDefault="00A71657" w:rsidP="00A71657"/>
    <w:p w:rsidR="00A71657" w:rsidRDefault="00A71657" w:rsidP="00A71657">
      <w:r>
        <w:t>I ovennævnte afgørelse bestod den erhvervsmæssige virksomhed i et begrænset antal timer, for interessenten, der afstår sin andel. Kravet om at der var tale om aktiv vir</w:t>
      </w:r>
      <w:r>
        <w:t>k</w:t>
      </w:r>
      <w:r>
        <w:t>somhed var således opfyldt, selvom den pågældende interessent udførte mindre a</w:t>
      </w:r>
      <w:r>
        <w:t>r</w:t>
      </w:r>
      <w:r>
        <w:t>bejde end de andre interessenter.</w:t>
      </w:r>
    </w:p>
    <w:p w:rsidR="00A71657" w:rsidRDefault="00A71657" w:rsidP="00A71657"/>
    <w:p w:rsidR="00A71657" w:rsidRDefault="00A71657" w:rsidP="00A71657">
      <w:r>
        <w:t>Definitionen af erhvervsmæssig virksomhed ville i denne henseende være at der skal have været tale om ”aktiv” virksomhed – det vil sige at udlejning af fast ejendom, b</w:t>
      </w:r>
      <w:r>
        <w:t>e</w:t>
      </w:r>
      <w:r>
        <w:t xml:space="preserve">siddelse af kontanter/værdipapirer ikke vil kunne komme ind under benævnelsen jf. PBL § 15A, stk. 3 – 4, hvor disse udgør mere end 75 % af indtjeningen i virksomheden. </w:t>
      </w:r>
    </w:p>
    <w:p w:rsidR="005026D7" w:rsidRDefault="005026D7" w:rsidP="00D34604"/>
    <w:p w:rsidR="005026D7" w:rsidRDefault="00312092" w:rsidP="00D93548">
      <w:pPr>
        <w:pStyle w:val="Overskrift3"/>
      </w:pPr>
      <w:bookmarkStart w:id="73" w:name="_Toc221546202"/>
      <w:r>
        <w:t>3.1.9</w:t>
      </w:r>
      <w:r w:rsidR="00ED4B9F">
        <w:t xml:space="preserve"> Caseregnskab i</w:t>
      </w:r>
      <w:r w:rsidR="005026D7">
        <w:t>ndskud på pensionsordninger ved beskattet overdragelse</w:t>
      </w:r>
      <w:r w:rsidR="00627158">
        <w:t xml:space="preserve"> </w:t>
      </w:r>
      <w:r w:rsidR="00627158">
        <w:rPr>
          <w:b w:val="0"/>
          <w:sz w:val="22"/>
          <w:szCs w:val="22"/>
        </w:rPr>
        <w:t>(Jane</w:t>
      </w:r>
      <w:r w:rsidR="00627158" w:rsidRPr="00E75844">
        <w:rPr>
          <w:b w:val="0"/>
          <w:sz w:val="22"/>
          <w:szCs w:val="22"/>
        </w:rPr>
        <w:t>)</w:t>
      </w:r>
      <w:bookmarkEnd w:id="73"/>
    </w:p>
    <w:p w:rsidR="00A71657" w:rsidRDefault="002F0FFE" w:rsidP="00A71657">
      <w:r>
        <w:t xml:space="preserve">I </w:t>
      </w:r>
      <w:r w:rsidR="00A71657">
        <w:t>tilfælde</w:t>
      </w:r>
      <w:r>
        <w:t>t hvor der sker afståelse af en ideel andel</w:t>
      </w:r>
      <w:r>
        <w:rPr>
          <w:rStyle w:val="Fodnotehenvisning"/>
        </w:rPr>
        <w:footnoteReference w:id="58"/>
      </w:r>
      <w:r w:rsidR="00A71657">
        <w:t xml:space="preserve"> vil faderen kunne indskyde ava</w:t>
      </w:r>
      <w:r w:rsidR="00A71657">
        <w:t>n</w:t>
      </w:r>
      <w:r w:rsidR="00A71657">
        <w:t>cen på t.DKK 1.390 på ophørspension, da denne ikke overstiger det maksimale beløb, der kan indskydes på ophørspension. Fordelen herved er at den endelige beskatning udskydes til pensionen kommer til udbetaling i rater.</w:t>
      </w:r>
    </w:p>
    <w:p w:rsidR="00A71657" w:rsidRDefault="00A71657" w:rsidP="00A71657">
      <w:r>
        <w:t>Derudover har faderen muligheden for at foretage indskud på pensionsopsparing ved at udnytte det særlige 30 % opfyldingsfradrag, derved kan der udskydes endelig b</w:t>
      </w:r>
      <w:r>
        <w:t>e</w:t>
      </w:r>
      <w:r>
        <w:t>skatning af det opsparede overskud, jf. LV A.C.1.1.6.5 er det muligt at udnytte 30 % -reglen i såvel avancerne som virksomhedsindkomsten. Nedenfor vist ud fra case-regnskabet de maksimale indbetalinger på pensionsordninger i forbindelse med oph</w:t>
      </w:r>
      <w:r>
        <w:t>ø</w:t>
      </w:r>
      <w:r>
        <w:t>ret. Når den faktiske skattebetaling herefter er indregnet, har faderen brug for at a</w:t>
      </w:r>
      <w:r>
        <w:t>n</w:t>
      </w:r>
      <w:r>
        <w:lastRenderedPageBreak/>
        <w:t>vende t.DKK 78 af egne midler, hvis han ønsker at foretage maksimale indskud, her skal det endvidere huskes på, at den foreløbigt betalte virksomhedsskat af opsparet ove</w:t>
      </w:r>
      <w:r>
        <w:t>r</w:t>
      </w:r>
      <w:r>
        <w:t>skud bliver tilbagebetalt, når det opsparede overskud tages til indtægt. Der vil således ske tilbagebetaling af t.DKK 241 i forbindelse med genbeskatning af opsparet overskud, sådan at den faktiske skat ved maksimal opsparing til pensioner vil komme til at udg</w:t>
      </w:r>
      <w:r>
        <w:t>ø</w:t>
      </w:r>
      <w:r>
        <w:t>re t.DKK 65 i tilbagebetaling af skatter.</w:t>
      </w:r>
    </w:p>
    <w:tbl>
      <w:tblPr>
        <w:tblW w:w="5000" w:type="pct"/>
        <w:tblCellMar>
          <w:left w:w="70" w:type="dxa"/>
          <w:right w:w="70" w:type="dxa"/>
        </w:tblCellMar>
        <w:tblLook w:val="0000"/>
      </w:tblPr>
      <w:tblGrid>
        <w:gridCol w:w="3337"/>
        <w:gridCol w:w="1853"/>
        <w:gridCol w:w="1732"/>
        <w:gridCol w:w="1722"/>
      </w:tblGrid>
      <w:tr w:rsidR="00A71657" w:rsidRPr="00B720E6" w:rsidTr="00A71657">
        <w:trPr>
          <w:trHeight w:val="255"/>
        </w:trPr>
        <w:tc>
          <w:tcPr>
            <w:tcW w:w="1930"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0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Indkomstbeløb</w:t>
            </w:r>
          </w:p>
        </w:tc>
        <w:tc>
          <w:tcPr>
            <w:tcW w:w="99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B720E6" w:rsidTr="00A71657">
        <w:trPr>
          <w:trHeight w:val="255"/>
        </w:trPr>
        <w:tc>
          <w:tcPr>
            <w:tcW w:w="1930"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30 % -opfyldningsfradrag:</w:t>
            </w:r>
          </w:p>
        </w:tc>
        <w:tc>
          <w:tcPr>
            <w:tcW w:w="10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00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B720E6" w:rsidTr="00A71657">
        <w:trPr>
          <w:trHeight w:val="255"/>
        </w:trPr>
        <w:tc>
          <w:tcPr>
            <w:tcW w:w="3002" w:type="pct"/>
            <w:gridSpan w:val="2"/>
            <w:tcBorders>
              <w:top w:val="nil"/>
              <w:left w:val="nil"/>
              <w:bottom w:val="nil"/>
              <w:right w:val="nil"/>
            </w:tcBorders>
            <w:noWrap/>
            <w:vAlign w:val="bottom"/>
          </w:tcPr>
          <w:p w:rsidR="00A71657" w:rsidRPr="00916DAF" w:rsidRDefault="00A71657" w:rsidP="00A71657">
            <w:pPr>
              <w:ind w:firstLineChars="100" w:firstLine="200"/>
              <w:rPr>
                <w:rFonts w:cs="Arial"/>
                <w:sz w:val="20"/>
                <w:szCs w:val="20"/>
                <w:lang w:eastAsia="da-DK"/>
              </w:rPr>
            </w:pPr>
            <w:r w:rsidRPr="00916DAF">
              <w:rPr>
                <w:rFonts w:cs="Arial"/>
                <w:sz w:val="20"/>
                <w:szCs w:val="20"/>
                <w:lang w:eastAsia="da-DK"/>
              </w:rPr>
              <w:t>30 % af årets skattepligtige resultat før renter</w:t>
            </w: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812</w:t>
            </w: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r>
      <w:tr w:rsidR="00A71657" w:rsidRPr="00B720E6" w:rsidTr="00A71657">
        <w:trPr>
          <w:trHeight w:val="255"/>
        </w:trPr>
        <w:tc>
          <w:tcPr>
            <w:tcW w:w="3002" w:type="pct"/>
            <w:gridSpan w:val="2"/>
            <w:tcBorders>
              <w:top w:val="nil"/>
              <w:left w:val="nil"/>
              <w:bottom w:val="nil"/>
              <w:right w:val="nil"/>
            </w:tcBorders>
            <w:noWrap/>
            <w:vAlign w:val="bottom"/>
          </w:tcPr>
          <w:p w:rsidR="00A71657" w:rsidRPr="00916DAF" w:rsidRDefault="00A71657" w:rsidP="00A71657">
            <w:pPr>
              <w:ind w:firstLineChars="100" w:firstLine="200"/>
              <w:rPr>
                <w:rFonts w:cs="Arial"/>
                <w:sz w:val="20"/>
                <w:szCs w:val="20"/>
                <w:lang w:eastAsia="da-DK"/>
              </w:rPr>
            </w:pPr>
            <w:r w:rsidRPr="00916DAF">
              <w:rPr>
                <w:rFonts w:cs="Arial"/>
                <w:sz w:val="20"/>
                <w:szCs w:val="20"/>
                <w:lang w:eastAsia="da-DK"/>
              </w:rPr>
              <w:t>30 % af avancer ved afståelse</w:t>
            </w:r>
          </w:p>
        </w:tc>
        <w:tc>
          <w:tcPr>
            <w:tcW w:w="100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1.390</w:t>
            </w: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661</w:t>
            </w:r>
          </w:p>
        </w:tc>
      </w:tr>
      <w:tr w:rsidR="00A71657" w:rsidRPr="00B720E6" w:rsidTr="00A71657">
        <w:trPr>
          <w:trHeight w:val="255"/>
        </w:trPr>
        <w:tc>
          <w:tcPr>
            <w:tcW w:w="1930"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Ophørspension, max. beløb</w:t>
            </w:r>
          </w:p>
        </w:tc>
        <w:tc>
          <w:tcPr>
            <w:tcW w:w="1072"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100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 </w:t>
            </w: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1.390</w:t>
            </w:r>
          </w:p>
        </w:tc>
      </w:tr>
      <w:tr w:rsidR="00A71657" w:rsidRPr="00B720E6" w:rsidTr="00A71657">
        <w:trPr>
          <w:trHeight w:val="255"/>
        </w:trPr>
        <w:tc>
          <w:tcPr>
            <w:tcW w:w="3002" w:type="pct"/>
            <w:gridSpan w:val="2"/>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Samlet maksimal pensionsindbetaling</w:t>
            </w:r>
          </w:p>
        </w:tc>
        <w:tc>
          <w:tcPr>
            <w:tcW w:w="100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 </w:t>
            </w: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2.050</w:t>
            </w:r>
          </w:p>
        </w:tc>
      </w:tr>
      <w:tr w:rsidR="00A71657" w:rsidRPr="00B720E6" w:rsidTr="00A71657">
        <w:trPr>
          <w:trHeight w:val="255"/>
        </w:trPr>
        <w:tc>
          <w:tcPr>
            <w:tcW w:w="3002" w:type="pct"/>
            <w:gridSpan w:val="2"/>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Begrænsning i pensionsindbetaling;</w:t>
            </w: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r>
      <w:tr w:rsidR="00A71657" w:rsidRPr="00B720E6" w:rsidTr="00A71657">
        <w:trPr>
          <w:trHeight w:val="255"/>
        </w:trPr>
        <w:tc>
          <w:tcPr>
            <w:tcW w:w="3002" w:type="pct"/>
            <w:gridSpan w:val="2"/>
            <w:tcBorders>
              <w:top w:val="nil"/>
              <w:left w:val="nil"/>
              <w:right w:val="nil"/>
            </w:tcBorders>
            <w:noWrap/>
            <w:vAlign w:val="bottom"/>
          </w:tcPr>
          <w:p w:rsidR="00A71657" w:rsidRPr="00916DAF" w:rsidRDefault="00A71657" w:rsidP="00A71657">
            <w:pPr>
              <w:rPr>
                <w:rFonts w:cs="Arial"/>
                <w:sz w:val="20"/>
                <w:szCs w:val="20"/>
                <w:lang w:eastAsia="da-DK"/>
              </w:rPr>
            </w:pPr>
            <w:r>
              <w:rPr>
                <w:rFonts w:cs="Arial"/>
                <w:sz w:val="20"/>
                <w:szCs w:val="20"/>
                <w:lang w:eastAsia="da-DK"/>
              </w:rPr>
              <w:t>P</w:t>
            </w:r>
            <w:r w:rsidRPr="00916DAF">
              <w:rPr>
                <w:rFonts w:cs="Arial"/>
                <w:sz w:val="20"/>
                <w:szCs w:val="20"/>
                <w:lang w:eastAsia="da-DK"/>
              </w:rPr>
              <w:t>ersonlig indkomst efter AM-bidrag</w:t>
            </w:r>
            <w:r>
              <w:rPr>
                <w:rFonts w:cs="Arial"/>
                <w:sz w:val="20"/>
                <w:szCs w:val="20"/>
                <w:lang w:eastAsia="da-DK"/>
              </w:rPr>
              <w:t xml:space="preserve"> (812 + 1.390)</w:t>
            </w:r>
          </w:p>
        </w:tc>
        <w:tc>
          <w:tcPr>
            <w:tcW w:w="1002" w:type="pct"/>
            <w:tcBorders>
              <w:top w:val="nil"/>
              <w:left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2.026</w:t>
            </w:r>
          </w:p>
        </w:tc>
        <w:tc>
          <w:tcPr>
            <w:tcW w:w="996" w:type="pct"/>
            <w:tcBorders>
              <w:top w:val="nil"/>
              <w:left w:val="nil"/>
              <w:right w:val="nil"/>
            </w:tcBorders>
            <w:noWrap/>
            <w:vAlign w:val="bottom"/>
          </w:tcPr>
          <w:p w:rsidR="00A71657" w:rsidRPr="00916DAF" w:rsidRDefault="00A71657" w:rsidP="00A71657">
            <w:pPr>
              <w:jc w:val="right"/>
              <w:rPr>
                <w:rFonts w:cs="Arial"/>
                <w:sz w:val="20"/>
                <w:szCs w:val="20"/>
                <w:lang w:eastAsia="da-DK"/>
              </w:rPr>
            </w:pPr>
          </w:p>
        </w:tc>
      </w:tr>
      <w:tr w:rsidR="00A71657" w:rsidRPr="00B720E6" w:rsidTr="00A71657">
        <w:trPr>
          <w:trHeight w:val="255"/>
        </w:trPr>
        <w:tc>
          <w:tcPr>
            <w:tcW w:w="3002" w:type="pct"/>
            <w:gridSpan w:val="2"/>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Maksimering af pensionsindbetaling</w:t>
            </w:r>
          </w:p>
        </w:tc>
        <w:tc>
          <w:tcPr>
            <w:tcW w:w="100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w:t>
            </w:r>
            <w:r>
              <w:rPr>
                <w:rFonts w:cs="Arial"/>
                <w:sz w:val="20"/>
                <w:szCs w:val="20"/>
                <w:lang w:eastAsia="da-DK"/>
              </w:rPr>
              <w:t>4</w:t>
            </w:r>
          </w:p>
        </w:tc>
      </w:tr>
      <w:tr w:rsidR="00A71657" w:rsidRPr="00B720E6" w:rsidTr="00A71657">
        <w:trPr>
          <w:trHeight w:val="255"/>
        </w:trPr>
        <w:tc>
          <w:tcPr>
            <w:tcW w:w="1930" w:type="pct"/>
            <w:tcBorders>
              <w:top w:val="single" w:sz="4" w:space="0" w:color="auto"/>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Pensionsindbetaling herefter</w:t>
            </w:r>
          </w:p>
        </w:tc>
        <w:tc>
          <w:tcPr>
            <w:tcW w:w="1072" w:type="pct"/>
            <w:tcBorders>
              <w:top w:val="single" w:sz="4" w:space="0" w:color="auto"/>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1002" w:type="pct"/>
            <w:tcBorders>
              <w:top w:val="single" w:sz="4" w:space="0" w:color="auto"/>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 </w:t>
            </w:r>
          </w:p>
        </w:tc>
        <w:tc>
          <w:tcPr>
            <w:tcW w:w="996" w:type="pct"/>
            <w:tcBorders>
              <w:top w:val="single" w:sz="4" w:space="0" w:color="auto"/>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2.026</w:t>
            </w:r>
          </w:p>
        </w:tc>
      </w:tr>
      <w:tr w:rsidR="00A71657" w:rsidRPr="00B720E6" w:rsidTr="00A71657">
        <w:trPr>
          <w:trHeight w:val="255"/>
        </w:trPr>
        <w:tc>
          <w:tcPr>
            <w:tcW w:w="1930"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Beskatning herefter:</w:t>
            </w:r>
          </w:p>
        </w:tc>
        <w:tc>
          <w:tcPr>
            <w:tcW w:w="10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r>
      <w:tr w:rsidR="00A71657" w:rsidRPr="00B720E6" w:rsidTr="00A71657">
        <w:trPr>
          <w:trHeight w:val="255"/>
        </w:trPr>
        <w:tc>
          <w:tcPr>
            <w:tcW w:w="3002" w:type="pct"/>
            <w:gridSpan w:val="2"/>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Virksomhedsindkomst inkl. avancer</w:t>
            </w: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2.202</w:t>
            </w:r>
          </w:p>
        </w:tc>
      </w:tr>
      <w:tr w:rsidR="00A71657" w:rsidRPr="00B720E6" w:rsidTr="00A71657">
        <w:trPr>
          <w:trHeight w:val="255"/>
        </w:trPr>
        <w:tc>
          <w:tcPr>
            <w:tcW w:w="1930"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Arbejdsmarkedsbidrag</w:t>
            </w:r>
          </w:p>
        </w:tc>
        <w:tc>
          <w:tcPr>
            <w:tcW w:w="10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-176</w:t>
            </w:r>
          </w:p>
        </w:tc>
      </w:tr>
      <w:tr w:rsidR="00A71657" w:rsidRPr="00B720E6" w:rsidTr="00A71657">
        <w:trPr>
          <w:trHeight w:val="255"/>
        </w:trPr>
        <w:tc>
          <w:tcPr>
            <w:tcW w:w="3002" w:type="pct"/>
            <w:gridSpan w:val="2"/>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Indskud på pensionsordninger</w:t>
            </w:r>
          </w:p>
        </w:tc>
        <w:tc>
          <w:tcPr>
            <w:tcW w:w="100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 </w:t>
            </w: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-2.026</w:t>
            </w:r>
          </w:p>
        </w:tc>
      </w:tr>
      <w:tr w:rsidR="00A71657" w:rsidRPr="00B720E6" w:rsidTr="00A71657">
        <w:trPr>
          <w:trHeight w:val="255"/>
        </w:trPr>
        <w:tc>
          <w:tcPr>
            <w:tcW w:w="1930"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xml:space="preserve">Personlig indkomst </w:t>
            </w:r>
          </w:p>
        </w:tc>
        <w:tc>
          <w:tcPr>
            <w:tcW w:w="10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r>
      <w:tr w:rsidR="00A71657" w:rsidRPr="00B720E6" w:rsidTr="00A71657">
        <w:trPr>
          <w:trHeight w:val="255"/>
        </w:trPr>
        <w:tc>
          <w:tcPr>
            <w:tcW w:w="1930"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Indkomstskat, 60 %</w:t>
            </w:r>
          </w:p>
        </w:tc>
        <w:tc>
          <w:tcPr>
            <w:tcW w:w="1072"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100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 </w:t>
            </w: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r>
      <w:tr w:rsidR="00A71657" w:rsidRPr="00B720E6" w:rsidTr="00A71657">
        <w:trPr>
          <w:trHeight w:val="255"/>
        </w:trPr>
        <w:tc>
          <w:tcPr>
            <w:tcW w:w="1930"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Likviditet</w:t>
            </w:r>
          </w:p>
        </w:tc>
        <w:tc>
          <w:tcPr>
            <w:tcW w:w="10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r>
      <w:tr w:rsidR="00A71657" w:rsidRPr="00B720E6" w:rsidTr="00A71657">
        <w:trPr>
          <w:trHeight w:val="255"/>
        </w:trPr>
        <w:tc>
          <w:tcPr>
            <w:tcW w:w="3002" w:type="pct"/>
            <w:gridSpan w:val="2"/>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Kontant fra salg af virksomhed</w:t>
            </w: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1.883</w:t>
            </w:r>
          </w:p>
        </w:tc>
      </w:tr>
      <w:tr w:rsidR="00A71657" w:rsidRPr="00B720E6" w:rsidTr="00A71657">
        <w:trPr>
          <w:trHeight w:val="255"/>
        </w:trPr>
        <w:tc>
          <w:tcPr>
            <w:tcW w:w="1930"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Faktisk skattebetaling</w:t>
            </w:r>
          </w:p>
        </w:tc>
        <w:tc>
          <w:tcPr>
            <w:tcW w:w="1072"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100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 </w:t>
            </w: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-176</w:t>
            </w:r>
          </w:p>
        </w:tc>
      </w:tr>
      <w:tr w:rsidR="00A71657" w:rsidRPr="00B720E6" w:rsidTr="00A71657">
        <w:trPr>
          <w:trHeight w:val="255"/>
        </w:trPr>
        <w:tc>
          <w:tcPr>
            <w:tcW w:w="1930"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Nettoprovenu</w:t>
            </w:r>
          </w:p>
        </w:tc>
        <w:tc>
          <w:tcPr>
            <w:tcW w:w="10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00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1.706</w:t>
            </w:r>
          </w:p>
        </w:tc>
      </w:tr>
      <w:tr w:rsidR="00A71657" w:rsidRPr="00B720E6" w:rsidTr="00A71657">
        <w:trPr>
          <w:trHeight w:val="255"/>
        </w:trPr>
        <w:tc>
          <w:tcPr>
            <w:tcW w:w="3002" w:type="pct"/>
            <w:gridSpan w:val="2"/>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Indskud på pensionsordninger</w:t>
            </w:r>
          </w:p>
        </w:tc>
        <w:tc>
          <w:tcPr>
            <w:tcW w:w="100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 </w:t>
            </w: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-2.026</w:t>
            </w:r>
          </w:p>
        </w:tc>
      </w:tr>
      <w:tr w:rsidR="00A71657" w:rsidRPr="00B720E6" w:rsidTr="00A71657">
        <w:trPr>
          <w:trHeight w:val="255"/>
        </w:trPr>
        <w:tc>
          <w:tcPr>
            <w:tcW w:w="4004" w:type="pct"/>
            <w:gridSpan w:val="3"/>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Egenfinansiering, før tilbagebetaling af aconto virksomhedsskat.</w:t>
            </w:r>
          </w:p>
        </w:tc>
        <w:tc>
          <w:tcPr>
            <w:tcW w:w="996"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-319</w:t>
            </w:r>
          </w:p>
        </w:tc>
      </w:tr>
      <w:tr w:rsidR="00A71657" w:rsidRPr="00B720E6" w:rsidTr="00A71657">
        <w:trPr>
          <w:trHeight w:val="255"/>
        </w:trPr>
        <w:tc>
          <w:tcPr>
            <w:tcW w:w="3002" w:type="pct"/>
            <w:gridSpan w:val="2"/>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Aconto betalt virksomhedsskat</w:t>
            </w:r>
          </w:p>
        </w:tc>
        <w:tc>
          <w:tcPr>
            <w:tcW w:w="1002"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241</w:t>
            </w:r>
          </w:p>
        </w:tc>
      </w:tr>
      <w:tr w:rsidR="00A71657" w:rsidRPr="00B720E6" w:rsidTr="00A71657">
        <w:trPr>
          <w:trHeight w:val="255"/>
        </w:trPr>
        <w:tc>
          <w:tcPr>
            <w:tcW w:w="4004" w:type="pct"/>
            <w:gridSpan w:val="3"/>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Netto egenfinansiering af pensionsindbetalinger</w:t>
            </w:r>
          </w:p>
        </w:tc>
        <w:tc>
          <w:tcPr>
            <w:tcW w:w="996"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-78</w:t>
            </w:r>
          </w:p>
        </w:tc>
      </w:tr>
    </w:tbl>
    <w:p w:rsidR="00A71657" w:rsidRPr="0007728E" w:rsidRDefault="002F0FFE" w:rsidP="002F0FFE">
      <w:pPr>
        <w:pStyle w:val="Billedtekst"/>
      </w:pPr>
      <w:bookmarkStart w:id="74" w:name="_Toc218751403"/>
      <w:r>
        <w:t xml:space="preserve">Figur </w:t>
      </w:r>
      <w:fldSimple w:instr=" SEQ Figur \* ARABIC ">
        <w:r w:rsidR="000F066D">
          <w:rPr>
            <w:noProof/>
          </w:rPr>
          <w:t>20</w:t>
        </w:r>
      </w:fldSimple>
      <w:r w:rsidR="00A71657">
        <w:t xml:space="preserve"> Beregninger på pensionsordninger for overdrageren ved beskattet overdragelse</w:t>
      </w:r>
      <w:bookmarkEnd w:id="74"/>
    </w:p>
    <w:p w:rsidR="00A71657" w:rsidRDefault="00A71657" w:rsidP="00A71657"/>
    <w:p w:rsidR="00A71657" w:rsidRDefault="00A71657" w:rsidP="00A71657">
      <w:r>
        <w:lastRenderedPageBreak/>
        <w:t>Som det fremgår af ovenstående beregning vil A ikke kunne foretage det maksimale indskud på pensionsordninger, da den personlige indkomst herved vil blive negativ. For at kunne opnå fradrag for pensionsindbetalingerne skal disse kunne indeholdes i den personlige indkomst. Fordelen ved at foretage de maksimale indskud er at skatteyd</w:t>
      </w:r>
      <w:r>
        <w:t>e</w:t>
      </w:r>
      <w:r>
        <w:t>ren reelt kun skal betale arbejdsmarkedsbidrag i afståelsesåret. Der er således i en fo</w:t>
      </w:r>
      <w:r>
        <w:t>r</w:t>
      </w:r>
      <w:r>
        <w:t>skel på t.DKK 970 i faktisk skattebetaling i afståelsesåret ved at foretage maksimalt indskud på pensionsordninger.</w:t>
      </w:r>
    </w:p>
    <w:p w:rsidR="007A35E5" w:rsidRDefault="007A35E5" w:rsidP="00664CE2"/>
    <w:p w:rsidR="007A35E5" w:rsidRDefault="00312092" w:rsidP="00D93548">
      <w:pPr>
        <w:pStyle w:val="Overskrift3"/>
      </w:pPr>
      <w:bookmarkStart w:id="75" w:name="_Toc216163806"/>
      <w:bookmarkStart w:id="76" w:name="_Ref218936774"/>
      <w:bookmarkStart w:id="77" w:name="_Toc212806421"/>
      <w:bookmarkStart w:id="78" w:name="_Toc214610760"/>
      <w:bookmarkStart w:id="79" w:name="_Toc221546203"/>
      <w:r>
        <w:t>3.1.10</w:t>
      </w:r>
      <w:r w:rsidR="00ED4B9F">
        <w:t xml:space="preserve"> </w:t>
      </w:r>
      <w:r w:rsidR="007A35E5">
        <w:t>Indskud på etableringskonto</w:t>
      </w:r>
      <w:bookmarkEnd w:id="75"/>
      <w:r w:rsidR="009D3CF9">
        <w:t xml:space="preserve"> eller iværksætterkonto</w:t>
      </w:r>
      <w:bookmarkEnd w:id="76"/>
      <w:r w:rsidR="00627158">
        <w:t xml:space="preserve"> </w:t>
      </w:r>
      <w:r w:rsidR="00627158">
        <w:rPr>
          <w:b w:val="0"/>
          <w:sz w:val="22"/>
          <w:szCs w:val="22"/>
        </w:rPr>
        <w:t>(Jane</w:t>
      </w:r>
      <w:r w:rsidR="00627158" w:rsidRPr="00E75844">
        <w:rPr>
          <w:b w:val="0"/>
          <w:sz w:val="22"/>
          <w:szCs w:val="22"/>
        </w:rPr>
        <w:t>)</w:t>
      </w:r>
      <w:bookmarkEnd w:id="79"/>
    </w:p>
    <w:p w:rsidR="00A71657" w:rsidRDefault="00A71657" w:rsidP="00A71657">
      <w:r>
        <w:t>Den unges finansieringsmuligheder er ofte en begrænsende faktor i overdragelsen, uanset at den ældre generation yder en gave i forbindelse hermed, skal den unge st</w:t>
      </w:r>
      <w:r>
        <w:t>a</w:t>
      </w:r>
      <w:r>
        <w:t>dig ofte præstere en ydelse. Hvis den unge derfor på et tidligt tidspunkt ved, at han skal overtage virksomheden, kan han vælge at foretage indskud på en etableringsko</w:t>
      </w:r>
      <w:r>
        <w:t>n</w:t>
      </w:r>
      <w:r>
        <w:t>to. Etableringskontoordningen giver et ligningsmæssig skattefradrag i de år den unge indskyder på ordningen</w:t>
      </w:r>
      <w:r>
        <w:rPr>
          <w:rStyle w:val="Fodnotehenvisning"/>
        </w:rPr>
        <w:t xml:space="preserve"> </w:t>
      </w:r>
      <w:r>
        <w:rPr>
          <w:rStyle w:val="Fodnotehenvisning"/>
        </w:rPr>
        <w:footnoteReference w:id="59"/>
      </w:r>
      <w:r>
        <w:t xml:space="preserve"> – den faktiske indbetaling skal ske senest den 15. maj året efter</w:t>
      </w:r>
      <w:r>
        <w:rPr>
          <w:rStyle w:val="Fodnotehenvisning"/>
        </w:rPr>
        <w:footnoteReference w:id="60"/>
      </w:r>
      <w:r>
        <w:t xml:space="preserve">, at der er foretaget fradrag for indskuddet. Der kan indskydes mindst </w:t>
      </w:r>
      <w:r w:rsidR="002C0F6A">
        <w:t xml:space="preserve">t.DKK </w:t>
      </w:r>
      <w:r>
        <w:t>5 og max 40 % af ne</w:t>
      </w:r>
      <w:r w:rsidR="002C0F6A">
        <w:t xml:space="preserve">ttolønindtægten, dog altid t.DKK 100 </w:t>
      </w:r>
      <w:r>
        <w:t>og indskuddene kan også fortsæ</w:t>
      </w:r>
      <w:r>
        <w:t>t</w:t>
      </w:r>
      <w:r>
        <w:t xml:space="preserve">te i 4 år efter etableringsåret, hvis indskudte beløb ikke er hævet. </w:t>
      </w:r>
    </w:p>
    <w:p w:rsidR="00A71657" w:rsidRDefault="00A71657" w:rsidP="00A71657"/>
    <w:p w:rsidR="00A71657" w:rsidRDefault="00A71657" w:rsidP="00A71657">
      <w:r>
        <w:t>Når den unge anses for at have etableret en selvstændig erhvervsvirksomhed, hvor dette defineres som beskrevet i</w:t>
      </w:r>
      <w:r w:rsidR="006B00C0">
        <w:t xml:space="preserve"> afsnit</w:t>
      </w:r>
      <w:r>
        <w:t xml:space="preserve"> </w:t>
      </w:r>
      <w:r w:rsidR="006B00C0">
        <w:t>”</w:t>
      </w:r>
      <w:r w:rsidR="00012FAC">
        <w:fldChar w:fldCharType="begin"/>
      </w:r>
      <w:r w:rsidR="006B00C0">
        <w:instrText xml:space="preserve"> REF _Ref218952063 \h </w:instrText>
      </w:r>
      <w:r w:rsidR="00012FAC">
        <w:fldChar w:fldCharType="separate"/>
      </w:r>
      <w:r w:rsidR="000F066D">
        <w:t>1.3.1 Skatteretligt virksomhedsbegreb</w:t>
      </w:r>
      <w:r w:rsidR="00012FAC">
        <w:fldChar w:fldCharType="end"/>
      </w:r>
      <w:r w:rsidR="006B00C0">
        <w:t>”</w:t>
      </w:r>
      <w:r>
        <w:t xml:space="preserve">, kan der hæves et beløb svarende til den kontantomregnede anskaffelsessum, der dog mindst skal udgøre et reguleret grundbeløb der udgør </w:t>
      </w:r>
      <w:r w:rsidR="002C0F6A">
        <w:t xml:space="preserve">DKK </w:t>
      </w:r>
      <w:r>
        <w:t xml:space="preserve">110.100 (2008). </w:t>
      </w:r>
      <w:r w:rsidRPr="000550F2">
        <w:t xml:space="preserve">De hævede midler </w:t>
      </w:r>
      <w:r>
        <w:t>nedsætter</w:t>
      </w:r>
      <w:r w:rsidRPr="000550F2">
        <w:t xml:space="preserve"> de anskaffede aktiver</w:t>
      </w:r>
      <w:r>
        <w:t>s afskrivningsgrundlag med 70 %.</w:t>
      </w:r>
      <w:r>
        <w:rPr>
          <w:rStyle w:val="Fodnotehenvisning"/>
        </w:rPr>
        <w:footnoteReference w:id="61"/>
      </w:r>
      <w:r>
        <w:t xml:space="preserve"> De frigivne </w:t>
      </w:r>
      <w:r>
        <w:lastRenderedPageBreak/>
        <w:t xml:space="preserve">midler kan også anvendes til at dække en række driftsomkostninger som eksempelvis lønninger, husleje og advokat- og revisorudgifter i forbindelse med etableringen. Der kan foretages anskaffelser i 3 år forud for etableringen og 9 år efter. </w:t>
      </w:r>
    </w:p>
    <w:p w:rsidR="00A71657" w:rsidRDefault="00A71657" w:rsidP="00A71657">
      <w:r>
        <w:t>Det opsparede beløb kunne tidligere kun anvendes til at købe afskrivningsberettigede driftsmidler, i dag kan etableringskontomidlerne også bruges til at købe aktier for, når visse betingelser er opfyldte. Hvis midlerne skal bruges til at købe aktier, skal kravene i ETBL § 7, stk. 2 nr. 1-3 opfyldes som bl.a. er ejerandele samt et aktivt driftsselskab d</w:t>
      </w:r>
      <w:r>
        <w:t>e</w:t>
      </w:r>
      <w:r>
        <w:t>fineret ved at afgrænse med pengetanksreglen. Hvis den unge alligevel ikke skal ove</w:t>
      </w:r>
      <w:r>
        <w:t>r</w:t>
      </w:r>
      <w:r>
        <w:t>tage virksomheden, og dermed ikke benytter det opsparede beløb, kommer de til ge</w:t>
      </w:r>
      <w:r>
        <w:t>n</w:t>
      </w:r>
      <w:r>
        <w:t>beskatning i en årrække efter, hvor de medregnes til den skattepligtige indkomst. Mi</w:t>
      </w:r>
      <w:r>
        <w:t>d</w:t>
      </w:r>
      <w:r>
        <w:t>lerne kommer endvidere til 60 % genbeskatning over en 10-årig periode, hvis de beny</w:t>
      </w:r>
      <w:r>
        <w:t>t</w:t>
      </w:r>
      <w:r>
        <w:t>tes til at købe aktier</w:t>
      </w:r>
      <w:r>
        <w:rPr>
          <w:rStyle w:val="Fodnotehenvisning"/>
        </w:rPr>
        <w:t xml:space="preserve"> </w:t>
      </w:r>
      <w:r>
        <w:rPr>
          <w:rStyle w:val="Fodnotehenvisning"/>
        </w:rPr>
        <w:footnoteReference w:id="62"/>
      </w:r>
      <w:r>
        <w:t xml:space="preserve">, hvilket sker som en forhøjelse af den personlige indkomst. </w:t>
      </w:r>
    </w:p>
    <w:p w:rsidR="00A71657" w:rsidRDefault="00A71657" w:rsidP="00A71657"/>
    <w:p w:rsidR="00A71657" w:rsidRDefault="00A71657" w:rsidP="00A71657">
      <w:r>
        <w:t>Der foreligger lovforslag om at forbedre vilkårene for iværksættere, der i hovedtræk er ændret således at indskud på iværksætterkonto giver fradrag i den personlige in</w:t>
      </w:r>
      <w:r>
        <w:t>d</w:t>
      </w:r>
      <w:r>
        <w:t>komst, hvor etableringskontoindskud alene giver ligningsmæssigt fradrag. Derudover ligner de to ordninger hinanden meget. Genbeskatning af ubrugte iværksætterkont</w:t>
      </w:r>
      <w:r>
        <w:t>o</w:t>
      </w:r>
      <w:r>
        <w:t>midler vil ske med en afgift på 60 %, og den efterfølgende afskrivningsberettiget saldo på erhvervede driftsmidler, nedsættes til 0. Forskellen på genbeskatningen og nedsæ</w:t>
      </w:r>
      <w:r>
        <w:t>t</w:t>
      </w:r>
      <w:r>
        <w:t>telse af den afskrivningsberettigede saldo i mellem iværksætterkonto ordningen og etableringskonto ordningen skyldes forskellen i fradrag i den personlige indkomst. Iværksætterkonto vil sandsynligvis blive en mere attraktiv opsparingsform, hvis en pe</w:t>
      </w:r>
      <w:r>
        <w:t>r</w:t>
      </w:r>
      <w:r>
        <w:t>son har ambitioner om at starte selvstændig virksomhed, på grund af skattefradraget i personlig indkomst.</w:t>
      </w:r>
    </w:p>
    <w:p w:rsidR="007A35E5" w:rsidRDefault="007A35E5" w:rsidP="00BA204C"/>
    <w:p w:rsidR="007A35E5" w:rsidRPr="00D93548" w:rsidRDefault="00312092" w:rsidP="00D93548">
      <w:pPr>
        <w:pStyle w:val="Overskrift3"/>
      </w:pPr>
      <w:bookmarkStart w:id="80" w:name="_Toc221546204"/>
      <w:r w:rsidRPr="00D93548">
        <w:lastRenderedPageBreak/>
        <w:t>3.1.11</w:t>
      </w:r>
      <w:r w:rsidR="00ED4B9F" w:rsidRPr="00D93548">
        <w:t xml:space="preserve"> </w:t>
      </w:r>
      <w:r w:rsidR="007A35E5" w:rsidRPr="00D93548">
        <w:t>Erhververens stilling ved beskattet overdragelse</w:t>
      </w:r>
      <w:bookmarkEnd w:id="77"/>
      <w:bookmarkEnd w:id="78"/>
      <w:r w:rsidR="00627158">
        <w:t xml:space="preserve"> </w:t>
      </w:r>
      <w:r w:rsidR="00627158">
        <w:rPr>
          <w:b w:val="0"/>
          <w:sz w:val="22"/>
          <w:szCs w:val="22"/>
        </w:rPr>
        <w:t>(Jane</w:t>
      </w:r>
      <w:r w:rsidR="00627158" w:rsidRPr="00E75844">
        <w:rPr>
          <w:b w:val="0"/>
          <w:sz w:val="22"/>
          <w:szCs w:val="22"/>
        </w:rPr>
        <w:t>)</w:t>
      </w:r>
      <w:bookmarkEnd w:id="80"/>
    </w:p>
    <w:p w:rsidR="00A71657" w:rsidRDefault="00A71657" w:rsidP="00A71657">
      <w:r>
        <w:t>For erhververen kan der være krav om sikkerhedsstillelse for at kunne opnå finansi</w:t>
      </w:r>
      <w:r>
        <w:t>e</w:t>
      </w:r>
      <w:r>
        <w:t>ring af købesummen, hvis denne ikke har tilstrækkelige midler selv. Det vil således v</w:t>
      </w:r>
      <w:r>
        <w:t>æ</w:t>
      </w:r>
      <w:r>
        <w:t>re nødvendigt at erhververen har en fornuftig økonomi, da en person, der har opa</w:t>
      </w:r>
      <w:r>
        <w:t>r</w:t>
      </w:r>
      <w:r>
        <w:t>bejdet stor gæld (ofte forbrugsgæld), vil have sværere ved at opnår de nødvendige kreditfaciliteter i pengeinstituttet. Rådgiveren vil nok være i tvivl om gældsætningen privat vil kunne dækkes ind af indtjeningen i virksomheden, ligesom man vil kunne drage paralleller til</w:t>
      </w:r>
      <w:r w:rsidR="002F0FFE">
        <w:t>,</w:t>
      </w:r>
      <w:r>
        <w:t xml:space="preserve"> hvordan den kommende virksomhedsejer vil drive virksomheden fremadrettet, vil denne </w:t>
      </w:r>
      <w:r w:rsidR="002F0FFE">
        <w:t xml:space="preserve">formentlig </w:t>
      </w:r>
      <w:r>
        <w:t>trække størst muligt ud af virksomheden til forbrug i stedet for at sikre en fornuftig konsolidering i virksomheden</w:t>
      </w:r>
    </w:p>
    <w:p w:rsidR="00A71657" w:rsidRDefault="00A71657" w:rsidP="00A71657"/>
    <w:p w:rsidR="00A71657" w:rsidRDefault="00A71657" w:rsidP="00A71657">
      <w:r>
        <w:t>Når erhververen ikke har midler selv til at kunne investere i virksomheden, og denne har opnået de nødvendige tilsagn om finansiering, vil dette stille krav til den fremtidige indtjening i virksomheden. Der skal således være en indtjening der dels dækker beh</w:t>
      </w:r>
      <w:r>
        <w:t>o</w:t>
      </w:r>
      <w:r>
        <w:t>vet for at indehaveren kan foretage udtræk til at dække private omkostninger med, dels skal der være en indtjening der kan sikre forrentningen af den indskudte kapital og endvidere skal der ske en konsolidering i virksomheden, så der er midler at arbejde til f.eks. nyinvesteringer, udvidelse af aktiviteten mv.</w:t>
      </w:r>
    </w:p>
    <w:p w:rsidR="00A71657" w:rsidRDefault="00A71657" w:rsidP="00A71657"/>
    <w:p w:rsidR="00A71657" w:rsidRDefault="00A71657" w:rsidP="00A71657">
      <w:r>
        <w:t>Kravet om finansiering af virksomheden vil kunne dæmpe datterens lyst til at indgå i virksomheden. Det kan virke uoverskueligt, at finansiere købesummen, ligesom den fremtidige indtjening vil være behæftet med nogen usikkerhed. Datterens krav til hævninger i virksomheden kan være større end den/de tilbageværende interessenter, der har mindre krav til private omkostninger, deres børn er måske ikke længere hje</w:t>
      </w:r>
      <w:r>
        <w:t>m</w:t>
      </w:r>
      <w:r>
        <w:t>meboende, prioritetsgælden i den private bolig er indfriet. Mens datteren derimod måske er nyetableret, har mindre børn og deraf har et større behov for at trække mi</w:t>
      </w:r>
      <w:r>
        <w:t>d</w:t>
      </w:r>
      <w:r>
        <w:t>ler ud til at dække de nødvendige private udgifter.</w:t>
      </w:r>
    </w:p>
    <w:p w:rsidR="00A71657" w:rsidRDefault="00A71657" w:rsidP="00A71657"/>
    <w:p w:rsidR="00A71657" w:rsidRDefault="00A71657" w:rsidP="00A71657">
      <w:r>
        <w:lastRenderedPageBreak/>
        <w:t>Fordelen ved at foretage en beskattet overdragelse er helt klart at der er nye anska</w:t>
      </w:r>
      <w:r>
        <w:t>f</w:t>
      </w:r>
      <w:r>
        <w:t xml:space="preserve">felsessummer på aktiverne og deraf større afskrivningsgrundlag, ligesom der vil være mulighed for at afskrive på goodwill, da der sker en betaling for denne. </w:t>
      </w:r>
      <w:r w:rsidR="002F0FFE">
        <w:t>Ligesom d</w:t>
      </w:r>
      <w:r>
        <w:t xml:space="preserve">er </w:t>
      </w:r>
      <w:r w:rsidR="002F0FFE">
        <w:t>ikke vil</w:t>
      </w:r>
      <w:r>
        <w:t xml:space="preserve"> hvile latente skatteforpligtelser </w:t>
      </w:r>
      <w:r w:rsidR="002F0FFE">
        <w:t>i forbindelse med</w:t>
      </w:r>
      <w:r>
        <w:t xml:space="preserve"> overdragelsen. </w:t>
      </w:r>
    </w:p>
    <w:p w:rsidR="007A35E5" w:rsidRDefault="007A35E5" w:rsidP="00AF4FDF"/>
    <w:p w:rsidR="00A71657" w:rsidRPr="00B05946" w:rsidRDefault="00A71657" w:rsidP="00A71657">
      <w:pPr>
        <w:pStyle w:val="Overskrift3"/>
      </w:pPr>
      <w:bookmarkStart w:id="81" w:name="_Toc221546205"/>
      <w:r>
        <w:t xml:space="preserve">3.1.12 </w:t>
      </w:r>
      <w:r w:rsidRPr="00B05946">
        <w:t xml:space="preserve">Beskattet overdragelse </w:t>
      </w:r>
      <w:r w:rsidR="00627158">
        <w:t>–</w:t>
      </w:r>
      <w:r>
        <w:t xml:space="preserve"> </w:t>
      </w:r>
      <w:r w:rsidRPr="00B05946">
        <w:t>opsummering</w:t>
      </w:r>
      <w:r w:rsidR="00627158">
        <w:t xml:space="preserve"> </w:t>
      </w:r>
      <w:r w:rsidR="00627158">
        <w:rPr>
          <w:b w:val="0"/>
          <w:sz w:val="22"/>
          <w:szCs w:val="22"/>
        </w:rPr>
        <w:t>(Jane</w:t>
      </w:r>
      <w:r w:rsidR="00627158" w:rsidRPr="00E75844">
        <w:rPr>
          <w:b w:val="0"/>
          <w:sz w:val="22"/>
          <w:szCs w:val="22"/>
        </w:rPr>
        <w:t>)</w:t>
      </w:r>
      <w:bookmarkEnd w:id="81"/>
    </w:p>
    <w:p w:rsidR="00A71657" w:rsidRDefault="00A71657" w:rsidP="00A71657">
      <w:r>
        <w:t>Der kan efter gennemgangen af de forskellige muligheder for beskattet overdragelse af case-virksomheden opstilles følgende oversigt over fordele og ulemper.</w:t>
      </w:r>
    </w:p>
    <w:p w:rsidR="00A71657" w:rsidRDefault="00A71657" w:rsidP="00A716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A71657" w:rsidRPr="0011688E" w:rsidTr="00A71657">
        <w:tc>
          <w:tcPr>
            <w:tcW w:w="2500" w:type="pct"/>
            <w:tcBorders>
              <w:top w:val="nil"/>
            </w:tcBorders>
          </w:tcPr>
          <w:p w:rsidR="00A71657" w:rsidRPr="009C2BFD" w:rsidRDefault="00A71657" w:rsidP="00A71657">
            <w:pPr>
              <w:rPr>
                <w:b/>
              </w:rPr>
            </w:pPr>
            <w:r>
              <w:rPr>
                <w:b/>
              </w:rPr>
              <w:t>Fordele</w:t>
            </w:r>
          </w:p>
        </w:tc>
        <w:tc>
          <w:tcPr>
            <w:tcW w:w="2500" w:type="pct"/>
            <w:tcBorders>
              <w:top w:val="nil"/>
            </w:tcBorders>
          </w:tcPr>
          <w:p w:rsidR="00A71657" w:rsidRPr="009C2BFD" w:rsidRDefault="00A71657" w:rsidP="00A71657">
            <w:pPr>
              <w:rPr>
                <w:b/>
              </w:rPr>
            </w:pPr>
            <w:r>
              <w:rPr>
                <w:b/>
              </w:rPr>
              <w:t>Ulemper</w:t>
            </w:r>
          </w:p>
        </w:tc>
      </w:tr>
      <w:tr w:rsidR="00A71657" w:rsidRPr="0011688E" w:rsidTr="00A71657">
        <w:tc>
          <w:tcPr>
            <w:tcW w:w="2500" w:type="pct"/>
          </w:tcPr>
          <w:p w:rsidR="00A71657" w:rsidRDefault="00A71657" w:rsidP="00A71657">
            <w:pPr>
              <w:numPr>
                <w:ilvl w:val="0"/>
                <w:numId w:val="9"/>
              </w:numPr>
              <w:spacing w:line="240" w:lineRule="auto"/>
              <w:jc w:val="left"/>
            </w:pPr>
            <w:r>
              <w:t>Mulighed for indskud på ophørspens</w:t>
            </w:r>
            <w:r>
              <w:t>i</w:t>
            </w:r>
            <w:r>
              <w:t>on og derved udskyde skattebetali</w:t>
            </w:r>
            <w:r>
              <w:t>n</w:t>
            </w:r>
            <w:r>
              <w:t>gen.</w:t>
            </w:r>
          </w:p>
          <w:p w:rsidR="00A71657" w:rsidRDefault="00A71657" w:rsidP="00A71657">
            <w:pPr>
              <w:numPr>
                <w:ilvl w:val="0"/>
                <w:numId w:val="9"/>
              </w:numPr>
              <w:spacing w:line="240" w:lineRule="auto"/>
              <w:jc w:val="left"/>
            </w:pPr>
            <w:r>
              <w:t>Nye anskaffelsessummer for erhverv</w:t>
            </w:r>
            <w:r>
              <w:t>e</w:t>
            </w:r>
            <w:r>
              <w:t>ren</w:t>
            </w:r>
          </w:p>
          <w:p w:rsidR="00A71657" w:rsidRDefault="00A71657" w:rsidP="00A71657">
            <w:pPr>
              <w:numPr>
                <w:ilvl w:val="0"/>
                <w:numId w:val="9"/>
              </w:numPr>
              <w:spacing w:line="240" w:lineRule="auto"/>
              <w:jc w:val="left"/>
            </w:pPr>
            <w:r>
              <w:t>Forholdsvis nem administration af beskattet overdragelse.</w:t>
            </w:r>
          </w:p>
          <w:p w:rsidR="00A71657" w:rsidRDefault="00A71657" w:rsidP="00A71657">
            <w:pPr>
              <w:numPr>
                <w:ilvl w:val="0"/>
                <w:numId w:val="9"/>
              </w:numPr>
              <w:spacing w:line="240" w:lineRule="auto"/>
              <w:jc w:val="left"/>
            </w:pPr>
            <w:r>
              <w:t>Standardiseret beregning af goodwill, når overdragelse mellem nærtstående</w:t>
            </w:r>
          </w:p>
          <w:p w:rsidR="00A71657" w:rsidRDefault="00A71657" w:rsidP="00A71657">
            <w:pPr>
              <w:numPr>
                <w:ilvl w:val="0"/>
                <w:numId w:val="9"/>
              </w:numPr>
              <w:spacing w:line="240" w:lineRule="auto"/>
              <w:jc w:val="left"/>
            </w:pPr>
            <w:r>
              <w:t>Ejendommen kan overdrages til en lavere værdi end handelsværdien, når der handels mellem nærtstående jf. værdiansættelsescirkulæret</w:t>
            </w:r>
          </w:p>
          <w:p w:rsidR="00A71657" w:rsidRDefault="00A71657" w:rsidP="00A71657">
            <w:pPr>
              <w:numPr>
                <w:ilvl w:val="0"/>
                <w:numId w:val="9"/>
              </w:numPr>
              <w:spacing w:line="240" w:lineRule="auto"/>
              <w:jc w:val="left"/>
            </w:pPr>
            <w:r>
              <w:t>Fordel med beskattet overdragelse, hvis erhververen har mange midler selv, hvorved der kan overføres midler til den ældre generation.</w:t>
            </w:r>
          </w:p>
          <w:p w:rsidR="00A71657" w:rsidRPr="0011688E" w:rsidRDefault="00A71657" w:rsidP="00A71657">
            <w:pPr>
              <w:numPr>
                <w:ilvl w:val="0"/>
                <w:numId w:val="9"/>
              </w:numPr>
              <w:spacing w:line="240" w:lineRule="auto"/>
              <w:jc w:val="left"/>
            </w:pPr>
            <w:r>
              <w:t>Mulighed for at anvende midler på etableringskonto til erhvervelse af virksomheden.</w:t>
            </w:r>
          </w:p>
        </w:tc>
        <w:tc>
          <w:tcPr>
            <w:tcW w:w="2500" w:type="pct"/>
          </w:tcPr>
          <w:p w:rsidR="00A71657" w:rsidRDefault="00A71657" w:rsidP="00A71657">
            <w:pPr>
              <w:numPr>
                <w:ilvl w:val="0"/>
                <w:numId w:val="10"/>
              </w:numPr>
              <w:spacing w:line="240" w:lineRule="auto"/>
              <w:jc w:val="left"/>
            </w:pPr>
            <w:r>
              <w:t>Stor skattebetaling for overdrageren, hvis ikke der indskydes på pension</w:t>
            </w:r>
            <w:r>
              <w:t>s</w:t>
            </w:r>
            <w:r>
              <w:t>ordninger</w:t>
            </w:r>
          </w:p>
          <w:p w:rsidR="00A71657" w:rsidRDefault="00A71657" w:rsidP="00A71657">
            <w:pPr>
              <w:numPr>
                <w:ilvl w:val="0"/>
                <w:numId w:val="10"/>
              </w:numPr>
              <w:spacing w:line="240" w:lineRule="auto"/>
              <w:jc w:val="left"/>
            </w:pPr>
            <w:r>
              <w:t>Erhverver, kan have svært ved at ska</w:t>
            </w:r>
            <w:r>
              <w:t>f</w:t>
            </w:r>
            <w:r>
              <w:t>fe den nødvendige kapital, der kræves for at kunne erhverve andelen af vir</w:t>
            </w:r>
            <w:r>
              <w:t>k</w:t>
            </w:r>
            <w:r>
              <w:t>somheden.</w:t>
            </w:r>
          </w:p>
          <w:p w:rsidR="00A71657" w:rsidRDefault="00A71657" w:rsidP="00A71657">
            <w:pPr>
              <w:numPr>
                <w:ilvl w:val="0"/>
                <w:numId w:val="10"/>
              </w:numPr>
              <w:spacing w:line="240" w:lineRule="auto"/>
              <w:jc w:val="left"/>
            </w:pPr>
            <w:r>
              <w:t>Krav til fremtidig indtjening i virkso</w:t>
            </w:r>
            <w:r>
              <w:t>m</w:t>
            </w:r>
            <w:r>
              <w:t>heden, da denne skal kunne forrente købesummen og behov for udtræk til privat.</w:t>
            </w:r>
          </w:p>
          <w:p w:rsidR="00A71657" w:rsidRDefault="00A71657" w:rsidP="00A71657">
            <w:pPr>
              <w:numPr>
                <w:ilvl w:val="0"/>
                <w:numId w:val="10"/>
              </w:numPr>
              <w:spacing w:line="240" w:lineRule="auto"/>
              <w:jc w:val="left"/>
            </w:pPr>
            <w:r>
              <w:t>Hvis lånefinansiering, krav om sikke</w:t>
            </w:r>
            <w:r>
              <w:t>r</w:t>
            </w:r>
            <w:r>
              <w:t>hedsstillelse</w:t>
            </w:r>
          </w:p>
          <w:p w:rsidR="00A71657" w:rsidRPr="0011688E" w:rsidRDefault="00A71657" w:rsidP="00A71657">
            <w:pPr>
              <w:numPr>
                <w:ilvl w:val="0"/>
                <w:numId w:val="9"/>
              </w:numPr>
              <w:spacing w:line="240" w:lineRule="auto"/>
              <w:jc w:val="left"/>
            </w:pPr>
            <w:r>
              <w:t>Ved optagelse af yderligere intere</w:t>
            </w:r>
            <w:r>
              <w:t>s</w:t>
            </w:r>
            <w:r>
              <w:t>sent skal der ske avanceopgørelse for de oprindelige interessenter</w:t>
            </w:r>
          </w:p>
        </w:tc>
      </w:tr>
    </w:tbl>
    <w:p w:rsidR="00A71657" w:rsidRDefault="002F0FFE" w:rsidP="002F0FFE">
      <w:pPr>
        <w:pStyle w:val="Billedtekst"/>
      </w:pPr>
      <w:bookmarkStart w:id="82" w:name="_Toc218751404"/>
      <w:r>
        <w:t xml:space="preserve">Figur </w:t>
      </w:r>
      <w:fldSimple w:instr=" SEQ Figur \* ARABIC ">
        <w:r w:rsidR="000F066D">
          <w:rPr>
            <w:noProof/>
          </w:rPr>
          <w:t>21</w:t>
        </w:r>
      </w:fldSimple>
      <w:r w:rsidR="00A71657">
        <w:t xml:space="preserve"> Fordele og ulemper ved beskattet overdragelse</w:t>
      </w:r>
      <w:bookmarkEnd w:id="82"/>
    </w:p>
    <w:p w:rsidR="00A71657" w:rsidRDefault="00A71657" w:rsidP="00AF4FDF"/>
    <w:p w:rsidR="007A35E5" w:rsidRPr="00A04368" w:rsidRDefault="00312092" w:rsidP="00312092">
      <w:pPr>
        <w:pStyle w:val="Overskrift2"/>
      </w:pPr>
      <w:bookmarkStart w:id="83" w:name="_Toc212806425"/>
      <w:bookmarkStart w:id="84" w:name="_Toc214610763"/>
      <w:bookmarkStart w:id="85" w:name="_Toc221546206"/>
      <w:r>
        <w:t xml:space="preserve">3.2 </w:t>
      </w:r>
      <w:r w:rsidR="007A35E5" w:rsidRPr="00A04368">
        <w:t xml:space="preserve">Succession </w:t>
      </w:r>
      <w:r w:rsidR="007A35E5">
        <w:t xml:space="preserve">med nærtstående </w:t>
      </w:r>
      <w:r w:rsidR="007A35E5" w:rsidRPr="00A04368">
        <w:t>efter reglerne i KSL</w:t>
      </w:r>
      <w:bookmarkEnd w:id="83"/>
      <w:bookmarkEnd w:id="84"/>
      <w:r w:rsidR="00627158">
        <w:t xml:space="preserve"> </w:t>
      </w:r>
      <w:r w:rsidR="00627158">
        <w:rPr>
          <w:b w:val="0"/>
          <w:sz w:val="22"/>
          <w:szCs w:val="22"/>
        </w:rPr>
        <w:t>(Jane</w:t>
      </w:r>
      <w:r w:rsidR="00627158" w:rsidRPr="00E75844">
        <w:rPr>
          <w:b w:val="0"/>
          <w:sz w:val="22"/>
          <w:szCs w:val="22"/>
        </w:rPr>
        <w:t>)</w:t>
      </w:r>
      <w:bookmarkEnd w:id="85"/>
    </w:p>
    <w:p w:rsidR="00A71657" w:rsidRDefault="00A71657" w:rsidP="00A71657">
      <w:r>
        <w:t>Det karakteristiske ved succession er at der foreligger en udskydelse af skatten i fo</w:t>
      </w:r>
      <w:r>
        <w:t>r</w:t>
      </w:r>
      <w:r>
        <w:t xml:space="preserve">hold til overdragelsestidspunktet og at udskydelsen sker ved at der sker en indtræden i </w:t>
      </w:r>
      <w:r>
        <w:lastRenderedPageBreak/>
        <w:t>de oprindelige skattemæssige værdier mv. Der sker en overførsel af en latent skatt</w:t>
      </w:r>
      <w:r>
        <w:t>e</w:t>
      </w:r>
      <w:r>
        <w:t>forpligtelse som følge af skattens udskydelse fra et skattesubjekt til et andet skattesu</w:t>
      </w:r>
      <w:r>
        <w:t>b</w:t>
      </w:r>
      <w:r>
        <w:t>jekt.</w:t>
      </w:r>
    </w:p>
    <w:p w:rsidR="00A71657" w:rsidRDefault="00A71657" w:rsidP="00A71657"/>
    <w:p w:rsidR="00A71657" w:rsidRDefault="00A71657" w:rsidP="00A71657">
      <w:r>
        <w:t>Reglerne for generationsskifte med skatteretlig succession fremgår af reglerne i KSL § 33 C og § 33 D. Disse regler gør det muligt at overdrage en virksomhed eller en del af virksomhedens skatterelevante aktiver. Der kan altså ikke succederes ved enkeltove</w:t>
      </w:r>
      <w:r>
        <w:t>r</w:t>
      </w:r>
      <w:r>
        <w:t>dragelse af aktiver.</w:t>
      </w:r>
    </w:p>
    <w:p w:rsidR="00A71657" w:rsidRDefault="00A71657" w:rsidP="00A71657">
      <w:r>
        <w:t>Børn, børnebørn, søskende, søskendes børn eller søskendes børnebørn samt adopti</w:t>
      </w:r>
      <w:r>
        <w:t>v</w:t>
      </w:r>
      <w:r>
        <w:t>børn og stedbørn kan anvende successionsreglerne i KSL § 33 C, personkredsens o</w:t>
      </w:r>
      <w:r>
        <w:t>p</w:t>
      </w:r>
      <w:r>
        <w:t>remsning er udtømmende. Endvidere er det muligt at overdrage til en medarbejder, der sammenlagt har arbejdet i virksomheden i mindst 3 år indenfor de seneste 4 in</w:t>
      </w:r>
      <w:r>
        <w:t>d</w:t>
      </w:r>
      <w:r>
        <w:t>komstår, samt arbejder i virksomheden på overdragelsestidspunktet. Muligheden for at nære medarbejdere kan succedere på lige fod med nære famil</w:t>
      </w:r>
      <w:r w:rsidR="009A73A5">
        <w:t>iemedlemmer, blev indført i 2002</w:t>
      </w:r>
      <w:r w:rsidR="009A73A5">
        <w:rPr>
          <w:rStyle w:val="Fodnotehenvisning"/>
        </w:rPr>
        <w:footnoteReference w:id="63"/>
      </w:r>
      <w:r>
        <w:t>. Hvis muligheden for succession alene var muligt indenfor den nære familiekreds kunne det være vanskeligt at føre en ellers veldrevet virksomhed videre, derfor indførtes muligheden for succession for nære medarbejdere på lige fod med nære familiemedlemmer.</w:t>
      </w:r>
    </w:p>
    <w:p w:rsidR="00A71657" w:rsidRDefault="00A71657" w:rsidP="00A71657">
      <w:r>
        <w:t>Erhververen skal være fuldt skattepligtig til Danmark, medmindre der er tale om su</w:t>
      </w:r>
      <w:r>
        <w:t>c</w:t>
      </w:r>
      <w:r>
        <w:t>cession i luftfartøjer og skibe</w:t>
      </w:r>
      <w:r>
        <w:rPr>
          <w:rStyle w:val="Fodnotehenvisning"/>
        </w:rPr>
        <w:footnoteReference w:id="64"/>
      </w:r>
      <w:r>
        <w:t xml:space="preserve"> eller der er tale om en erhverver, der som følge af en dobbeltbeskatningsaftale, hvor Danmark har beskatningsretten til indkomsten fra vir</w:t>
      </w:r>
      <w:r>
        <w:t>k</w:t>
      </w:r>
      <w:r>
        <w:t>somheden.</w:t>
      </w:r>
    </w:p>
    <w:p w:rsidR="00A71657" w:rsidRDefault="00A71657" w:rsidP="00A71657">
      <w:r>
        <w:t>Begge parter skal være enige om overdragelsen af virksomheden/andel af virksomh</w:t>
      </w:r>
      <w:r>
        <w:t>e</w:t>
      </w:r>
      <w:r>
        <w:t>den, og beslutning herom meddeles i forbindelse med indgivelse af selvangivelsen.</w:t>
      </w:r>
    </w:p>
    <w:p w:rsidR="00A71657" w:rsidRDefault="00A71657" w:rsidP="00A71657">
      <w:r>
        <w:lastRenderedPageBreak/>
        <w:t>Der kan succederes i en samlet virksomhed eller en andel af en virksomhed</w:t>
      </w:r>
      <w:r>
        <w:rPr>
          <w:rStyle w:val="Fodnotehenvisning"/>
        </w:rPr>
        <w:footnoteReference w:id="65"/>
      </w:r>
      <w:r>
        <w:t>. Her a</w:t>
      </w:r>
      <w:r>
        <w:t>n</w:t>
      </w:r>
      <w:r>
        <w:t xml:space="preserve">ses udlejning af fast ejendom ikke for at være erhvervsvirksomhed medmindre der er tale om udlejning af ejendomme omfattet af vurderingslovens § 33, stk. 1 og 7 (eks.: Landbrug, gartneri, planteskoler og skovbrug). </w:t>
      </w:r>
    </w:p>
    <w:p w:rsidR="00A71657" w:rsidRDefault="00A71657" w:rsidP="00A71657"/>
    <w:p w:rsidR="00A71657" w:rsidRDefault="00A71657" w:rsidP="00A71657">
      <w:r>
        <w:t>Der kan nævnes følgende eksempler på aktiver i en virksomhed, der kan succederes i;</w:t>
      </w:r>
    </w:p>
    <w:p w:rsidR="00A71657" w:rsidRDefault="00A71657" w:rsidP="00A71657">
      <w:pPr>
        <w:pStyle w:val="Listeafsnit1"/>
        <w:numPr>
          <w:ilvl w:val="0"/>
          <w:numId w:val="3"/>
        </w:numPr>
      </w:pPr>
      <w:r>
        <w:t>Afskrivningsberettigede bygninger</w:t>
      </w:r>
    </w:p>
    <w:p w:rsidR="00A71657" w:rsidRDefault="00A71657" w:rsidP="00A71657">
      <w:pPr>
        <w:pStyle w:val="Listeafsnit1"/>
        <w:numPr>
          <w:ilvl w:val="0"/>
          <w:numId w:val="3"/>
        </w:numPr>
      </w:pPr>
      <w:r>
        <w:t>Maskiner, inventar og driftsmidler</w:t>
      </w:r>
    </w:p>
    <w:p w:rsidR="00A71657" w:rsidRDefault="00A71657" w:rsidP="00A71657">
      <w:pPr>
        <w:pStyle w:val="Listeafsnit1"/>
        <w:numPr>
          <w:ilvl w:val="0"/>
          <w:numId w:val="3"/>
        </w:numPr>
      </w:pPr>
      <w:r>
        <w:t xml:space="preserve">Fast ejendom, hvis overdrageren driver næring med køb og salg </w:t>
      </w:r>
    </w:p>
    <w:p w:rsidR="00A71657" w:rsidRDefault="00A71657" w:rsidP="00A71657">
      <w:pPr>
        <w:pStyle w:val="Listeafsnit1"/>
        <w:numPr>
          <w:ilvl w:val="0"/>
          <w:numId w:val="3"/>
        </w:numPr>
      </w:pPr>
      <w:r>
        <w:t>Fast ejendom, hvor mere end halvdelen af ejendommen indgår i erhvervsvir</w:t>
      </w:r>
      <w:r>
        <w:t>k</w:t>
      </w:r>
      <w:r>
        <w:t>somheden</w:t>
      </w:r>
      <w:r>
        <w:rPr>
          <w:rStyle w:val="Fodnotehenvisning"/>
          <w:rFonts w:eastAsia="Calibri"/>
        </w:rPr>
        <w:footnoteReference w:id="66"/>
      </w:r>
    </w:p>
    <w:p w:rsidR="00A71657" w:rsidRDefault="00A71657" w:rsidP="00A71657">
      <w:pPr>
        <w:pStyle w:val="Listeafsnit1"/>
        <w:numPr>
          <w:ilvl w:val="0"/>
          <w:numId w:val="3"/>
        </w:numPr>
      </w:pPr>
      <w:r>
        <w:t>Varelagre mv.</w:t>
      </w:r>
    </w:p>
    <w:p w:rsidR="00A71657" w:rsidRDefault="00A71657" w:rsidP="00A71657"/>
    <w:p w:rsidR="00A71657" w:rsidRDefault="00A71657" w:rsidP="00A71657">
      <w:r>
        <w:t>Erhververen kan ikke succedere i overdragerens henlæggelser til investeringsfond eller etableringskonto, modsat kan erhververen kan anvende egne investeringsfonds- eller etableringskontomidler til forlods afskrivninger på aktiver, der erhverves ved success</w:t>
      </w:r>
      <w:r>
        <w:t>i</w:t>
      </w:r>
      <w:r>
        <w:t>on</w:t>
      </w:r>
      <w:r>
        <w:rPr>
          <w:rStyle w:val="Fodnotehenvisning"/>
        </w:rPr>
        <w:footnoteReference w:id="67"/>
      </w:r>
      <w:r>
        <w:t>.</w:t>
      </w:r>
    </w:p>
    <w:p w:rsidR="00A71657" w:rsidRDefault="00A71657" w:rsidP="00A71657">
      <w:r>
        <w:t>Der gælder særlige regler for succession i ejendomme der er omfattet af reglerne i EBL. Ejendomme kan kun overdrages med succession, hvis mere end halvdelen anvendes erhvervsmæssigt.:</w:t>
      </w:r>
    </w:p>
    <w:p w:rsidR="00A71657" w:rsidRDefault="00A71657" w:rsidP="00A71657">
      <w:pPr>
        <w:numPr>
          <w:ilvl w:val="0"/>
          <w:numId w:val="8"/>
        </w:numPr>
      </w:pPr>
      <w:r>
        <w:t>Hvis ejendommen er afskrivningsberettiget, kan der alene succederes i ge</w:t>
      </w:r>
      <w:r>
        <w:t>n</w:t>
      </w:r>
      <w:r>
        <w:t xml:space="preserve">vundne afskrivninger, hvis der samtidig sker succession i ejendomsavancen for </w:t>
      </w:r>
      <w:r>
        <w:lastRenderedPageBreak/>
        <w:t>den samme ejendom. Dette skyldes, at der ved opgørelse af ejendomsavance skal fratrækkes afskrivninger, der ikke er genvundne, i anskaffelsessummen.</w:t>
      </w:r>
    </w:p>
    <w:p w:rsidR="00A71657" w:rsidRDefault="00A71657" w:rsidP="00A71657">
      <w:pPr>
        <w:numPr>
          <w:ilvl w:val="0"/>
          <w:numId w:val="8"/>
        </w:numPr>
      </w:pPr>
      <w:r>
        <w:t>Hvis der succederes i ejendomsavancen men ikke i genvundne afskrivninger, skal erhververen nedsætte sin senere ejendomsavanceopgørelse efter EBL med samme beløb som overdrageren kunne have nedsat den med på udlodning</w:t>
      </w:r>
      <w:r>
        <w:t>s</w:t>
      </w:r>
      <w:r>
        <w:t>tidspunktet</w:t>
      </w:r>
    </w:p>
    <w:p w:rsidR="00A71657" w:rsidRDefault="00A71657" w:rsidP="00A71657">
      <w:pPr>
        <w:numPr>
          <w:ilvl w:val="0"/>
          <w:numId w:val="8"/>
        </w:numPr>
      </w:pPr>
      <w:r>
        <w:t>Udviser ejendomsavanceopgørelsen et tab, kan der således ikke succederes i genvundne afskrivninger.</w:t>
      </w:r>
    </w:p>
    <w:p w:rsidR="00A71657" w:rsidRDefault="00A71657" w:rsidP="00A71657">
      <w:pPr>
        <w:numPr>
          <w:ilvl w:val="0"/>
          <w:numId w:val="8"/>
        </w:numPr>
      </w:pPr>
      <w:r>
        <w:t>Der kan derudover succederes i ejendomme der erhvervet som led i overdrag</w:t>
      </w:r>
      <w:r>
        <w:t>e</w:t>
      </w:r>
      <w:r>
        <w:t>rens næringsvej.</w:t>
      </w:r>
    </w:p>
    <w:p w:rsidR="00A71657" w:rsidRDefault="00A71657" w:rsidP="00A71657"/>
    <w:p w:rsidR="00A71657" w:rsidRDefault="00A71657" w:rsidP="00A71657">
      <w:r>
        <w:t>Det er ikke muligt at succedere i kursgevinster med mindre der er tale om næringsvir</w:t>
      </w:r>
      <w:r>
        <w:t>k</w:t>
      </w:r>
      <w:r>
        <w:t>somhed med køb og salg af fordringer og finansiering.</w:t>
      </w:r>
    </w:p>
    <w:p w:rsidR="00A71657" w:rsidRDefault="00A71657" w:rsidP="00A71657">
      <w:r>
        <w:t>Der kan endvidere heller ikke succederes i aktiver med tab, eksempelvis et aktiv hvor handelsværdien er lavere end overdragerens anskaffelsessum eller den nedskrevne værdi.</w:t>
      </w:r>
    </w:p>
    <w:p w:rsidR="00A71657" w:rsidRDefault="00A71657" w:rsidP="00A71657">
      <w:r>
        <w:t>For erhververen kan der ikke ske modregning af underskud opstået før erhvervelsen i en eventuel fortjeneste ved videreoverdragelse af virksomheden, hvis der er sket en delvis kontant vederlæggelse.</w:t>
      </w:r>
    </w:p>
    <w:p w:rsidR="00A71657" w:rsidRDefault="00A71657" w:rsidP="00A71657">
      <w:r>
        <w:t>For overdrageren sker der ikke afståelsesbeskatning, når virksomheden overdrages med succession.</w:t>
      </w:r>
    </w:p>
    <w:p w:rsidR="00A71657" w:rsidRDefault="00A71657" w:rsidP="00A71657"/>
    <w:p w:rsidR="00A71657" w:rsidRDefault="00A71657" w:rsidP="00A71657">
      <w:r>
        <w:t>Erhververen indtræder i overdragerens skattemæssige stilling, hvad angår anskaffe</w:t>
      </w:r>
      <w:r>
        <w:t>l</w:t>
      </w:r>
      <w:r>
        <w:t>sestidspunkt, anskaffelsesbeløb og anskaffelseshensigt. Erhververen indtræder med andre ord i forpligtelsen til at lade sig beskatte vedrørende det overdragne aktiv.</w:t>
      </w:r>
    </w:p>
    <w:p w:rsidR="00A71657" w:rsidRDefault="00A71657" w:rsidP="00A71657">
      <w:r>
        <w:t>Skattemæssige af- og nedskrivninger, som er foretaget af overdrageren, anses for at være foretaget af erhververen</w:t>
      </w:r>
      <w:r>
        <w:rPr>
          <w:rStyle w:val="Fodnotehenvisning"/>
        </w:rPr>
        <w:footnoteReference w:id="68"/>
      </w:r>
      <w:r>
        <w:t xml:space="preserve">. Det er dog ikke muligt for overdrageren at afskrive i </w:t>
      </w:r>
      <w:r>
        <w:lastRenderedPageBreak/>
        <w:t>afståelsesåret, mens erhverver har muligheden for at afskrive, hvilket er i overen</w:t>
      </w:r>
      <w:r>
        <w:t>s</w:t>
      </w:r>
      <w:r>
        <w:t>stemmelse med afskrivningslovens almindelige regler.</w:t>
      </w:r>
    </w:p>
    <w:p w:rsidR="00A71657" w:rsidRDefault="00A71657" w:rsidP="00A71657">
      <w:r>
        <w:t>Det er muligt at overdrage indestående på konto for opsparet overskud til erhverv</w:t>
      </w:r>
      <w:r>
        <w:t>e</w:t>
      </w:r>
      <w:r>
        <w:t>ren, hvis overtagelsesdagen er dagen efter indkomstårets udløb, hvor virksomhed</w:t>
      </w:r>
      <w:r>
        <w:t>s</w:t>
      </w:r>
      <w:r>
        <w:t>skatteordningen blev anvendt.</w:t>
      </w:r>
    </w:p>
    <w:p w:rsidR="00A71657" w:rsidRDefault="00A71657" w:rsidP="00A71657"/>
    <w:p w:rsidR="00A71657" w:rsidRDefault="00A71657" w:rsidP="00A71657">
      <w:r>
        <w:t>Ved ændring af KSL § 33 ved lov nr. 532 gældende fra 01.01.09, gives der adgang til at kunne tilbagesælge til en tidligere ejer med succession inden for 5 år efter overdrage</w:t>
      </w:r>
      <w:r>
        <w:t>l</w:t>
      </w:r>
      <w:r>
        <w:t>sen, det er en betingelse, at den tidligere ejer overdrog med succession. Dette giver mulighed for i tilfælde af sygdom at kunne ”gøre successionen om” eller det af andre årsager viser sig at være en uhensigtsmæssig beslutning om successionen tidligere. Baggrunden er at gøre generationsskifte i levende live og ved død mere ensartede. Forældre kan aldrig succedere i levende live medmindre disse er ansatte i virksomh</w:t>
      </w:r>
      <w:r>
        <w:t>e</w:t>
      </w:r>
      <w:r>
        <w:t xml:space="preserve">den, mens de vil kunne komme i betragtning som arving til virksomheden i tilfælde af juniors død. Derfor er loven indført med forenklede hensyn, således at der ikke stilles krav om begrundelse for at tilbagesælge med succession blot dette sker inden for 5 år. </w:t>
      </w:r>
    </w:p>
    <w:p w:rsidR="007A35E5" w:rsidRDefault="007A35E5" w:rsidP="00AF4FDF"/>
    <w:p w:rsidR="007A35E5" w:rsidRPr="00312092" w:rsidRDefault="00312092" w:rsidP="00312092">
      <w:pPr>
        <w:pStyle w:val="Overskrift3"/>
      </w:pPr>
      <w:bookmarkStart w:id="86" w:name="_Toc212806426"/>
      <w:bookmarkStart w:id="87" w:name="_Toc214610764"/>
      <w:bookmarkStart w:id="88" w:name="_Ref219215144"/>
      <w:bookmarkStart w:id="89" w:name="_Toc221546207"/>
      <w:r w:rsidRPr="00312092">
        <w:t xml:space="preserve">3.2.1 </w:t>
      </w:r>
      <w:r w:rsidR="007A35E5" w:rsidRPr="00312092">
        <w:t>Gaveafgiftsberegning og passivpost</w:t>
      </w:r>
      <w:bookmarkEnd w:id="86"/>
      <w:bookmarkEnd w:id="87"/>
      <w:bookmarkEnd w:id="88"/>
      <w:r w:rsidR="00627158">
        <w:t xml:space="preserve"> </w:t>
      </w:r>
      <w:r w:rsidR="00627158">
        <w:rPr>
          <w:b w:val="0"/>
          <w:sz w:val="22"/>
          <w:szCs w:val="22"/>
        </w:rPr>
        <w:t>(Jane</w:t>
      </w:r>
      <w:r w:rsidR="00627158" w:rsidRPr="00E75844">
        <w:rPr>
          <w:b w:val="0"/>
          <w:sz w:val="22"/>
          <w:szCs w:val="22"/>
        </w:rPr>
        <w:t>)</w:t>
      </w:r>
      <w:bookmarkEnd w:id="89"/>
    </w:p>
    <w:p w:rsidR="00A71657" w:rsidRDefault="00A71657" w:rsidP="00A71657">
      <w:r>
        <w:t>Når en virksomhed overdrages til f.eks. næste generation, kan overdrageren vælge enten at modtage et vederlag for virksomheden eller give den som en gave. Der kan også være tale om kombination af vederlag og gave, f.eks. hvis erhververen ikke har midler til at kunne betale for hele virksomhedens værdi og derfor modtager en del af virksomheden som gave.</w:t>
      </w:r>
    </w:p>
    <w:p w:rsidR="00A71657" w:rsidRDefault="00A71657" w:rsidP="00A71657">
      <w:r>
        <w:t>Gaver kan bestå i formuegoder eller penge og skal som udgangspunkt i henhold til SL § 4, litra c medtages i den personlige indkomst, dog med den undtagelse i SL § 5, litra b, at gaver der falder ind under lov om afgift af dødsboer og gaver mm. ikke skal henre</w:t>
      </w:r>
      <w:r>
        <w:t>g</w:t>
      </w:r>
      <w:r>
        <w:t xml:space="preserve">nes til den skattepligtige indkomst. </w:t>
      </w:r>
    </w:p>
    <w:p w:rsidR="00A71657" w:rsidRDefault="00A71657" w:rsidP="00A71657">
      <w:r>
        <w:t>Såfremt det er konstateret at der er ydet en gave, afhænger de skattemæssige kons</w:t>
      </w:r>
      <w:r>
        <w:t>e</w:t>
      </w:r>
      <w:r>
        <w:t xml:space="preserve">kvenser for modtageren af hvordan slægtsforholdet er til giveren. Hvis slægtsforholdet </w:t>
      </w:r>
      <w:r>
        <w:lastRenderedPageBreak/>
        <w:t>ikke er nært nok, vil en gave skulle beskattes som personlig indkomst jf. SL § 4, litra c jf. PSL § 3, stk. 1.</w:t>
      </w:r>
    </w:p>
    <w:p w:rsidR="00A71657" w:rsidRDefault="00A71657" w:rsidP="00A71657">
      <w:r>
        <w:t>Skat har mulighed for indenfor 3 måneder efter modtagelse af gaveanmeldelse at a</w:t>
      </w:r>
      <w:r>
        <w:t>n</w:t>
      </w:r>
      <w:r>
        <w:t>fægte værdiansættelserne i gaven jf. BAL § 27, stk. 2. Hvis man er i tvivl om værdia</w:t>
      </w:r>
      <w:r>
        <w:t>n</w:t>
      </w:r>
      <w:r>
        <w:t>sættelserne kan anfægtes, har man dog altid muligheden for at anmode om bindende svar fra Skat, derved sikres det, at der ikke senere opstår tvister, når gaven er genne</w:t>
      </w:r>
      <w:r>
        <w:t>m</w:t>
      </w:r>
      <w:r>
        <w:t>ført, der kan være uhensigtsmæssige.</w:t>
      </w:r>
    </w:p>
    <w:p w:rsidR="00A71657" w:rsidRDefault="00A71657" w:rsidP="00A71657"/>
    <w:p w:rsidR="00A71657" w:rsidRDefault="00A71657" w:rsidP="00A71657">
      <w:r>
        <w:t>Når der overdrages en virksomhed til en i personkredsen oplistet i KSL § 33 C, vil der derfor, som ovenfor nævnt, opstå en gave. Når der gives en gave, vil der også blive tale om at der skal betales gaveafgift jf. BAL’s regler.</w:t>
      </w:r>
    </w:p>
    <w:p w:rsidR="00A71657" w:rsidRDefault="00A71657" w:rsidP="00A71657">
      <w:r>
        <w:t>Værdiansættelsen af det overdragne foretages i henhold til værdiansættelsescirkul</w:t>
      </w:r>
      <w:r>
        <w:t>æ</w:t>
      </w:r>
      <w:r>
        <w:t>ret nr. 185 af 17.11.1982.  Det er samme metoder for værdiansættelse af de enkelte aktiver som er tidligere omtalt under afsnittet om beskattet overdragelse. Værdia</w:t>
      </w:r>
      <w:r>
        <w:t>n</w:t>
      </w:r>
      <w:r>
        <w:t>sættelsen skal foretages uanset om der sker succession eller ej og uanset om der ydes helt eller delvist vederlag.</w:t>
      </w:r>
    </w:p>
    <w:p w:rsidR="00A71657" w:rsidRDefault="00A71657" w:rsidP="00A71657"/>
    <w:p w:rsidR="00A71657" w:rsidRDefault="00A71657" w:rsidP="00A71657">
      <w:r>
        <w:t>Er personkredsen derimod omfattet af BAL’s regler om gaveafgiftskredsen jf. § 22, er der mulighed for dels at give afgiftsfri gaver inden for grænsebeløb samt at give gaver, der skal betales en afgift på 15 % af. Dette kunne være tilfældet hvor den ældre gen</w:t>
      </w:r>
      <w:r>
        <w:t>e</w:t>
      </w:r>
      <w:r>
        <w:t>ration ønsker at overdrage virksomheden eller en del af denne til næste generation. Værdien af virksomheden vil formentlig overstige bundgrænsen for afgiftsfri gaver og derfor skal der beregnes en gaveafgift af værdien. Når der er tale om en virksomhed</w:t>
      </w:r>
      <w:r>
        <w:t>s</w:t>
      </w:r>
      <w:r>
        <w:t>overdragelse med succession iht. KSL § 33, kan den afgiftspligtige værdi reduceres med en passivpost efter reglerne i KSL § 33 D, når virksomheden overdrages som hel eller delvis gave. Beregningen af passivposten er udtryk for at gavemodtageren har overt</w:t>
      </w:r>
      <w:r>
        <w:t>a</w:t>
      </w:r>
      <w:r>
        <w:t>get overdragerens skatteforpligtelse som en slags vederlag for virksomheden i forbi</w:t>
      </w:r>
      <w:r>
        <w:t>n</w:t>
      </w:r>
      <w:r>
        <w:t>delse med virksomhedsoverdragelsen.</w:t>
      </w:r>
    </w:p>
    <w:p w:rsidR="00A71657" w:rsidRDefault="00A71657" w:rsidP="00A71657"/>
    <w:p w:rsidR="00A71657" w:rsidRDefault="00A71657" w:rsidP="00A71657">
      <w:r>
        <w:lastRenderedPageBreak/>
        <w:t>Passivposten beregnes på grundlag af den lavest mulige skattepligtige fortjeneste, der ville være fremkommet hvis gavegiveren havde solgt aktivet jf. KSL § 33 D, stk. 2.</w:t>
      </w:r>
    </w:p>
    <w:p w:rsidR="00A71657" w:rsidRDefault="00A71657" w:rsidP="00A71657">
      <w:r>
        <w:t>Passivposten udgør 30 % af fortjenester, der ikke er aktieindkomst, mens den udgør 22 % for fortjenester der er aktieindkomst.</w:t>
      </w:r>
    </w:p>
    <w:p w:rsidR="00A71657" w:rsidRDefault="00A71657" w:rsidP="00A71657">
      <w:r>
        <w:t>Passivpost for opsparet overskud og konjunkturudligningsfond (kapitalafkastordni</w:t>
      </w:r>
      <w:r>
        <w:t>n</w:t>
      </w:r>
      <w:r>
        <w:t>gens regler) udgør 9 – 18,75 % afhængig af for hvilke år, der er opsparet overskud eller henlagt til konjunkturudligningsfond.</w:t>
      </w:r>
    </w:p>
    <w:p w:rsidR="00A71657" w:rsidRDefault="00A71657" w:rsidP="00A71657"/>
    <w:p w:rsidR="00E80B8B" w:rsidRDefault="00A71657" w:rsidP="00A71657">
      <w:r>
        <w:t>Det er principielt muligt at overdrage en virksomhed successivt ved at udnytte bun</w:t>
      </w:r>
      <w:r>
        <w:t>d</w:t>
      </w:r>
      <w:r>
        <w:t>grænserne for gaver</w:t>
      </w:r>
      <w:r w:rsidR="006329C4">
        <w:t>, når der overdrages til personer omfattet af BAL</w:t>
      </w:r>
      <w:r>
        <w:t>. Det kan dog v</w:t>
      </w:r>
      <w:r>
        <w:t>æ</w:t>
      </w:r>
      <w:r>
        <w:t xml:space="preserve">re en langsommelig affære, da det vil tage flere år at overdrage en hel virksomhed. </w:t>
      </w:r>
    </w:p>
    <w:p w:rsidR="006329C4" w:rsidRDefault="006329C4" w:rsidP="00A71657"/>
    <w:tbl>
      <w:tblPr>
        <w:tblW w:w="5740" w:type="dxa"/>
        <w:tblInd w:w="55" w:type="dxa"/>
        <w:tblCellMar>
          <w:left w:w="70" w:type="dxa"/>
          <w:right w:w="70" w:type="dxa"/>
        </w:tblCellMar>
        <w:tblLook w:val="04A0"/>
      </w:tblPr>
      <w:tblGrid>
        <w:gridCol w:w="3180"/>
        <w:gridCol w:w="1280"/>
        <w:gridCol w:w="1280"/>
      </w:tblGrid>
      <w:tr w:rsidR="006329C4" w:rsidRPr="006329C4" w:rsidTr="006329C4">
        <w:trPr>
          <w:trHeight w:val="300"/>
        </w:trPr>
        <w:tc>
          <w:tcPr>
            <w:tcW w:w="31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r w:rsidRPr="006329C4">
              <w:rPr>
                <w:rFonts w:eastAsia="Times New Roman"/>
                <w:color w:val="000000"/>
                <w:sz w:val="22"/>
                <w:lang w:eastAsia="da-DK"/>
              </w:rPr>
              <w:t>Beløb i t.DKK</w:t>
            </w:r>
          </w:p>
        </w:tc>
        <w:tc>
          <w:tcPr>
            <w:tcW w:w="12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100%</w:t>
            </w:r>
          </w:p>
        </w:tc>
        <w:tc>
          <w:tcPr>
            <w:tcW w:w="12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11,4%</w:t>
            </w:r>
          </w:p>
        </w:tc>
      </w:tr>
      <w:tr w:rsidR="006329C4" w:rsidRPr="006329C4" w:rsidTr="006329C4">
        <w:trPr>
          <w:trHeight w:val="300"/>
        </w:trPr>
        <w:tc>
          <w:tcPr>
            <w:tcW w:w="31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r>
      <w:tr w:rsidR="006329C4" w:rsidRPr="006329C4" w:rsidTr="006329C4">
        <w:trPr>
          <w:trHeight w:val="300"/>
        </w:trPr>
        <w:tc>
          <w:tcPr>
            <w:tcW w:w="31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r w:rsidRPr="006329C4">
              <w:rPr>
                <w:rFonts w:eastAsia="Times New Roman"/>
                <w:color w:val="000000"/>
                <w:sz w:val="22"/>
                <w:lang w:eastAsia="da-DK"/>
              </w:rPr>
              <w:t>Avance ved salg af virksomhed</w:t>
            </w: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1.000</w:t>
            </w: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114</w:t>
            </w:r>
          </w:p>
        </w:tc>
      </w:tr>
      <w:tr w:rsidR="006329C4" w:rsidRPr="006329C4" w:rsidTr="006329C4">
        <w:trPr>
          <w:trHeight w:val="300"/>
        </w:trPr>
        <w:tc>
          <w:tcPr>
            <w:tcW w:w="31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r w:rsidRPr="006329C4">
              <w:rPr>
                <w:rFonts w:eastAsia="Times New Roman"/>
                <w:color w:val="000000"/>
                <w:sz w:val="22"/>
                <w:lang w:eastAsia="da-DK"/>
              </w:rPr>
              <w:t>Passivposter vedr. avancer</w:t>
            </w:r>
          </w:p>
        </w:tc>
        <w:tc>
          <w:tcPr>
            <w:tcW w:w="12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-500</w:t>
            </w:r>
          </w:p>
        </w:tc>
        <w:tc>
          <w:tcPr>
            <w:tcW w:w="12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-57</w:t>
            </w:r>
          </w:p>
        </w:tc>
      </w:tr>
      <w:tr w:rsidR="006329C4" w:rsidRPr="006329C4" w:rsidTr="006329C4">
        <w:trPr>
          <w:trHeight w:val="300"/>
        </w:trPr>
        <w:tc>
          <w:tcPr>
            <w:tcW w:w="31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r>
      <w:tr w:rsidR="006329C4" w:rsidRPr="006329C4" w:rsidTr="006329C4">
        <w:trPr>
          <w:trHeight w:val="300"/>
        </w:trPr>
        <w:tc>
          <w:tcPr>
            <w:tcW w:w="31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r w:rsidRPr="006329C4">
              <w:rPr>
                <w:rFonts w:eastAsia="Times New Roman"/>
                <w:color w:val="000000"/>
                <w:sz w:val="22"/>
                <w:lang w:eastAsia="da-DK"/>
              </w:rPr>
              <w:t xml:space="preserve">Værdi af gave </w:t>
            </w: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500</w:t>
            </w: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57</w:t>
            </w:r>
          </w:p>
        </w:tc>
      </w:tr>
      <w:tr w:rsidR="006329C4" w:rsidRPr="006329C4" w:rsidTr="006329C4">
        <w:trPr>
          <w:trHeight w:val="300"/>
        </w:trPr>
        <w:tc>
          <w:tcPr>
            <w:tcW w:w="31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r>
      <w:tr w:rsidR="006329C4" w:rsidRPr="006329C4" w:rsidTr="006329C4">
        <w:trPr>
          <w:trHeight w:val="300"/>
        </w:trPr>
        <w:tc>
          <w:tcPr>
            <w:tcW w:w="31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r w:rsidRPr="006329C4">
              <w:rPr>
                <w:rFonts w:eastAsia="Times New Roman"/>
                <w:color w:val="000000"/>
                <w:sz w:val="22"/>
                <w:lang w:eastAsia="da-DK"/>
              </w:rPr>
              <w:t>Bundfradrag gave (2008)</w:t>
            </w:r>
          </w:p>
        </w:tc>
        <w:tc>
          <w:tcPr>
            <w:tcW w:w="12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-57</w:t>
            </w:r>
          </w:p>
        </w:tc>
        <w:tc>
          <w:tcPr>
            <w:tcW w:w="12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-57</w:t>
            </w:r>
          </w:p>
        </w:tc>
      </w:tr>
      <w:tr w:rsidR="006329C4" w:rsidRPr="006329C4" w:rsidTr="006329C4">
        <w:trPr>
          <w:trHeight w:val="300"/>
        </w:trPr>
        <w:tc>
          <w:tcPr>
            <w:tcW w:w="31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c>
          <w:tcPr>
            <w:tcW w:w="1280" w:type="dxa"/>
            <w:tcBorders>
              <w:top w:val="nil"/>
              <w:left w:val="nil"/>
              <w:bottom w:val="nil"/>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p>
        </w:tc>
      </w:tr>
      <w:tr w:rsidR="006329C4" w:rsidRPr="006329C4" w:rsidTr="006329C4">
        <w:trPr>
          <w:trHeight w:val="300"/>
        </w:trPr>
        <w:tc>
          <w:tcPr>
            <w:tcW w:w="31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left"/>
              <w:rPr>
                <w:rFonts w:eastAsia="Times New Roman"/>
                <w:color w:val="000000"/>
                <w:sz w:val="22"/>
                <w:lang w:eastAsia="da-DK"/>
              </w:rPr>
            </w:pPr>
            <w:r w:rsidRPr="006329C4">
              <w:rPr>
                <w:rFonts w:eastAsia="Times New Roman"/>
                <w:color w:val="000000"/>
                <w:sz w:val="22"/>
                <w:lang w:eastAsia="da-DK"/>
              </w:rPr>
              <w:t>Værdi til gaveafgiftsberegning</w:t>
            </w:r>
          </w:p>
        </w:tc>
        <w:tc>
          <w:tcPr>
            <w:tcW w:w="12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443</w:t>
            </w:r>
          </w:p>
        </w:tc>
        <w:tc>
          <w:tcPr>
            <w:tcW w:w="1280" w:type="dxa"/>
            <w:tcBorders>
              <w:top w:val="nil"/>
              <w:left w:val="nil"/>
              <w:bottom w:val="single" w:sz="4" w:space="0" w:color="auto"/>
              <w:right w:val="nil"/>
            </w:tcBorders>
            <w:shd w:val="clear" w:color="auto" w:fill="auto"/>
            <w:noWrap/>
            <w:vAlign w:val="bottom"/>
            <w:hideMark/>
          </w:tcPr>
          <w:p w:rsidR="006329C4" w:rsidRPr="006329C4" w:rsidRDefault="006329C4" w:rsidP="006329C4">
            <w:pPr>
              <w:spacing w:line="240" w:lineRule="auto"/>
              <w:jc w:val="right"/>
              <w:rPr>
                <w:rFonts w:eastAsia="Times New Roman"/>
                <w:color w:val="000000"/>
                <w:sz w:val="22"/>
                <w:lang w:eastAsia="da-DK"/>
              </w:rPr>
            </w:pPr>
            <w:r w:rsidRPr="006329C4">
              <w:rPr>
                <w:rFonts w:eastAsia="Times New Roman"/>
                <w:color w:val="000000"/>
                <w:sz w:val="22"/>
                <w:lang w:eastAsia="da-DK"/>
              </w:rPr>
              <w:t>0</w:t>
            </w:r>
          </w:p>
        </w:tc>
      </w:tr>
    </w:tbl>
    <w:p w:rsidR="00E80B8B" w:rsidRDefault="002F0FFE" w:rsidP="002F0FFE">
      <w:pPr>
        <w:pStyle w:val="Billedtekst"/>
      </w:pPr>
      <w:bookmarkStart w:id="90" w:name="_Ref218937663"/>
      <w:bookmarkStart w:id="91" w:name="_Ref221529132"/>
      <w:r>
        <w:t xml:space="preserve">Figur </w:t>
      </w:r>
      <w:fldSimple w:instr=" SEQ Figur \* ARABIC ">
        <w:r w:rsidR="000F066D">
          <w:rPr>
            <w:noProof/>
          </w:rPr>
          <w:t>22</w:t>
        </w:r>
      </w:fldSimple>
      <w:bookmarkEnd w:id="90"/>
      <w:r w:rsidR="006329C4">
        <w:t xml:space="preserve"> Eksempel på successiv overdragelse ved udnyttelse af passivposter og bundfradrag for gaver</w:t>
      </w:r>
      <w:bookmarkEnd w:id="91"/>
    </w:p>
    <w:p w:rsidR="00765CDA" w:rsidRDefault="00765CDA" w:rsidP="00AF4FDF"/>
    <w:p w:rsidR="006329C4" w:rsidRDefault="006329C4" w:rsidP="00AF4FDF">
      <w:r>
        <w:t xml:space="preserve">I </w:t>
      </w:r>
      <w:r w:rsidR="00012FAC">
        <w:fldChar w:fldCharType="begin"/>
      </w:r>
      <w:r>
        <w:instrText xml:space="preserve"> REF _Ref218937663 \h </w:instrText>
      </w:r>
      <w:r w:rsidR="00012FAC">
        <w:fldChar w:fldCharType="separate"/>
      </w:r>
      <w:r w:rsidR="000F066D">
        <w:t xml:space="preserve">Figur </w:t>
      </w:r>
      <w:r w:rsidR="000F066D">
        <w:rPr>
          <w:noProof/>
        </w:rPr>
        <w:t>22</w:t>
      </w:r>
      <w:r w:rsidR="00012FAC">
        <w:fldChar w:fldCharType="end"/>
      </w:r>
      <w:r>
        <w:t xml:space="preserve"> er vist et eksempel på, hvordan der ved udnyttelse af bundfradraget for g</w:t>
      </w:r>
      <w:r>
        <w:t>a</w:t>
      </w:r>
      <w:r>
        <w:t>ver og passivposten kan overdrage en andel af virksomheden svarende til en andel på 11,4%, hvorved der ikke skal betales gaveafgift. Året efter skal der igen foretages væ</w:t>
      </w:r>
      <w:r>
        <w:t>r</w:t>
      </w:r>
      <w:r>
        <w:t>diansættelse af virksomheden og der kan efter samme metode overdrages en andel til næste generation. Det må dog forventes at virksomheden stiger i værdi, og andelen der kan overdrages vil formentlig være mindre. Hvis værdierne er uændrede, vil ove</w:t>
      </w:r>
      <w:r>
        <w:t>r</w:t>
      </w:r>
      <w:r>
        <w:t>dragelsen af virksomheden forløbe over 8-9 år. Er der tale om en større virksomhed, hvor værdierne er større, vil overdragelsen på denne måde tage længere tid.</w:t>
      </w:r>
    </w:p>
    <w:p w:rsidR="006329C4" w:rsidRDefault="006329C4" w:rsidP="006329C4">
      <w:r>
        <w:lastRenderedPageBreak/>
        <w:t xml:space="preserve">Administrativt vil det </w:t>
      </w:r>
      <w:r w:rsidR="0092589D">
        <w:t xml:space="preserve">være </w:t>
      </w:r>
      <w:r>
        <w:t>”tungt” at arbejde med, da der skal udarbejdes delopgøre</w:t>
      </w:r>
      <w:r>
        <w:t>l</w:t>
      </w:r>
      <w:r>
        <w:t>se for hver deloverdragelse herunder opgørelse af passiv</w:t>
      </w:r>
      <w:r>
        <w:softHyphen/>
        <w:t>post, hvis der skal sk</w:t>
      </w:r>
      <w:r w:rsidR="003F321F">
        <w:t>e succe</w:t>
      </w:r>
      <w:r w:rsidR="003F321F">
        <w:t>s</w:t>
      </w:r>
      <w:r w:rsidR="003F321F">
        <w:t>sion og der vil påløbe</w:t>
      </w:r>
      <w:r>
        <w:t xml:space="preserve"> omkostninger til advokat og revisor i forbindelse med hver de</w:t>
      </w:r>
      <w:r>
        <w:t>l</w:t>
      </w:r>
      <w:r>
        <w:t xml:space="preserve">overdragelse. </w:t>
      </w:r>
    </w:p>
    <w:p w:rsidR="006329C4" w:rsidRDefault="006329C4" w:rsidP="003D7459"/>
    <w:p w:rsidR="003D7459" w:rsidRDefault="003D7459" w:rsidP="003D7459">
      <w:r>
        <w:t xml:space="preserve">Overdrages en virksomhed til næste generation ved hjælp af reglerne om succession, er det vigtigt at den overtagende generation har en lang tidshorisont på grund af den overtagne skatteforpligtelse. I det viste eksempel i </w:t>
      </w:r>
      <w:r w:rsidR="00012FAC">
        <w:fldChar w:fldCharType="begin"/>
      </w:r>
      <w:r>
        <w:instrText xml:space="preserve"> REF _Ref218937663 \h </w:instrText>
      </w:r>
      <w:r w:rsidR="00012FAC">
        <w:fldChar w:fldCharType="separate"/>
      </w:r>
      <w:r w:rsidR="000F066D">
        <w:t xml:space="preserve">Figur </w:t>
      </w:r>
      <w:r w:rsidR="000F066D">
        <w:rPr>
          <w:noProof/>
        </w:rPr>
        <w:t>22</w:t>
      </w:r>
      <w:r w:rsidR="00012FAC">
        <w:fldChar w:fldCharType="end"/>
      </w:r>
      <w:r>
        <w:t xml:space="preserve"> vil erhververen således overtage den latente skatteforpligtelse, der hviler på avancen på t.DKK 1.000, hvis hele virksomheden overdrages. Dette vil kunne betyde en maksimal skat på ca t.DKK 600, hvis virksomheden afstås umiddelbart efter overtagelsen.</w:t>
      </w:r>
    </w:p>
    <w:p w:rsidR="003D7459" w:rsidRDefault="003D7459" w:rsidP="003D7459"/>
    <w:p w:rsidR="003D7459" w:rsidRDefault="003D7459" w:rsidP="003D7459">
      <w:r>
        <w:t>Hvis erhververen derimod fortsætter med at drive virksomheden, kan denne også overdrage virksomheden til næste generation (forudsat at reglerne stadig er gælde</w:t>
      </w:r>
      <w:r>
        <w:t>n</w:t>
      </w:r>
      <w:r>
        <w:t>de) og på den måde kan skatteforpligtelsen udskydes i flere generationer.</w:t>
      </w:r>
    </w:p>
    <w:p w:rsidR="003D7459" w:rsidRDefault="003D7459" w:rsidP="003D7459">
      <w:r>
        <w:t>Hvis erhververen ikke overdrager virksomheden i levende live, men virksomheden o</w:t>
      </w:r>
      <w:r>
        <w:t>p</w:t>
      </w:r>
      <w:r>
        <w:t>hører ved dennes død, kan der være mulighed for at skatteforpligtelsen alligevel ikke bliver aktuel, hvis det samlede dødsbo ikke overstiger grænsen for skattepligtige død</w:t>
      </w:r>
      <w:r>
        <w:t>s</w:t>
      </w:r>
      <w:r>
        <w:t>boer.</w:t>
      </w:r>
    </w:p>
    <w:p w:rsidR="003D7459" w:rsidRDefault="003D7459" w:rsidP="00AF4FDF"/>
    <w:p w:rsidR="007A35E5" w:rsidRPr="003034B4" w:rsidRDefault="00371BAB" w:rsidP="00AF4FDF">
      <w:pPr>
        <w:pStyle w:val="Overskrift3"/>
        <w:jc w:val="both"/>
      </w:pPr>
      <w:bookmarkStart w:id="92" w:name="_Toc212806427"/>
      <w:bookmarkStart w:id="93" w:name="_Toc214610765"/>
      <w:bookmarkStart w:id="94" w:name="_Toc221546208"/>
      <w:r>
        <w:t>3.2</w:t>
      </w:r>
      <w:r w:rsidR="00312092">
        <w:t>.</w:t>
      </w:r>
      <w:r>
        <w:t>2</w:t>
      </w:r>
      <w:r w:rsidR="00312092">
        <w:t xml:space="preserve"> Caseregnskab</w:t>
      </w:r>
      <w:r w:rsidR="007A35E5" w:rsidRPr="003034B4">
        <w:t xml:space="preserve"> overdragelse med succession</w:t>
      </w:r>
      <w:bookmarkEnd w:id="92"/>
      <w:bookmarkEnd w:id="93"/>
      <w:r w:rsidR="00627158">
        <w:t xml:space="preserve"> </w:t>
      </w:r>
      <w:r w:rsidR="00627158">
        <w:rPr>
          <w:b w:val="0"/>
          <w:sz w:val="22"/>
          <w:szCs w:val="22"/>
        </w:rPr>
        <w:t>(Jane</w:t>
      </w:r>
      <w:r w:rsidR="00627158" w:rsidRPr="00E75844">
        <w:rPr>
          <w:b w:val="0"/>
          <w:sz w:val="22"/>
          <w:szCs w:val="22"/>
        </w:rPr>
        <w:t>)</w:t>
      </w:r>
      <w:bookmarkEnd w:id="94"/>
    </w:p>
    <w:p w:rsidR="002B5FE5" w:rsidRDefault="00A71657" w:rsidP="00A71657">
      <w:r>
        <w:t>Der foretages nu en beregning på konsekvenserne for datteren, hvis denne succederes i faderens andel af virksomheden. Overdragelsesværdierne er de samme som i den beskattede overdragelse, forskellen er nu at datteren får andelen af virksomheden som en gave, hvor hun tilligemed succederer i de aktiver, hvor dette er muligt.</w:t>
      </w:r>
    </w:p>
    <w:p w:rsidR="00A71657" w:rsidRDefault="002B5FE5" w:rsidP="00A71657">
      <w:r>
        <w:br w:type="page"/>
      </w:r>
    </w:p>
    <w:tbl>
      <w:tblPr>
        <w:tblW w:w="5000" w:type="pct"/>
        <w:tblCellMar>
          <w:left w:w="70" w:type="dxa"/>
          <w:right w:w="70" w:type="dxa"/>
        </w:tblCellMar>
        <w:tblLook w:val="0000"/>
      </w:tblPr>
      <w:tblGrid>
        <w:gridCol w:w="2378"/>
        <w:gridCol w:w="1455"/>
        <w:gridCol w:w="1309"/>
        <w:gridCol w:w="1318"/>
        <w:gridCol w:w="1162"/>
        <w:gridCol w:w="721"/>
        <w:gridCol w:w="301"/>
      </w:tblGrid>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Samlet balance</w:t>
            </w: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Ideel andel til</w:t>
            </w: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skattemæssig</w:t>
            </w: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Overdragel-</w:t>
            </w: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Passiv-</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Beløb i t.DKK</w:t>
            </w:r>
          </w:p>
        </w:tc>
        <w:tc>
          <w:tcPr>
            <w:tcW w:w="84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2007</w:t>
            </w:r>
          </w:p>
        </w:tc>
        <w:tc>
          <w:tcPr>
            <w:tcW w:w="758"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overdragelse</w:t>
            </w:r>
          </w:p>
        </w:tc>
        <w:tc>
          <w:tcPr>
            <w:tcW w:w="763"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værdi</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sessum</w:t>
            </w:r>
          </w:p>
        </w:tc>
        <w:tc>
          <w:tcPr>
            <w:tcW w:w="417"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post</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Goodwill</w:t>
            </w: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290</w:t>
            </w: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87</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Ejendom</w:t>
            </w: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3.061</w:t>
            </w: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1.530</w:t>
            </w: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999</w:t>
            </w: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1.743</w:t>
            </w: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w:t>
            </w:r>
          </w:p>
        </w:tc>
      </w:tr>
      <w:tr w:rsidR="00A71657" w:rsidRPr="00916DAF" w:rsidTr="00A71657">
        <w:trPr>
          <w:trHeight w:val="315"/>
        </w:trPr>
        <w:tc>
          <w:tcPr>
            <w:tcW w:w="2218" w:type="pct"/>
            <w:gridSpan w:val="2"/>
            <w:tcBorders>
              <w:top w:val="nil"/>
              <w:left w:val="nil"/>
              <w:bottom w:val="nil"/>
              <w:right w:val="nil"/>
            </w:tcBorders>
            <w:noWrap/>
            <w:vAlign w:val="bottom"/>
          </w:tcPr>
          <w:p w:rsidR="00A71657" w:rsidRPr="00916DAF" w:rsidRDefault="00A71657" w:rsidP="00A71657">
            <w:pPr>
              <w:ind w:firstLineChars="100" w:firstLine="200"/>
              <w:rPr>
                <w:rFonts w:cs="Arial"/>
                <w:sz w:val="20"/>
                <w:szCs w:val="20"/>
                <w:lang w:eastAsia="da-DK"/>
              </w:rPr>
            </w:pPr>
            <w:r w:rsidRPr="00916DAF">
              <w:rPr>
                <w:rFonts w:cs="Arial"/>
                <w:sz w:val="20"/>
                <w:szCs w:val="20"/>
                <w:lang w:eastAsia="da-DK"/>
              </w:rPr>
              <w:t>ejd. værdi t.DKK 4.100</w:t>
            </w:r>
          </w:p>
        </w:tc>
        <w:tc>
          <w:tcPr>
            <w:tcW w:w="758"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Indretning lejede lokaler</w:t>
            </w: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780</w:t>
            </w: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390</w:t>
            </w: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140</w:t>
            </w: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450</w:t>
            </w: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93</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Driftsmateriel og inventar</w:t>
            </w:r>
          </w:p>
        </w:tc>
        <w:tc>
          <w:tcPr>
            <w:tcW w:w="84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429</w:t>
            </w:r>
          </w:p>
        </w:tc>
        <w:tc>
          <w:tcPr>
            <w:tcW w:w="758"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215</w:t>
            </w:r>
          </w:p>
        </w:tc>
        <w:tc>
          <w:tcPr>
            <w:tcW w:w="763"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231</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300</w:t>
            </w:r>
          </w:p>
        </w:tc>
        <w:tc>
          <w:tcPr>
            <w:tcW w:w="417"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19</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Anlægsaktiver i alt</w:t>
            </w:r>
          </w:p>
        </w:tc>
        <w:tc>
          <w:tcPr>
            <w:tcW w:w="84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4.270</w:t>
            </w:r>
          </w:p>
        </w:tc>
        <w:tc>
          <w:tcPr>
            <w:tcW w:w="758"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2.135</w:t>
            </w:r>
          </w:p>
        </w:tc>
        <w:tc>
          <w:tcPr>
            <w:tcW w:w="763"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1.370</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2.783</w:t>
            </w:r>
          </w:p>
        </w:tc>
        <w:tc>
          <w:tcPr>
            <w:tcW w:w="417"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199</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Varelager</w:t>
            </w: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2.640</w:t>
            </w: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1.320</w:t>
            </w: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1.320</w:t>
            </w: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1.320</w:t>
            </w: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Debitorer</w:t>
            </w: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2.080</w:t>
            </w: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1.040</w:t>
            </w: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1.040</w:t>
            </w: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1.040</w:t>
            </w: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Likvide beholdninger</w:t>
            </w:r>
          </w:p>
        </w:tc>
        <w:tc>
          <w:tcPr>
            <w:tcW w:w="84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50</w:t>
            </w:r>
          </w:p>
        </w:tc>
        <w:tc>
          <w:tcPr>
            <w:tcW w:w="758"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25</w:t>
            </w:r>
          </w:p>
        </w:tc>
        <w:tc>
          <w:tcPr>
            <w:tcW w:w="763"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25</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25</w:t>
            </w:r>
          </w:p>
        </w:tc>
        <w:tc>
          <w:tcPr>
            <w:tcW w:w="417"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Omsætningsaktiver i alt</w:t>
            </w:r>
          </w:p>
        </w:tc>
        <w:tc>
          <w:tcPr>
            <w:tcW w:w="84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4.770</w:t>
            </w:r>
          </w:p>
        </w:tc>
        <w:tc>
          <w:tcPr>
            <w:tcW w:w="758"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2.385</w:t>
            </w:r>
          </w:p>
        </w:tc>
        <w:tc>
          <w:tcPr>
            <w:tcW w:w="763"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2.385</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2.385</w:t>
            </w:r>
          </w:p>
        </w:tc>
        <w:tc>
          <w:tcPr>
            <w:tcW w:w="417"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Aktiver i alt</w:t>
            </w:r>
          </w:p>
        </w:tc>
        <w:tc>
          <w:tcPr>
            <w:tcW w:w="84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9.040</w:t>
            </w:r>
          </w:p>
        </w:tc>
        <w:tc>
          <w:tcPr>
            <w:tcW w:w="758"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4.520</w:t>
            </w:r>
          </w:p>
        </w:tc>
        <w:tc>
          <w:tcPr>
            <w:tcW w:w="763"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3.755</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5.168</w:t>
            </w:r>
          </w:p>
        </w:tc>
        <w:tc>
          <w:tcPr>
            <w:tcW w:w="417"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199</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Gældsforpligtelser i alt</w:t>
            </w:r>
          </w:p>
        </w:tc>
        <w:tc>
          <w:tcPr>
            <w:tcW w:w="84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6.679</w:t>
            </w:r>
          </w:p>
        </w:tc>
        <w:tc>
          <w:tcPr>
            <w:tcW w:w="758"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3.340</w:t>
            </w:r>
          </w:p>
        </w:tc>
        <w:tc>
          <w:tcPr>
            <w:tcW w:w="763"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3.285</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3.285</w:t>
            </w:r>
          </w:p>
        </w:tc>
        <w:tc>
          <w:tcPr>
            <w:tcW w:w="417"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0</w:t>
            </w: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2976" w:type="pct"/>
            <w:gridSpan w:val="3"/>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Værdi af gave</w:t>
            </w:r>
          </w:p>
        </w:tc>
        <w:tc>
          <w:tcPr>
            <w:tcW w:w="76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1.883</w:t>
            </w: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2218" w:type="pct"/>
            <w:gridSpan w:val="2"/>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Bundfradrag gave (2008)</w:t>
            </w:r>
          </w:p>
        </w:tc>
        <w:tc>
          <w:tcPr>
            <w:tcW w:w="758"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-57</w:t>
            </w: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2218" w:type="pct"/>
            <w:gridSpan w:val="2"/>
            <w:tcBorders>
              <w:top w:val="nil"/>
              <w:left w:val="nil"/>
              <w:bottom w:val="nil"/>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Passivpost vedr</w:t>
            </w:r>
            <w:r>
              <w:rPr>
                <w:rFonts w:cs="Arial"/>
                <w:sz w:val="20"/>
                <w:szCs w:val="20"/>
                <w:lang w:eastAsia="da-DK"/>
              </w:rPr>
              <w:t>.</w:t>
            </w:r>
            <w:r w:rsidRPr="00916DAF">
              <w:rPr>
                <w:rFonts w:cs="Arial"/>
                <w:sz w:val="20"/>
                <w:szCs w:val="20"/>
                <w:lang w:eastAsia="da-DK"/>
              </w:rPr>
              <w:t xml:space="preserve"> avancer</w:t>
            </w:r>
          </w:p>
        </w:tc>
        <w:tc>
          <w:tcPr>
            <w:tcW w:w="758"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-199</w:t>
            </w: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2976" w:type="pct"/>
            <w:gridSpan w:val="3"/>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Passivpost vedr</w:t>
            </w:r>
            <w:r>
              <w:rPr>
                <w:rFonts w:cs="Arial"/>
                <w:sz w:val="20"/>
                <w:szCs w:val="20"/>
                <w:lang w:eastAsia="da-DK"/>
              </w:rPr>
              <w:t>.</w:t>
            </w:r>
            <w:r w:rsidRPr="00916DAF">
              <w:rPr>
                <w:rFonts w:cs="Arial"/>
                <w:sz w:val="20"/>
                <w:szCs w:val="20"/>
                <w:lang w:eastAsia="da-DK"/>
              </w:rPr>
              <w:t xml:space="preserve"> opsparet overskud</w:t>
            </w:r>
          </w:p>
        </w:tc>
        <w:tc>
          <w:tcPr>
            <w:tcW w:w="763"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-81</w:t>
            </w: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2976" w:type="pct"/>
            <w:gridSpan w:val="3"/>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Værdi af gave til gaveafgiftsberegning</w:t>
            </w:r>
          </w:p>
        </w:tc>
        <w:tc>
          <w:tcPr>
            <w:tcW w:w="763"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1.546</w:t>
            </w: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842"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58"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76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672" w:type="pct"/>
            <w:tcBorders>
              <w:top w:val="nil"/>
              <w:left w:val="nil"/>
              <w:bottom w:val="nil"/>
              <w:right w:val="nil"/>
            </w:tcBorders>
            <w:noWrap/>
            <w:vAlign w:val="bottom"/>
          </w:tcPr>
          <w:p w:rsidR="00A71657" w:rsidRPr="00916DAF" w:rsidRDefault="00A71657" w:rsidP="00A71657">
            <w:pPr>
              <w:jc w:val="right"/>
              <w:rPr>
                <w:rFonts w:cs="Arial"/>
                <w:sz w:val="20"/>
                <w:szCs w:val="20"/>
                <w:lang w:eastAsia="da-DK"/>
              </w:rPr>
            </w:pP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r w:rsidR="00A71657" w:rsidRPr="00916DAF" w:rsidTr="00A71657">
        <w:trPr>
          <w:trHeight w:val="315"/>
        </w:trPr>
        <w:tc>
          <w:tcPr>
            <w:tcW w:w="1376"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Gaveafgift</w:t>
            </w:r>
          </w:p>
        </w:tc>
        <w:tc>
          <w:tcPr>
            <w:tcW w:w="842"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758"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15 %</w:t>
            </w:r>
          </w:p>
        </w:tc>
        <w:tc>
          <w:tcPr>
            <w:tcW w:w="763" w:type="pct"/>
            <w:tcBorders>
              <w:top w:val="nil"/>
              <w:left w:val="nil"/>
              <w:bottom w:val="single" w:sz="4" w:space="0" w:color="auto"/>
              <w:right w:val="nil"/>
            </w:tcBorders>
            <w:noWrap/>
            <w:vAlign w:val="bottom"/>
          </w:tcPr>
          <w:p w:rsidR="00A71657" w:rsidRPr="00916DAF" w:rsidRDefault="00A71657" w:rsidP="00A71657">
            <w:pPr>
              <w:rPr>
                <w:rFonts w:cs="Arial"/>
                <w:sz w:val="20"/>
                <w:szCs w:val="20"/>
                <w:lang w:eastAsia="da-DK"/>
              </w:rPr>
            </w:pPr>
            <w:r w:rsidRPr="00916DAF">
              <w:rPr>
                <w:rFonts w:cs="Arial"/>
                <w:sz w:val="20"/>
                <w:szCs w:val="20"/>
                <w:lang w:eastAsia="da-DK"/>
              </w:rPr>
              <w:t> </w:t>
            </w:r>
          </w:p>
        </w:tc>
        <w:tc>
          <w:tcPr>
            <w:tcW w:w="672" w:type="pct"/>
            <w:tcBorders>
              <w:top w:val="nil"/>
              <w:left w:val="nil"/>
              <w:bottom w:val="single" w:sz="4" w:space="0" w:color="auto"/>
              <w:right w:val="nil"/>
            </w:tcBorders>
            <w:noWrap/>
            <w:vAlign w:val="bottom"/>
          </w:tcPr>
          <w:p w:rsidR="00A71657" w:rsidRPr="00916DAF" w:rsidRDefault="00A71657" w:rsidP="00A71657">
            <w:pPr>
              <w:jc w:val="right"/>
              <w:rPr>
                <w:rFonts w:cs="Arial"/>
                <w:sz w:val="20"/>
                <w:szCs w:val="20"/>
                <w:lang w:eastAsia="da-DK"/>
              </w:rPr>
            </w:pPr>
            <w:r w:rsidRPr="00916DAF">
              <w:rPr>
                <w:rFonts w:cs="Arial"/>
                <w:sz w:val="20"/>
                <w:szCs w:val="20"/>
                <w:lang w:eastAsia="da-DK"/>
              </w:rPr>
              <w:t>232</w:t>
            </w:r>
          </w:p>
        </w:tc>
        <w:tc>
          <w:tcPr>
            <w:tcW w:w="417"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c>
          <w:tcPr>
            <w:tcW w:w="173" w:type="pct"/>
            <w:tcBorders>
              <w:top w:val="nil"/>
              <w:left w:val="nil"/>
              <w:bottom w:val="nil"/>
              <w:right w:val="nil"/>
            </w:tcBorders>
            <w:noWrap/>
            <w:vAlign w:val="bottom"/>
          </w:tcPr>
          <w:p w:rsidR="00A71657" w:rsidRPr="00916DAF" w:rsidRDefault="00A71657" w:rsidP="00A71657">
            <w:pPr>
              <w:rPr>
                <w:rFonts w:cs="Arial"/>
                <w:sz w:val="20"/>
                <w:szCs w:val="20"/>
                <w:lang w:eastAsia="da-DK"/>
              </w:rPr>
            </w:pPr>
          </w:p>
        </w:tc>
      </w:tr>
    </w:tbl>
    <w:p w:rsidR="00A71657" w:rsidRDefault="00A71657" w:rsidP="00A71657">
      <w:pPr>
        <w:rPr>
          <w:sz w:val="20"/>
          <w:szCs w:val="20"/>
        </w:rPr>
      </w:pPr>
      <w:r w:rsidRPr="00673D13">
        <w:rPr>
          <w:sz w:val="20"/>
          <w:szCs w:val="20"/>
        </w:rPr>
        <w:t>*) – der er ikke beregnet passivpost for ejendommen, da ejendomsavancen er negativ og de</w:t>
      </w:r>
      <w:r>
        <w:rPr>
          <w:sz w:val="20"/>
          <w:szCs w:val="20"/>
        </w:rPr>
        <w:t>t</w:t>
      </w:r>
      <w:r w:rsidRPr="00673D13">
        <w:rPr>
          <w:sz w:val="20"/>
          <w:szCs w:val="20"/>
        </w:rPr>
        <w:t xml:space="preserve"> er derfor ikke muligt at succedere i de genvundne afskrivninger. </w:t>
      </w:r>
    </w:p>
    <w:p w:rsidR="00A71657" w:rsidRPr="0007728E" w:rsidRDefault="002F0FFE" w:rsidP="002F0FFE">
      <w:pPr>
        <w:pStyle w:val="Billedtekst"/>
      </w:pPr>
      <w:bookmarkStart w:id="95" w:name="_Toc218751405"/>
      <w:r>
        <w:t xml:space="preserve">Figur </w:t>
      </w:r>
      <w:fldSimple w:instr=" SEQ Figur \* ARABIC ">
        <w:r w:rsidR="000F066D">
          <w:rPr>
            <w:noProof/>
          </w:rPr>
          <w:t>23</w:t>
        </w:r>
      </w:fldSimple>
      <w:r w:rsidR="00A71657">
        <w:t xml:space="preserve"> Oversigt over skattemæssige værdier, overdragelsessummer og beregnede passivposter ved succession</w:t>
      </w:r>
      <w:bookmarkEnd w:id="95"/>
    </w:p>
    <w:p w:rsidR="00A71657" w:rsidRDefault="00A71657" w:rsidP="00A71657">
      <w:r>
        <w:lastRenderedPageBreak/>
        <w:t>Datteren succederer i alle aktiver i virksomhedsandelen bortset fra ejendommen, og hun succederer ligeledes i konto for opsparet overskud. Da hun ikke vederlægger n</w:t>
      </w:r>
      <w:r>
        <w:t>o</w:t>
      </w:r>
      <w:r>
        <w:t>gen kontanter for virksomheden vil dette resultere i at der skal indbetales en gavea</w:t>
      </w:r>
      <w:r>
        <w:t>f</w:t>
      </w:r>
      <w:r>
        <w:t>gift med 15 %</w:t>
      </w:r>
      <w:r>
        <w:rPr>
          <w:rStyle w:val="Fodnotehenvisning"/>
        </w:rPr>
        <w:t xml:space="preserve"> </w:t>
      </w:r>
      <w:r>
        <w:rPr>
          <w:rStyle w:val="Fodnotehenvisning"/>
        </w:rPr>
        <w:footnoteReference w:id="69"/>
      </w:r>
      <w:r>
        <w:t xml:space="preserve"> af t.DKK 1.546 på t.DKK 232. Beløbet til gaveafgiftsberegningen er nedsat for det første med bundfradraget for afgiftsfri gaver for indkomståret, der for 2008 udgør DKK 56.800</w:t>
      </w:r>
      <w:r>
        <w:rPr>
          <w:rStyle w:val="Fodnotehenvisning"/>
        </w:rPr>
        <w:footnoteReference w:id="70"/>
      </w:r>
      <w:r>
        <w:t>, dernæst er der sket reduktion for de beregnede passivp</w:t>
      </w:r>
      <w:r>
        <w:t>o</w:t>
      </w:r>
      <w:r>
        <w:t>ster for de skattepligtige avancer, der ellers ville være kommet til beskatning. Og end</w:t>
      </w:r>
      <w:r>
        <w:t>e</w:t>
      </w:r>
      <w:r>
        <w:t xml:space="preserve">lig er der reduceret med den beregnede passivpost hvad angår konto for opsparet overskud. I </w:t>
      </w:r>
      <w:r w:rsidR="00012FAC">
        <w:fldChar w:fldCharType="begin"/>
      </w:r>
      <w:r w:rsidR="00D457AA">
        <w:instrText xml:space="preserve"> REF _Ref218748722 \h </w:instrText>
      </w:r>
      <w:r w:rsidR="00012FAC">
        <w:fldChar w:fldCharType="separate"/>
      </w:r>
      <w:r w:rsidR="000F066D">
        <w:t>Bilag 5 – Beregning af passivposter ved succession</w:t>
      </w:r>
      <w:r w:rsidR="00012FAC">
        <w:fldChar w:fldCharType="end"/>
      </w:r>
      <w:r w:rsidR="00D457AA">
        <w:t>,</w:t>
      </w:r>
      <w:r>
        <w:t xml:space="preserve"> er specificeret bere</w:t>
      </w:r>
      <w:r>
        <w:t>g</w:t>
      </w:r>
      <w:r>
        <w:t>ningen af passivposterne.</w:t>
      </w:r>
    </w:p>
    <w:p w:rsidR="00A71657" w:rsidRDefault="00A71657" w:rsidP="00A71657">
      <w:r>
        <w:t>Det er underordnet for gaveafgiftsberegningen, om det er faderen der betaler gavea</w:t>
      </w:r>
      <w:r>
        <w:t>f</w:t>
      </w:r>
      <w:r>
        <w:t xml:space="preserve">giften, dette sidestilles ikke som et yderligere </w:t>
      </w:r>
      <w:r w:rsidRPr="005A5E3E">
        <w:t>gavebeløb jf.</w:t>
      </w:r>
      <w:r>
        <w:t xml:space="preserve"> BAL § 24, stk. 5 </w:t>
      </w:r>
    </w:p>
    <w:p w:rsidR="00A71657" w:rsidRDefault="00A71657" w:rsidP="00A71657">
      <w:r>
        <w:t>Datteren indtræder i faderens stilling hvad angår anskaffelsestidspunkt, anskaffelse</w:t>
      </w:r>
      <w:r>
        <w:t>s</w:t>
      </w:r>
      <w:r>
        <w:t>beløb og hensigt hvad angår driftsmidler og indretning af lejede lokaler, samt konto for opsparet overskud. Derimod bliver ejendommens anskaffelsessum ”ny”, da det som før omtalt ikke var muligt at succedere på grund af den negative ejendomsavance. Der skal for ejendommen opgøres et nyt afskrivningsgrundlag, og der kan foretages a</w:t>
      </w:r>
      <w:r>
        <w:t>f</w:t>
      </w:r>
      <w:r>
        <w:t>skrivninger fremadrettet på ejendommen, som om datteren selv havde købt eje</w:t>
      </w:r>
      <w:r>
        <w:t>n</w:t>
      </w:r>
      <w:r>
        <w:t>dommen.</w:t>
      </w:r>
    </w:p>
    <w:p w:rsidR="00A71657" w:rsidRDefault="00A71657" w:rsidP="00A71657">
      <w:r>
        <w:t>For faderen sker der ikke realisationsbeskatning af værdien af goodwill, avance på driftsmidler og indretning af lejede lokaler, ligesom saldoen på konto for opsparet overskud ikke skal genbeskattes hos faderen. Den aconto betalte virksomhedsskat er således blevet endelig. Men da der ikke kunne succederes i ejendommen, vil der ske genbeskatning af genvundne afskrivninger, da afståelsen til datteren sidestilles med salg af ejendommen. Den negative ejendomsavance alene kan modregnes i tilsvarende fremtidige avancer. Beløbet kan dog fremføres ubegrænset.</w:t>
      </w:r>
    </w:p>
    <w:p w:rsidR="007A35E5" w:rsidRDefault="007A35E5" w:rsidP="00AF4FDF"/>
    <w:p w:rsidR="007A35E5" w:rsidRPr="00467EA3" w:rsidRDefault="00312092" w:rsidP="00312092">
      <w:pPr>
        <w:pStyle w:val="Overskrift4"/>
      </w:pPr>
      <w:bookmarkStart w:id="96" w:name="_Toc221546209"/>
      <w:r>
        <w:lastRenderedPageBreak/>
        <w:t>3.</w:t>
      </w:r>
      <w:r w:rsidR="00371BAB">
        <w:t>2</w:t>
      </w:r>
      <w:r>
        <w:t>.</w:t>
      </w:r>
      <w:r w:rsidR="00371BAB">
        <w:t>2</w:t>
      </w:r>
      <w:r>
        <w:t xml:space="preserve">.1 </w:t>
      </w:r>
      <w:r w:rsidR="007A35E5" w:rsidRPr="00467EA3">
        <w:t>Andre forhold</w:t>
      </w:r>
      <w:r w:rsidR="00627158">
        <w:t xml:space="preserve"> </w:t>
      </w:r>
      <w:r w:rsidR="00627158">
        <w:rPr>
          <w:b w:val="0"/>
          <w:sz w:val="22"/>
          <w:szCs w:val="22"/>
        </w:rPr>
        <w:t>(Jane</w:t>
      </w:r>
      <w:r w:rsidR="00627158" w:rsidRPr="00E75844">
        <w:rPr>
          <w:b w:val="0"/>
          <w:sz w:val="22"/>
          <w:szCs w:val="22"/>
        </w:rPr>
        <w:t>)</w:t>
      </w:r>
      <w:bookmarkEnd w:id="96"/>
    </w:p>
    <w:p w:rsidR="00067653" w:rsidRDefault="00067653" w:rsidP="00067653">
      <w:r w:rsidRPr="00CB71AB">
        <w:t xml:space="preserve">Hvis </w:t>
      </w:r>
      <w:r>
        <w:t>man tænker sig den situation at generationsskiftet mellem A og C gennemføres, men efter at dette er gennemført viser det sig det ikke var ”lykken”. Samarbejdet me</w:t>
      </w:r>
      <w:r>
        <w:t>l</w:t>
      </w:r>
      <w:r>
        <w:t xml:space="preserve">lem C og B fungerer ikke og man er i familien blevet enige om det var vist bedre om B havde overtaget hele virksomheden og drev den videre alene. </w:t>
      </w:r>
    </w:p>
    <w:p w:rsidR="00067653" w:rsidRDefault="00067653" w:rsidP="00067653">
      <w:r>
        <w:t>Jf. KSL er det muligt at succedere mellem søskende og A og B er jo brødre. Men da A har generationsskiftet til datteren C, vil det ikke være muligt for C at foretage success</w:t>
      </w:r>
      <w:r>
        <w:t>i</w:t>
      </w:r>
      <w:r>
        <w:t xml:space="preserve">on med B. </w:t>
      </w:r>
    </w:p>
    <w:p w:rsidR="00067653" w:rsidRDefault="00067653" w:rsidP="00067653">
      <w:r>
        <w:t>Her vil det være relevant at tage de nye regler i brug, hvor det er muligt at tilbageføre en gennemført succession, derved bliver A ”ejer” igen af andelen af virksomheden og A kan herefter succedere med broren B, således at denne kommer til at eje virksomh</w:t>
      </w:r>
      <w:r>
        <w:t>e</w:t>
      </w:r>
      <w:r>
        <w:t>den 100 %. Dispositionen skal gennemføres inden der er gået 5 år fra successionen mellem A og C. Dette underbygger, at selvom det er muligt at omgøre en disposition, skal man alligevel tænke sig godt om inden, der gennemføres.</w:t>
      </w:r>
    </w:p>
    <w:p w:rsidR="00067653" w:rsidRDefault="00067653" w:rsidP="00067653"/>
    <w:p w:rsidR="00067653" w:rsidRPr="00CB71AB" w:rsidRDefault="00067653" w:rsidP="00067653">
      <w:r>
        <w:t>Tidshorisonten ved planlægning af generationsskifte er især vigtig at holde sig for øje. Hvis næste generations påtænkes at skulle overtage virksomheden, vil det for denne være relevant at foretage indskud på etableringskonto (efter 01.01.09 mulighed for at indskyde på iværksætterkonto med større fradragsværdi), da denne form for opsp</w:t>
      </w:r>
      <w:r>
        <w:t>a</w:t>
      </w:r>
      <w:r>
        <w:t xml:space="preserve">ring er begunstiget skattemæssigt jf. omtalen i </w:t>
      </w:r>
      <w:r w:rsidR="00E80B8B">
        <w:t>afsnit ”</w:t>
      </w:r>
      <w:r w:rsidR="00012FAC">
        <w:fldChar w:fldCharType="begin"/>
      </w:r>
      <w:r w:rsidR="00E80B8B">
        <w:instrText xml:space="preserve"> REF _Ref218936774 \h </w:instrText>
      </w:r>
      <w:r w:rsidR="00012FAC">
        <w:fldChar w:fldCharType="separate"/>
      </w:r>
      <w:r w:rsidR="000F066D">
        <w:t>3.1.10 Indskud på etablering</w:t>
      </w:r>
      <w:r w:rsidR="000F066D">
        <w:t>s</w:t>
      </w:r>
      <w:r w:rsidR="000F066D">
        <w:t>konto eller iværksætterkonto</w:t>
      </w:r>
      <w:r w:rsidR="00012FAC">
        <w:fldChar w:fldCharType="end"/>
      </w:r>
      <w:r w:rsidR="00E80B8B">
        <w:t xml:space="preserve">”. </w:t>
      </w:r>
      <w:r>
        <w:t>Ved at erhververen har foretaget opsparing i årene forinden overtagelsen af virksomheden vil der være en mindre del, der skal finansieres eller gives som gave.</w:t>
      </w:r>
    </w:p>
    <w:p w:rsidR="007A35E5" w:rsidRDefault="007A35E5" w:rsidP="00AF4FDF">
      <w:pPr>
        <w:rPr>
          <w:highlight w:val="yellow"/>
        </w:rPr>
      </w:pPr>
    </w:p>
    <w:p w:rsidR="00067653" w:rsidRDefault="00067653" w:rsidP="00067653">
      <w:pPr>
        <w:pStyle w:val="Overskrift3"/>
      </w:pPr>
      <w:bookmarkStart w:id="97" w:name="_Toc217448660"/>
      <w:bookmarkStart w:id="98" w:name="_Toc221546210"/>
      <w:r>
        <w:t>3.</w:t>
      </w:r>
      <w:r w:rsidR="00371BAB">
        <w:t>2</w:t>
      </w:r>
      <w:r w:rsidR="00477D53">
        <w:t>.3</w:t>
      </w:r>
      <w:r>
        <w:t xml:space="preserve"> </w:t>
      </w:r>
      <w:r w:rsidR="00055C29">
        <w:t>O</w:t>
      </w:r>
      <w:r>
        <w:t>verdragelse med succession</w:t>
      </w:r>
      <w:bookmarkEnd w:id="97"/>
      <w:r w:rsidR="00055C29">
        <w:t xml:space="preserve"> </w:t>
      </w:r>
      <w:r w:rsidR="00627158">
        <w:t>–</w:t>
      </w:r>
      <w:r w:rsidR="00055C29">
        <w:t xml:space="preserve"> </w:t>
      </w:r>
      <w:r w:rsidR="00C53714">
        <w:t>opsummering</w:t>
      </w:r>
      <w:r w:rsidR="00627158">
        <w:t xml:space="preserve"> </w:t>
      </w:r>
      <w:r w:rsidR="00627158">
        <w:rPr>
          <w:b w:val="0"/>
          <w:sz w:val="22"/>
          <w:szCs w:val="22"/>
        </w:rPr>
        <w:t>(Jane</w:t>
      </w:r>
      <w:r w:rsidR="00627158" w:rsidRPr="00E75844">
        <w:rPr>
          <w:b w:val="0"/>
          <w:sz w:val="22"/>
          <w:szCs w:val="22"/>
        </w:rPr>
        <w:t>)</w:t>
      </w:r>
      <w:bookmarkEnd w:id="98"/>
    </w:p>
    <w:p w:rsidR="00067653" w:rsidRDefault="00067653" w:rsidP="00067653">
      <w:r>
        <w:t>Der kan herefter opstilles følgende oversigt over fordele og ulemper ved et generat</w:t>
      </w:r>
      <w:r>
        <w:t>i</w:t>
      </w:r>
      <w:r>
        <w:t>onsskifte af casevirksomheden, hvor der sker succession</w:t>
      </w:r>
      <w:r w:rsidR="00D6637B">
        <w:t xml:space="preserve"> mellem overdrageren og e</w:t>
      </w:r>
      <w:r w:rsidR="00D6637B">
        <w:t>r</w:t>
      </w:r>
      <w:r w:rsidR="00D6637B">
        <w:t>hverver</w:t>
      </w:r>
      <w:r>
        <w:t>.</w:t>
      </w:r>
    </w:p>
    <w:p w:rsidR="00067653" w:rsidRDefault="00067653" w:rsidP="000676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067653" w:rsidRPr="0011688E" w:rsidTr="00D457AA">
        <w:tc>
          <w:tcPr>
            <w:tcW w:w="2500" w:type="pct"/>
            <w:tcBorders>
              <w:top w:val="nil"/>
            </w:tcBorders>
          </w:tcPr>
          <w:p w:rsidR="00067653" w:rsidRPr="009C2BFD" w:rsidRDefault="00067653" w:rsidP="00D457AA">
            <w:pPr>
              <w:rPr>
                <w:b/>
              </w:rPr>
            </w:pPr>
            <w:r>
              <w:rPr>
                <w:b/>
              </w:rPr>
              <w:t>Fordele</w:t>
            </w:r>
          </w:p>
        </w:tc>
        <w:tc>
          <w:tcPr>
            <w:tcW w:w="2500" w:type="pct"/>
            <w:tcBorders>
              <w:top w:val="nil"/>
            </w:tcBorders>
          </w:tcPr>
          <w:p w:rsidR="00067653" w:rsidRPr="009C2BFD" w:rsidRDefault="00067653" w:rsidP="00D457AA">
            <w:pPr>
              <w:rPr>
                <w:b/>
              </w:rPr>
            </w:pPr>
            <w:r>
              <w:rPr>
                <w:b/>
              </w:rPr>
              <w:t>Ulemper</w:t>
            </w:r>
          </w:p>
        </w:tc>
      </w:tr>
      <w:tr w:rsidR="00067653" w:rsidRPr="0011688E" w:rsidTr="00D457AA">
        <w:tc>
          <w:tcPr>
            <w:tcW w:w="2500" w:type="pct"/>
          </w:tcPr>
          <w:p w:rsidR="00067653" w:rsidRDefault="00067653" w:rsidP="00067653">
            <w:pPr>
              <w:numPr>
                <w:ilvl w:val="0"/>
                <w:numId w:val="9"/>
              </w:numPr>
              <w:spacing w:line="240" w:lineRule="auto"/>
              <w:jc w:val="left"/>
            </w:pPr>
            <w:r>
              <w:t>Mindre likviditetskrævende</w:t>
            </w:r>
          </w:p>
          <w:p w:rsidR="00067653" w:rsidRDefault="00067653" w:rsidP="00067653">
            <w:pPr>
              <w:numPr>
                <w:ilvl w:val="0"/>
                <w:numId w:val="9"/>
              </w:numPr>
              <w:spacing w:line="240" w:lineRule="auto"/>
              <w:jc w:val="left"/>
            </w:pPr>
            <w:r>
              <w:t>Mindre krav til fremtidig indtjening i virksomheden, da der ikke skal ske forrentning af købesummen</w:t>
            </w:r>
          </w:p>
          <w:p w:rsidR="00067653" w:rsidRDefault="00067653" w:rsidP="00067653">
            <w:pPr>
              <w:numPr>
                <w:ilvl w:val="0"/>
                <w:numId w:val="9"/>
              </w:numPr>
              <w:spacing w:line="240" w:lineRule="auto"/>
              <w:jc w:val="left"/>
            </w:pPr>
            <w:r>
              <w:t>Der sker ikke genbeskatning af opsp</w:t>
            </w:r>
            <w:r>
              <w:t>a</w:t>
            </w:r>
            <w:r>
              <w:t>ret overskud hos overdrageren</w:t>
            </w:r>
          </w:p>
          <w:p w:rsidR="00067653" w:rsidRDefault="00067653" w:rsidP="00067653">
            <w:pPr>
              <w:numPr>
                <w:ilvl w:val="0"/>
                <w:numId w:val="9"/>
              </w:numPr>
              <w:spacing w:line="240" w:lineRule="auto"/>
              <w:jc w:val="left"/>
            </w:pPr>
            <w:r>
              <w:t>Dispositionen kan gøres om, når de nye regler træder i kraft pr. 01.01.09.</w:t>
            </w:r>
          </w:p>
          <w:p w:rsidR="00067653" w:rsidRDefault="00067653" w:rsidP="00067653">
            <w:pPr>
              <w:numPr>
                <w:ilvl w:val="0"/>
                <w:numId w:val="9"/>
              </w:numPr>
              <w:spacing w:line="240" w:lineRule="auto"/>
              <w:jc w:val="left"/>
            </w:pPr>
            <w:r>
              <w:t>Hensynet til virksomheden og den næste generation vejer tungest i de</w:t>
            </w:r>
            <w:r>
              <w:t>n</w:t>
            </w:r>
            <w:r>
              <w:t>ne metode.</w:t>
            </w:r>
          </w:p>
          <w:p w:rsidR="00067653" w:rsidRDefault="00067653" w:rsidP="00067653">
            <w:pPr>
              <w:pStyle w:val="Listeafsnit"/>
              <w:numPr>
                <w:ilvl w:val="0"/>
                <w:numId w:val="9"/>
              </w:numPr>
              <w:spacing w:line="240" w:lineRule="auto"/>
            </w:pPr>
            <w:r>
              <w:t>Det er underordnet hvem der betaler gaveafgiften, hvis overdrageren bet</w:t>
            </w:r>
            <w:r>
              <w:t>a</w:t>
            </w:r>
            <w:r>
              <w:t>ler gaveafgiften sidestilles dette ikke med yderligere gave</w:t>
            </w:r>
          </w:p>
          <w:p w:rsidR="00067653" w:rsidRDefault="00067653" w:rsidP="00067653">
            <w:pPr>
              <w:pStyle w:val="Listeafsnit"/>
              <w:numPr>
                <w:ilvl w:val="0"/>
                <w:numId w:val="9"/>
              </w:numPr>
              <w:spacing w:line="240" w:lineRule="auto"/>
            </w:pPr>
            <w:r>
              <w:t>Mulighed for at overdrage virksomh</w:t>
            </w:r>
            <w:r>
              <w:t>e</w:t>
            </w:r>
            <w:r>
              <w:t>den successivt ved at udnytte bun</w:t>
            </w:r>
            <w:r>
              <w:t>d</w:t>
            </w:r>
            <w:r>
              <w:t>grænserne for gaver, hvorved der ikke kommer gaveafgift til betaling</w:t>
            </w:r>
          </w:p>
          <w:p w:rsidR="00067653" w:rsidRPr="0011688E" w:rsidRDefault="00067653" w:rsidP="00D457AA">
            <w:pPr>
              <w:spacing w:line="240" w:lineRule="auto"/>
              <w:ind w:left="360"/>
              <w:jc w:val="left"/>
            </w:pPr>
          </w:p>
        </w:tc>
        <w:tc>
          <w:tcPr>
            <w:tcW w:w="2500" w:type="pct"/>
          </w:tcPr>
          <w:p w:rsidR="00067653" w:rsidRDefault="00067653" w:rsidP="00067653">
            <w:pPr>
              <w:numPr>
                <w:ilvl w:val="0"/>
                <w:numId w:val="10"/>
              </w:numPr>
              <w:spacing w:line="240" w:lineRule="auto"/>
              <w:jc w:val="left"/>
            </w:pPr>
            <w:r>
              <w:t>Der sker beskatning af genvundne afskrivninger, da der ikke kan succed</w:t>
            </w:r>
            <w:r>
              <w:t>e</w:t>
            </w:r>
            <w:r>
              <w:t>res i ejendommen på grund af negativ ejendomsavance.</w:t>
            </w:r>
          </w:p>
          <w:p w:rsidR="00067653" w:rsidRDefault="00067653" w:rsidP="00067653">
            <w:pPr>
              <w:numPr>
                <w:ilvl w:val="0"/>
                <w:numId w:val="10"/>
              </w:numPr>
              <w:spacing w:line="240" w:lineRule="auto"/>
              <w:jc w:val="left"/>
            </w:pPr>
            <w:r>
              <w:t>Næste generation hænger på skatt</w:t>
            </w:r>
            <w:r>
              <w:t>e</w:t>
            </w:r>
            <w:r>
              <w:t>forpligtelsen for opsparet overskud og avancer på indretning af lejede lokaler og driftsmidler</w:t>
            </w:r>
          </w:p>
          <w:p w:rsidR="00067653" w:rsidRDefault="00067653" w:rsidP="00067653">
            <w:pPr>
              <w:numPr>
                <w:ilvl w:val="0"/>
                <w:numId w:val="10"/>
              </w:numPr>
              <w:spacing w:line="240" w:lineRule="auto"/>
              <w:jc w:val="left"/>
            </w:pPr>
            <w:r>
              <w:t>Der er mindre afskrivningsgrundlag på aktiverne da der succederes i overdr</w:t>
            </w:r>
            <w:r>
              <w:t>a</w:t>
            </w:r>
            <w:r>
              <w:t>gerens stilling.</w:t>
            </w:r>
          </w:p>
          <w:p w:rsidR="00067653" w:rsidRDefault="00067653" w:rsidP="00067653">
            <w:pPr>
              <w:numPr>
                <w:ilvl w:val="0"/>
                <w:numId w:val="10"/>
              </w:numPr>
              <w:spacing w:line="240" w:lineRule="auto"/>
              <w:jc w:val="left"/>
            </w:pPr>
            <w:r>
              <w:t>Der kan ikke afskrives skattemæssigt på den erhvervede goodwill.</w:t>
            </w:r>
          </w:p>
          <w:p w:rsidR="00067653" w:rsidRDefault="00067653" w:rsidP="00067653">
            <w:pPr>
              <w:numPr>
                <w:ilvl w:val="0"/>
                <w:numId w:val="10"/>
              </w:numPr>
              <w:spacing w:line="240" w:lineRule="auto"/>
              <w:jc w:val="left"/>
            </w:pPr>
            <w:r>
              <w:t>Der bliver ikke noget kontant provenu at indskyde på pensionsordninger</w:t>
            </w:r>
          </w:p>
          <w:p w:rsidR="00067653" w:rsidRPr="0011688E" w:rsidRDefault="00067653" w:rsidP="00067653">
            <w:pPr>
              <w:numPr>
                <w:ilvl w:val="0"/>
                <w:numId w:val="9"/>
              </w:numPr>
              <w:spacing w:line="240" w:lineRule="auto"/>
              <w:jc w:val="left"/>
            </w:pPr>
            <w:r>
              <w:t>Risiko for at den negative ejendom</w:t>
            </w:r>
            <w:r>
              <w:t>s</w:t>
            </w:r>
            <w:r>
              <w:t>avance ikke bliver udnyttet</w:t>
            </w:r>
          </w:p>
        </w:tc>
      </w:tr>
    </w:tbl>
    <w:p w:rsidR="00067653" w:rsidRDefault="002F0FFE" w:rsidP="002F0FFE">
      <w:pPr>
        <w:pStyle w:val="Billedtekst"/>
      </w:pPr>
      <w:bookmarkStart w:id="99" w:name="_Toc218751406"/>
      <w:r>
        <w:t xml:space="preserve">Figur </w:t>
      </w:r>
      <w:fldSimple w:instr=" SEQ Figur \* ARABIC ">
        <w:r w:rsidR="000F066D">
          <w:rPr>
            <w:noProof/>
          </w:rPr>
          <w:t>24</w:t>
        </w:r>
      </w:fldSimple>
      <w:r w:rsidR="00067653">
        <w:t xml:space="preserve"> Fordele og ulemper ved overdragelse med succession</w:t>
      </w:r>
      <w:bookmarkEnd w:id="99"/>
    </w:p>
    <w:p w:rsidR="00067653" w:rsidRDefault="00067653" w:rsidP="00AF4FDF">
      <w:pPr>
        <w:rPr>
          <w:highlight w:val="yellow"/>
        </w:rPr>
      </w:pPr>
    </w:p>
    <w:p w:rsidR="007A35E5" w:rsidRPr="00312092" w:rsidRDefault="00312092" w:rsidP="00312092">
      <w:pPr>
        <w:pStyle w:val="Overskrift2"/>
      </w:pPr>
      <w:bookmarkStart w:id="100" w:name="_Toc214610766"/>
      <w:bookmarkStart w:id="101" w:name="_Toc221546211"/>
      <w:r w:rsidRPr="00312092">
        <w:t xml:space="preserve">3.3 </w:t>
      </w:r>
      <w:r w:rsidR="00067653">
        <w:t xml:space="preserve">Delkonklusion </w:t>
      </w:r>
      <w:r w:rsidR="001E379B">
        <w:t xml:space="preserve">på </w:t>
      </w:r>
      <w:r w:rsidR="007A35E5" w:rsidRPr="00312092">
        <w:t xml:space="preserve">beskattet </w:t>
      </w:r>
      <w:r w:rsidR="001E379B">
        <w:t>/</w:t>
      </w:r>
      <w:r w:rsidR="007A35E5" w:rsidRPr="00312092">
        <w:t xml:space="preserve"> overdragelse med succession</w:t>
      </w:r>
      <w:bookmarkEnd w:id="100"/>
      <w:r w:rsidR="00627158">
        <w:t xml:space="preserve"> </w:t>
      </w:r>
      <w:r w:rsidR="00627158">
        <w:rPr>
          <w:b w:val="0"/>
          <w:sz w:val="22"/>
          <w:szCs w:val="22"/>
        </w:rPr>
        <w:t>(Jane</w:t>
      </w:r>
      <w:r w:rsidR="00627158" w:rsidRPr="00E75844">
        <w:rPr>
          <w:b w:val="0"/>
          <w:sz w:val="22"/>
          <w:szCs w:val="22"/>
        </w:rPr>
        <w:t>)</w:t>
      </w:r>
      <w:bookmarkEnd w:id="101"/>
    </w:p>
    <w:p w:rsidR="00067653" w:rsidRDefault="00067653" w:rsidP="00067653">
      <w:r>
        <w:t>Hensynet til virksomheden og næste generation må være det væsentligste kriterium, når der er tale om en levedygtig virksomhed og den næste generation er egnede til at drive virksomheden videre. Det vil afhænge af den konkrete situation om der vælges den ene eller den anden metode, da kan være mange forskellige behov at tilgodese og mange forskellige hensyn at tage. Parternes økonomiske forhold er ofte en af de v</w:t>
      </w:r>
      <w:r>
        <w:t>æ</w:t>
      </w:r>
      <w:r>
        <w:t>sentligste faktorer, der er i spil.</w:t>
      </w:r>
    </w:p>
    <w:p w:rsidR="00067653" w:rsidRDefault="00067653" w:rsidP="00067653"/>
    <w:p w:rsidR="00067653" w:rsidRDefault="00067653" w:rsidP="00067653">
      <w:r>
        <w:t>Virksomhedsejeren bør løbende sørge for at foretage indskud på pensionsopsparing f.eks. via opfyldingsfradraget på 30 % af virksomhedens resultat, derved sikres maks</w:t>
      </w:r>
      <w:r>
        <w:t>i</w:t>
      </w:r>
      <w:r>
        <w:t xml:space="preserve">mal pensionsopsparing og samtidig konsolidering i virksomheden. Det vil være farligt at satse alene på at selve virksomheden er pensionsopsparingen, da der kan risikeres </w:t>
      </w:r>
      <w:r>
        <w:lastRenderedPageBreak/>
        <w:t>at der ikke kan findes købere til virksomheden, når ønsket om pensionering opstår og sker der generationsskifte ved succession, vil der ikke være nogen likviditet at indskyde på pensionsopsparingen. Hvis overdrageren løbende har udnyttet mulighederne for indskud på pensionsordninger gennem i hele den tid, hvor denne har drevet selvstæ</w:t>
      </w:r>
      <w:r>
        <w:t>n</w:t>
      </w:r>
      <w:r>
        <w:t xml:space="preserve">dig virksomhed, vil behovet for ophørspensionen ikke være så nødvendigt. </w:t>
      </w:r>
    </w:p>
    <w:p w:rsidR="00067653" w:rsidRDefault="00067653" w:rsidP="00067653"/>
    <w:p w:rsidR="00067653" w:rsidRDefault="00067653" w:rsidP="00067653">
      <w:r>
        <w:t xml:space="preserve">Planlægning er vigtig – det vil være en god ide at være i god til med at finde person der vil overtage virksomhedsdriften, og samtidig skal virksomhedsejeren være villig til at slippe tøjlerne, så næste generation får muligheden for selv at drive virksomheden videre. </w:t>
      </w:r>
    </w:p>
    <w:p w:rsidR="00067653" w:rsidRDefault="00067653" w:rsidP="00067653">
      <w:r>
        <w:t>Det kan være hensigtsmæssigt at der er foretaget opsparing på etableringskonto i år</w:t>
      </w:r>
      <w:r>
        <w:t>e</w:t>
      </w:r>
      <w:r>
        <w:t>ne forud for overtagelse, da dette derved mindsker behovet for egenfinansiering eller behovet for eventuel gave.</w:t>
      </w:r>
    </w:p>
    <w:p w:rsidR="00067653" w:rsidRDefault="00067653" w:rsidP="00067653">
      <w:r>
        <w:t>Hvilke krav der skal opfyldes betinger, hvilken løsning, der vælges af beskattet ove</w:t>
      </w:r>
      <w:r>
        <w:t>r</w:t>
      </w:r>
      <w:r>
        <w:t>dragelse eller en overdragelse med succession. Overdragerens og erhververens øk</w:t>
      </w:r>
      <w:r>
        <w:t>o</w:t>
      </w:r>
      <w:r>
        <w:t xml:space="preserve">nomiske situation vil i denne henseende også spille en stor rolle. </w:t>
      </w:r>
    </w:p>
    <w:p w:rsidR="00067653" w:rsidRDefault="00067653" w:rsidP="00067653">
      <w:r>
        <w:t>Det er endvidere vigtigt at være opmærksom på de nye regler for at kunne omgøre en foretaget succession, da det derved er muligt at ændre, hvis det viser sig at være uhensigtsmæssigt med den nye ejerkombination.</w:t>
      </w:r>
    </w:p>
    <w:p w:rsidR="007A35E5" w:rsidRDefault="00067653" w:rsidP="002F0FFE">
      <w:r>
        <w:t>Den tilbageværende interessent påvirkes ikke skattemæssigt a</w:t>
      </w:r>
      <w:r w:rsidR="00D6637B">
        <w:t>f</w:t>
      </w:r>
      <w:r>
        <w:t xml:space="preserve"> det foretagne gener</w:t>
      </w:r>
      <w:r>
        <w:t>a</w:t>
      </w:r>
      <w:r>
        <w:t xml:space="preserve">tionsskifte, når det er A’s ideelle andel der overdrages til næste generation, da der ikke sker forskydning i ejerforholdene. </w:t>
      </w:r>
      <w:r w:rsidR="00D6637B">
        <w:t>Derimod vil</w:t>
      </w:r>
      <w:r>
        <w:t xml:space="preserve"> optagelse af yderligere en i</w:t>
      </w:r>
      <w:r w:rsidR="00D6637B">
        <w:t>nteressent</w:t>
      </w:r>
      <w:r>
        <w:t xml:space="preserve"> betyde</w:t>
      </w:r>
      <w:r w:rsidR="00D6637B">
        <w:t>,</w:t>
      </w:r>
      <w:r>
        <w:t xml:space="preserve"> at der sker delafståelse af virksomheden med deraf følgende avanceopgøre</w:t>
      </w:r>
      <w:r>
        <w:t>l</w:t>
      </w:r>
      <w:r>
        <w:t>ser.</w:t>
      </w:r>
    </w:p>
    <w:p w:rsidR="007A35E5" w:rsidRDefault="006C471F" w:rsidP="006C471F">
      <w:pPr>
        <w:pStyle w:val="Overskrift1"/>
      </w:pPr>
      <w:r>
        <w:br w:type="page"/>
      </w:r>
      <w:bookmarkStart w:id="102" w:name="_Toc221546212"/>
      <w:r w:rsidR="00D93548">
        <w:lastRenderedPageBreak/>
        <w:t xml:space="preserve">4. </w:t>
      </w:r>
      <w:r w:rsidR="007A35E5" w:rsidRPr="00D93548">
        <w:t>Generationsskifte</w:t>
      </w:r>
      <w:r w:rsidR="007A35E5">
        <w:t xml:space="preserve"> i selskabsform</w:t>
      </w:r>
      <w:r w:rsidR="00627158">
        <w:t xml:space="preserve"> </w:t>
      </w:r>
      <w:r w:rsidR="00627158" w:rsidRPr="006C471F">
        <w:rPr>
          <w:b w:val="0"/>
          <w:sz w:val="22"/>
          <w:szCs w:val="22"/>
        </w:rPr>
        <w:t>(Pernille)</w:t>
      </w:r>
      <w:bookmarkEnd w:id="102"/>
    </w:p>
    <w:p w:rsidR="007A35E5" w:rsidRDefault="007A35E5" w:rsidP="00D93548">
      <w:r>
        <w:t>Der er en lang række muligheder for at generationsskifte, hvis virksomheden drives i selskabsregi i stedet for i personligt regi. Det er bl.a. nemmere at lave en successiv overdragelse, da man kan overdrage en mindre del af aktiekapitalen løbende uden at skulle foretage større avanceberegninger eller lignende. Ved successiv overdragelse</w:t>
      </w:r>
      <w:r w:rsidR="001F3E63">
        <w:t xml:space="preserve"> over flere år</w:t>
      </w:r>
      <w:r>
        <w:t xml:space="preserve"> udnytter man også bundgrænsen for gaver bedre især hvis generation</w:t>
      </w:r>
      <w:r>
        <w:t>s</w:t>
      </w:r>
      <w:r>
        <w:t>skiftet påbegyndes i god tid. Desuden undgår man</w:t>
      </w:r>
      <w:r w:rsidR="001F3E63">
        <w:t>,</w:t>
      </w:r>
      <w:r>
        <w:t xml:space="preserve"> hvis virksomheden overdrages til flere personer, at de skal drive den i interessentskabsform</w:t>
      </w:r>
      <w:r w:rsidR="001F3E63">
        <w:t xml:space="preserve"> og dermed have ubegræ</w:t>
      </w:r>
      <w:r w:rsidR="001F3E63">
        <w:t>n</w:t>
      </w:r>
      <w:r w:rsidR="001F3E63">
        <w:t>set hæftelse</w:t>
      </w:r>
      <w:r>
        <w:t xml:space="preserve">, og man har </w:t>
      </w:r>
      <w:r w:rsidR="001F3E63">
        <w:t xml:space="preserve">også </w:t>
      </w:r>
      <w:r>
        <w:t>bedre muligheder for at rejse risikovillig kapital i form af egenkapital. Hvis man har en virksomhed, der har en udlejningsejendom, er man nødt til at omdan</w:t>
      </w:r>
      <w:r w:rsidR="001F3E63">
        <w:t>ne til selskab, inden man på</w:t>
      </w:r>
      <w:r>
        <w:t xml:space="preserve">begynder generationsskifte, da man efter KSL 33 C ikke kan succedere i sådanne aktiver. Det kan derfor være hensigtsmæssigt at omdanne interessentskabet til et selskab inden generationsskiftet påbegyndes. </w:t>
      </w:r>
    </w:p>
    <w:p w:rsidR="00D93548" w:rsidRDefault="00D93548" w:rsidP="00187D19"/>
    <w:p w:rsidR="00D93548" w:rsidRDefault="00D93548" w:rsidP="00D93548">
      <w:pPr>
        <w:pStyle w:val="Overskrift2"/>
      </w:pPr>
      <w:bookmarkStart w:id="103" w:name="_Toc221546213"/>
      <w:r>
        <w:t>4.1 Virksomhedsomdannelse</w:t>
      </w:r>
      <w:r w:rsidR="00627158">
        <w:t xml:space="preserve"> </w:t>
      </w:r>
      <w:r w:rsidR="00627158">
        <w:rPr>
          <w:b w:val="0"/>
          <w:sz w:val="22"/>
          <w:szCs w:val="22"/>
        </w:rPr>
        <w:t>(Pernille</w:t>
      </w:r>
      <w:r w:rsidR="00627158" w:rsidRPr="00E75844">
        <w:rPr>
          <w:b w:val="0"/>
          <w:sz w:val="22"/>
          <w:szCs w:val="22"/>
        </w:rPr>
        <w:t>)</w:t>
      </w:r>
      <w:bookmarkEnd w:id="103"/>
    </w:p>
    <w:p w:rsidR="007A35E5" w:rsidRDefault="007A35E5" w:rsidP="00187D19">
      <w:r>
        <w:t>Virksomheden kan enten omdannes ved en beskattet omdannelse eller ved en skatt</w:t>
      </w:r>
      <w:r>
        <w:t>e</w:t>
      </w:r>
      <w:r>
        <w:t xml:space="preserve">fri omdannelse. </w:t>
      </w:r>
    </w:p>
    <w:p w:rsidR="007A35E5" w:rsidRDefault="007A35E5" w:rsidP="00187D19"/>
    <w:p w:rsidR="007A35E5" w:rsidRDefault="00D93548" w:rsidP="00D93548">
      <w:pPr>
        <w:pStyle w:val="Overskrift3"/>
      </w:pPr>
      <w:bookmarkStart w:id="104" w:name="_Toc221546214"/>
      <w:r>
        <w:t xml:space="preserve">4.1.1 </w:t>
      </w:r>
      <w:r w:rsidR="007A35E5">
        <w:t>Skattepligtig virksomhedsomdannelse</w:t>
      </w:r>
      <w:r w:rsidR="00627158">
        <w:t xml:space="preserve"> </w:t>
      </w:r>
      <w:r w:rsidR="00627158">
        <w:rPr>
          <w:b w:val="0"/>
          <w:sz w:val="22"/>
          <w:szCs w:val="22"/>
        </w:rPr>
        <w:t>(Pernille</w:t>
      </w:r>
      <w:r w:rsidR="00627158" w:rsidRPr="00E75844">
        <w:rPr>
          <w:b w:val="0"/>
          <w:sz w:val="22"/>
          <w:szCs w:val="22"/>
        </w:rPr>
        <w:t>)</w:t>
      </w:r>
      <w:bookmarkEnd w:id="104"/>
    </w:p>
    <w:p w:rsidR="007A35E5" w:rsidRPr="00CB5266" w:rsidRDefault="007A35E5" w:rsidP="00AF4FDF">
      <w:r>
        <w:t xml:space="preserve">Ved en skattepligtig omdannelse </w:t>
      </w:r>
      <w:r w:rsidRPr="00CB5266">
        <w:t xml:space="preserve">kan </w:t>
      </w:r>
      <w:r>
        <w:t xml:space="preserve">interessenterne </w:t>
      </w:r>
      <w:r w:rsidRPr="00CB5266">
        <w:t xml:space="preserve">indskyde deres virksomhed til et nystiftet eller eksisterende aktie- eller anpartsselskab, hvor sidstnævnte sker ved en kapitalforhøjelse. Ved stiftelse af et selskab med begrænset hæftelse </w:t>
      </w:r>
      <w:r>
        <w:t>eller ved en kap</w:t>
      </w:r>
      <w:r>
        <w:t>i</w:t>
      </w:r>
      <w:r>
        <w:t xml:space="preserve">talforhøjelse, </w:t>
      </w:r>
      <w:r w:rsidRPr="00CB5266">
        <w:t>skal der indskydes selskabskapital. Denne selskabskapital kan tilvejebri</w:t>
      </w:r>
      <w:r w:rsidRPr="00CB5266">
        <w:t>n</w:t>
      </w:r>
      <w:r w:rsidRPr="00CB5266">
        <w:t>ges ved at</w:t>
      </w:r>
      <w:r>
        <w:t xml:space="preserve"> indskyde likvider, eller ved at</w:t>
      </w:r>
      <w:r w:rsidRPr="00CB5266">
        <w:t xml:space="preserve"> indskyde interessentskabets virksomhed som et apportindsku</w:t>
      </w:r>
      <w:r w:rsidR="001F3E63">
        <w:t>d. Apportindskud anvendes ofte</w:t>
      </w:r>
      <w:r w:rsidRPr="00CB5266">
        <w:t>, hvor det er de tidligere interessenter, der også ejer det nystiftede selskab og ved at benytte apportindskud undgå</w:t>
      </w:r>
      <w:r>
        <w:t>r</w:t>
      </w:r>
      <w:r w:rsidRPr="00CB5266">
        <w:t>, at skulle finansiere selskabskapitalen på anden måde.</w:t>
      </w:r>
      <w:r>
        <w:t xml:space="preserve"> </w:t>
      </w:r>
      <w:r w:rsidRPr="00CB5266">
        <w:t xml:space="preserve">Interessentskabet kan fortsætte efter </w:t>
      </w:r>
      <w:r w:rsidRPr="00CB5266">
        <w:lastRenderedPageBreak/>
        <w:t>overdragelsen, hvis der kun er sket en delvis overdragelse, eller hvis interessentsk</w:t>
      </w:r>
      <w:r w:rsidRPr="00CB5266">
        <w:t>a</w:t>
      </w:r>
      <w:r w:rsidRPr="00CB5266">
        <w:t xml:space="preserve">bets eneste aktivitet efterfølgende bliver at eje aktier/anparter i det nystiftede selskab. </w:t>
      </w:r>
      <w:r>
        <w:t>Sidste nævnte sker dog sjældent i praksis, da størstedelen af selvstændige bruger vir</w:t>
      </w:r>
      <w:r>
        <w:t>k</w:t>
      </w:r>
      <w:r>
        <w:t xml:space="preserve">somhedsordningen, hvor aktier/anparter som hovedregel ikke kan indgå. </w:t>
      </w:r>
      <w:r w:rsidRPr="00CB5266">
        <w:t>Interessen</w:t>
      </w:r>
      <w:r w:rsidRPr="00CB5266">
        <w:t>t</w:t>
      </w:r>
      <w:r w:rsidRPr="00CB5266">
        <w:t>skabet kan også opløses ved overdragelsen. Den delvise overdragelse kan blive nø</w:t>
      </w:r>
      <w:r w:rsidRPr="00CB5266">
        <w:t>d</w:t>
      </w:r>
      <w:r w:rsidRPr="00CB5266">
        <w:t>vendigt, da interessenterne frit kan indskyde deres aktiver, men skal have kreditora</w:t>
      </w:r>
      <w:r w:rsidRPr="00CB5266">
        <w:t>c</w:t>
      </w:r>
      <w:r w:rsidRPr="00CB5266">
        <w:t>cept på debitorskifte, hvis der indskydes passiver.</w:t>
      </w:r>
      <w:r w:rsidRPr="00CB5266">
        <w:rPr>
          <w:rStyle w:val="Fodnotehenvisning"/>
        </w:rPr>
        <w:t xml:space="preserve"> </w:t>
      </w:r>
      <w:r w:rsidRPr="00CB5266">
        <w:rPr>
          <w:rStyle w:val="Fodnotehenvisning"/>
        </w:rPr>
        <w:footnoteReference w:id="71"/>
      </w:r>
      <w:r>
        <w:rPr>
          <w:rStyle w:val="Fodnotehenvisning"/>
        </w:rPr>
        <w:t xml:space="preserve"> </w:t>
      </w:r>
      <w:r>
        <w:t>Indskud ved stiftelse af et selskab er skattefri for selskabet, uanset om stiftelsen sker til overkurs eller ej, og umiddelbart for stifteren har det heller ingen skattemæssig betydning, da indskuddet ikke er fr</w:t>
      </w:r>
      <w:r>
        <w:t>a</w:t>
      </w:r>
      <w:r>
        <w:t>dragsberettiget. Det får dog skattemæssig betydning for ejeren af de indskudte aktiver ved apportindskud, da det anses for afståelse.</w:t>
      </w:r>
      <w:r>
        <w:rPr>
          <w:rStyle w:val="Fodnotehenvisning"/>
        </w:rPr>
        <w:footnoteReference w:id="72"/>
      </w:r>
    </w:p>
    <w:p w:rsidR="007A35E5" w:rsidRDefault="007A35E5" w:rsidP="00AF4FDF">
      <w:r w:rsidRPr="00CB5266">
        <w:t>Vederlaget for den indskudte virksomhed kan berigtiges på flere måder, men for at undgå at belaste det nystiftede selskabs kapital, vil vederlaget ofte være akt</w:t>
      </w:r>
      <w:r w:rsidRPr="00CB5266">
        <w:t>i</w:t>
      </w:r>
      <w:r w:rsidRPr="00CB5266">
        <w:t>er/anparter heri</w:t>
      </w:r>
      <w:r>
        <w:t>.</w:t>
      </w:r>
      <w:r w:rsidRPr="00CB5266">
        <w:rPr>
          <w:rStyle w:val="Fodnotehenvisning"/>
        </w:rPr>
        <w:footnoteReference w:id="73"/>
      </w:r>
      <w:r w:rsidRPr="00CB5266">
        <w:t xml:space="preserve"> </w:t>
      </w:r>
    </w:p>
    <w:p w:rsidR="007A35E5" w:rsidRPr="003A686C" w:rsidRDefault="007A35E5" w:rsidP="00AF4FDF">
      <w:r w:rsidRPr="003A686C">
        <w:t>Ved apportindskud skal der udarbejdes en vurderingsberetning</w:t>
      </w:r>
      <w:r>
        <w:t>, der</w:t>
      </w:r>
      <w:r w:rsidRPr="003A686C">
        <w:t xml:space="preserve"> skal indeholde:</w:t>
      </w:r>
    </w:p>
    <w:p w:rsidR="007A35E5" w:rsidRPr="003A686C" w:rsidRDefault="007A35E5" w:rsidP="00AF4FDF">
      <w:pPr>
        <w:pStyle w:val="Listeafsnit"/>
        <w:numPr>
          <w:ilvl w:val="0"/>
          <w:numId w:val="1"/>
        </w:numPr>
      </w:pPr>
      <w:r w:rsidRPr="003A686C">
        <w:t>en beskrivelse af hvert indskud,</w:t>
      </w:r>
    </w:p>
    <w:p w:rsidR="007A35E5" w:rsidRPr="003A686C" w:rsidRDefault="007A35E5" w:rsidP="00AF4FDF">
      <w:pPr>
        <w:pStyle w:val="Listeafsnit"/>
        <w:numPr>
          <w:ilvl w:val="0"/>
          <w:numId w:val="1"/>
        </w:numPr>
      </w:pPr>
      <w:r w:rsidRPr="003A686C">
        <w:t xml:space="preserve">oplysning om den anvendte fremgangsmåde ved vurderingen, </w:t>
      </w:r>
    </w:p>
    <w:p w:rsidR="007A35E5" w:rsidRPr="003A686C" w:rsidRDefault="007A35E5" w:rsidP="00AF4FDF">
      <w:pPr>
        <w:pStyle w:val="Listeafsnit"/>
        <w:numPr>
          <w:ilvl w:val="0"/>
          <w:numId w:val="1"/>
        </w:numPr>
      </w:pPr>
      <w:r w:rsidRPr="003A686C">
        <w:t xml:space="preserve">angivelse af det for overtagelsen fastsatte vederlag, </w:t>
      </w:r>
    </w:p>
    <w:p w:rsidR="007A35E5" w:rsidRPr="003A686C" w:rsidRDefault="007A35E5" w:rsidP="00AF4FDF">
      <w:pPr>
        <w:pStyle w:val="Listeafsnit"/>
        <w:numPr>
          <w:ilvl w:val="0"/>
          <w:numId w:val="1"/>
        </w:numPr>
      </w:pPr>
      <w:r w:rsidRPr="003A686C">
        <w:t>samt en erklæring om, at den ansatte værdi mindst svarer til det aftalte vede</w:t>
      </w:r>
      <w:r w:rsidRPr="003A686C">
        <w:t>r</w:t>
      </w:r>
      <w:r w:rsidRPr="003A686C">
        <w:t>lag, herunder den pålydende værdi af de aktier, der skal udstedes, med tillæg af eventuel overkurs.</w:t>
      </w:r>
    </w:p>
    <w:p w:rsidR="007A35E5" w:rsidRDefault="007A35E5" w:rsidP="00AF4FDF">
      <w:r w:rsidRPr="003A686C">
        <w:t>Vurderingsmændene skal være uvildige og sagkyndige, og er i praksis ofte revisorer. Hvis virksomheden overdrages til et selskab under stiftelse, skal der endvidere foreli</w:t>
      </w:r>
      <w:r w:rsidRPr="003A686C">
        <w:t>g</w:t>
      </w:r>
      <w:r w:rsidRPr="003A686C">
        <w:t>ge en åbningsbalance for selskabet, der er udarbejdet i overensstemmelse med År</w:t>
      </w:r>
      <w:r w:rsidRPr="003A686C">
        <w:t>s</w:t>
      </w:r>
      <w:r w:rsidRPr="003A686C">
        <w:t xml:space="preserve">regnskabsloven og have en påtegning uden forbehold. </w:t>
      </w:r>
    </w:p>
    <w:p w:rsidR="007A35E5" w:rsidRPr="003A686C" w:rsidRDefault="007A35E5" w:rsidP="00AF4FDF"/>
    <w:p w:rsidR="007A35E5" w:rsidRDefault="007A35E5" w:rsidP="00AF4FDF">
      <w:r w:rsidRPr="003A686C">
        <w:lastRenderedPageBreak/>
        <w:t>Når overtagelsen sker ved en kapitalforhøjelse skal der udarbejdes en overtagelsesb</w:t>
      </w:r>
      <w:r w:rsidRPr="003A686C">
        <w:t>a</w:t>
      </w:r>
      <w:r w:rsidRPr="003A686C">
        <w:t>lance for den overtagne virksomhed, som skal indgå i vurderingsberetningen.</w:t>
      </w:r>
      <w:r w:rsidRPr="003A686C">
        <w:rPr>
          <w:rStyle w:val="Fodnotehenvisning"/>
        </w:rPr>
        <w:t xml:space="preserve"> </w:t>
      </w:r>
      <w:r w:rsidRPr="003A686C">
        <w:t>Overt</w:t>
      </w:r>
      <w:r w:rsidRPr="003A686C">
        <w:t>a</w:t>
      </w:r>
      <w:r w:rsidRPr="003A686C">
        <w:t>gelsesbalancen udarbejdes efter samme princip som åbningsbalancen. Hvis overdr</w:t>
      </w:r>
      <w:r w:rsidRPr="003A686C">
        <w:t>a</w:t>
      </w:r>
      <w:r w:rsidRPr="003A686C">
        <w:t>gelsen ikke sker til et nystiftet selskab, og vederlaget udbetales kontant samt udgør mere end 10 % af den aktuelle selskabskapital, skal beslutningen om overdragelse godkendes på en generalforsamling, samt udarbejdes en vurderingsberetning</w:t>
      </w:r>
      <w:r w:rsidRPr="003A686C">
        <w:rPr>
          <w:rStyle w:val="Fodnotehenvisning"/>
        </w:rPr>
        <w:footnoteReference w:id="74"/>
      </w:r>
      <w:r>
        <w:t>.</w:t>
      </w:r>
      <w:r w:rsidRPr="003A686C">
        <w:t xml:space="preserve"> </w:t>
      </w:r>
    </w:p>
    <w:p w:rsidR="007A35E5" w:rsidRDefault="007A35E5" w:rsidP="00AF4FDF"/>
    <w:p w:rsidR="007A35E5" w:rsidRDefault="007A35E5" w:rsidP="00AF4FDF">
      <w:r>
        <w:t>Den aftalte værdiansættelse i vurderingsberetningen lægges til grund ved den efterfø</w:t>
      </w:r>
      <w:r>
        <w:t>l</w:t>
      </w:r>
      <w:r>
        <w:t>gende skattemæssige avanceberegning og fastlæggelse af afskrivningsgrundlag. De skattemæssige konsekvenser ved apportindskud bliver, som tidligere nævnt, opfattet som et salg af virksomheden for interessenterne. Interessenterne skal derfor, som b</w:t>
      </w:r>
      <w:r>
        <w:t>e</w:t>
      </w:r>
      <w:r>
        <w:t>skrevet i afsnittet om beskattet overdragelse, opgøre deres skattemæssige avance e</w:t>
      </w:r>
      <w:r>
        <w:t>l</w:t>
      </w:r>
      <w:r>
        <w:t>ler tab på virksomheden samlet, hvor afståelses- og anskaffelsessum kontantomre</w:t>
      </w:r>
      <w:r>
        <w:t>g</w:t>
      </w:r>
      <w:r>
        <w:t>nes. Kontantomregning sker i forbindelse med udstedelse eller overdragelse af fo</w:t>
      </w:r>
      <w:r>
        <w:t>r</w:t>
      </w:r>
      <w:r>
        <w:t>dringer og gældsbreve, der ikke kursfastsættes til kurs 100</w:t>
      </w:r>
      <w:r w:rsidRPr="00577934">
        <w:rPr>
          <w:rStyle w:val="Fodnotehenvisning"/>
        </w:rPr>
        <w:t xml:space="preserve"> </w:t>
      </w:r>
      <w:r>
        <w:rPr>
          <w:rStyle w:val="Fodnotehenvisning"/>
        </w:rPr>
        <w:footnoteReference w:id="75"/>
      </w:r>
      <w:r>
        <w:t>. Når der sker kursnedslag indebærer det, at omdanneren vil opnå en kursgevinst. Denne kursgevinst er dog ska</w:t>
      </w:r>
      <w:r>
        <w:t>t</w:t>
      </w:r>
      <w:r>
        <w:t>tefri uden for næring, hvis fordringen opfylder mindsterenten på udstedelsestidspun</w:t>
      </w:r>
      <w:r>
        <w:t>k</w:t>
      </w:r>
      <w:r>
        <w:t>tet jf. KGL</w:t>
      </w:r>
      <w:r>
        <w:rPr>
          <w:rStyle w:val="Fodnotehenvisning"/>
        </w:rPr>
        <w:footnoteReference w:id="76"/>
      </w:r>
      <w:r>
        <w:t xml:space="preserve"> Interessenterne har mulighed for at få et 10 % nedslag på den skattemæ</w:t>
      </w:r>
      <w:r>
        <w:t>s</w:t>
      </w:r>
      <w:r>
        <w:t>sige avance på driftsmidler og genvundne afskrivninger, ved beskatningen i deres pe</w:t>
      </w:r>
      <w:r>
        <w:t>r</w:t>
      </w:r>
      <w:r>
        <w:t>sonlige indkomst jf. AL § 9, stk. 4. Hvis interessenterne er i virksomhedsordningen kommer også deres evt. opsparede overskud til beskatning.</w:t>
      </w:r>
      <w:r w:rsidRPr="00DB6A86">
        <w:rPr>
          <w:rStyle w:val="Fodnotehenvisning"/>
        </w:rPr>
        <w:t xml:space="preserve"> </w:t>
      </w:r>
      <w:r>
        <w:t>For selskabet betyder den skattepligtige omdannelse at, selskabets afskrivningsberettigede saldo bliver anskaffe</w:t>
      </w:r>
      <w:r>
        <w:t>l</w:t>
      </w:r>
      <w:r>
        <w:t>sessummen for aktiverne opgjort i vurderingsberetningen</w:t>
      </w:r>
      <w:r w:rsidRPr="00506578">
        <w:t xml:space="preserve"> </w:t>
      </w:r>
      <w:r>
        <w:rPr>
          <w:rStyle w:val="Fodnotehenvisning"/>
        </w:rPr>
        <w:footnoteReference w:id="77"/>
      </w:r>
      <w:r>
        <w:t>.</w:t>
      </w:r>
    </w:p>
    <w:p w:rsidR="007A35E5" w:rsidRDefault="007A35E5" w:rsidP="00AF4FDF"/>
    <w:p w:rsidR="007A35E5" w:rsidRDefault="007A35E5" w:rsidP="00AF4FDF">
      <w:r>
        <w:lastRenderedPageBreak/>
        <w:t>I LL § 2 er der en generel regel om, at handel mellem interesseforbundne parter skal handle på armslængde vilkår, hvor interesseforbundne parter f.eks. er selskaber og personerne, der kontrollere selskaberne.</w:t>
      </w:r>
      <w:r w:rsidR="001F3E63">
        <w:t xml:space="preserve"> I praksis kan det være mellem familieme</w:t>
      </w:r>
      <w:r w:rsidR="001F3E63">
        <w:t>d</w:t>
      </w:r>
      <w:r w:rsidR="001F3E63">
        <w:t>lemmer.</w:t>
      </w:r>
      <w:r w:rsidR="001F3E63" w:rsidRPr="00577934">
        <w:rPr>
          <w:rStyle w:val="Fodnotehenvisning"/>
        </w:rPr>
        <w:t xml:space="preserve"> </w:t>
      </w:r>
      <w:r>
        <w:t xml:space="preserve"> Skattemyndighederne har dermed mulighed for at korrigere værdiansætte</w:t>
      </w:r>
      <w:r>
        <w:t>l</w:t>
      </w:r>
      <w:r>
        <w:t>sen, hvis de tydeligvis ikke er handelsværdi.</w:t>
      </w:r>
      <w:r>
        <w:rPr>
          <w:rStyle w:val="Fodnotehenvisning"/>
        </w:rPr>
        <w:footnoteReference w:id="78"/>
      </w:r>
      <w:r>
        <w:t xml:space="preserve"> Hvis skattemyndighederne mener at a</w:t>
      </w:r>
      <w:r>
        <w:t>k</w:t>
      </w:r>
      <w:r>
        <w:t>tiverne er sat for til en for lav pris, kan de forhøje værdiansættelsen, dermed forhøjes overdragerens afståelsessummer. Tilsvarende forhøjes overdragerens anskaffelsessum for de udstedte aktier, og selskabets anskaffelsessummer forhøjes. Hovedaktionæren kan dog i stedet få godskrevet merværdien som et tilgodehavende selskabets regnskab uden skattemæssige konsekvenser. Hvis Skat mener værdiansættelsen er for høj, reg</w:t>
      </w:r>
      <w:r>
        <w:t>u</w:t>
      </w:r>
      <w:r>
        <w:t xml:space="preserve">leres anskaffelsessummen for aktierne ned. </w:t>
      </w:r>
      <w:r>
        <w:rPr>
          <w:rStyle w:val="Fodnotehenvisning"/>
        </w:rPr>
        <w:footnoteReference w:id="79"/>
      </w:r>
      <w:r>
        <w:t xml:space="preserve"> </w:t>
      </w:r>
    </w:p>
    <w:p w:rsidR="007A35E5" w:rsidRPr="004F080C" w:rsidRDefault="007A35E5" w:rsidP="00AF4FDF"/>
    <w:p w:rsidR="007A35E5" w:rsidRDefault="00D93548" w:rsidP="00D93548">
      <w:pPr>
        <w:pStyle w:val="Overskrift3"/>
      </w:pPr>
      <w:bookmarkStart w:id="105" w:name="_Ref219215334"/>
      <w:bookmarkStart w:id="106" w:name="_Toc221546215"/>
      <w:r>
        <w:t xml:space="preserve">4.1.2 </w:t>
      </w:r>
      <w:r w:rsidR="007A35E5">
        <w:t>Skattefri virksomhedsomdannelse</w:t>
      </w:r>
      <w:bookmarkEnd w:id="105"/>
      <w:r w:rsidR="00627158">
        <w:t xml:space="preserve"> </w:t>
      </w:r>
      <w:r w:rsidR="00627158">
        <w:rPr>
          <w:b w:val="0"/>
          <w:sz w:val="22"/>
          <w:szCs w:val="22"/>
        </w:rPr>
        <w:t>(Pernille</w:t>
      </w:r>
      <w:r w:rsidR="00627158" w:rsidRPr="00E75844">
        <w:rPr>
          <w:b w:val="0"/>
          <w:sz w:val="22"/>
          <w:szCs w:val="22"/>
        </w:rPr>
        <w:t>)</w:t>
      </w:r>
      <w:bookmarkEnd w:id="106"/>
    </w:p>
    <w:p w:rsidR="007A35E5" w:rsidRDefault="007A35E5" w:rsidP="00AF4FDF">
      <w:r>
        <w:t>Skattefri virksomhedsomdannelse efter virksomhedsskatteloven er ikke som navnet antyder skattefri, men i stedet en udskydelse af beskatningen. Der sker derfor ingen beskatning af ejeren ved omdannelsen, hverken realisationsbeskatning og/eller b</w:t>
      </w:r>
      <w:r>
        <w:t>e</w:t>
      </w:r>
      <w:r>
        <w:t>skatning af opsparet overskud. Selskabet succederer i stedet for i ejerens skattemæss</w:t>
      </w:r>
      <w:r>
        <w:t>i</w:t>
      </w:r>
      <w:r>
        <w:t>ge stilling med hensyn til anskaffelsestidspunkt, -hensigt og -sum. Selskabet får derved nedskrevne anskaffelsessummer og dermed lavere afskrivningsgrundlag. Det er en begrænset succession, og selskabet indtræder derfor ikke i omdannerens eventuelle skattemæssige underskud eller kildeartsbegrænsede tab efter ABL, EBL og KGL. Se</w:t>
      </w:r>
      <w:r>
        <w:t>l</w:t>
      </w:r>
      <w:r>
        <w:t>skabsretligt skal der udarbejdes de samme dokumenter som ved en skattepligtig o</w:t>
      </w:r>
      <w:r>
        <w:t>m</w:t>
      </w:r>
      <w:r>
        <w:t xml:space="preserve">dannelse. </w:t>
      </w:r>
    </w:p>
    <w:p w:rsidR="007A35E5" w:rsidRDefault="007A35E5" w:rsidP="00AF4FDF">
      <w:r>
        <w:t xml:space="preserve">Anskaffelsessummen for det modtagne vederlag i aktier, opgøres, så den avance der ikke beskattes ved stiftelsen hos ejeren, kommer til beskatning ved salg af aktierne, da </w:t>
      </w:r>
      <w:r>
        <w:lastRenderedPageBreak/>
        <w:t>anskaffelsessummen bliver tilsvarende lavere.</w:t>
      </w:r>
      <w:r>
        <w:rPr>
          <w:rStyle w:val="Fodnotehenvisning"/>
        </w:rPr>
        <w:footnoteReference w:id="80"/>
      </w:r>
      <w:r>
        <w:t xml:space="preserve"> Der skal ikke søges om tilladelse inden der foretages en skattefri omdannelse, men manglende opfyldelse af en eller flere b</w:t>
      </w:r>
      <w:r>
        <w:t>e</w:t>
      </w:r>
      <w:r>
        <w:t>tingelser i loven vil medføre at omdannelsen bliver skattepligtig. Skatteretligt er det muligt at omgøre dispositioner, der har utilsigtede skattemæssige konsekvenser for skatteyderen, såfremt betingelserne herfor er opfyldt.</w:t>
      </w:r>
      <w:r>
        <w:rPr>
          <w:rStyle w:val="Fodnotehenvisning"/>
        </w:rPr>
        <w:footnoteReference w:id="81"/>
      </w:r>
      <w:r>
        <w:t xml:space="preserve"> </w:t>
      </w:r>
    </w:p>
    <w:p w:rsidR="00D93548" w:rsidRDefault="007A35E5" w:rsidP="00AF4FDF">
      <w:r>
        <w:t>Der er flere kriterier der skal være opfyldt for at benytte reglerne i VOL.</w:t>
      </w:r>
    </w:p>
    <w:p w:rsidR="007A35E5" w:rsidRDefault="007A35E5" w:rsidP="00AF4FDF">
      <w:r>
        <w:t xml:space="preserve"> </w:t>
      </w:r>
    </w:p>
    <w:p w:rsidR="007A35E5" w:rsidRPr="00464F3C" w:rsidRDefault="00D93548" w:rsidP="00D93548">
      <w:pPr>
        <w:pStyle w:val="Overskrift4"/>
      </w:pPr>
      <w:bookmarkStart w:id="107" w:name="_Toc221546216"/>
      <w:r>
        <w:t>4.</w:t>
      </w:r>
      <w:r w:rsidR="006C471F">
        <w:t>1</w:t>
      </w:r>
      <w:r>
        <w:t>.</w:t>
      </w:r>
      <w:r w:rsidR="002F0FFE">
        <w:t>2</w:t>
      </w:r>
      <w:r>
        <w:t>.</w:t>
      </w:r>
      <w:r w:rsidR="002F0FFE">
        <w:t>1</w:t>
      </w:r>
      <w:r>
        <w:t xml:space="preserve"> </w:t>
      </w:r>
      <w:r w:rsidR="007A35E5">
        <w:t>Krav til ejeren og selskabet</w:t>
      </w:r>
      <w:r w:rsidR="00627158">
        <w:t xml:space="preserve"> </w:t>
      </w:r>
      <w:r w:rsidR="00627158">
        <w:rPr>
          <w:b w:val="0"/>
          <w:sz w:val="22"/>
          <w:szCs w:val="22"/>
        </w:rPr>
        <w:t>(Pernille</w:t>
      </w:r>
      <w:r w:rsidR="00627158" w:rsidRPr="00E75844">
        <w:rPr>
          <w:b w:val="0"/>
          <w:sz w:val="22"/>
          <w:szCs w:val="22"/>
        </w:rPr>
        <w:t>)</w:t>
      </w:r>
      <w:bookmarkEnd w:id="107"/>
    </w:p>
    <w:p w:rsidR="007A35E5" w:rsidRDefault="007A35E5" w:rsidP="00AF4FDF">
      <w:r>
        <w:t>Virksomheden skal være drevet i personligt regi, og ejeren skal være fuldt skattepligtig til Danmark. Kravet om beskatningsretten er for at sikre, at Danmark har beskatning</w:t>
      </w:r>
      <w:r>
        <w:t>s</w:t>
      </w:r>
      <w:r>
        <w:t>retten til de modtagne vederlagsaktier. Det skal omdannes til et selskab der er et aktie- eller anpartsselskab registreret her i landet og som både kan være nystiftet eller et skuffeselskab.</w:t>
      </w:r>
      <w:r w:rsidRPr="00C176FB">
        <w:rPr>
          <w:rStyle w:val="Fodnotehenvisning"/>
        </w:rPr>
        <w:t xml:space="preserve"> </w:t>
      </w:r>
      <w:r>
        <w:t>Hvis selskabet ikke er nystiftet, må der ikke være drevet erhvervsmæssig virksomhed og indskudskapitalen skal have henstået ubehæftet i et pengeinstitut. Det er for at undgå, at overskuddet fra den omdannede virksomhed kan modregnes i u</w:t>
      </w:r>
      <w:r>
        <w:t>n</w:t>
      </w:r>
      <w:r>
        <w:t>derskud fra en tidligere aktivitet.</w:t>
      </w:r>
      <w:r>
        <w:rPr>
          <w:rStyle w:val="Fodnotehenvisning"/>
        </w:rPr>
        <w:footnoteReference w:id="82"/>
      </w:r>
      <w:r>
        <w:t xml:space="preserve"> </w:t>
      </w:r>
    </w:p>
    <w:p w:rsidR="007A35E5" w:rsidRDefault="007A35E5" w:rsidP="00D93548"/>
    <w:p w:rsidR="00D93548" w:rsidRDefault="002F0FFE" w:rsidP="00D93548">
      <w:pPr>
        <w:pStyle w:val="Overskrift4"/>
      </w:pPr>
      <w:bookmarkStart w:id="108" w:name="_Toc221546217"/>
      <w:r>
        <w:t>4.1</w:t>
      </w:r>
      <w:r w:rsidR="00D93548">
        <w:t>.</w:t>
      </w:r>
      <w:r>
        <w:t>2</w:t>
      </w:r>
      <w:r w:rsidR="00D93548">
        <w:t>.</w:t>
      </w:r>
      <w:r>
        <w:t>2</w:t>
      </w:r>
      <w:r w:rsidR="00D93548">
        <w:t xml:space="preserve"> </w:t>
      </w:r>
      <w:r w:rsidR="007A35E5">
        <w:t>Krav til virksomheden</w:t>
      </w:r>
      <w:r w:rsidR="00627158">
        <w:t xml:space="preserve"> </w:t>
      </w:r>
      <w:r w:rsidR="00627158">
        <w:rPr>
          <w:b w:val="0"/>
          <w:sz w:val="22"/>
          <w:szCs w:val="22"/>
        </w:rPr>
        <w:t>(Pernille</w:t>
      </w:r>
      <w:r w:rsidR="00627158" w:rsidRPr="00E75844">
        <w:rPr>
          <w:b w:val="0"/>
          <w:sz w:val="22"/>
          <w:szCs w:val="22"/>
        </w:rPr>
        <w:t>)</w:t>
      </w:r>
      <w:bookmarkEnd w:id="108"/>
    </w:p>
    <w:p w:rsidR="007A35E5" w:rsidRDefault="007A35E5" w:rsidP="00D93548">
      <w:r>
        <w:t xml:space="preserve">Virksomhedsbegrebet i virksomhedsomdannelsesloven referer til en personlig ejet virksomhed, hvor en virksomhed tolkes som en igangværende og </w:t>
      </w:r>
      <w:r w:rsidR="00D93548">
        <w:t xml:space="preserve">en </w:t>
      </w:r>
      <w:r>
        <w:t>bestående vir</w:t>
      </w:r>
      <w:r>
        <w:t>k</w:t>
      </w:r>
      <w:r>
        <w:t>somhed. Igangværende virksomhed referer til, at den på omdannelsestidspunktet er igangsat. Det er dog ikke et krav at virksomheden skal have haft indtægter på omda</w:t>
      </w:r>
      <w:r>
        <w:t>n</w:t>
      </w:r>
      <w:r>
        <w:t xml:space="preserve">nelsestidspunktet, jf. nedenstående afgørelse hvor </w:t>
      </w:r>
      <w:r w:rsidR="001F3E63">
        <w:t>en opfindervirksomhed</w:t>
      </w:r>
      <w:r>
        <w:t xml:space="preserve"> bestod af 5 personer der var ansat ved Dansk teknologisk Institut og Dansk Farmaceutiske Højsk</w:t>
      </w:r>
      <w:r>
        <w:t>o</w:t>
      </w:r>
      <w:r w:rsidR="001F3E63">
        <w:lastRenderedPageBreak/>
        <w:t>le. De</w:t>
      </w:r>
      <w:r>
        <w:t xml:space="preserve"> </w:t>
      </w:r>
      <w:r w:rsidR="001F3E63">
        <w:t>havde</w:t>
      </w:r>
      <w:r>
        <w:t xml:space="preserve"> stiftet en virksomhed med henblik på udvikling indenfor lægemiddelind</w:t>
      </w:r>
      <w:r>
        <w:t>u</w:t>
      </w:r>
      <w:r>
        <w:t>strien. Der var flere kendetegn på at virksomheden var drevet professionelt. Udover at ejerne havde en relevant kompetence indenfor området, havde de også benyttet pr</w:t>
      </w:r>
      <w:r>
        <w:t>o</w:t>
      </w:r>
      <w:r>
        <w:t xml:space="preserve">fessionel rådgivning til udvikling af virksomheden, der var forhandlinger med eksterne investorer, der foregik rekruttering af kandidater til forskningsstipendier samt skabt et internationalt netværk bl.a. med to internationale anerkendte forskere. Virksomheden havde på omdannelsestidspunktet ikke haft indtægter. </w:t>
      </w:r>
      <w:r w:rsidR="003D7459">
        <w:t>Skatterådet</w:t>
      </w:r>
      <w:r>
        <w:t xml:space="preserve"> fandt alligevel at virksomheden var en igangværende virksomhed, da den var professionelt drevet, og at der generelt for forskningsvirksomheder er en væsentligt tidsforskel mellem afholdte udgifter og dertil hørende indtægter. Desuden var det sandsynligt at virksomheden indenfor en overskuelig periode ville genere indtægter.</w:t>
      </w:r>
    </w:p>
    <w:p w:rsidR="007A35E5" w:rsidRDefault="007A35E5" w:rsidP="00D93548"/>
    <w:p w:rsidR="007A35E5" w:rsidRPr="006B3CFD" w:rsidRDefault="007A35E5" w:rsidP="006B3CFD">
      <w:pPr>
        <w:rPr>
          <w:i/>
          <w:sz w:val="22"/>
        </w:rPr>
      </w:pPr>
      <w:r w:rsidRPr="006B3CFD">
        <w:rPr>
          <w:i/>
          <w:sz w:val="22"/>
        </w:rPr>
        <w:t>SKM2006.290.SR Skatterådet anså en opfindervirksomhed for at være en bestående virkso</w:t>
      </w:r>
      <w:r w:rsidRPr="006B3CFD">
        <w:rPr>
          <w:i/>
          <w:sz w:val="22"/>
        </w:rPr>
        <w:t>m</w:t>
      </w:r>
      <w:r w:rsidRPr="006B3CFD">
        <w:rPr>
          <w:i/>
          <w:sz w:val="22"/>
        </w:rPr>
        <w:t>hed i relation til lov om skattefri virksomhedsomdannelse. Skatterådet bekræftede desuden, at forskerne hver for sig kunne anvende reglerne i ligningslovens § 27 E ved overdragelse af opfi</w:t>
      </w:r>
      <w:r w:rsidRPr="006B3CFD">
        <w:rPr>
          <w:i/>
          <w:sz w:val="22"/>
        </w:rPr>
        <w:t>n</w:t>
      </w:r>
      <w:r w:rsidRPr="006B3CFD">
        <w:rPr>
          <w:i/>
          <w:sz w:val="22"/>
        </w:rPr>
        <w:t>dervirksomheden til et nystiftet aktieselskab.</w:t>
      </w:r>
    </w:p>
    <w:p w:rsidR="007A35E5" w:rsidRDefault="007A35E5" w:rsidP="006C471F">
      <w:pPr>
        <w:spacing w:line="240" w:lineRule="auto"/>
      </w:pPr>
    </w:p>
    <w:p w:rsidR="007A35E5" w:rsidRDefault="007A35E5" w:rsidP="006C471F">
      <w:pPr>
        <w:pStyle w:val="NormalWeb"/>
        <w:spacing w:before="0" w:beforeAutospacing="0" w:after="240" w:afterAutospacing="0"/>
      </w:pPr>
      <w:r>
        <w:t>En bestående virksomhed referer til, at den skal have haft en aktivitet med et sådant omfang, at den opfattes som en virksomhed. Jf. nedenstående afgørelse hvor en aktiv</w:t>
      </w:r>
      <w:r>
        <w:t>i</w:t>
      </w:r>
      <w:r>
        <w:t>tet ikke blev anset for en virksomhed i forhold til lov om skattefri virksomhedsomda</w:t>
      </w:r>
      <w:r>
        <w:t>n</w:t>
      </w:r>
      <w:r>
        <w:t xml:space="preserve">nelse. </w:t>
      </w:r>
    </w:p>
    <w:p w:rsidR="007A35E5" w:rsidRPr="006B3CFD" w:rsidRDefault="007A35E5" w:rsidP="006C471F">
      <w:pPr>
        <w:pStyle w:val="NormalWeb"/>
        <w:rPr>
          <w:i/>
          <w:sz w:val="22"/>
          <w:szCs w:val="22"/>
        </w:rPr>
      </w:pPr>
      <w:r w:rsidRPr="006B3CFD">
        <w:rPr>
          <w:i/>
          <w:sz w:val="22"/>
          <w:szCs w:val="22"/>
        </w:rPr>
        <w:t xml:space="preserve">TfS 1997.511.LSR Advokat A foretog i årene 1989-1991 henlæggelse til investeringsfond og erhvervede i henhold til faktura af 27.12.1991 en EDB-server for 13.900 </w:t>
      </w:r>
      <w:r w:rsidR="00910EE3" w:rsidRPr="006B3CFD">
        <w:rPr>
          <w:i/>
          <w:sz w:val="22"/>
          <w:szCs w:val="22"/>
        </w:rPr>
        <w:t>ekskl.</w:t>
      </w:r>
      <w:r w:rsidRPr="006B3CFD">
        <w:rPr>
          <w:i/>
          <w:sz w:val="22"/>
          <w:szCs w:val="22"/>
        </w:rPr>
        <w:t xml:space="preserve"> moms, der i he</w:t>
      </w:r>
      <w:r w:rsidRPr="006B3CFD">
        <w:rPr>
          <w:i/>
          <w:sz w:val="22"/>
          <w:szCs w:val="22"/>
        </w:rPr>
        <w:t>n</w:t>
      </w:r>
      <w:r w:rsidRPr="006B3CFD">
        <w:rPr>
          <w:i/>
          <w:sz w:val="22"/>
          <w:szCs w:val="22"/>
        </w:rPr>
        <w:t>hold til leasingkontrakt af samme dag blev udlejet til et administrationsselskab B. For in</w:t>
      </w:r>
      <w:r w:rsidRPr="006B3CFD">
        <w:rPr>
          <w:i/>
          <w:sz w:val="22"/>
          <w:szCs w:val="22"/>
        </w:rPr>
        <w:t>d</w:t>
      </w:r>
      <w:r w:rsidRPr="006B3CFD">
        <w:rPr>
          <w:i/>
          <w:sz w:val="22"/>
          <w:szCs w:val="22"/>
        </w:rPr>
        <w:t>komståret 1991 indtægtsførte A en leasingindtægt på kr. 60. A overdrog den 23. juni 1992 le</w:t>
      </w:r>
      <w:r w:rsidRPr="006B3CFD">
        <w:rPr>
          <w:i/>
          <w:sz w:val="22"/>
          <w:szCs w:val="22"/>
        </w:rPr>
        <w:t>a</w:t>
      </w:r>
      <w:r w:rsidRPr="006B3CFD">
        <w:rPr>
          <w:i/>
          <w:sz w:val="22"/>
          <w:szCs w:val="22"/>
        </w:rPr>
        <w:t>singvirksomheden til selskabet C i henhold til lov om skattefri virksomhedsomdannelse med tilknyttede investeringsfondshenlæggelser. Landsskatteretten fandt, at leasingaktiviteten ikke kunne opfylde de krav, der måtte stilles for at anerkende eksistensen af selvstændig erhverv</w:t>
      </w:r>
      <w:r w:rsidRPr="006B3CFD">
        <w:rPr>
          <w:i/>
          <w:sz w:val="22"/>
          <w:szCs w:val="22"/>
        </w:rPr>
        <w:t>s</w:t>
      </w:r>
      <w:r w:rsidRPr="006B3CFD">
        <w:rPr>
          <w:i/>
          <w:sz w:val="22"/>
          <w:szCs w:val="22"/>
        </w:rPr>
        <w:t>virksomhed, der kunne danne grundlag for skattefri virksomhedsomdannelse i henseende til virksomhedens art og omfang.</w:t>
      </w:r>
    </w:p>
    <w:p w:rsidR="006C471F" w:rsidRDefault="007A35E5" w:rsidP="006C471F">
      <w:pPr>
        <w:pStyle w:val="NormalWeb"/>
        <w:spacing w:after="0" w:afterAutospacing="0"/>
      </w:pPr>
      <w:r>
        <w:lastRenderedPageBreak/>
        <w:t>Da det er en virksomhed der omdannes, skal alle aktiver o</w:t>
      </w:r>
      <w:r w:rsidR="006C471F">
        <w:t>g</w:t>
      </w:r>
      <w:r>
        <w:t xml:space="preserve"> passiver omdannes. Det vurderes ud fra et almindeligt funktionsmæssigt og organisatorisk synspunkt, hvilke aktiver der er nødvendige for tilsammen at udgøre virksomheden og hvilke aktiver der ikke hører til. Afgrænsningen af virksomheden er derfor som i fusionsskattelovens d</w:t>
      </w:r>
      <w:r>
        <w:t>e</w:t>
      </w:r>
      <w:r>
        <w:t>finition af en gren af en virksomhed. Jf. således nedenstående afgørelse, hvor der ne</w:t>
      </w:r>
      <w:r>
        <w:t>t</w:t>
      </w:r>
      <w:r>
        <w:t>op manglede aktiver i omdannelsen.</w:t>
      </w:r>
    </w:p>
    <w:p w:rsidR="006C471F" w:rsidRDefault="006C471F" w:rsidP="006C471F">
      <w:pPr>
        <w:pStyle w:val="NormalWeb"/>
        <w:spacing w:before="0" w:beforeAutospacing="0" w:after="0" w:afterAutospacing="0"/>
      </w:pPr>
    </w:p>
    <w:p w:rsidR="007A35E5" w:rsidRPr="006B3CFD" w:rsidRDefault="007A35E5" w:rsidP="00E82873">
      <w:pPr>
        <w:rPr>
          <w:sz w:val="22"/>
        </w:rPr>
      </w:pPr>
      <w:r w:rsidRPr="006B3CFD">
        <w:rPr>
          <w:i/>
          <w:sz w:val="22"/>
        </w:rPr>
        <w:t>SKM2006.384</w:t>
      </w:r>
      <w:r w:rsidRPr="006B3CFD">
        <w:rPr>
          <w:sz w:val="22"/>
        </w:rPr>
        <w:t xml:space="preserve"> </w:t>
      </w:r>
      <w:r w:rsidRPr="006B3CFD">
        <w:rPr>
          <w:i/>
          <w:sz w:val="22"/>
          <w:lang w:eastAsia="da-DK"/>
        </w:rPr>
        <w:t>Sagsøgerne havde med virkning fra den 1. januar 2000 omdannet deres tandl</w:t>
      </w:r>
      <w:r w:rsidRPr="006B3CFD">
        <w:rPr>
          <w:i/>
          <w:sz w:val="22"/>
          <w:lang w:eastAsia="da-DK"/>
        </w:rPr>
        <w:t>æ</w:t>
      </w:r>
      <w:r w:rsidRPr="006B3CFD">
        <w:rPr>
          <w:i/>
          <w:sz w:val="22"/>
          <w:lang w:eastAsia="da-DK"/>
        </w:rPr>
        <w:t>gevirksomhed til selskabsform ved nystiftelse af anpartsselskab. Tandlægevirksomheden var hidtil blevet drevet i interessentskabsform under anvendelse af virksomhedsordningen, der også omfattede en udlejningsejendom. Overdragelsen til det nystiftede anpartsselskab omfa</w:t>
      </w:r>
      <w:r w:rsidRPr="006B3CFD">
        <w:rPr>
          <w:i/>
          <w:sz w:val="22"/>
          <w:lang w:eastAsia="da-DK"/>
        </w:rPr>
        <w:t>t</w:t>
      </w:r>
      <w:r w:rsidRPr="006B3CFD">
        <w:rPr>
          <w:i/>
          <w:sz w:val="22"/>
          <w:lang w:eastAsia="da-DK"/>
        </w:rPr>
        <w:t>tede ikke udlejningsejendommen. Da omdannelsen heller ikke omfattede interessentskabets obligationsbeholdning og hovedparten af de likvide midler, anså skattemyndighederne, at sa</w:t>
      </w:r>
      <w:r w:rsidRPr="006B3CFD">
        <w:rPr>
          <w:i/>
          <w:sz w:val="22"/>
          <w:lang w:eastAsia="da-DK"/>
        </w:rPr>
        <w:t>g</w:t>
      </w:r>
      <w:r w:rsidRPr="006B3CFD">
        <w:rPr>
          <w:i/>
          <w:sz w:val="22"/>
          <w:lang w:eastAsia="da-DK"/>
        </w:rPr>
        <w:t>søgerne ikke opfyldte betingelsen i virksomhedsomdannelseslovens § 2, stk. 1, nr. 2, om, at alle aktiver og passiver i virksomheden bliver overdraget til selskabet. Omdannelsen kunne derfor ikke ske skattefrit. Landsretten gav skattemyndighederne medhold med henvisning til, at der ikke i lovens forarbejder eller på andet grundlag var holdepunkter for at antage, at begrebet aktiver skulle fortolkes således, at det ikke omfattede likvide midler som kontanter og obligat</w:t>
      </w:r>
      <w:r w:rsidRPr="006B3CFD">
        <w:rPr>
          <w:i/>
          <w:sz w:val="22"/>
          <w:lang w:eastAsia="da-DK"/>
        </w:rPr>
        <w:t>i</w:t>
      </w:r>
      <w:r w:rsidRPr="006B3CFD">
        <w:rPr>
          <w:i/>
          <w:sz w:val="22"/>
          <w:lang w:eastAsia="da-DK"/>
        </w:rPr>
        <w:t>oner. Landsretten fandt, at de pågældende obligationer og kontanter medgik i sagsøgernes virksomhedsordning før omdannelsen, og at sagsøgerne ikke havde bevist, at midlerne ikke kunne henføres til tandlægevirksomheden. Skatteministeriet blev derfor frifundet.</w:t>
      </w:r>
    </w:p>
    <w:p w:rsidR="007A35E5" w:rsidRDefault="007A35E5" w:rsidP="00AF4FDF"/>
    <w:p w:rsidR="007A35E5" w:rsidRDefault="007A35E5" w:rsidP="00AF4FDF">
      <w:r>
        <w:t>Som det også fremgår af ovennævnte afgørelse kan en ejendom holdes udenfor o</w:t>
      </w:r>
      <w:r>
        <w:t>m</w:t>
      </w:r>
      <w:r>
        <w:t>dannelsen, da den anses for en selvstændig virksomhed jf. vol § 2, stk. 1, nr. 2. Det kan ofte være en fordel at holde ejendommen ude af omdannelsen, da det slanker selsk</w:t>
      </w:r>
      <w:r>
        <w:t>a</w:t>
      </w:r>
      <w:r>
        <w:t xml:space="preserve">bet og derved er mindre likviditetskrævende at overtage. </w:t>
      </w:r>
    </w:p>
    <w:p w:rsidR="007A35E5" w:rsidRDefault="007A35E5" w:rsidP="00AF4FDF"/>
    <w:p w:rsidR="007A35E5" w:rsidRDefault="007A35E5" w:rsidP="00AF4FDF">
      <w:r>
        <w:t xml:space="preserve">Hvis en virksomhed har været omfattet af virksomhedsordningen indgår aktiverne og passiverne derfra. Dog skal også aktiver der ikke kan indgå i virksomhedsordningen, men som stadig er nødvendig for driften, indgå i omdannelsen. Det kan f.eks. være aktier i et erhvervsmæssigt samarbejde som en kæde. Blandede benyttede aktiver </w:t>
      </w:r>
      <w:r>
        <w:lastRenderedPageBreak/>
        <w:t>uden for virksomhedsordningen skal indgå, hvis de efter en konkret vurdering anses for et aktiv i virksomheden. En evt. privat del vil blive anset for en kapitaltilførsel, der kan vederlægges kontant</w:t>
      </w:r>
      <w:r>
        <w:rPr>
          <w:rStyle w:val="Fodnotehenvisning"/>
        </w:rPr>
        <w:footnoteReference w:id="83"/>
      </w:r>
      <w:r>
        <w:t xml:space="preserve">. </w:t>
      </w:r>
    </w:p>
    <w:p w:rsidR="007A35E5" w:rsidRDefault="007A35E5" w:rsidP="00AF4FDF"/>
    <w:p w:rsidR="007A35E5" w:rsidRDefault="007A35E5" w:rsidP="00AF4FDF">
      <w:r>
        <w:t>Særligt i forbindelse med en person, der har benyttet virksomhedsskatteordningen, skal en evt. negativ indskudskonto udlignes inden omdannelsen. En negativ indskud</w:t>
      </w:r>
      <w:r>
        <w:t>s</w:t>
      </w:r>
      <w:r>
        <w:t>konto er udtryk for privat gæld i virksomheden, og der er ikke en tilsvarende værnsr</w:t>
      </w:r>
      <w:r>
        <w:t>e</w:t>
      </w:r>
      <w:r>
        <w:t>gel til rentekorrektion, når virksomheden er i selskabsregi. Der er også valgfrihed om hvorvidt opsparede overskud skal indgå i omdannelsen. Hvis de inddrages, undgår h</w:t>
      </w:r>
      <w:r>
        <w:t>o</w:t>
      </w:r>
      <w:r>
        <w:t>vedaktionæren, at de kommer til beskatning. De nedsætter i stedet den skattemæssige værdi af aktiver og passiver. Beløb på mellemregningskontoen og beløb hensat til s</w:t>
      </w:r>
      <w:r>
        <w:t>e</w:t>
      </w:r>
      <w:r>
        <w:t>nere hævning, anses for at tilhøre ejerens privatøkonomi. Hvis de ikke skal indgå, skal de udbetales til ejeren inden omdannelsen, da de ellers vil anses for indskudt som egenkapital, og blive tillagt aktiernes anskaffelsessum. Beløb på mellemregningskont</w:t>
      </w:r>
      <w:r>
        <w:t>o</w:t>
      </w:r>
      <w:r>
        <w:t xml:space="preserve">en og hensat til senere hævning er </w:t>
      </w:r>
      <w:r w:rsidR="00804194">
        <w:t>allerede beskattede midler. H</w:t>
      </w:r>
      <w:r>
        <w:t>vis de tillægges akt</w:t>
      </w:r>
      <w:r>
        <w:t>i</w:t>
      </w:r>
      <w:r>
        <w:t xml:space="preserve">ernes anskaffelsessum </w:t>
      </w:r>
      <w:r w:rsidR="00804194">
        <w:t>får man en mindre skattemæssig aktieavance ved salg. Det er dog ikke en fordel, da det har en lang tidshorisont og en mindre skatteværdi, da akti</w:t>
      </w:r>
      <w:r w:rsidR="00804194">
        <w:t>e</w:t>
      </w:r>
      <w:r w:rsidR="00804194">
        <w:t>indkomst beskattes lavere end personlig indkomst.</w:t>
      </w:r>
      <w:r>
        <w:rPr>
          <w:rStyle w:val="Fodnotehenvisning"/>
        </w:rPr>
        <w:footnoteReference w:id="84"/>
      </w:r>
      <w:r>
        <w:t xml:space="preserve">  </w:t>
      </w:r>
    </w:p>
    <w:p w:rsidR="007A35E5" w:rsidRDefault="007A35E5" w:rsidP="002931CF">
      <w:r>
        <w:t>Kravet om at det kun er aktiver og passiver, der hører til virksomheden er suppleret af VSL § 16c, der bestemmer, at hvis uvedkommende gæld indgår, anses et tilsvarende beløb overført til privatøkonomien inden omdannelsen</w:t>
      </w:r>
      <w:r>
        <w:rPr>
          <w:rStyle w:val="Fodnotehenvisning"/>
        </w:rPr>
        <w:footnoteReference w:id="85"/>
      </w:r>
      <w:r>
        <w:t>. Omdannelsen kan kun o</w:t>
      </w:r>
      <w:r>
        <w:t>m</w:t>
      </w:r>
      <w:r>
        <w:t>fatte de aktiver og passiver, der er til stede på omdannelsesdatoen, men da omdanne</w:t>
      </w:r>
      <w:r>
        <w:t>l</w:t>
      </w:r>
      <w:r>
        <w:t>sen typisk sker med tilbagevirkende kraft vil selskabet dog indtræde i den drift, og de ændringer der har fundet sted i balancen</w:t>
      </w:r>
      <w:r>
        <w:rPr>
          <w:rStyle w:val="Fodnotehenvisning"/>
        </w:rPr>
        <w:footnoteReference w:id="86"/>
      </w:r>
      <w:r>
        <w:t xml:space="preserve">. Ejerens hævninger vil også blive anset for </w:t>
      </w:r>
      <w:r>
        <w:lastRenderedPageBreak/>
        <w:t>hævet i selskabet, og man skal her være opmærksom på, at hævningerne skal lønang</w:t>
      </w:r>
      <w:r>
        <w:t>i</w:t>
      </w:r>
      <w:r>
        <w:t>ves, da de ellers bliver til et ulovligt aktionærlån.</w:t>
      </w:r>
    </w:p>
    <w:p w:rsidR="007A35E5" w:rsidRPr="0015127C" w:rsidRDefault="002F0FFE" w:rsidP="00D93548">
      <w:pPr>
        <w:pStyle w:val="Overskrift4"/>
      </w:pPr>
      <w:bookmarkStart w:id="109" w:name="_Toc221546218"/>
      <w:r>
        <w:t>4.1</w:t>
      </w:r>
      <w:r w:rsidR="00D93548">
        <w:t>.</w:t>
      </w:r>
      <w:r>
        <w:t>2</w:t>
      </w:r>
      <w:r w:rsidR="00D93548">
        <w:t>.</w:t>
      </w:r>
      <w:r>
        <w:t>3</w:t>
      </w:r>
      <w:r w:rsidR="00D93548">
        <w:t xml:space="preserve"> </w:t>
      </w:r>
      <w:r w:rsidR="007A35E5">
        <w:t>Krav til omdannelsesvederlaget</w:t>
      </w:r>
      <w:r w:rsidR="00627158">
        <w:t xml:space="preserve"> </w:t>
      </w:r>
      <w:r w:rsidR="00627158">
        <w:rPr>
          <w:b w:val="0"/>
          <w:sz w:val="22"/>
          <w:szCs w:val="22"/>
        </w:rPr>
        <w:t>(Pernille</w:t>
      </w:r>
      <w:r w:rsidR="00627158" w:rsidRPr="00E75844">
        <w:rPr>
          <w:b w:val="0"/>
          <w:sz w:val="22"/>
          <w:szCs w:val="22"/>
        </w:rPr>
        <w:t>)</w:t>
      </w:r>
      <w:bookmarkEnd w:id="109"/>
    </w:p>
    <w:p w:rsidR="007A35E5" w:rsidRDefault="007A35E5" w:rsidP="00AF4FDF">
      <w:r>
        <w:t>Ejeren skal vederlægges udelukkende i anparter/aktier, den pålydende værdi skal svare til den samlede aktie- eller anpartskapital, og der må ikke i forbindelse med omdanne</w:t>
      </w:r>
      <w:r>
        <w:t>l</w:t>
      </w:r>
      <w:r>
        <w:t>se optages andre ejere end de tidligere ejere af virksomheden. Der kan dog umidde</w:t>
      </w:r>
      <w:r>
        <w:t>l</w:t>
      </w:r>
      <w:r>
        <w:t>bart efter omdannelsen optages flere ejere, hvilket netop er interessant i forbindelse med generationsskifte. Ejeren der bliver hovedaktionær skal have en positiv anskaffe</w:t>
      </w:r>
      <w:r>
        <w:t>l</w:t>
      </w:r>
      <w:r>
        <w:t>sessum på anparterne/aktierne. Anskaffelsessum må dog være negativ, hvis ejeren har anvendt virksomhedsordningen, og virksomhedsordningen ophører. Hvis anskaffelse</w:t>
      </w:r>
      <w:r>
        <w:t>s</w:t>
      </w:r>
      <w:r>
        <w:t>summen er negativ skal den opgjorte negative anskaffelsessum anvendes ved salg af aktierne og den dertil hørende avanceberegning.</w:t>
      </w:r>
    </w:p>
    <w:p w:rsidR="007A35E5" w:rsidRDefault="007A35E5" w:rsidP="00AF4FDF"/>
    <w:tbl>
      <w:tblPr>
        <w:tblW w:w="5980" w:type="dxa"/>
        <w:tblInd w:w="55" w:type="dxa"/>
        <w:tblCellMar>
          <w:left w:w="70" w:type="dxa"/>
          <w:right w:w="70" w:type="dxa"/>
        </w:tblCellMar>
        <w:tblLook w:val="0000"/>
      </w:tblPr>
      <w:tblGrid>
        <w:gridCol w:w="4520"/>
        <w:gridCol w:w="1460"/>
      </w:tblGrid>
      <w:tr w:rsidR="007A35E5" w:rsidRPr="00C51B93" w:rsidTr="00C51B93">
        <w:trPr>
          <w:trHeight w:val="255"/>
        </w:trPr>
        <w:tc>
          <w:tcPr>
            <w:tcW w:w="4520" w:type="dxa"/>
            <w:tcBorders>
              <w:top w:val="nil"/>
              <w:left w:val="nil"/>
              <w:bottom w:val="nil"/>
              <w:right w:val="nil"/>
            </w:tcBorders>
            <w:noWrap/>
            <w:vAlign w:val="bottom"/>
          </w:tcPr>
          <w:p w:rsidR="007A35E5" w:rsidRPr="00C51B93" w:rsidRDefault="007A35E5" w:rsidP="00C51B93">
            <w:pPr>
              <w:spacing w:line="240" w:lineRule="auto"/>
              <w:jc w:val="left"/>
              <w:rPr>
                <w:rFonts w:cs="Arial"/>
                <w:sz w:val="20"/>
                <w:szCs w:val="20"/>
                <w:lang w:eastAsia="da-DK"/>
              </w:rPr>
            </w:pPr>
            <w:r w:rsidRPr="00C51B93">
              <w:rPr>
                <w:rFonts w:cs="Arial"/>
                <w:sz w:val="20"/>
                <w:szCs w:val="20"/>
                <w:lang w:eastAsia="da-DK"/>
              </w:rPr>
              <w:t>Salgssum aktier nom. 500.000</w:t>
            </w:r>
          </w:p>
        </w:tc>
        <w:tc>
          <w:tcPr>
            <w:tcW w:w="1460" w:type="dxa"/>
            <w:tcBorders>
              <w:top w:val="nil"/>
              <w:left w:val="nil"/>
              <w:bottom w:val="nil"/>
              <w:right w:val="nil"/>
            </w:tcBorders>
            <w:noWrap/>
            <w:vAlign w:val="bottom"/>
          </w:tcPr>
          <w:p w:rsidR="007A35E5" w:rsidRPr="00C51B93" w:rsidRDefault="007A35E5" w:rsidP="00C51B93">
            <w:pPr>
              <w:spacing w:line="240" w:lineRule="auto"/>
              <w:jc w:val="right"/>
              <w:rPr>
                <w:rFonts w:cs="Arial"/>
                <w:sz w:val="20"/>
                <w:szCs w:val="20"/>
                <w:lang w:eastAsia="da-DK"/>
              </w:rPr>
            </w:pPr>
            <w:r w:rsidRPr="00C51B93">
              <w:rPr>
                <w:rFonts w:cs="Arial"/>
                <w:sz w:val="20"/>
                <w:szCs w:val="20"/>
                <w:lang w:eastAsia="da-DK"/>
              </w:rPr>
              <w:t>1.230.000</w:t>
            </w:r>
          </w:p>
        </w:tc>
      </w:tr>
      <w:tr w:rsidR="007A35E5" w:rsidRPr="00C51B93" w:rsidTr="00C51B93">
        <w:trPr>
          <w:trHeight w:val="300"/>
        </w:trPr>
        <w:tc>
          <w:tcPr>
            <w:tcW w:w="4520" w:type="dxa"/>
            <w:tcBorders>
              <w:top w:val="nil"/>
              <w:left w:val="nil"/>
              <w:bottom w:val="single" w:sz="4" w:space="0" w:color="auto"/>
              <w:right w:val="nil"/>
            </w:tcBorders>
            <w:noWrap/>
            <w:vAlign w:val="bottom"/>
          </w:tcPr>
          <w:p w:rsidR="007A35E5" w:rsidRPr="00C51B93" w:rsidRDefault="007A35E5" w:rsidP="00C51B93">
            <w:pPr>
              <w:spacing w:line="240" w:lineRule="auto"/>
              <w:jc w:val="left"/>
              <w:rPr>
                <w:rFonts w:cs="Arial"/>
                <w:sz w:val="20"/>
                <w:szCs w:val="20"/>
                <w:lang w:eastAsia="da-DK"/>
              </w:rPr>
            </w:pPr>
            <w:r w:rsidRPr="00C51B93">
              <w:rPr>
                <w:rFonts w:cs="Calibri"/>
                <w:sz w:val="20"/>
                <w:szCs w:val="20"/>
                <w:lang w:eastAsia="da-DK"/>
              </w:rPr>
              <w:t>-</w:t>
            </w:r>
            <w:r w:rsidRPr="00C51B93">
              <w:rPr>
                <w:rFonts w:cs="Calibri"/>
                <w:sz w:val="14"/>
                <w:szCs w:val="14"/>
                <w:lang w:eastAsia="da-DK"/>
              </w:rPr>
              <w:t> </w:t>
            </w:r>
            <w:r w:rsidRPr="00C51B93">
              <w:rPr>
                <w:rFonts w:cs="Calibri"/>
                <w:sz w:val="22"/>
                <w:lang w:eastAsia="da-DK"/>
              </w:rPr>
              <w:t>anskaffelsessum aktier nom. 500.000</w:t>
            </w:r>
            <w:r>
              <w:rPr>
                <w:rFonts w:cs="Calibri"/>
                <w:sz w:val="22"/>
                <w:lang w:eastAsia="da-DK"/>
              </w:rPr>
              <w:t xml:space="preserve"> (negativ)</w:t>
            </w:r>
          </w:p>
        </w:tc>
        <w:tc>
          <w:tcPr>
            <w:tcW w:w="1460" w:type="dxa"/>
            <w:tcBorders>
              <w:top w:val="nil"/>
              <w:left w:val="nil"/>
              <w:bottom w:val="single" w:sz="4" w:space="0" w:color="auto"/>
              <w:right w:val="nil"/>
            </w:tcBorders>
            <w:noWrap/>
            <w:vAlign w:val="bottom"/>
          </w:tcPr>
          <w:p w:rsidR="007A35E5" w:rsidRPr="00C51B93" w:rsidRDefault="007A35E5" w:rsidP="00C51B93">
            <w:pPr>
              <w:spacing w:line="240" w:lineRule="auto"/>
              <w:jc w:val="right"/>
              <w:rPr>
                <w:rFonts w:cs="Arial"/>
                <w:sz w:val="20"/>
                <w:szCs w:val="20"/>
                <w:lang w:eastAsia="da-DK"/>
              </w:rPr>
            </w:pPr>
            <w:r w:rsidRPr="00C51B93">
              <w:rPr>
                <w:rFonts w:cs="Arial"/>
                <w:sz w:val="20"/>
                <w:szCs w:val="20"/>
                <w:lang w:eastAsia="da-DK"/>
              </w:rPr>
              <w:t>-67.000</w:t>
            </w:r>
          </w:p>
        </w:tc>
      </w:tr>
      <w:tr w:rsidR="007A35E5" w:rsidRPr="00C51B93" w:rsidTr="00C51B93">
        <w:trPr>
          <w:trHeight w:val="255"/>
        </w:trPr>
        <w:tc>
          <w:tcPr>
            <w:tcW w:w="4520" w:type="dxa"/>
            <w:tcBorders>
              <w:top w:val="nil"/>
              <w:left w:val="nil"/>
              <w:bottom w:val="nil"/>
              <w:right w:val="nil"/>
            </w:tcBorders>
            <w:noWrap/>
            <w:vAlign w:val="bottom"/>
          </w:tcPr>
          <w:p w:rsidR="007A35E5" w:rsidRPr="00C51B93" w:rsidRDefault="007A35E5" w:rsidP="00C51B93">
            <w:pPr>
              <w:spacing w:line="240" w:lineRule="auto"/>
              <w:jc w:val="left"/>
              <w:rPr>
                <w:rFonts w:cs="Arial"/>
                <w:sz w:val="20"/>
                <w:szCs w:val="20"/>
                <w:lang w:eastAsia="da-DK"/>
              </w:rPr>
            </w:pPr>
          </w:p>
        </w:tc>
        <w:tc>
          <w:tcPr>
            <w:tcW w:w="1460" w:type="dxa"/>
            <w:tcBorders>
              <w:top w:val="nil"/>
              <w:left w:val="nil"/>
              <w:bottom w:val="nil"/>
              <w:right w:val="nil"/>
            </w:tcBorders>
            <w:noWrap/>
            <w:vAlign w:val="bottom"/>
          </w:tcPr>
          <w:p w:rsidR="007A35E5" w:rsidRPr="00C51B93" w:rsidRDefault="007A35E5" w:rsidP="00C51B93">
            <w:pPr>
              <w:spacing w:line="240" w:lineRule="auto"/>
              <w:jc w:val="left"/>
              <w:rPr>
                <w:rFonts w:cs="Arial"/>
                <w:sz w:val="20"/>
                <w:szCs w:val="20"/>
                <w:lang w:eastAsia="da-DK"/>
              </w:rPr>
            </w:pPr>
          </w:p>
        </w:tc>
      </w:tr>
      <w:tr w:rsidR="007A35E5" w:rsidRPr="00C51B93" w:rsidTr="00C51B93">
        <w:trPr>
          <w:trHeight w:val="255"/>
        </w:trPr>
        <w:tc>
          <w:tcPr>
            <w:tcW w:w="4520" w:type="dxa"/>
            <w:tcBorders>
              <w:top w:val="nil"/>
              <w:left w:val="nil"/>
              <w:bottom w:val="single" w:sz="4" w:space="0" w:color="auto"/>
              <w:right w:val="nil"/>
            </w:tcBorders>
            <w:noWrap/>
            <w:vAlign w:val="bottom"/>
          </w:tcPr>
          <w:p w:rsidR="007A35E5" w:rsidRPr="00C51B93" w:rsidRDefault="007A35E5" w:rsidP="00C51B93">
            <w:pPr>
              <w:spacing w:line="240" w:lineRule="auto"/>
              <w:jc w:val="left"/>
              <w:rPr>
                <w:rFonts w:cs="Arial"/>
                <w:sz w:val="20"/>
                <w:szCs w:val="20"/>
                <w:lang w:eastAsia="da-DK"/>
              </w:rPr>
            </w:pPr>
            <w:r w:rsidRPr="00C51B93">
              <w:rPr>
                <w:rFonts w:cs="Arial"/>
                <w:sz w:val="20"/>
                <w:szCs w:val="20"/>
                <w:lang w:eastAsia="da-DK"/>
              </w:rPr>
              <w:t xml:space="preserve"> = Avance aktieindkomst</w:t>
            </w:r>
          </w:p>
        </w:tc>
        <w:tc>
          <w:tcPr>
            <w:tcW w:w="1460" w:type="dxa"/>
            <w:tcBorders>
              <w:top w:val="nil"/>
              <w:left w:val="nil"/>
              <w:bottom w:val="single" w:sz="4" w:space="0" w:color="auto"/>
              <w:right w:val="nil"/>
            </w:tcBorders>
            <w:noWrap/>
            <w:vAlign w:val="bottom"/>
          </w:tcPr>
          <w:p w:rsidR="007A35E5" w:rsidRPr="00C51B93" w:rsidRDefault="007A35E5" w:rsidP="00C51B93">
            <w:pPr>
              <w:spacing w:line="240" w:lineRule="auto"/>
              <w:jc w:val="right"/>
              <w:rPr>
                <w:rFonts w:cs="Arial"/>
                <w:sz w:val="20"/>
                <w:szCs w:val="20"/>
                <w:lang w:eastAsia="da-DK"/>
              </w:rPr>
            </w:pPr>
            <w:r w:rsidRPr="00C51B93">
              <w:rPr>
                <w:rFonts w:cs="Arial"/>
                <w:sz w:val="20"/>
                <w:szCs w:val="20"/>
                <w:lang w:eastAsia="da-DK"/>
              </w:rPr>
              <w:t>1.297.000</w:t>
            </w:r>
          </w:p>
        </w:tc>
      </w:tr>
    </w:tbl>
    <w:p w:rsidR="007A35E5" w:rsidRDefault="002F0FFE" w:rsidP="002F0FFE">
      <w:pPr>
        <w:pStyle w:val="Billedtekst"/>
      </w:pPr>
      <w:bookmarkStart w:id="110" w:name="_Toc218751407"/>
      <w:r>
        <w:t xml:space="preserve">Figur </w:t>
      </w:r>
      <w:fldSimple w:instr=" SEQ Figur \* ARABIC ">
        <w:r w:rsidR="000F066D">
          <w:rPr>
            <w:noProof/>
          </w:rPr>
          <w:t>25</w:t>
        </w:r>
      </w:fldSimple>
      <w:r w:rsidR="00D457AA">
        <w:t xml:space="preserve"> Eksempel på beregning af aktieavance, hvor anskaffelsessummen er negativ</w:t>
      </w:r>
      <w:bookmarkEnd w:id="110"/>
    </w:p>
    <w:p w:rsidR="00D457AA" w:rsidRPr="00D457AA" w:rsidRDefault="00D457AA" w:rsidP="00D457AA"/>
    <w:p w:rsidR="00804194" w:rsidRDefault="007A35E5" w:rsidP="00AF4FDF">
      <w:r>
        <w:t>For at virksomhedsordningen kan ophøre, og anskaffelsessummen dermed må være negativ, skal alle ejerens virksomheder omdannes.</w:t>
      </w:r>
    </w:p>
    <w:p w:rsidR="007A35E5" w:rsidRDefault="00804194" w:rsidP="00AF4FDF">
      <w:r>
        <w:t xml:space="preserve"> </w:t>
      </w:r>
    </w:p>
    <w:p w:rsidR="007A35E5" w:rsidRDefault="007A35E5" w:rsidP="00AF4FDF">
      <w:r>
        <w:t>I selskabets åbningsbalance skal der være en hensættelse svarende til enhver skat, der kommer af forskellen i mellem den skattemæssige værdi og den bogførte værdi</w:t>
      </w:r>
      <w:r>
        <w:rPr>
          <w:rStyle w:val="Fodnotehenvisning"/>
        </w:rPr>
        <w:footnoteReference w:id="87"/>
      </w:r>
      <w:r>
        <w:t>.</w:t>
      </w:r>
    </w:p>
    <w:p w:rsidR="007A35E5" w:rsidRDefault="007A35E5" w:rsidP="00AF4FDF">
      <w:r>
        <w:t>Det er i modstrid med årsregnskabsloven, hvor der alene skal afsættes udskudt skat af forskelle mellem bogførte værdier og skattemæssige værdier på afskrivningsberettig</w:t>
      </w:r>
      <w:r>
        <w:t>e</w:t>
      </w:r>
      <w:r>
        <w:t xml:space="preserve">de aktiver og dermed ikke internt oparbejdet goodwill, der beregnes i forbindelse med </w:t>
      </w:r>
      <w:r>
        <w:lastRenderedPageBreak/>
        <w:t>en virksomhedsomdannelse. I praksis er selskabets balance derfor ikke i overensste</w:t>
      </w:r>
      <w:r>
        <w:t>m</w:t>
      </w:r>
      <w:r>
        <w:t xml:space="preserve">melse med årsregnskabsloven.  </w:t>
      </w:r>
    </w:p>
    <w:p w:rsidR="007A35E5" w:rsidRDefault="007A35E5" w:rsidP="00AF4FDF"/>
    <w:p w:rsidR="007A35E5" w:rsidRPr="00AF4FDF" w:rsidRDefault="00D93548" w:rsidP="00D93548">
      <w:pPr>
        <w:pStyle w:val="Overskrift4"/>
      </w:pPr>
      <w:bookmarkStart w:id="111" w:name="_Toc221546219"/>
      <w:r>
        <w:t>4.</w:t>
      </w:r>
      <w:r w:rsidR="002F0FFE">
        <w:t>1</w:t>
      </w:r>
      <w:r>
        <w:t>.</w:t>
      </w:r>
      <w:r w:rsidR="002F0FFE">
        <w:t>2</w:t>
      </w:r>
      <w:r>
        <w:t>.</w:t>
      </w:r>
      <w:r w:rsidR="002F0FFE">
        <w:t>4</w:t>
      </w:r>
      <w:r>
        <w:t xml:space="preserve"> </w:t>
      </w:r>
      <w:r w:rsidR="007A35E5">
        <w:t>Krav til den formelle gennemførelse af omdannelsen</w:t>
      </w:r>
      <w:r w:rsidR="00627158">
        <w:t xml:space="preserve"> </w:t>
      </w:r>
      <w:r w:rsidR="00627158">
        <w:rPr>
          <w:b w:val="0"/>
          <w:sz w:val="22"/>
          <w:szCs w:val="22"/>
        </w:rPr>
        <w:t>(Pernille</w:t>
      </w:r>
      <w:r w:rsidR="00627158" w:rsidRPr="00E75844">
        <w:rPr>
          <w:b w:val="0"/>
          <w:sz w:val="22"/>
          <w:szCs w:val="22"/>
        </w:rPr>
        <w:t>)</w:t>
      </w:r>
      <w:bookmarkEnd w:id="111"/>
    </w:p>
    <w:p w:rsidR="007A35E5" w:rsidRDefault="007A35E5" w:rsidP="00AF4FDF">
      <w:r>
        <w:t>Selskabsretlig er der stort set de samme krav som ved en skattepligtig omdannelse ved apportindskud. Der skal udarbejdes en vurderingsberetning samt åbningsbalance, o</w:t>
      </w:r>
      <w:r>
        <w:t>m</w:t>
      </w:r>
      <w:r>
        <w:t>dannelsen kan ske med tilbagevirkende kraft dog max 6 måneder, og der skal ske a</w:t>
      </w:r>
      <w:r>
        <w:t>n</w:t>
      </w:r>
      <w:r>
        <w:t xml:space="preserve">meldelse til Skat senest 1. måned efter omdannelsen </w:t>
      </w:r>
      <w:r>
        <w:rPr>
          <w:rStyle w:val="Fodnotehenvisning"/>
        </w:rPr>
        <w:footnoteReference w:id="88"/>
      </w:r>
      <w:r>
        <w:t xml:space="preserve">. </w:t>
      </w:r>
    </w:p>
    <w:p w:rsidR="007A35E5" w:rsidRDefault="007A35E5" w:rsidP="00AF4FDF"/>
    <w:p w:rsidR="007A35E5" w:rsidRDefault="002F0FFE" w:rsidP="00D93548">
      <w:pPr>
        <w:pStyle w:val="Overskrift4"/>
      </w:pPr>
      <w:bookmarkStart w:id="112" w:name="_Toc221546220"/>
      <w:r>
        <w:t>4.1</w:t>
      </w:r>
      <w:r w:rsidR="00D93548">
        <w:t>.</w:t>
      </w:r>
      <w:r>
        <w:t>2</w:t>
      </w:r>
      <w:r w:rsidR="00D93548">
        <w:t>.</w:t>
      </w:r>
      <w:r>
        <w:t>5</w:t>
      </w:r>
      <w:r w:rsidR="00D93548">
        <w:t xml:space="preserve"> </w:t>
      </w:r>
      <w:r w:rsidR="007A35E5">
        <w:t>Specielle krav til interessentskaber og andre virksomheder med flere ejere</w:t>
      </w:r>
      <w:r w:rsidR="00627158">
        <w:t xml:space="preserve"> </w:t>
      </w:r>
      <w:r w:rsidR="00627158">
        <w:rPr>
          <w:b w:val="0"/>
          <w:sz w:val="22"/>
          <w:szCs w:val="22"/>
        </w:rPr>
        <w:t>(Pernille</w:t>
      </w:r>
      <w:r w:rsidR="00627158" w:rsidRPr="00E75844">
        <w:rPr>
          <w:b w:val="0"/>
          <w:sz w:val="22"/>
          <w:szCs w:val="22"/>
        </w:rPr>
        <w:t>)</w:t>
      </w:r>
      <w:bookmarkEnd w:id="112"/>
    </w:p>
    <w:p w:rsidR="007A35E5" w:rsidRDefault="007A35E5" w:rsidP="00F77626">
      <w:r>
        <w:t>For at undgå at de såkaldte skattebetingende anpartsprojekter anvender virkso</w:t>
      </w:r>
      <w:r>
        <w:t>m</w:t>
      </w:r>
      <w:r>
        <w:t>hedsomdannelsesloven er der indsat begrænsninger for bl.a. erhvervsvirksomheder, hvor der er flere end 10 ejere, og hvor de ikke deltager i virksomhedens drift i væsen</w:t>
      </w:r>
      <w:r>
        <w:t>t</w:t>
      </w:r>
      <w:r>
        <w:t xml:space="preserve">ligt omfang, samt </w:t>
      </w:r>
      <w:r w:rsidR="001F3E63">
        <w:t xml:space="preserve">virksomhed med </w:t>
      </w:r>
      <w:r>
        <w:t>udlejning af afskrivningsberettigede driftsmidler, når de skattepligtige ikke indgår i virksomhedens drift i væsentligt omfang</w:t>
      </w:r>
      <w:r>
        <w:rPr>
          <w:rStyle w:val="Fodnotehenvisning"/>
        </w:rPr>
        <w:footnoteReference w:id="89"/>
      </w:r>
      <w:r>
        <w:t>. Se nede</w:t>
      </w:r>
      <w:r>
        <w:t>n</w:t>
      </w:r>
      <w:r>
        <w:t>stående nye afgørelse.</w:t>
      </w:r>
    </w:p>
    <w:p w:rsidR="007A35E5" w:rsidRDefault="007A35E5" w:rsidP="00F77626"/>
    <w:p w:rsidR="007A35E5" w:rsidRPr="00D44473" w:rsidRDefault="007A35E5" w:rsidP="00F77626">
      <w:pPr>
        <w:rPr>
          <w:i/>
          <w:sz w:val="22"/>
        </w:rPr>
      </w:pPr>
      <w:r>
        <w:rPr>
          <w:i/>
          <w:sz w:val="22"/>
        </w:rPr>
        <w:t>SKM2008.942.SR: Skatterådet fandt, at ønsket om at lade Interessentskabet A omdanne til et anpartsselskab primært måtte anses for begrundet i ønsket om at undgå at svare skat. Skatt</w:t>
      </w:r>
      <w:r>
        <w:rPr>
          <w:i/>
          <w:sz w:val="22"/>
        </w:rPr>
        <w:t>e</w:t>
      </w:r>
      <w:r>
        <w:rPr>
          <w:i/>
          <w:sz w:val="22"/>
        </w:rPr>
        <w:t>rådet fandt ud fra en samlet konkret vurdering, at der ikke i nærværende sag var grundlag for ikke at fortolke i overensstemmelse med ordlyden i lov om skattefri virksomhedsomdannelse, § 1, stk. 3, hvoraf udtrykkeligt fremgår, at lovens regler ikke finder anvendelse på omdannelse af virksomheder som nævnt i personskattelovens § 4, stk. 1, nr. 10 og 12</w:t>
      </w:r>
    </w:p>
    <w:p w:rsidR="007A35E5" w:rsidRDefault="007A35E5" w:rsidP="00AF4FDF"/>
    <w:p w:rsidR="007A35E5" w:rsidRDefault="007A35E5" w:rsidP="00AF4FDF">
      <w:r>
        <w:lastRenderedPageBreak/>
        <w:t>Yderligere krav i forhold til interessentskaber er, at alle interessenternes andel o</w:t>
      </w:r>
      <w:r>
        <w:t>m</w:t>
      </w:r>
      <w:r>
        <w:t>dannes til det samme selskab. De skal de alle anvende samme regnskabsperiode og reglerne i VOL. Desuden skal de alle vederlægges i forhold til deres ejerandel i den pe</w:t>
      </w:r>
      <w:r>
        <w:t>r</w:t>
      </w:r>
      <w:r>
        <w:t>sonligt ejede virksomhed</w:t>
      </w:r>
      <w:r>
        <w:rPr>
          <w:rStyle w:val="Fodnotehenvisning"/>
        </w:rPr>
        <w:footnoteReference w:id="90"/>
      </w:r>
      <w:r>
        <w:t>.</w:t>
      </w:r>
    </w:p>
    <w:p w:rsidR="007A35E5" w:rsidRDefault="007A35E5" w:rsidP="000F36EF">
      <w:r>
        <w:t>Når den hensatte skatteforpligtigelse opgøres skal den fordeles ud på hver enkelt int</w:t>
      </w:r>
      <w:r>
        <w:t>e</w:t>
      </w:r>
      <w:r>
        <w:t>ressent efter den skattepligtige fortjeneste opgjort ved et almindeligt salg. Den hensa</w:t>
      </w:r>
      <w:r>
        <w:t>t</w:t>
      </w:r>
      <w:r>
        <w:t>te forpligtigelse skal så svare til ejerforholdet blandt interessenterne. Hvis den ikke gør det, skal interessenterne udligne det ved indbetaling til selskabet i forbindelse med stiftelsen. Beløbet tillægges anskaffelsessummen for de anparter/aktier den enkelte indbetalende interessent erhverver. Derudover er interessenterne nødt til inden o</w:t>
      </w:r>
      <w:r>
        <w:t>m</w:t>
      </w:r>
      <w:r>
        <w:t>dannelsen at udligne deres kapitalkonti, så de svarer til ejerbrøken. Ellers vil der ved vederlægges i anparter/aktier ske en formueforskydning i mellem interessenterne</w:t>
      </w:r>
      <w:r>
        <w:rPr>
          <w:rStyle w:val="Fodnotehenvisning"/>
        </w:rPr>
        <w:footnoteReference w:id="91"/>
      </w:r>
      <w:r>
        <w:t xml:space="preserve">. </w:t>
      </w:r>
    </w:p>
    <w:p w:rsidR="007A35E5" w:rsidRPr="005315C5" w:rsidRDefault="007A35E5" w:rsidP="000F36EF"/>
    <w:p w:rsidR="007A35E5" w:rsidRPr="00D93548" w:rsidRDefault="00D93548" w:rsidP="00D93548">
      <w:pPr>
        <w:pStyle w:val="Overskrift3"/>
      </w:pPr>
      <w:bookmarkStart w:id="113" w:name="_Ref218750719"/>
      <w:bookmarkStart w:id="114" w:name="_Ref218750803"/>
      <w:bookmarkStart w:id="115" w:name="_Toc221546221"/>
      <w:r w:rsidRPr="00D93548">
        <w:t>4.</w:t>
      </w:r>
      <w:r w:rsidR="000555D8">
        <w:t>1</w:t>
      </w:r>
      <w:r w:rsidRPr="00D93548">
        <w:t>.</w:t>
      </w:r>
      <w:r w:rsidR="000555D8">
        <w:t>3</w:t>
      </w:r>
      <w:r w:rsidRPr="00D93548">
        <w:t xml:space="preserve"> </w:t>
      </w:r>
      <w:r>
        <w:t>C</w:t>
      </w:r>
      <w:r w:rsidR="007A35E5" w:rsidRPr="00D93548">
        <w:t>ase</w:t>
      </w:r>
      <w:r w:rsidR="002F4E41">
        <w:t>regnskab</w:t>
      </w:r>
      <w:r>
        <w:t xml:space="preserve"> omdannelse af virksomhed</w:t>
      </w:r>
      <w:bookmarkEnd w:id="113"/>
      <w:bookmarkEnd w:id="114"/>
      <w:r w:rsidR="00627158">
        <w:t xml:space="preserve"> </w:t>
      </w:r>
      <w:r w:rsidR="00627158">
        <w:rPr>
          <w:b w:val="0"/>
          <w:sz w:val="22"/>
          <w:szCs w:val="22"/>
        </w:rPr>
        <w:t>(Pernille</w:t>
      </w:r>
      <w:r w:rsidR="00627158" w:rsidRPr="00E75844">
        <w:rPr>
          <w:b w:val="0"/>
          <w:sz w:val="22"/>
          <w:szCs w:val="22"/>
        </w:rPr>
        <w:t>)</w:t>
      </w:r>
      <w:bookmarkEnd w:id="115"/>
    </w:p>
    <w:p w:rsidR="002B5FE5" w:rsidRDefault="007A35E5" w:rsidP="00AF4FDF">
      <w:r>
        <w:t xml:space="preserve">I nedenstående er der foretaget en skattefri virksomhedsomdannelse af vores case virksomhed. </w:t>
      </w:r>
      <w:r w:rsidR="00E13293">
        <w:t xml:space="preserve">I </w:t>
      </w:r>
      <w:r w:rsidR="002F0FFE">
        <w:t>”</w:t>
      </w:r>
      <w:r w:rsidR="00012FAC">
        <w:fldChar w:fldCharType="begin"/>
      </w:r>
      <w:r w:rsidR="002F0FFE">
        <w:instrText xml:space="preserve"> REF _Ref219214696 \h </w:instrText>
      </w:r>
      <w:r w:rsidR="00012FAC">
        <w:fldChar w:fldCharType="separate"/>
      </w:r>
      <w:r w:rsidR="000F066D">
        <w:t>Bilag 6 – Goodwill beregning</w:t>
      </w:r>
      <w:r w:rsidR="00012FAC">
        <w:fldChar w:fldCharType="end"/>
      </w:r>
      <w:r w:rsidR="002F0FFE">
        <w:t>”</w:t>
      </w:r>
      <w:r w:rsidR="00E13293">
        <w:t xml:space="preserve"> ses beregningen af goodwillværdien. </w:t>
      </w:r>
      <w:r>
        <w:t xml:space="preserve">I casen er interessenter både nødt til at udligne forskellen i mellem deres kapitalkonti samt udligne skat. </w:t>
      </w:r>
    </w:p>
    <w:p w:rsidR="007A35E5" w:rsidRDefault="002B5FE5" w:rsidP="00AF4FDF">
      <w:r>
        <w:br w:type="page"/>
      </w:r>
    </w:p>
    <w:tbl>
      <w:tblPr>
        <w:tblW w:w="8500" w:type="dxa"/>
        <w:tblInd w:w="55" w:type="dxa"/>
        <w:tblCellMar>
          <w:left w:w="70" w:type="dxa"/>
          <w:right w:w="70" w:type="dxa"/>
        </w:tblCellMar>
        <w:tblLook w:val="04A0"/>
      </w:tblPr>
      <w:tblGrid>
        <w:gridCol w:w="2560"/>
        <w:gridCol w:w="580"/>
        <w:gridCol w:w="1340"/>
        <w:gridCol w:w="1340"/>
        <w:gridCol w:w="1340"/>
        <w:gridCol w:w="1340"/>
      </w:tblGrid>
      <w:tr w:rsidR="007F465D" w:rsidRPr="007F465D" w:rsidTr="007F465D">
        <w:trPr>
          <w:trHeight w:val="255"/>
        </w:trPr>
        <w:tc>
          <w:tcPr>
            <w:tcW w:w="4480" w:type="dxa"/>
            <w:gridSpan w:val="3"/>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Skattefri virksomhedsomdannelse pr. 1/1 2008</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 Handels- </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 værdier </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 Regnskab </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for </w:t>
            </w:r>
            <w:r w:rsidR="002A7A59">
              <w:rPr>
                <w:rFonts w:eastAsia="Times New Roman" w:cs="Arial"/>
                <w:b/>
                <w:bCs/>
                <w:sz w:val="20"/>
                <w:szCs w:val="20"/>
                <w:lang w:eastAsia="da-DK"/>
              </w:rPr>
              <w:t>A/S</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 Skattemæssig  </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 Skattemæssig </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 31.12.2007 </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01.01.2008</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 værdi </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 xml:space="preserve"> avance/tab </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Goodwill</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580.000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580.000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Imm. aktiver i alt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580.000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580.000</w:t>
            </w:r>
          </w:p>
        </w:tc>
      </w:tr>
      <w:tr w:rsidR="007F465D" w:rsidRPr="007F465D" w:rsidTr="007F465D">
        <w:trPr>
          <w:trHeight w:val="255"/>
        </w:trPr>
        <w:tc>
          <w:tcPr>
            <w:tcW w:w="256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58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Ejendom</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3.061.000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5.000.000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1.901.000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3.099.000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Indretning lejede lokaler</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780.000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900.000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280.000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620.000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Dritsmaterial og inventar</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429.000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600.000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414.000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186.000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Mat. aktiver i alt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4.270.000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6.500.000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2.595.000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3.905.000</w:t>
            </w:r>
          </w:p>
        </w:tc>
      </w:tr>
      <w:tr w:rsidR="007F465D" w:rsidRPr="007F465D" w:rsidTr="007F465D">
        <w:trPr>
          <w:trHeight w:val="255"/>
        </w:trPr>
        <w:tc>
          <w:tcPr>
            <w:tcW w:w="256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Varelager</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2.140.000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2.640.000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2.640.000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Debitorer</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1.880.000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2.080.000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2.080.000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Tilgode interessent B</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12.000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12.000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Likvide beholdninger</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50.000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50.000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50.000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Oms. aktiver i alt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4.070.000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4.782.000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4.782.000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0</w:t>
            </w:r>
          </w:p>
        </w:tc>
      </w:tr>
      <w:tr w:rsidR="007F465D" w:rsidRPr="007F465D" w:rsidTr="007F465D">
        <w:trPr>
          <w:trHeight w:val="255"/>
        </w:trPr>
        <w:tc>
          <w:tcPr>
            <w:tcW w:w="256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Aktiver i alt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8.340.000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11.862.000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7.377.000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4.485.000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Prioritetsgæld</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1.959.000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1.850.000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1.850.000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Pr>
                <w:rFonts w:eastAsia="Times New Roman" w:cs="Arial"/>
                <w:sz w:val="20"/>
                <w:szCs w:val="20"/>
                <w:lang w:eastAsia="da-DK"/>
              </w:rPr>
              <w:t>Gæld til pengeinsti</w:t>
            </w:r>
            <w:r w:rsidRPr="007F465D">
              <w:rPr>
                <w:rFonts w:eastAsia="Times New Roman" w:cs="Arial"/>
                <w:sz w:val="20"/>
                <w:szCs w:val="20"/>
                <w:lang w:eastAsia="da-DK"/>
              </w:rPr>
              <w:t>t</w:t>
            </w:r>
            <w:r>
              <w:rPr>
                <w:rFonts w:eastAsia="Times New Roman" w:cs="Arial"/>
                <w:sz w:val="20"/>
                <w:szCs w:val="20"/>
                <w:lang w:eastAsia="da-DK"/>
              </w:rPr>
              <w:t>ut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2.127.000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2.628.000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2.628.000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Anden gæld</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1.893.000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2.092.000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2.092.000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Mellemregning interessent A</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161.000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161.000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161.000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0</w:t>
            </w: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Gæld i alt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6.140.000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6.731.000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6.731.000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3140" w:type="dxa"/>
            <w:gridSpan w:val="2"/>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Nettoformue</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2.200.000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5.131.000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646.000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4.485.000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Berigtigelse:</w:t>
            </w: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Overdragne aktiver i alt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11.862.000</w:t>
            </w: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Overdragelse gæld i alt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6.731.000</w:t>
            </w: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Kontant nettoværdi</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5.131.000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 xml:space="preserve">Afsat udskudt skat, </w:t>
            </w: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25%</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4.485.000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-1.121.250</w:t>
            </w: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Til rest kontant nettoværdi herefter</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4.009.750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Egenkapital herefter</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4.009.750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Der fordeles således:</w:t>
            </w: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Aktiekapital</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500.000</w:t>
            </w: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Overkurs (henføres til frie reserver)</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3.509.750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I alt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4.009.750</w:t>
            </w:r>
          </w:p>
        </w:tc>
      </w:tr>
    </w:tbl>
    <w:p w:rsidR="002B5FE5" w:rsidRDefault="002B5FE5"/>
    <w:p w:rsidR="002B5FE5" w:rsidRDefault="002B5FE5">
      <w:r>
        <w:br w:type="page"/>
      </w:r>
    </w:p>
    <w:tbl>
      <w:tblPr>
        <w:tblW w:w="8500" w:type="dxa"/>
        <w:tblInd w:w="55" w:type="dxa"/>
        <w:tblCellMar>
          <w:left w:w="70" w:type="dxa"/>
          <w:right w:w="70" w:type="dxa"/>
        </w:tblCellMar>
        <w:tblLook w:val="04A0"/>
      </w:tblPr>
      <w:tblGrid>
        <w:gridCol w:w="2560"/>
        <w:gridCol w:w="580"/>
        <w:gridCol w:w="1340"/>
        <w:gridCol w:w="1340"/>
        <w:gridCol w:w="1340"/>
        <w:gridCol w:w="1340"/>
      </w:tblGrid>
      <w:tr w:rsidR="007F465D" w:rsidRPr="007F465D" w:rsidTr="007F465D">
        <w:trPr>
          <w:trHeight w:val="255"/>
        </w:trPr>
        <w:tc>
          <w:tcPr>
            <w:tcW w:w="3140" w:type="dxa"/>
            <w:gridSpan w:val="2"/>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Skattemæssig anskaffelsessum</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2B5FE5" w:rsidP="002B5FE5">
            <w:pPr>
              <w:spacing w:line="240" w:lineRule="auto"/>
              <w:jc w:val="right"/>
              <w:rPr>
                <w:rFonts w:eastAsia="Times New Roman" w:cs="Arial"/>
                <w:b/>
                <w:bCs/>
                <w:sz w:val="20"/>
                <w:szCs w:val="20"/>
                <w:lang w:eastAsia="da-DK"/>
              </w:rPr>
            </w:pPr>
            <w:r>
              <w:rPr>
                <w:rFonts w:eastAsia="Times New Roman" w:cs="Arial"/>
                <w:b/>
                <w:bCs/>
                <w:sz w:val="20"/>
                <w:szCs w:val="20"/>
                <w:lang w:eastAsia="da-DK"/>
              </w:rPr>
              <w:t xml:space="preserve"> Aktier</w:t>
            </w:r>
            <w:r w:rsidR="007F465D" w:rsidRPr="007F465D">
              <w:rPr>
                <w:rFonts w:eastAsia="Times New Roman" w:cs="Arial"/>
                <w:b/>
                <w:bCs/>
                <w:sz w:val="20"/>
                <w:szCs w:val="20"/>
                <w:lang w:eastAsia="da-DK"/>
              </w:rPr>
              <w:t xml:space="preserve"> A </w:t>
            </w:r>
          </w:p>
        </w:tc>
        <w:tc>
          <w:tcPr>
            <w:tcW w:w="1340" w:type="dxa"/>
            <w:tcBorders>
              <w:top w:val="nil"/>
              <w:left w:val="nil"/>
              <w:bottom w:val="nil"/>
              <w:right w:val="nil"/>
            </w:tcBorders>
            <w:shd w:val="clear" w:color="auto" w:fill="auto"/>
            <w:noWrap/>
            <w:vAlign w:val="bottom"/>
            <w:hideMark/>
          </w:tcPr>
          <w:p w:rsidR="007F465D" w:rsidRPr="007F465D" w:rsidRDefault="002B5FE5" w:rsidP="002B5FE5">
            <w:pPr>
              <w:spacing w:line="240" w:lineRule="auto"/>
              <w:jc w:val="right"/>
              <w:rPr>
                <w:rFonts w:eastAsia="Times New Roman" w:cs="Arial"/>
                <w:b/>
                <w:bCs/>
                <w:sz w:val="20"/>
                <w:szCs w:val="20"/>
                <w:lang w:eastAsia="da-DK"/>
              </w:rPr>
            </w:pPr>
            <w:r>
              <w:rPr>
                <w:rFonts w:eastAsia="Times New Roman" w:cs="Arial"/>
                <w:b/>
                <w:bCs/>
                <w:sz w:val="20"/>
                <w:szCs w:val="20"/>
                <w:lang w:eastAsia="da-DK"/>
              </w:rPr>
              <w:t>Aktier</w:t>
            </w:r>
            <w:r w:rsidR="007F465D" w:rsidRPr="007F465D">
              <w:rPr>
                <w:rFonts w:eastAsia="Times New Roman" w:cs="Arial"/>
                <w:b/>
                <w:bCs/>
                <w:sz w:val="20"/>
                <w:szCs w:val="20"/>
                <w:lang w:eastAsia="da-DK"/>
              </w:rPr>
              <w:t xml:space="preserve"> B</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3140" w:type="dxa"/>
            <w:gridSpan w:val="2"/>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Virksomhedens kontante nettoværdi</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2.565.500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2.565.500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 Opsparet overskud, netto</w:t>
            </w: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-551.000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-410.000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-2.242.500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-2.242.500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10%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3.285.000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164.250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164.250</w:t>
            </w:r>
          </w:p>
        </w:tc>
      </w:tr>
      <w:tr w:rsidR="007F465D" w:rsidRPr="007F465D" w:rsidTr="007F465D">
        <w:trPr>
          <w:trHeight w:val="255"/>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58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sz w:val="20"/>
                <w:szCs w:val="20"/>
                <w:lang w:eastAsia="da-DK"/>
              </w:rPr>
            </w:pPr>
          </w:p>
        </w:tc>
      </w:tr>
      <w:tr w:rsidR="007F465D" w:rsidRPr="007F465D" w:rsidTr="007F465D">
        <w:trPr>
          <w:trHeight w:val="255"/>
        </w:trPr>
        <w:tc>
          <w:tcPr>
            <w:tcW w:w="7160" w:type="dxa"/>
            <w:gridSpan w:val="5"/>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sz w:val="20"/>
                <w:szCs w:val="20"/>
                <w:lang w:eastAsia="da-DK"/>
              </w:rPr>
            </w:pPr>
            <w:r w:rsidRPr="007F465D">
              <w:rPr>
                <w:rFonts w:eastAsia="Times New Roman" w:cs="Arial"/>
                <w:sz w:val="20"/>
                <w:szCs w:val="20"/>
                <w:lang w:eastAsia="da-DK"/>
              </w:rPr>
              <w:t>Udligning af udskudt skat (231.000-183.000)*25%. Indb. af B da afskrevet mest</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sz w:val="20"/>
                <w:szCs w:val="20"/>
                <w:lang w:eastAsia="da-DK"/>
              </w:rPr>
            </w:pPr>
            <w:r w:rsidRPr="007F465D">
              <w:rPr>
                <w:rFonts w:eastAsia="Times New Roman" w:cs="Arial"/>
                <w:sz w:val="20"/>
                <w:szCs w:val="20"/>
                <w:lang w:eastAsia="da-DK"/>
              </w:rPr>
              <w:t>12.000</w:t>
            </w:r>
          </w:p>
        </w:tc>
      </w:tr>
      <w:tr w:rsidR="007F465D" w:rsidRPr="007F465D" w:rsidTr="007F465D">
        <w:trPr>
          <w:trHeight w:val="300"/>
        </w:trPr>
        <w:tc>
          <w:tcPr>
            <w:tcW w:w="256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58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left"/>
              <w:rPr>
                <w:rFonts w:eastAsia="Times New Roman" w:cs="Arial"/>
                <w:b/>
                <w:bCs/>
                <w:sz w:val="20"/>
                <w:szCs w:val="20"/>
                <w:lang w:eastAsia="da-DK"/>
              </w:rPr>
            </w:pPr>
          </w:p>
        </w:tc>
      </w:tr>
      <w:tr w:rsidR="007F465D" w:rsidRPr="007F465D" w:rsidTr="007F465D">
        <w:trPr>
          <w:trHeight w:val="510"/>
        </w:trPr>
        <w:tc>
          <w:tcPr>
            <w:tcW w:w="2560" w:type="dxa"/>
            <w:tcBorders>
              <w:top w:val="nil"/>
              <w:left w:val="nil"/>
              <w:bottom w:val="nil"/>
              <w:right w:val="nil"/>
            </w:tcBorders>
            <w:shd w:val="clear" w:color="auto" w:fill="auto"/>
            <w:vAlign w:val="bottom"/>
            <w:hideMark/>
          </w:tcPr>
          <w:p w:rsidR="007F465D" w:rsidRPr="007F465D" w:rsidRDefault="007F465D" w:rsidP="006C471F">
            <w:pPr>
              <w:spacing w:line="240" w:lineRule="auto"/>
              <w:jc w:val="left"/>
              <w:rPr>
                <w:rFonts w:eastAsia="Times New Roman" w:cs="Arial"/>
                <w:b/>
                <w:bCs/>
                <w:sz w:val="20"/>
                <w:szCs w:val="20"/>
                <w:lang w:eastAsia="da-DK"/>
              </w:rPr>
            </w:pPr>
            <w:r w:rsidRPr="007F465D">
              <w:rPr>
                <w:rFonts w:eastAsia="Times New Roman" w:cs="Arial"/>
                <w:b/>
                <w:bCs/>
                <w:sz w:val="20"/>
                <w:szCs w:val="20"/>
                <w:lang w:eastAsia="da-DK"/>
              </w:rPr>
              <w:t>Skattemæssig anskaffelse</w:t>
            </w:r>
            <w:r w:rsidRPr="007F465D">
              <w:rPr>
                <w:rFonts w:eastAsia="Times New Roman" w:cs="Arial"/>
                <w:b/>
                <w:bCs/>
                <w:sz w:val="20"/>
                <w:szCs w:val="20"/>
                <w:lang w:eastAsia="da-DK"/>
              </w:rPr>
              <w:t>s</w:t>
            </w:r>
            <w:r w:rsidR="00851BE0">
              <w:rPr>
                <w:rFonts w:eastAsia="Times New Roman" w:cs="Arial"/>
                <w:b/>
                <w:bCs/>
                <w:sz w:val="20"/>
                <w:szCs w:val="20"/>
                <w:lang w:eastAsia="da-DK"/>
              </w:rPr>
              <w:t xml:space="preserve">sum </w:t>
            </w:r>
            <w:r w:rsidR="006C471F">
              <w:rPr>
                <w:rFonts w:eastAsia="Times New Roman" w:cs="Arial"/>
                <w:b/>
                <w:bCs/>
                <w:sz w:val="20"/>
                <w:szCs w:val="20"/>
                <w:lang w:eastAsia="da-DK"/>
              </w:rPr>
              <w:t>aktier</w:t>
            </w:r>
          </w:p>
        </w:tc>
        <w:tc>
          <w:tcPr>
            <w:tcW w:w="58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vAlign w:val="bottom"/>
            <w:hideMark/>
          </w:tcPr>
          <w:p w:rsidR="007F465D" w:rsidRPr="007F465D" w:rsidRDefault="007F465D" w:rsidP="007F465D">
            <w:pPr>
              <w:spacing w:line="240" w:lineRule="auto"/>
              <w:jc w:val="left"/>
              <w:rPr>
                <w:rFonts w:eastAsia="Times New Roman" w:cs="Arial"/>
                <w:b/>
                <w:bCs/>
                <w:sz w:val="20"/>
                <w:szCs w:val="20"/>
                <w:lang w:eastAsia="da-DK"/>
              </w:rPr>
            </w:pP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-63.750</w:t>
            </w:r>
          </w:p>
        </w:tc>
        <w:tc>
          <w:tcPr>
            <w:tcW w:w="1340" w:type="dxa"/>
            <w:tcBorders>
              <w:top w:val="nil"/>
              <w:left w:val="nil"/>
              <w:bottom w:val="nil"/>
              <w:right w:val="nil"/>
            </w:tcBorders>
            <w:shd w:val="clear" w:color="auto" w:fill="auto"/>
            <w:noWrap/>
            <w:vAlign w:val="bottom"/>
            <w:hideMark/>
          </w:tcPr>
          <w:p w:rsidR="007F465D" w:rsidRPr="007F465D" w:rsidRDefault="007F465D" w:rsidP="007F465D">
            <w:pPr>
              <w:spacing w:line="240" w:lineRule="auto"/>
              <w:jc w:val="right"/>
              <w:rPr>
                <w:rFonts w:eastAsia="Times New Roman" w:cs="Arial"/>
                <w:b/>
                <w:bCs/>
                <w:sz w:val="20"/>
                <w:szCs w:val="20"/>
                <w:lang w:eastAsia="da-DK"/>
              </w:rPr>
            </w:pPr>
            <w:r w:rsidRPr="007F465D">
              <w:rPr>
                <w:rFonts w:eastAsia="Times New Roman" w:cs="Arial"/>
                <w:b/>
                <w:bCs/>
                <w:sz w:val="20"/>
                <w:szCs w:val="20"/>
                <w:lang w:eastAsia="da-DK"/>
              </w:rPr>
              <w:t>89.250</w:t>
            </w:r>
          </w:p>
        </w:tc>
      </w:tr>
    </w:tbl>
    <w:p w:rsidR="007F465D" w:rsidRDefault="002F0FFE" w:rsidP="002F0FFE">
      <w:pPr>
        <w:pStyle w:val="Billedtekst"/>
      </w:pPr>
      <w:bookmarkStart w:id="116" w:name="_Toc218751408"/>
      <w:r>
        <w:t xml:space="preserve">Figur </w:t>
      </w:r>
      <w:fldSimple w:instr=" SEQ Figur \* ARABIC ">
        <w:r w:rsidR="000F066D">
          <w:rPr>
            <w:noProof/>
          </w:rPr>
          <w:t>26</w:t>
        </w:r>
      </w:fldSimple>
      <w:r w:rsidR="003B4912">
        <w:t xml:space="preserve"> Opstilling af åbningsbalance for selskab og skattemæssige anskaffelsessummer for A og B</w:t>
      </w:r>
      <w:bookmarkEnd w:id="116"/>
    </w:p>
    <w:p w:rsidR="003B4912" w:rsidRDefault="003B4912" w:rsidP="00AF4FDF"/>
    <w:p w:rsidR="007A35E5" w:rsidRDefault="007A35E5" w:rsidP="00AF4FDF">
      <w:r>
        <w:t>Da interessent B har hævet mere i interessentskabet end A, skal der inden omdanne</w:t>
      </w:r>
      <w:r>
        <w:t>l</w:t>
      </w:r>
      <w:r>
        <w:t>sen foretages en hævning til A for at udligne denne forskel. Ellers vil der opstå en fo</w:t>
      </w:r>
      <w:r>
        <w:t>r</w:t>
      </w:r>
      <w:r>
        <w:t>mueforskydning imellem interessenterne. For at undgå at selskabet belastes likvid</w:t>
      </w:r>
      <w:r>
        <w:t>i</w:t>
      </w:r>
      <w:r>
        <w:t>tetsmæssigt af denne udbetaling afsættes den i stedet for i selskabets balance som en gæld til A. Derudover skal interessent B yderligere indbetale 12 tkr. til selskabet for at udligne forskellen mellem A og B i den udskudte skatteforpligtigelse. Herefter bere</w:t>
      </w:r>
      <w:r>
        <w:t>g</w:t>
      </w:r>
      <w:r>
        <w:t>nes interessenternes anskaffelsessum for aktierne. A’s anskaffelsessum bliver negativ, men da A tidligere har benyttet virksomhedsordningen, samt at hele virksomhedsor</w:t>
      </w:r>
      <w:r>
        <w:t>d</w:t>
      </w:r>
      <w:r>
        <w:t>ningen omdannes er det ikke et problem. Ved opgørelse af avancen ved salg af aktie</w:t>
      </w:r>
      <w:r>
        <w:t>r</w:t>
      </w:r>
      <w:r>
        <w:t xml:space="preserve">ne skal den negative anskaffelsessum anvendes. B’s anskaffelsessum er på 83 tkr. A og B skal ikke betale en skat nu, men udskyder til gengæld skatten til de på et tidspunkt sælger aktierne.   </w:t>
      </w:r>
    </w:p>
    <w:p w:rsidR="007A35E5" w:rsidRDefault="007A35E5" w:rsidP="00AF4FDF"/>
    <w:tbl>
      <w:tblPr>
        <w:tblW w:w="0" w:type="auto"/>
        <w:tblCellMar>
          <w:left w:w="70" w:type="dxa"/>
          <w:right w:w="70" w:type="dxa"/>
        </w:tblCellMar>
        <w:tblLook w:val="00A0"/>
      </w:tblPr>
      <w:tblGrid>
        <w:gridCol w:w="2970"/>
        <w:gridCol w:w="1561"/>
        <w:gridCol w:w="1824"/>
        <w:gridCol w:w="2289"/>
      </w:tblGrid>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b/>
                <w:bCs/>
                <w:sz w:val="20"/>
                <w:szCs w:val="20"/>
                <w:lang w:eastAsia="da-DK"/>
              </w:rPr>
            </w:pPr>
            <w:r w:rsidRPr="000F36EF">
              <w:rPr>
                <w:rFonts w:cs="Arial"/>
                <w:b/>
                <w:bCs/>
                <w:sz w:val="20"/>
                <w:szCs w:val="20"/>
                <w:lang w:eastAsia="da-DK"/>
              </w:rPr>
              <w:t>A</w:t>
            </w: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Skattefri omda</w:t>
            </w:r>
            <w:r w:rsidRPr="000F36EF">
              <w:rPr>
                <w:rFonts w:cs="Arial"/>
                <w:sz w:val="20"/>
                <w:szCs w:val="20"/>
                <w:lang w:eastAsia="da-DK"/>
              </w:rPr>
              <w:t>n</w:t>
            </w:r>
            <w:r w:rsidRPr="000F36EF">
              <w:rPr>
                <w:rFonts w:cs="Arial"/>
                <w:sz w:val="20"/>
                <w:szCs w:val="20"/>
                <w:lang w:eastAsia="da-DK"/>
              </w:rPr>
              <w:t>nelse</w:t>
            </w: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Skattepligtig o</w:t>
            </w:r>
            <w:r w:rsidRPr="000F36EF">
              <w:rPr>
                <w:rFonts w:cs="Arial"/>
                <w:sz w:val="20"/>
                <w:szCs w:val="20"/>
                <w:lang w:eastAsia="da-DK"/>
              </w:rPr>
              <w:t>m</w:t>
            </w:r>
            <w:r w:rsidRPr="000F36EF">
              <w:rPr>
                <w:rFonts w:cs="Arial"/>
                <w:sz w:val="20"/>
                <w:szCs w:val="20"/>
                <w:lang w:eastAsia="da-DK"/>
              </w:rPr>
              <w:t>dannelse</w:t>
            </w: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Fordel ved skattefri o</w:t>
            </w:r>
            <w:r w:rsidRPr="000F36EF">
              <w:rPr>
                <w:rFonts w:cs="Arial"/>
                <w:sz w:val="20"/>
                <w:szCs w:val="20"/>
                <w:lang w:eastAsia="da-DK"/>
              </w:rPr>
              <w:t>m</w:t>
            </w:r>
            <w:r w:rsidRPr="000F36EF">
              <w:rPr>
                <w:rFonts w:cs="Arial"/>
                <w:sz w:val="20"/>
                <w:szCs w:val="20"/>
                <w:lang w:eastAsia="da-DK"/>
              </w:rPr>
              <w:t>dannelse</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Skat af avance i salgsåret</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-1.301.738</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1.301.738</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Hævning i omdannelsesår inkl. betalt skat</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59.570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59.570</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Beskatning af konto for opsparet overskud</w:t>
            </w: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-257.960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257.960</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b/>
                <w:bCs/>
                <w:sz w:val="20"/>
                <w:szCs w:val="20"/>
                <w:lang w:eastAsia="da-DK"/>
              </w:rPr>
            </w:pPr>
            <w:r w:rsidRPr="000F36EF">
              <w:rPr>
                <w:rFonts w:cs="Arial"/>
                <w:b/>
                <w:bCs/>
                <w:sz w:val="20"/>
                <w:szCs w:val="20"/>
                <w:lang w:eastAsia="da-DK"/>
              </w:rPr>
              <w:t>Likviditet i omdannelsesår</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b/>
                <w:bCs/>
                <w:sz w:val="20"/>
                <w:szCs w:val="20"/>
                <w:lang w:eastAsia="da-DK"/>
              </w:rPr>
            </w:pPr>
            <w:r w:rsidRPr="000F36EF">
              <w:rPr>
                <w:rFonts w:cs="Arial"/>
                <w:b/>
                <w:bCs/>
                <w:sz w:val="20"/>
                <w:szCs w:val="20"/>
                <w:lang w:eastAsia="da-DK"/>
              </w:rPr>
              <w:t>59.570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b/>
                <w:bCs/>
                <w:sz w:val="20"/>
                <w:szCs w:val="20"/>
                <w:lang w:eastAsia="da-DK"/>
              </w:rPr>
            </w:pPr>
            <w:r w:rsidRPr="000F36EF">
              <w:rPr>
                <w:rFonts w:cs="Arial"/>
                <w:b/>
                <w:bCs/>
                <w:sz w:val="20"/>
                <w:szCs w:val="20"/>
                <w:lang w:eastAsia="da-DK"/>
              </w:rPr>
              <w:t>-1.559.698</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b/>
                <w:bCs/>
                <w:sz w:val="20"/>
                <w:szCs w:val="20"/>
                <w:lang w:eastAsia="da-DK"/>
              </w:rPr>
            </w:pPr>
            <w:r w:rsidRPr="000F36EF">
              <w:rPr>
                <w:rFonts w:cs="Arial"/>
                <w:b/>
                <w:bCs/>
                <w:sz w:val="20"/>
                <w:szCs w:val="20"/>
                <w:lang w:eastAsia="da-DK"/>
              </w:rPr>
              <w:t>1.619.268</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b/>
                <w:bCs/>
                <w:sz w:val="20"/>
                <w:szCs w:val="20"/>
                <w:lang w:eastAsia="da-DK"/>
              </w:rPr>
            </w:pPr>
            <w:r w:rsidRPr="000F36EF">
              <w:rPr>
                <w:rFonts w:cs="Arial"/>
                <w:b/>
                <w:bCs/>
                <w:sz w:val="20"/>
                <w:szCs w:val="20"/>
                <w:lang w:eastAsia="da-DK"/>
              </w:rPr>
              <w:lastRenderedPageBreak/>
              <w:t>B</w:t>
            </w: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Skattefri omda</w:t>
            </w:r>
            <w:r w:rsidRPr="000F36EF">
              <w:rPr>
                <w:rFonts w:cs="Arial"/>
                <w:sz w:val="20"/>
                <w:szCs w:val="20"/>
                <w:lang w:eastAsia="da-DK"/>
              </w:rPr>
              <w:t>n</w:t>
            </w:r>
            <w:r w:rsidRPr="000F36EF">
              <w:rPr>
                <w:rFonts w:cs="Arial"/>
                <w:sz w:val="20"/>
                <w:szCs w:val="20"/>
                <w:lang w:eastAsia="da-DK"/>
              </w:rPr>
              <w:t>nelse</w:t>
            </w: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Skattepligtig o</w:t>
            </w:r>
            <w:r w:rsidRPr="000F36EF">
              <w:rPr>
                <w:rFonts w:cs="Arial"/>
                <w:sz w:val="20"/>
                <w:szCs w:val="20"/>
                <w:lang w:eastAsia="da-DK"/>
              </w:rPr>
              <w:t>m</w:t>
            </w:r>
            <w:r w:rsidRPr="000F36EF">
              <w:rPr>
                <w:rFonts w:cs="Arial"/>
                <w:sz w:val="20"/>
                <w:szCs w:val="20"/>
                <w:lang w:eastAsia="da-DK"/>
              </w:rPr>
              <w:t>dannelse</w:t>
            </w:r>
          </w:p>
        </w:tc>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Fordel ved skattefri o</w:t>
            </w:r>
            <w:r w:rsidRPr="000F36EF">
              <w:rPr>
                <w:rFonts w:cs="Arial"/>
                <w:sz w:val="20"/>
                <w:szCs w:val="20"/>
                <w:lang w:eastAsia="da-DK"/>
              </w:rPr>
              <w:t>m</w:t>
            </w:r>
            <w:r w:rsidRPr="000F36EF">
              <w:rPr>
                <w:rFonts w:cs="Arial"/>
                <w:sz w:val="20"/>
                <w:szCs w:val="20"/>
                <w:lang w:eastAsia="da-DK"/>
              </w:rPr>
              <w:t>dannelse</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Skat af avance i salgsåret</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-1.316.858</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1.316.858</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 xml:space="preserve">Hævning i omdannelsesår </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0</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sz w:val="20"/>
                <w:szCs w:val="20"/>
                <w:lang w:eastAsia="da-DK"/>
              </w:rPr>
            </w:pPr>
            <w:r w:rsidRPr="000F36EF">
              <w:rPr>
                <w:rFonts w:cs="Arial"/>
                <w:sz w:val="20"/>
                <w:szCs w:val="20"/>
                <w:lang w:eastAsia="da-DK"/>
              </w:rPr>
              <w:t>Beskatning af konto for opsparet overskud</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-194.660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sz w:val="20"/>
                <w:szCs w:val="20"/>
                <w:lang w:eastAsia="da-DK"/>
              </w:rPr>
            </w:pPr>
            <w:r w:rsidRPr="000F36EF">
              <w:rPr>
                <w:rFonts w:cs="Arial"/>
                <w:sz w:val="20"/>
                <w:szCs w:val="20"/>
                <w:lang w:eastAsia="da-DK"/>
              </w:rPr>
              <w:t>194.660</w:t>
            </w:r>
          </w:p>
        </w:tc>
      </w:tr>
      <w:tr w:rsidR="007A35E5" w:rsidRPr="000F36EF" w:rsidTr="002931CF">
        <w:trPr>
          <w:trHeight w:val="282"/>
        </w:trPr>
        <w:tc>
          <w:tcPr>
            <w:tcW w:w="0" w:type="auto"/>
            <w:tcBorders>
              <w:top w:val="nil"/>
              <w:left w:val="nil"/>
              <w:bottom w:val="nil"/>
              <w:right w:val="nil"/>
            </w:tcBorders>
            <w:noWrap/>
            <w:vAlign w:val="bottom"/>
          </w:tcPr>
          <w:p w:rsidR="007A35E5" w:rsidRPr="000F36EF" w:rsidRDefault="007A35E5" w:rsidP="00B86774">
            <w:pPr>
              <w:spacing w:line="240" w:lineRule="auto"/>
              <w:jc w:val="left"/>
              <w:rPr>
                <w:rFonts w:cs="Arial"/>
                <w:b/>
                <w:bCs/>
                <w:sz w:val="20"/>
                <w:szCs w:val="20"/>
                <w:lang w:eastAsia="da-DK"/>
              </w:rPr>
            </w:pPr>
            <w:r w:rsidRPr="000F36EF">
              <w:rPr>
                <w:rFonts w:cs="Arial"/>
                <w:b/>
                <w:bCs/>
                <w:sz w:val="20"/>
                <w:szCs w:val="20"/>
                <w:lang w:eastAsia="da-DK"/>
              </w:rPr>
              <w:t>Likviditet i omdannelsesår</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b/>
                <w:bCs/>
                <w:sz w:val="20"/>
                <w:szCs w:val="20"/>
                <w:lang w:eastAsia="da-DK"/>
              </w:rPr>
            </w:pPr>
            <w:r w:rsidRPr="000F36EF">
              <w:rPr>
                <w:rFonts w:cs="Arial"/>
                <w:b/>
                <w:bCs/>
                <w:sz w:val="20"/>
                <w:szCs w:val="20"/>
                <w:lang w:eastAsia="da-DK"/>
              </w:rPr>
              <w:t>0</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b/>
                <w:bCs/>
                <w:sz w:val="20"/>
                <w:szCs w:val="20"/>
                <w:lang w:eastAsia="da-DK"/>
              </w:rPr>
            </w:pPr>
            <w:r w:rsidRPr="000F36EF">
              <w:rPr>
                <w:rFonts w:cs="Arial"/>
                <w:b/>
                <w:bCs/>
                <w:sz w:val="20"/>
                <w:szCs w:val="20"/>
                <w:lang w:eastAsia="da-DK"/>
              </w:rPr>
              <w:t>-1.511.518</w:t>
            </w:r>
          </w:p>
        </w:tc>
        <w:tc>
          <w:tcPr>
            <w:tcW w:w="0" w:type="auto"/>
            <w:tcBorders>
              <w:top w:val="nil"/>
              <w:left w:val="nil"/>
              <w:bottom w:val="nil"/>
              <w:right w:val="nil"/>
            </w:tcBorders>
            <w:noWrap/>
            <w:vAlign w:val="bottom"/>
          </w:tcPr>
          <w:p w:rsidR="007A35E5" w:rsidRPr="000F36EF" w:rsidRDefault="007A35E5" w:rsidP="00B86774">
            <w:pPr>
              <w:spacing w:line="240" w:lineRule="auto"/>
              <w:jc w:val="right"/>
              <w:rPr>
                <w:rFonts w:cs="Arial"/>
                <w:b/>
                <w:bCs/>
                <w:sz w:val="20"/>
                <w:szCs w:val="20"/>
                <w:lang w:eastAsia="da-DK"/>
              </w:rPr>
            </w:pPr>
            <w:r w:rsidRPr="000F36EF">
              <w:rPr>
                <w:rFonts w:cs="Arial"/>
                <w:b/>
                <w:bCs/>
                <w:sz w:val="20"/>
                <w:szCs w:val="20"/>
                <w:lang w:eastAsia="da-DK"/>
              </w:rPr>
              <w:t>1.511.518</w:t>
            </w:r>
          </w:p>
        </w:tc>
      </w:tr>
    </w:tbl>
    <w:p w:rsidR="007A35E5" w:rsidRDefault="002F0FFE" w:rsidP="002F0FFE">
      <w:pPr>
        <w:pStyle w:val="Billedtekst"/>
      </w:pPr>
      <w:bookmarkStart w:id="117" w:name="_Toc218751409"/>
      <w:r>
        <w:t xml:space="preserve">Figur </w:t>
      </w:r>
      <w:fldSimple w:instr=" SEQ Figur \* ARABIC ">
        <w:r w:rsidR="000F066D">
          <w:rPr>
            <w:noProof/>
          </w:rPr>
          <w:t>27</w:t>
        </w:r>
      </w:fldSimple>
      <w:r w:rsidR="003B4912">
        <w:t xml:space="preserve"> Sammenligning af likviditet ved skattefri og skattepligtig virksomhedsomdannelse for A og B</w:t>
      </w:r>
      <w:bookmarkEnd w:id="117"/>
    </w:p>
    <w:p w:rsidR="003B4912" w:rsidRDefault="003B4912" w:rsidP="00AF4FDF"/>
    <w:p w:rsidR="007A35E5" w:rsidRDefault="007A35E5" w:rsidP="00AF4FDF">
      <w:r>
        <w:t xml:space="preserve">Hvis de i stedet foretager en beskattet overdragelse bliver de beskattet af avancen i salgsåret samt beskatningen af opsparet overskud. Det vil ca. betyde en skat på 1.5 mio. for begge interessenter under forudsætning af, at de kommer til at betale topskat af hele beløbet. En ikke urealistisk forudsætning, da, selv om virksomhedsindkomsten nu ligger i selskabet, må </w:t>
      </w:r>
      <w:r w:rsidR="001F3E63">
        <w:t xml:space="preserve">det </w:t>
      </w:r>
      <w:r>
        <w:t xml:space="preserve">formodes at </w:t>
      </w:r>
      <w:r w:rsidR="001F3E63">
        <w:t xml:space="preserve">de </w:t>
      </w:r>
      <w:r>
        <w:t>hæve</w:t>
      </w:r>
      <w:r w:rsidR="001F3E63">
        <w:t>r løn til sig</w:t>
      </w:r>
      <w:r>
        <w:t xml:space="preserve"> selv. Da de modtager a</w:t>
      </w:r>
      <w:r>
        <w:t>k</w:t>
      </w:r>
      <w:r>
        <w:t>tier som vederlag, har interessenterne ikke umiddelbart likviditeten til at afregne ska</w:t>
      </w:r>
      <w:r>
        <w:t>t</w:t>
      </w:r>
      <w:r>
        <w:t>ten. Hvis de vælger at modtage en del af vederlaget som kontanter, belaster de i st</w:t>
      </w:r>
      <w:r>
        <w:t>e</w:t>
      </w:r>
      <w:r>
        <w:t>det virksomhedens fremtidige likviditet. De kan, som redegjort for i den beskattede overdragelse i personligt regi, nedbringe skatten ved at indskyde på pensioner. Igen bliver likviditeten et problem. Derfor er det fordelagtigt for interessenterne i denne case at vælge den skattefri omdannelse, så de udskyder beskatningen.</w:t>
      </w:r>
    </w:p>
    <w:p w:rsidR="007A35E5" w:rsidRPr="00ED129F" w:rsidRDefault="007A35E5" w:rsidP="00AF4FDF"/>
    <w:p w:rsidR="007A35E5" w:rsidRPr="002F4E41" w:rsidRDefault="009872D1" w:rsidP="00D75A46">
      <w:pPr>
        <w:pStyle w:val="Overskrift3"/>
      </w:pPr>
      <w:bookmarkStart w:id="118" w:name="_Toc221546222"/>
      <w:r>
        <w:t>4.</w:t>
      </w:r>
      <w:r w:rsidR="000555D8">
        <w:t>1</w:t>
      </w:r>
      <w:r w:rsidR="002F4E41" w:rsidRPr="002F4E41">
        <w:t>.</w:t>
      </w:r>
      <w:r w:rsidR="000555D8">
        <w:t>4</w:t>
      </w:r>
      <w:r w:rsidR="002F4E41" w:rsidRPr="002F4E41">
        <w:t xml:space="preserve"> </w:t>
      </w:r>
      <w:r w:rsidR="007A35E5" w:rsidRPr="002F4E41">
        <w:t>Sammenligning af skattepligtig og skattefri virksomhedso</w:t>
      </w:r>
      <w:r w:rsidR="007A35E5" w:rsidRPr="002F4E41">
        <w:t>m</w:t>
      </w:r>
      <w:r w:rsidR="007A35E5" w:rsidRPr="002F4E41">
        <w:t>dannelse</w:t>
      </w:r>
      <w:r w:rsidR="00627158">
        <w:t xml:space="preserve"> </w:t>
      </w:r>
      <w:r w:rsidR="00627158">
        <w:rPr>
          <w:b w:val="0"/>
          <w:sz w:val="22"/>
          <w:szCs w:val="22"/>
        </w:rPr>
        <w:t>(Pernille</w:t>
      </w:r>
      <w:r w:rsidR="00627158" w:rsidRPr="00E75844">
        <w:rPr>
          <w:b w:val="0"/>
          <w:sz w:val="22"/>
          <w:szCs w:val="22"/>
        </w:rPr>
        <w:t>)</w:t>
      </w:r>
      <w:bookmarkEnd w:id="118"/>
    </w:p>
    <w:p w:rsidR="007A35E5" w:rsidRDefault="007A35E5" w:rsidP="00AF4FDF">
      <w:r>
        <w:t>I vores case er den skattefri omdannelse en fordel, og det vil den være i størstedelen af omdannede</w:t>
      </w:r>
      <w:r w:rsidR="001F3E63">
        <w:t xml:space="preserve"> virksomheder, da d</w:t>
      </w:r>
      <w:r>
        <w:t>et normalt kun attraktivt, at omdanne virksomheder med en god indtjening, og dermed en stor latent skatteforpligtigelse for ejeren. Det er ofte også bedre for virksomhedens fremtidige drift, at den ikke skal finansiere skatt</w:t>
      </w:r>
      <w:r>
        <w:t>e</w:t>
      </w:r>
      <w:r>
        <w:t>betalinger, hvilket den sandsynligvis kommer til indirekte</w:t>
      </w:r>
      <w:r w:rsidR="001F3E63">
        <w:t xml:space="preserve"> ved at ejeren trækker ekstra ud til at betale skatten</w:t>
      </w:r>
      <w:r>
        <w:t xml:space="preserve">. I forhold til interessenter kan der dog i praksis være så store </w:t>
      </w:r>
      <w:r>
        <w:lastRenderedPageBreak/>
        <w:t>forskelle i kapitalkonti og skattemæssige avancer, at udligning ikke er en realistisk m</w:t>
      </w:r>
      <w:r>
        <w:t>u</w:t>
      </w:r>
      <w:r>
        <w:t xml:space="preserve">lighed. </w:t>
      </w:r>
    </w:p>
    <w:p w:rsidR="007A35E5" w:rsidRDefault="007A35E5" w:rsidP="00AF4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686"/>
        <w:gridCol w:w="3574"/>
      </w:tblGrid>
      <w:tr w:rsidR="007A35E5" w:rsidRPr="002A7FBD" w:rsidTr="009C2BFD">
        <w:tc>
          <w:tcPr>
            <w:tcW w:w="1384" w:type="dxa"/>
          </w:tcPr>
          <w:p w:rsidR="007A35E5" w:rsidRPr="002A7FBD" w:rsidRDefault="007A35E5" w:rsidP="00AF4FDF">
            <w:pPr>
              <w:rPr>
                <w:szCs w:val="20"/>
              </w:rPr>
            </w:pPr>
          </w:p>
        </w:tc>
        <w:tc>
          <w:tcPr>
            <w:tcW w:w="3686" w:type="dxa"/>
          </w:tcPr>
          <w:p w:rsidR="007A35E5" w:rsidRPr="002A7FBD" w:rsidRDefault="007A35E5" w:rsidP="00D44473">
            <w:pPr>
              <w:rPr>
                <w:b/>
                <w:szCs w:val="20"/>
              </w:rPr>
            </w:pPr>
            <w:r w:rsidRPr="002A7FBD">
              <w:rPr>
                <w:b/>
                <w:szCs w:val="20"/>
              </w:rPr>
              <w:t>Skattepligtig omdannelse</w:t>
            </w:r>
          </w:p>
        </w:tc>
        <w:tc>
          <w:tcPr>
            <w:tcW w:w="3574" w:type="dxa"/>
          </w:tcPr>
          <w:p w:rsidR="007A35E5" w:rsidRPr="002A7FBD" w:rsidRDefault="007A35E5" w:rsidP="00AF4FDF">
            <w:pPr>
              <w:rPr>
                <w:b/>
                <w:szCs w:val="20"/>
              </w:rPr>
            </w:pPr>
            <w:r w:rsidRPr="002A7FBD">
              <w:rPr>
                <w:b/>
                <w:szCs w:val="20"/>
              </w:rPr>
              <w:t>Skattefri omdannelse</w:t>
            </w:r>
          </w:p>
        </w:tc>
      </w:tr>
      <w:tr w:rsidR="007A35E5" w:rsidRPr="002A7FBD" w:rsidTr="002A7FBD">
        <w:tc>
          <w:tcPr>
            <w:tcW w:w="1384" w:type="dxa"/>
          </w:tcPr>
          <w:p w:rsidR="007A35E5" w:rsidRPr="002A7FBD" w:rsidRDefault="007A35E5" w:rsidP="00AF4FDF">
            <w:pPr>
              <w:rPr>
                <w:b/>
                <w:szCs w:val="20"/>
              </w:rPr>
            </w:pPr>
            <w:r w:rsidRPr="002A7FBD">
              <w:rPr>
                <w:b/>
                <w:szCs w:val="20"/>
              </w:rPr>
              <w:t>Fordele</w:t>
            </w:r>
          </w:p>
        </w:tc>
        <w:tc>
          <w:tcPr>
            <w:tcW w:w="3686" w:type="dxa"/>
          </w:tcPr>
          <w:p w:rsidR="007A35E5" w:rsidRPr="002A7FBD" w:rsidRDefault="007A35E5" w:rsidP="00D6637B">
            <w:pPr>
              <w:numPr>
                <w:ilvl w:val="0"/>
                <w:numId w:val="12"/>
              </w:numPr>
              <w:spacing w:line="240" w:lineRule="auto"/>
              <w:rPr>
                <w:szCs w:val="20"/>
              </w:rPr>
            </w:pPr>
            <w:r w:rsidRPr="002A7FBD">
              <w:rPr>
                <w:szCs w:val="20"/>
              </w:rPr>
              <w:t>Undgår udligning af kapitalko</w:t>
            </w:r>
            <w:r w:rsidRPr="002A7FBD">
              <w:rPr>
                <w:szCs w:val="20"/>
              </w:rPr>
              <w:t>n</w:t>
            </w:r>
            <w:r w:rsidRPr="002A7FBD">
              <w:rPr>
                <w:szCs w:val="20"/>
              </w:rPr>
              <w:t>ti samt skattemæssige avancer</w:t>
            </w:r>
          </w:p>
          <w:p w:rsidR="007A35E5" w:rsidRPr="002A7FBD" w:rsidRDefault="007A35E5" w:rsidP="00D6637B">
            <w:pPr>
              <w:numPr>
                <w:ilvl w:val="0"/>
                <w:numId w:val="12"/>
              </w:numPr>
              <w:spacing w:line="240" w:lineRule="auto"/>
              <w:rPr>
                <w:szCs w:val="20"/>
              </w:rPr>
            </w:pPr>
            <w:r w:rsidRPr="002A7FBD">
              <w:rPr>
                <w:szCs w:val="20"/>
              </w:rPr>
              <w:t>Selskabet overtager aktiver til handelsværdi og har dermed større afskrivningsgrundlag</w:t>
            </w:r>
          </w:p>
          <w:p w:rsidR="007A35E5" w:rsidRPr="002A7FBD" w:rsidRDefault="007A35E5" w:rsidP="00D6637B">
            <w:pPr>
              <w:numPr>
                <w:ilvl w:val="0"/>
                <w:numId w:val="12"/>
              </w:numPr>
              <w:spacing w:line="240" w:lineRule="auto"/>
              <w:rPr>
                <w:szCs w:val="20"/>
              </w:rPr>
            </w:pPr>
            <w:r w:rsidRPr="002A7FBD">
              <w:rPr>
                <w:szCs w:val="20"/>
              </w:rPr>
              <w:t>Mulighed for at indskyde på ophørspension</w:t>
            </w:r>
          </w:p>
          <w:p w:rsidR="007A35E5" w:rsidRPr="002A7FBD" w:rsidRDefault="007A35E5" w:rsidP="00D6637B">
            <w:pPr>
              <w:numPr>
                <w:ilvl w:val="0"/>
                <w:numId w:val="12"/>
              </w:numPr>
              <w:spacing w:line="240" w:lineRule="auto"/>
              <w:rPr>
                <w:szCs w:val="20"/>
              </w:rPr>
            </w:pPr>
            <w:r w:rsidRPr="002A7FBD">
              <w:rPr>
                <w:szCs w:val="20"/>
              </w:rPr>
              <w:t>Større anskaffelsessum på akt</w:t>
            </w:r>
            <w:r w:rsidRPr="002A7FBD">
              <w:rPr>
                <w:szCs w:val="20"/>
              </w:rPr>
              <w:t>i</w:t>
            </w:r>
            <w:r w:rsidRPr="002A7FBD">
              <w:rPr>
                <w:szCs w:val="20"/>
              </w:rPr>
              <w:t>erne, da denne ikke bliver bel</w:t>
            </w:r>
            <w:r w:rsidRPr="002A7FBD">
              <w:rPr>
                <w:szCs w:val="20"/>
              </w:rPr>
              <w:t>a</w:t>
            </w:r>
            <w:r w:rsidRPr="002A7FBD">
              <w:rPr>
                <w:szCs w:val="20"/>
              </w:rPr>
              <w:t>stet af opsparet overskud og skattemæssige avancer</w:t>
            </w:r>
          </w:p>
        </w:tc>
        <w:tc>
          <w:tcPr>
            <w:tcW w:w="3574" w:type="dxa"/>
          </w:tcPr>
          <w:p w:rsidR="007A35E5" w:rsidRPr="002A7FBD" w:rsidRDefault="007A35E5" w:rsidP="00D6637B">
            <w:pPr>
              <w:numPr>
                <w:ilvl w:val="0"/>
                <w:numId w:val="12"/>
              </w:numPr>
              <w:spacing w:line="240" w:lineRule="auto"/>
              <w:rPr>
                <w:szCs w:val="20"/>
              </w:rPr>
            </w:pPr>
            <w:r w:rsidRPr="002A7FBD">
              <w:rPr>
                <w:szCs w:val="20"/>
              </w:rPr>
              <w:t>Undgår afståelsesbeskatning og beskatning af opsparet overskud</w:t>
            </w:r>
          </w:p>
          <w:p w:rsidR="007A35E5" w:rsidRPr="002A7FBD" w:rsidRDefault="007A35E5" w:rsidP="00D6637B">
            <w:pPr>
              <w:numPr>
                <w:ilvl w:val="0"/>
                <w:numId w:val="12"/>
              </w:numPr>
              <w:spacing w:line="240" w:lineRule="auto"/>
              <w:rPr>
                <w:szCs w:val="20"/>
              </w:rPr>
            </w:pPr>
            <w:r w:rsidRPr="002A7FBD">
              <w:rPr>
                <w:szCs w:val="20"/>
              </w:rPr>
              <w:t>Tilgodeser virksomheden der ikke skal finansiere skatteb</w:t>
            </w:r>
            <w:r w:rsidRPr="002A7FBD">
              <w:rPr>
                <w:szCs w:val="20"/>
              </w:rPr>
              <w:t>e</w:t>
            </w:r>
            <w:r w:rsidRPr="002A7FBD">
              <w:rPr>
                <w:szCs w:val="20"/>
              </w:rPr>
              <w:t>talingen</w:t>
            </w:r>
          </w:p>
        </w:tc>
      </w:tr>
      <w:tr w:rsidR="007A35E5" w:rsidRPr="002A7FBD" w:rsidTr="002A7FBD">
        <w:tc>
          <w:tcPr>
            <w:tcW w:w="1384" w:type="dxa"/>
          </w:tcPr>
          <w:p w:rsidR="007A35E5" w:rsidRPr="002A7FBD" w:rsidRDefault="007A35E5" w:rsidP="00AF4FDF">
            <w:pPr>
              <w:rPr>
                <w:b/>
                <w:szCs w:val="20"/>
              </w:rPr>
            </w:pPr>
            <w:r w:rsidRPr="002A7FBD">
              <w:rPr>
                <w:b/>
                <w:szCs w:val="20"/>
              </w:rPr>
              <w:t>Ulemper</w:t>
            </w:r>
          </w:p>
        </w:tc>
        <w:tc>
          <w:tcPr>
            <w:tcW w:w="3686" w:type="dxa"/>
          </w:tcPr>
          <w:p w:rsidR="007A35E5" w:rsidRPr="002A7FBD" w:rsidRDefault="007A35E5" w:rsidP="00D6637B">
            <w:pPr>
              <w:numPr>
                <w:ilvl w:val="0"/>
                <w:numId w:val="11"/>
              </w:numPr>
              <w:spacing w:line="240" w:lineRule="auto"/>
              <w:rPr>
                <w:szCs w:val="20"/>
              </w:rPr>
            </w:pPr>
            <w:r w:rsidRPr="002A7FBD">
              <w:rPr>
                <w:szCs w:val="20"/>
              </w:rPr>
              <w:t>Beskatning af afståelsesavance samt opsparede overskud</w:t>
            </w:r>
          </w:p>
          <w:p w:rsidR="007A35E5" w:rsidRPr="002A7FBD" w:rsidRDefault="007A35E5" w:rsidP="00D6637B">
            <w:pPr>
              <w:numPr>
                <w:ilvl w:val="0"/>
                <w:numId w:val="11"/>
              </w:numPr>
              <w:spacing w:line="240" w:lineRule="auto"/>
              <w:rPr>
                <w:szCs w:val="20"/>
              </w:rPr>
            </w:pPr>
            <w:r w:rsidRPr="002A7FBD">
              <w:rPr>
                <w:szCs w:val="20"/>
              </w:rPr>
              <w:t>Likviditet til at betale skatten mangler hos ejeren, hvis de v</w:t>
            </w:r>
            <w:r w:rsidRPr="002A7FBD">
              <w:rPr>
                <w:szCs w:val="20"/>
              </w:rPr>
              <w:t>e</w:t>
            </w:r>
            <w:r w:rsidRPr="002A7FBD">
              <w:rPr>
                <w:szCs w:val="20"/>
              </w:rPr>
              <w:t>derlægges i aktier, samt bel</w:t>
            </w:r>
            <w:r w:rsidRPr="002A7FBD">
              <w:rPr>
                <w:szCs w:val="20"/>
              </w:rPr>
              <w:t>a</w:t>
            </w:r>
            <w:r w:rsidRPr="002A7FBD">
              <w:rPr>
                <w:szCs w:val="20"/>
              </w:rPr>
              <w:t>ster selskabet, hvis ejeren trækker likviditeten ud af se</w:t>
            </w:r>
            <w:r w:rsidRPr="002A7FBD">
              <w:rPr>
                <w:szCs w:val="20"/>
              </w:rPr>
              <w:t>l</w:t>
            </w:r>
            <w:r w:rsidRPr="002A7FBD">
              <w:rPr>
                <w:szCs w:val="20"/>
              </w:rPr>
              <w:t>skabet ved løn eller udbytte.</w:t>
            </w:r>
          </w:p>
          <w:p w:rsidR="007A35E5" w:rsidRPr="002A7FBD" w:rsidRDefault="007A35E5" w:rsidP="00D6637B">
            <w:pPr>
              <w:numPr>
                <w:ilvl w:val="0"/>
                <w:numId w:val="11"/>
              </w:numPr>
              <w:spacing w:line="240" w:lineRule="auto"/>
              <w:rPr>
                <w:szCs w:val="20"/>
              </w:rPr>
            </w:pPr>
            <w:r w:rsidRPr="002A7FBD">
              <w:rPr>
                <w:szCs w:val="20"/>
              </w:rPr>
              <w:t>Likviditetsudtræk belaster se</w:t>
            </w:r>
            <w:r w:rsidRPr="002A7FBD">
              <w:rPr>
                <w:szCs w:val="20"/>
              </w:rPr>
              <w:t>l</w:t>
            </w:r>
            <w:r w:rsidRPr="002A7FBD">
              <w:rPr>
                <w:szCs w:val="20"/>
              </w:rPr>
              <w:t>skab hvis apportindskud vede</w:t>
            </w:r>
            <w:r w:rsidRPr="002A7FBD">
              <w:rPr>
                <w:szCs w:val="20"/>
              </w:rPr>
              <w:t>r</w:t>
            </w:r>
            <w:r w:rsidRPr="002A7FBD">
              <w:rPr>
                <w:szCs w:val="20"/>
              </w:rPr>
              <w:t xml:space="preserve">lægges delvis i kontanter </w:t>
            </w:r>
          </w:p>
          <w:p w:rsidR="007A35E5" w:rsidRPr="002A7FBD" w:rsidRDefault="007A35E5" w:rsidP="00D6637B">
            <w:pPr>
              <w:numPr>
                <w:ilvl w:val="0"/>
                <w:numId w:val="11"/>
              </w:numPr>
              <w:spacing w:line="240" w:lineRule="auto"/>
              <w:rPr>
                <w:szCs w:val="20"/>
              </w:rPr>
            </w:pPr>
            <w:r w:rsidRPr="002A7FBD">
              <w:rPr>
                <w:szCs w:val="20"/>
              </w:rPr>
              <w:t>Potentiel dobbeltbeskatning da selskabet beskattes af avance ved salg af aktiver, hvor ejeren samtidig beskattes af avancen ved salg af aktierne</w:t>
            </w:r>
          </w:p>
        </w:tc>
        <w:tc>
          <w:tcPr>
            <w:tcW w:w="3574" w:type="dxa"/>
          </w:tcPr>
          <w:p w:rsidR="007A35E5" w:rsidRDefault="007A35E5" w:rsidP="00D6637B">
            <w:pPr>
              <w:numPr>
                <w:ilvl w:val="0"/>
                <w:numId w:val="11"/>
              </w:numPr>
              <w:spacing w:line="240" w:lineRule="auto"/>
              <w:rPr>
                <w:szCs w:val="20"/>
              </w:rPr>
            </w:pPr>
            <w:r>
              <w:rPr>
                <w:szCs w:val="20"/>
              </w:rPr>
              <w:t xml:space="preserve">Udligning af </w:t>
            </w:r>
            <w:r w:rsidRPr="002A7FBD">
              <w:rPr>
                <w:szCs w:val="20"/>
              </w:rPr>
              <w:t>skattemæssige avancer belaster interesse</w:t>
            </w:r>
            <w:r w:rsidRPr="002A7FBD">
              <w:rPr>
                <w:szCs w:val="20"/>
              </w:rPr>
              <w:t>n</w:t>
            </w:r>
            <w:r w:rsidRPr="002A7FBD">
              <w:rPr>
                <w:szCs w:val="20"/>
              </w:rPr>
              <w:t>ternes likviditet</w:t>
            </w:r>
            <w:r>
              <w:rPr>
                <w:szCs w:val="20"/>
              </w:rPr>
              <w:t>.</w:t>
            </w:r>
          </w:p>
          <w:p w:rsidR="007A35E5" w:rsidRPr="002A7FBD" w:rsidRDefault="007A35E5" w:rsidP="00D6637B">
            <w:pPr>
              <w:numPr>
                <w:ilvl w:val="0"/>
                <w:numId w:val="11"/>
              </w:numPr>
              <w:spacing w:line="240" w:lineRule="auto"/>
              <w:rPr>
                <w:szCs w:val="20"/>
              </w:rPr>
            </w:pPr>
            <w:r w:rsidRPr="002A7FBD">
              <w:rPr>
                <w:szCs w:val="20"/>
              </w:rPr>
              <w:t>Udligning af kapitalkonti</w:t>
            </w:r>
            <w:r>
              <w:rPr>
                <w:szCs w:val="20"/>
              </w:rPr>
              <w:t xml:space="preserve"> bel</w:t>
            </w:r>
            <w:r>
              <w:rPr>
                <w:szCs w:val="20"/>
              </w:rPr>
              <w:t>a</w:t>
            </w:r>
            <w:r>
              <w:rPr>
                <w:szCs w:val="20"/>
              </w:rPr>
              <w:t>ster virksomhedens likviditet. H</w:t>
            </w:r>
            <w:r w:rsidRPr="002A7FBD">
              <w:rPr>
                <w:szCs w:val="20"/>
              </w:rPr>
              <w:t>vis de optages som tilgod</w:t>
            </w:r>
            <w:r w:rsidRPr="002A7FBD">
              <w:rPr>
                <w:szCs w:val="20"/>
              </w:rPr>
              <w:t>e</w:t>
            </w:r>
            <w:r w:rsidRPr="002A7FBD">
              <w:rPr>
                <w:szCs w:val="20"/>
              </w:rPr>
              <w:t>haven</w:t>
            </w:r>
            <w:r>
              <w:rPr>
                <w:szCs w:val="20"/>
              </w:rPr>
              <w:t>de er det stadig en b</w:t>
            </w:r>
            <w:r>
              <w:rPr>
                <w:szCs w:val="20"/>
              </w:rPr>
              <w:t>e</w:t>
            </w:r>
            <w:r>
              <w:rPr>
                <w:szCs w:val="20"/>
              </w:rPr>
              <w:t xml:space="preserve">lastning for virksomheden, </w:t>
            </w:r>
            <w:r w:rsidRPr="002A7FBD">
              <w:rPr>
                <w:szCs w:val="20"/>
              </w:rPr>
              <w:t>der skal forrente dem</w:t>
            </w:r>
          </w:p>
        </w:tc>
      </w:tr>
    </w:tbl>
    <w:p w:rsidR="007A35E5" w:rsidRDefault="002F0FFE" w:rsidP="002F0FFE">
      <w:pPr>
        <w:pStyle w:val="Billedtekst"/>
      </w:pPr>
      <w:bookmarkStart w:id="119" w:name="_Toc218751410"/>
      <w:r>
        <w:t xml:space="preserve">Figur </w:t>
      </w:r>
      <w:fldSimple w:instr=" SEQ Figur \* ARABIC ">
        <w:r w:rsidR="000F066D">
          <w:rPr>
            <w:noProof/>
          </w:rPr>
          <w:t>28</w:t>
        </w:r>
      </w:fldSimple>
      <w:r w:rsidR="003B4912">
        <w:t xml:space="preserve"> Fordele og ulemper ved skattefri og skattepligtig virksomhedsomdannelse</w:t>
      </w:r>
      <w:bookmarkEnd w:id="119"/>
    </w:p>
    <w:p w:rsidR="007A35E5" w:rsidRPr="002F4E41" w:rsidRDefault="009872D1" w:rsidP="002F4E41">
      <w:pPr>
        <w:pStyle w:val="Overskrift2"/>
      </w:pPr>
      <w:bookmarkStart w:id="120" w:name="_Toc221546223"/>
      <w:r>
        <w:t>4.</w:t>
      </w:r>
      <w:r w:rsidR="000555D8">
        <w:t>2</w:t>
      </w:r>
      <w:r w:rsidR="002F4E41" w:rsidRPr="002F4E41">
        <w:t xml:space="preserve"> </w:t>
      </w:r>
      <w:r w:rsidR="007A35E5" w:rsidRPr="002F4E41">
        <w:t>Overdragelse af</w:t>
      </w:r>
      <w:r w:rsidR="002F4E41">
        <w:t xml:space="preserve"> selskab ved succession</w:t>
      </w:r>
      <w:r w:rsidR="00627158">
        <w:t xml:space="preserve"> </w:t>
      </w:r>
      <w:r w:rsidR="00627158">
        <w:rPr>
          <w:b w:val="0"/>
          <w:sz w:val="22"/>
          <w:szCs w:val="22"/>
        </w:rPr>
        <w:t>(Pernille</w:t>
      </w:r>
      <w:r w:rsidR="00627158" w:rsidRPr="00E75844">
        <w:rPr>
          <w:b w:val="0"/>
          <w:sz w:val="22"/>
          <w:szCs w:val="22"/>
        </w:rPr>
        <w:t>)</w:t>
      </w:r>
      <w:bookmarkEnd w:id="120"/>
    </w:p>
    <w:p w:rsidR="007A35E5" w:rsidRDefault="007A35E5" w:rsidP="00AF4FDF">
      <w:r>
        <w:t>For personligt ejede virksomheder er der mulighed for overdragelse ved succession i KSL §§ 33 C. For at sidestille mulighederne for generationsskifte ved succession ens for personer, der driver virksomhed i selskabsform og personer, der driver virksomhed i personligt regi, har man i aktieavancebeskatningsloven indført en række bestemmelser svarende til KSL §§ 33</w:t>
      </w:r>
      <w:r w:rsidR="00804194">
        <w:t xml:space="preserve"> C</w:t>
      </w:r>
      <w:r>
        <w:t xml:space="preserve">. I ABL § 34-35 er der tilsvarende muligheder for overdragelse </w:t>
      </w:r>
      <w:r>
        <w:lastRenderedPageBreak/>
        <w:t>ved succession, hvor man i dette tilfælde overdrager aktier eller anparter i et selskab til en nærmere afgrænset personkreds, der svarer til personkredsen i KSL § 33 C.</w:t>
      </w:r>
    </w:p>
    <w:p w:rsidR="007A35E5" w:rsidRDefault="007A35E5" w:rsidP="00A411B7"/>
    <w:p w:rsidR="007A35E5" w:rsidRPr="006E77EF" w:rsidRDefault="006E77EF" w:rsidP="006E77EF">
      <w:pPr>
        <w:pStyle w:val="Overskrift3"/>
      </w:pPr>
      <w:bookmarkStart w:id="121" w:name="_Toc221546224"/>
      <w:r w:rsidRPr="006E77EF">
        <w:t>4.</w:t>
      </w:r>
      <w:r w:rsidR="000555D8">
        <w:t>2</w:t>
      </w:r>
      <w:r w:rsidRPr="006E77EF">
        <w:t xml:space="preserve">.1 </w:t>
      </w:r>
      <w:r w:rsidR="007A35E5" w:rsidRPr="006E77EF">
        <w:t>Krav for at benytte successionsreglerne</w:t>
      </w:r>
      <w:r w:rsidR="00627158">
        <w:t xml:space="preserve"> </w:t>
      </w:r>
      <w:r w:rsidR="00627158">
        <w:rPr>
          <w:b w:val="0"/>
          <w:sz w:val="22"/>
          <w:szCs w:val="22"/>
        </w:rPr>
        <w:t>(Pernille</w:t>
      </w:r>
      <w:r w:rsidR="00627158" w:rsidRPr="00E75844">
        <w:rPr>
          <w:b w:val="0"/>
          <w:sz w:val="22"/>
          <w:szCs w:val="22"/>
        </w:rPr>
        <w:t>)</w:t>
      </w:r>
      <w:bookmarkEnd w:id="121"/>
    </w:p>
    <w:p w:rsidR="007A35E5" w:rsidRDefault="007A35E5" w:rsidP="00A411B7">
      <w:r>
        <w:t>Der er en række kriterier, der skal være opfyldt for successionsadgangen. Erhververen skal være underlagt dansk beskatning for de erhvervede aktier/anparter. Det er i mo</w:t>
      </w:r>
      <w:r>
        <w:t>d</w:t>
      </w:r>
      <w:r>
        <w:t xml:space="preserve">sætningen til KSL, hvor det er tilstrækkeligt, at de overdragne aktiver indgår i et fast driftssted her i Danmark. </w:t>
      </w:r>
    </w:p>
    <w:p w:rsidR="007A35E5" w:rsidRDefault="007A35E5" w:rsidP="00A411B7">
      <w:r>
        <w:t>Overdrageren skal være hovedaktionær, defineret som en person, der ejer eller har ejet inden for de seneste 5 år, 25 % eller mere af aktiekapitalen eller har rådet over mere end 50 % af stemmeværdien. Heri indgår også aktier ejet af overdragerens ægt</w:t>
      </w:r>
      <w:r>
        <w:t>e</w:t>
      </w:r>
      <w:r>
        <w:t>fælle, forældre, bedsteforældre, børn og børnebørn samt ægtefæller hertil. Desuden indgår aktier der tilhører fonde eller selskaber, hvor den nævnte personkreds har eller har haft bestemmende indflydelse. Hvis selskabet har indgået i en virksomhedso</w:t>
      </w:r>
      <w:r>
        <w:t>m</w:t>
      </w:r>
      <w:r>
        <w:t>dannelse tæller ejerandele ved omdannelsen også med. Med den lempelige hoveda</w:t>
      </w:r>
      <w:r>
        <w:t>k</w:t>
      </w:r>
      <w:r>
        <w:t>tionær definition, sikrer man, at der kan laves en glidende overgang, til flere famili</w:t>
      </w:r>
      <w:r>
        <w:t>e</w:t>
      </w:r>
      <w:r>
        <w:t>medlemmer. Det understøttes af, at en enkelt overdragelse kun skal bestå af mindst 15 % af stemme værdien, samt at en enkelt overdragelse kan godt være til flere pers</w:t>
      </w:r>
      <w:r>
        <w:t>o</w:t>
      </w:r>
      <w:r>
        <w:t>ner samtidigt, hvor de blot skal have 15 % til sammen</w:t>
      </w:r>
      <w:r>
        <w:rPr>
          <w:rStyle w:val="Fodnotehenvisning"/>
        </w:rPr>
        <w:footnoteReference w:id="92"/>
      </w:r>
      <w:r>
        <w:t>. Hvis f.eks. begge forældre overdrager anses det for 2 overdragelser, der skal bestå af 15 % hver. jf. nedenstående afgørelse</w:t>
      </w:r>
      <w:r>
        <w:rPr>
          <w:rStyle w:val="Fodnotehenvisning"/>
        </w:rPr>
        <w:footnoteReference w:id="93"/>
      </w:r>
      <w:r>
        <w:t>.</w:t>
      </w:r>
    </w:p>
    <w:p w:rsidR="007A35E5" w:rsidRDefault="007A35E5" w:rsidP="00A411B7"/>
    <w:p w:rsidR="007A35E5" w:rsidRPr="000A1F52" w:rsidRDefault="007A35E5" w:rsidP="000A1F52">
      <w:pPr>
        <w:rPr>
          <w:i/>
          <w:sz w:val="22"/>
          <w:lang w:eastAsia="da-DK"/>
        </w:rPr>
      </w:pPr>
      <w:r w:rsidRPr="000A1F52">
        <w:rPr>
          <w:i/>
          <w:sz w:val="22"/>
          <w:lang w:eastAsia="da-DK"/>
        </w:rPr>
        <w:t>TfS.2000.360.LSR: Ved gaver ydet fra ægtefæller til børn anses ægtefællerne for to selvstænd</w:t>
      </w:r>
      <w:r w:rsidRPr="000A1F52">
        <w:rPr>
          <w:i/>
          <w:sz w:val="22"/>
          <w:lang w:eastAsia="da-DK"/>
        </w:rPr>
        <w:t>i</w:t>
      </w:r>
      <w:r w:rsidRPr="000A1F52">
        <w:rPr>
          <w:i/>
          <w:sz w:val="22"/>
          <w:lang w:eastAsia="da-DK"/>
        </w:rPr>
        <w:t xml:space="preserve">ge gavegivere. Der kunne derfor ikke ske sammenlægning af to ægtefællers gaver i form af aktier til børn ved vurderingen af, om der kunne ske succession efter </w:t>
      </w:r>
      <w:hyperlink r:id="rId17" w:tgtFrame="thomsondk_main" w:history="1">
        <w:r w:rsidRPr="000A1F52">
          <w:rPr>
            <w:i/>
            <w:sz w:val="22"/>
            <w:lang w:eastAsia="da-DK"/>
          </w:rPr>
          <w:t>aktieavancebeskatning</w:t>
        </w:r>
        <w:r w:rsidRPr="000A1F52">
          <w:rPr>
            <w:i/>
            <w:sz w:val="22"/>
            <w:lang w:eastAsia="da-DK"/>
          </w:rPr>
          <w:t>s</w:t>
        </w:r>
        <w:r w:rsidRPr="000A1F52">
          <w:rPr>
            <w:i/>
            <w:sz w:val="22"/>
            <w:lang w:eastAsia="da-DK"/>
          </w:rPr>
          <w:t>lovens § 11</w:t>
        </w:r>
      </w:hyperlink>
      <w:r w:rsidRPr="000A1F52">
        <w:rPr>
          <w:i/>
          <w:sz w:val="22"/>
          <w:lang w:eastAsia="da-DK"/>
        </w:rPr>
        <w:t xml:space="preserve"> i forbindelse med beregning af gaveafgiften. Kravet om at der skal overdrages </w:t>
      </w:r>
      <w:r w:rsidRPr="000A1F52">
        <w:rPr>
          <w:i/>
          <w:sz w:val="22"/>
          <w:lang w:eastAsia="da-DK"/>
        </w:rPr>
        <w:lastRenderedPageBreak/>
        <w:t>mindst 15 % af stemmeværdien kunne herefter ikke anses opfyldt ved overdragelse af aktier fra moder til børn.</w:t>
      </w:r>
    </w:p>
    <w:p w:rsidR="007A35E5" w:rsidRDefault="007A35E5" w:rsidP="006F04F6"/>
    <w:p w:rsidR="007A35E5" w:rsidRDefault="007A35E5" w:rsidP="006F04F6">
      <w:r>
        <w:t xml:space="preserve">Medarbejdere, der indenfor de seneste </w:t>
      </w:r>
      <w:r w:rsidR="00AD65DE">
        <w:t xml:space="preserve">4 </w:t>
      </w:r>
      <w:r>
        <w:t>indkomstår</w:t>
      </w:r>
      <w:r w:rsidR="009A73A5">
        <w:rPr>
          <w:rStyle w:val="Fodnotehenvisning"/>
        </w:rPr>
        <w:footnoteReference w:id="94"/>
      </w:r>
      <w:r>
        <w:t xml:space="preserve"> i sammenlagt mindst 3 år har været fuldtidsbeskæftiget og er fuldtidsbeskæftiget på overdragelsestidspunktet i se</w:t>
      </w:r>
      <w:r>
        <w:t>l</w:t>
      </w:r>
      <w:r>
        <w:t>skabet eller et koncernforbundet selskab, kan også succedere på samme vilkår som nære slægtninge</w:t>
      </w:r>
      <w:r>
        <w:rPr>
          <w:rStyle w:val="Fodnotehenvisning"/>
        </w:rPr>
        <w:footnoteReference w:id="95"/>
      </w:r>
      <w:r>
        <w:t>.</w:t>
      </w:r>
    </w:p>
    <w:p w:rsidR="001F3E63" w:rsidRDefault="001F3E63" w:rsidP="006F04F6"/>
    <w:p w:rsidR="007A35E5" w:rsidRDefault="007A35E5" w:rsidP="006F04F6">
      <w:r>
        <w:t>Derudover er der et krav at virksomheden ikke må være en såkaldt passiv investering. Det reguleres ved, at virksomheden ikke i overvejende grad må bestå af udlejning af fast ejendom, besiddelse af kontanter, værdipapirer eller lignende, da det indikerer passiv investerings</w:t>
      </w:r>
      <w:r w:rsidR="00804194">
        <w:t xml:space="preserve">virksomhed. Det er i tråd med KSL § </w:t>
      </w:r>
      <w:r>
        <w:t xml:space="preserve">33 C, hvor udlejning af fast ejendom ikke anses for virksomhed. Man kan derfor ikke omgå </w:t>
      </w:r>
      <w:r w:rsidR="00804194">
        <w:t xml:space="preserve">KSL </w:t>
      </w:r>
      <w:r>
        <w:t>§ 33 C ved at lave en virksomhedsomdannelse først med mindre virksomheden har en ubetydelig udle</w:t>
      </w:r>
      <w:r>
        <w:t>j</w:t>
      </w:r>
      <w:r>
        <w:t>ningsejendom som bierhverv. Der er dog en undtagelse i de tilfælde, hvor virksomh</w:t>
      </w:r>
      <w:r>
        <w:t>e</w:t>
      </w:r>
      <w:r>
        <w:t>den udøver næring ved køb og salg af værdipapirer eller er en finansieringsvirkso</w:t>
      </w:r>
      <w:r>
        <w:t>m</w:t>
      </w:r>
      <w:r>
        <w:t>hed, de overdragne aktier er såkaldte § 18-andele</w:t>
      </w:r>
      <w:r>
        <w:rPr>
          <w:rStyle w:val="Fodnotehenvisning"/>
        </w:rPr>
        <w:footnoteReference w:id="96"/>
      </w:r>
      <w:r>
        <w:t xml:space="preserve"> eller de overdragne aktier indgår i overdragerens næringsvirksomhed. </w:t>
      </w:r>
    </w:p>
    <w:p w:rsidR="007A35E5" w:rsidRDefault="007A35E5" w:rsidP="00806D66">
      <w:r>
        <w:t>Der fokuseres både på selskabets aktivmasse og selskabets indtægter, når det afgøres om det er passiv investering.  Mere end 75 % af indtægterne, opgjort som gennemsni</w:t>
      </w:r>
      <w:r>
        <w:t>t</w:t>
      </w:r>
      <w:r>
        <w:t>tet af de seneste 3 regnskabsår, må ikke stamme fra udlejning af fast ejendom, værd</w:t>
      </w:r>
      <w:r>
        <w:t>i</w:t>
      </w:r>
      <w:r>
        <w:t>papirer eller lignende. Derudover må handelsværdien af selskabets udlejningseje</w:t>
      </w:r>
      <w:r>
        <w:t>n</w:t>
      </w:r>
      <w:r>
        <w:t>domme, kontanter, værdipapirer eller lignende, opgjort som gennemsnittet af de s</w:t>
      </w:r>
      <w:r>
        <w:t>e</w:t>
      </w:r>
      <w:r>
        <w:t xml:space="preserve">neste 3 regnskabsår, ikke udgøre mere end 75 % af aktiverne. De må heller ikke udgøre </w:t>
      </w:r>
      <w:r>
        <w:lastRenderedPageBreak/>
        <w:t>mere end 75 % på selve overdragelsestidspunktet, uanset at de gennemsnitligt har været under de sidste 3 år</w:t>
      </w:r>
      <w:r>
        <w:rPr>
          <w:rStyle w:val="Fodnotehenvisning"/>
        </w:rPr>
        <w:footnoteReference w:id="97"/>
      </w:r>
      <w:r>
        <w:t xml:space="preserve">. </w:t>
      </w:r>
    </w:p>
    <w:p w:rsidR="007A35E5" w:rsidRDefault="007A35E5" w:rsidP="00806D66">
      <w:r>
        <w:t>I nedenstående eksempel er virksomheden væsentligt over de 75 % både på indtægt</w:t>
      </w:r>
      <w:r>
        <w:t>s</w:t>
      </w:r>
      <w:r>
        <w:t>siden og på aktivsiden, og vil derfor i forhold til aktiesuccessionsreglerne blive karakt</w:t>
      </w:r>
      <w:r>
        <w:t>e</w:t>
      </w:r>
      <w:r>
        <w:t xml:space="preserve">riseret som en passiv investeringsvirksomhed. </w:t>
      </w:r>
    </w:p>
    <w:p w:rsidR="007A35E5" w:rsidRDefault="007A35E5" w:rsidP="00806D66"/>
    <w:tbl>
      <w:tblPr>
        <w:tblW w:w="5000" w:type="pct"/>
        <w:tblCellMar>
          <w:left w:w="70" w:type="dxa"/>
          <w:right w:w="70" w:type="dxa"/>
        </w:tblCellMar>
        <w:tblLook w:val="00A0"/>
      </w:tblPr>
      <w:tblGrid>
        <w:gridCol w:w="2735"/>
        <w:gridCol w:w="567"/>
        <w:gridCol w:w="567"/>
        <w:gridCol w:w="259"/>
        <w:gridCol w:w="1252"/>
        <w:gridCol w:w="1252"/>
        <w:gridCol w:w="1252"/>
        <w:gridCol w:w="188"/>
        <w:gridCol w:w="572"/>
      </w:tblGrid>
      <w:tr w:rsidR="007A35E5" w:rsidRPr="000F36EF" w:rsidTr="003B4912">
        <w:trPr>
          <w:trHeight w:val="300"/>
        </w:trPr>
        <w:tc>
          <w:tcPr>
            <w:tcW w:w="1582"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b/>
                <w:bCs/>
                <w:color w:val="000000"/>
                <w:sz w:val="20"/>
                <w:szCs w:val="20"/>
                <w:lang w:eastAsia="da-DK"/>
              </w:rPr>
            </w:pPr>
            <w:r w:rsidRPr="000F36EF">
              <w:rPr>
                <w:b/>
                <w:bCs/>
                <w:color w:val="000000"/>
                <w:sz w:val="20"/>
                <w:szCs w:val="20"/>
                <w:lang w:eastAsia="da-DK"/>
              </w:rPr>
              <w:t>2005</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b/>
                <w:bCs/>
                <w:color w:val="000000"/>
                <w:sz w:val="20"/>
                <w:szCs w:val="20"/>
                <w:lang w:eastAsia="da-DK"/>
              </w:rPr>
            </w:pPr>
            <w:r w:rsidRPr="000F36EF">
              <w:rPr>
                <w:b/>
                <w:bCs/>
                <w:color w:val="000000"/>
                <w:sz w:val="20"/>
                <w:szCs w:val="20"/>
                <w:lang w:eastAsia="da-DK"/>
              </w:rPr>
              <w:t>2006</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b/>
                <w:bCs/>
                <w:color w:val="000000"/>
                <w:sz w:val="20"/>
                <w:szCs w:val="20"/>
                <w:lang w:eastAsia="da-DK"/>
              </w:rPr>
            </w:pPr>
            <w:r w:rsidRPr="000F36EF">
              <w:rPr>
                <w:b/>
                <w:bCs/>
                <w:color w:val="000000"/>
                <w:sz w:val="20"/>
                <w:szCs w:val="20"/>
                <w:lang w:eastAsia="da-DK"/>
              </w:rPr>
              <w:t>2007</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259"/>
        </w:trPr>
        <w:tc>
          <w:tcPr>
            <w:tcW w:w="2238" w:type="pct"/>
            <w:gridSpan w:val="3"/>
            <w:tcBorders>
              <w:top w:val="nil"/>
              <w:left w:val="nil"/>
              <w:bottom w:val="nil"/>
              <w:right w:val="nil"/>
            </w:tcBorders>
            <w:noWrap/>
            <w:vAlign w:val="bottom"/>
          </w:tcPr>
          <w:p w:rsidR="007A35E5" w:rsidRPr="000F36EF" w:rsidRDefault="007A35E5" w:rsidP="00ED6DA8">
            <w:pPr>
              <w:jc w:val="left"/>
              <w:rPr>
                <w:color w:val="000000"/>
                <w:sz w:val="20"/>
                <w:szCs w:val="20"/>
              </w:rPr>
            </w:pPr>
            <w:r w:rsidRPr="000F36EF">
              <w:rPr>
                <w:color w:val="000000"/>
                <w:sz w:val="20"/>
                <w:szCs w:val="20"/>
              </w:rPr>
              <w:t>Indtægt udlejningsejendom</w:t>
            </w: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ED6DA8">
            <w:pPr>
              <w:jc w:val="right"/>
              <w:rPr>
                <w:color w:val="000000"/>
                <w:sz w:val="20"/>
                <w:szCs w:val="20"/>
              </w:rPr>
            </w:pPr>
            <w:r w:rsidRPr="000F36EF">
              <w:rPr>
                <w:color w:val="000000"/>
                <w:sz w:val="20"/>
                <w:szCs w:val="20"/>
              </w:rPr>
              <w:t>1.150.890</w:t>
            </w:r>
          </w:p>
        </w:tc>
        <w:tc>
          <w:tcPr>
            <w:tcW w:w="724" w:type="pct"/>
            <w:tcBorders>
              <w:top w:val="nil"/>
              <w:left w:val="nil"/>
              <w:bottom w:val="nil"/>
              <w:right w:val="nil"/>
            </w:tcBorders>
            <w:noWrap/>
            <w:vAlign w:val="bottom"/>
          </w:tcPr>
          <w:p w:rsidR="007A35E5" w:rsidRPr="000F36EF" w:rsidRDefault="007A35E5" w:rsidP="00ED6DA8">
            <w:pPr>
              <w:jc w:val="right"/>
              <w:rPr>
                <w:color w:val="000000"/>
                <w:sz w:val="20"/>
                <w:szCs w:val="20"/>
              </w:rPr>
            </w:pPr>
            <w:r w:rsidRPr="000F36EF">
              <w:rPr>
                <w:color w:val="000000"/>
                <w:sz w:val="20"/>
                <w:szCs w:val="20"/>
              </w:rPr>
              <w:t>1.113.854</w:t>
            </w:r>
          </w:p>
        </w:tc>
        <w:tc>
          <w:tcPr>
            <w:tcW w:w="724" w:type="pct"/>
            <w:tcBorders>
              <w:top w:val="nil"/>
              <w:left w:val="nil"/>
              <w:bottom w:val="nil"/>
              <w:right w:val="nil"/>
            </w:tcBorders>
            <w:noWrap/>
            <w:vAlign w:val="bottom"/>
          </w:tcPr>
          <w:p w:rsidR="007A35E5" w:rsidRPr="000F36EF" w:rsidRDefault="007A35E5" w:rsidP="00ED6DA8">
            <w:pPr>
              <w:jc w:val="right"/>
              <w:rPr>
                <w:color w:val="000000"/>
                <w:sz w:val="20"/>
                <w:szCs w:val="20"/>
              </w:rPr>
            </w:pPr>
            <w:r w:rsidRPr="000F36EF">
              <w:rPr>
                <w:color w:val="000000"/>
                <w:sz w:val="20"/>
                <w:szCs w:val="20"/>
              </w:rPr>
              <w:t>977.545</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2238" w:type="pct"/>
            <w:gridSpan w:val="3"/>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Administrationshonorar</w:t>
            </w: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211.347</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176.161</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231.988</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2238" w:type="pct"/>
            <w:gridSpan w:val="3"/>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Finansielle indtægter *</w:t>
            </w: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1.456.700</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1.958.147</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2.567.070</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15"/>
        </w:trPr>
        <w:tc>
          <w:tcPr>
            <w:tcW w:w="1582"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1910" w:type="pct"/>
            <w:gridSpan w:val="2"/>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Indtægter i alt</w:t>
            </w: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single" w:sz="4" w:space="0" w:color="auto"/>
              <w:left w:val="nil"/>
              <w:bottom w:val="single" w:sz="4" w:space="0" w:color="auto"/>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2.818.937</w:t>
            </w:r>
          </w:p>
        </w:tc>
        <w:tc>
          <w:tcPr>
            <w:tcW w:w="724" w:type="pct"/>
            <w:tcBorders>
              <w:top w:val="single" w:sz="4" w:space="0" w:color="auto"/>
              <w:left w:val="nil"/>
              <w:bottom w:val="single" w:sz="4" w:space="0" w:color="auto"/>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3.248.162</w:t>
            </w:r>
          </w:p>
        </w:tc>
        <w:tc>
          <w:tcPr>
            <w:tcW w:w="724" w:type="pct"/>
            <w:tcBorders>
              <w:top w:val="single" w:sz="4" w:space="0" w:color="auto"/>
              <w:left w:val="nil"/>
              <w:bottom w:val="single" w:sz="4" w:space="0" w:color="auto"/>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3.776.603</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15"/>
        </w:trPr>
        <w:tc>
          <w:tcPr>
            <w:tcW w:w="1582"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2388" w:type="pct"/>
            <w:gridSpan w:val="4"/>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Afkast af passiv pengeanbringelse</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2.607.590</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3.072.001</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3.544.615</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b/>
                <w:bCs/>
                <w:color w:val="000000"/>
                <w:sz w:val="20"/>
                <w:szCs w:val="20"/>
                <w:lang w:eastAsia="da-DK"/>
              </w:rPr>
            </w:pPr>
            <w:r w:rsidRPr="000F36EF">
              <w:rPr>
                <w:b/>
                <w:bCs/>
                <w:color w:val="000000"/>
                <w:sz w:val="20"/>
                <w:szCs w:val="20"/>
                <w:lang w:eastAsia="da-DK"/>
              </w:rPr>
              <w:t>Gn</w:t>
            </w:r>
          </w:p>
        </w:tc>
      </w:tr>
      <w:tr w:rsidR="007A35E5" w:rsidRPr="000F36EF" w:rsidTr="003B4912">
        <w:trPr>
          <w:trHeight w:val="300"/>
        </w:trPr>
        <w:tc>
          <w:tcPr>
            <w:tcW w:w="1910" w:type="pct"/>
            <w:gridSpan w:val="2"/>
            <w:tcBorders>
              <w:top w:val="nil"/>
              <w:left w:val="nil"/>
              <w:bottom w:val="nil"/>
              <w:right w:val="nil"/>
            </w:tcBorders>
            <w:noWrap/>
            <w:vAlign w:val="bottom"/>
          </w:tcPr>
          <w:p w:rsidR="007A35E5" w:rsidRPr="000F36EF" w:rsidRDefault="007A35E5" w:rsidP="000F36EF">
            <w:pPr>
              <w:pBdr>
                <w:top w:val="single" w:sz="6" w:space="1" w:color="auto"/>
              </w:pBdr>
              <w:spacing w:line="240" w:lineRule="auto"/>
              <w:rPr>
                <w:sz w:val="20"/>
                <w:szCs w:val="20"/>
                <w:lang w:eastAsia="da-DK"/>
              </w:rPr>
            </w:pPr>
            <w:r w:rsidRPr="000F36EF">
              <w:rPr>
                <w:color w:val="000000"/>
                <w:sz w:val="20"/>
                <w:szCs w:val="20"/>
                <w:lang w:eastAsia="da-DK"/>
              </w:rPr>
              <w:t>Passiv procent</w:t>
            </w: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910EE3" w:rsidP="00405EC9">
            <w:pPr>
              <w:spacing w:line="240" w:lineRule="auto"/>
              <w:jc w:val="right"/>
              <w:rPr>
                <w:color w:val="000000"/>
                <w:sz w:val="20"/>
                <w:szCs w:val="20"/>
                <w:lang w:eastAsia="da-DK"/>
              </w:rPr>
            </w:pPr>
            <w:r w:rsidRPr="000F36EF">
              <w:rPr>
                <w:color w:val="000000"/>
                <w:sz w:val="20"/>
                <w:szCs w:val="20"/>
                <w:lang w:eastAsia="da-DK"/>
              </w:rPr>
              <w:t>93 %</w:t>
            </w:r>
          </w:p>
        </w:tc>
        <w:tc>
          <w:tcPr>
            <w:tcW w:w="724" w:type="pct"/>
            <w:tcBorders>
              <w:top w:val="nil"/>
              <w:left w:val="nil"/>
              <w:bottom w:val="nil"/>
              <w:right w:val="nil"/>
            </w:tcBorders>
            <w:noWrap/>
            <w:vAlign w:val="bottom"/>
          </w:tcPr>
          <w:p w:rsidR="007A35E5" w:rsidRPr="000F36EF" w:rsidRDefault="00910EE3" w:rsidP="00405EC9">
            <w:pPr>
              <w:spacing w:line="240" w:lineRule="auto"/>
              <w:jc w:val="right"/>
              <w:rPr>
                <w:color w:val="000000"/>
                <w:sz w:val="20"/>
                <w:szCs w:val="20"/>
                <w:lang w:eastAsia="da-DK"/>
              </w:rPr>
            </w:pPr>
            <w:r w:rsidRPr="000F36EF">
              <w:rPr>
                <w:color w:val="000000"/>
                <w:sz w:val="20"/>
                <w:szCs w:val="20"/>
                <w:lang w:eastAsia="da-DK"/>
              </w:rPr>
              <w:t>95 %</w:t>
            </w:r>
          </w:p>
        </w:tc>
        <w:tc>
          <w:tcPr>
            <w:tcW w:w="724" w:type="pct"/>
            <w:tcBorders>
              <w:top w:val="nil"/>
              <w:left w:val="nil"/>
              <w:bottom w:val="nil"/>
              <w:right w:val="nil"/>
            </w:tcBorders>
            <w:noWrap/>
            <w:vAlign w:val="bottom"/>
          </w:tcPr>
          <w:p w:rsidR="007A35E5" w:rsidRPr="000F36EF" w:rsidRDefault="00910EE3" w:rsidP="00405EC9">
            <w:pPr>
              <w:spacing w:line="240" w:lineRule="auto"/>
              <w:jc w:val="right"/>
              <w:rPr>
                <w:color w:val="000000"/>
                <w:sz w:val="20"/>
                <w:szCs w:val="20"/>
                <w:lang w:eastAsia="da-DK"/>
              </w:rPr>
            </w:pPr>
            <w:r w:rsidRPr="000F36EF">
              <w:rPr>
                <w:color w:val="000000"/>
                <w:sz w:val="20"/>
                <w:szCs w:val="20"/>
                <w:lang w:eastAsia="da-DK"/>
              </w:rPr>
              <w:t>94 %</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910EE3" w:rsidP="00ED6DA8">
            <w:pPr>
              <w:spacing w:line="240" w:lineRule="auto"/>
              <w:jc w:val="left"/>
              <w:rPr>
                <w:color w:val="000000"/>
                <w:sz w:val="20"/>
                <w:szCs w:val="20"/>
                <w:lang w:eastAsia="da-DK"/>
              </w:rPr>
            </w:pPr>
            <w:r w:rsidRPr="000F36EF">
              <w:rPr>
                <w:color w:val="000000"/>
                <w:sz w:val="20"/>
                <w:szCs w:val="20"/>
                <w:lang w:eastAsia="da-DK"/>
              </w:rPr>
              <w:t>94 %</w:t>
            </w:r>
          </w:p>
        </w:tc>
      </w:tr>
      <w:tr w:rsidR="007A35E5" w:rsidRPr="000F36EF" w:rsidTr="003B4912">
        <w:trPr>
          <w:trHeight w:val="300"/>
        </w:trPr>
        <w:tc>
          <w:tcPr>
            <w:tcW w:w="1582"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4560" w:type="pct"/>
            <w:gridSpan w:val="7"/>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 Består af renteindtægter, urealiserede kursgevinster samt aktieudbytte</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1582"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1910" w:type="pct"/>
            <w:gridSpan w:val="2"/>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 xml:space="preserve">Ejendomme </w:t>
            </w: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19.181.500</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18.564.233</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16.292.417</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2238" w:type="pct"/>
            <w:gridSpan w:val="3"/>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 xml:space="preserve">Driftsmateriel og inventar </w:t>
            </w: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530.000</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670.000</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640.000</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1910" w:type="pct"/>
            <w:gridSpan w:val="2"/>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 xml:space="preserve">Værdipapirer </w:t>
            </w: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3.522.450</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2.936.017</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3.866.467</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1582"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Likvider</w:t>
            </w: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456.802</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346.908</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213.020</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15"/>
        </w:trPr>
        <w:tc>
          <w:tcPr>
            <w:tcW w:w="1582"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2238" w:type="pct"/>
            <w:gridSpan w:val="3"/>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Aktiver til handelsværdi</w:t>
            </w: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single" w:sz="4" w:space="0" w:color="auto"/>
              <w:left w:val="nil"/>
              <w:bottom w:val="single" w:sz="4" w:space="0" w:color="auto"/>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23.690.752</w:t>
            </w:r>
          </w:p>
        </w:tc>
        <w:tc>
          <w:tcPr>
            <w:tcW w:w="724" w:type="pct"/>
            <w:tcBorders>
              <w:top w:val="single" w:sz="4" w:space="0" w:color="auto"/>
              <w:left w:val="nil"/>
              <w:bottom w:val="single" w:sz="4" w:space="0" w:color="auto"/>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22.517.158</w:t>
            </w:r>
          </w:p>
        </w:tc>
        <w:tc>
          <w:tcPr>
            <w:tcW w:w="724" w:type="pct"/>
            <w:tcBorders>
              <w:top w:val="single" w:sz="4" w:space="0" w:color="auto"/>
              <w:left w:val="nil"/>
              <w:bottom w:val="single" w:sz="4" w:space="0" w:color="auto"/>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21.011.903</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15"/>
        </w:trPr>
        <w:tc>
          <w:tcPr>
            <w:tcW w:w="1582"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r>
      <w:tr w:rsidR="007A35E5" w:rsidRPr="000F36EF" w:rsidTr="003B4912">
        <w:trPr>
          <w:trHeight w:val="300"/>
        </w:trPr>
        <w:tc>
          <w:tcPr>
            <w:tcW w:w="2388" w:type="pct"/>
            <w:gridSpan w:val="4"/>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r w:rsidRPr="000F36EF">
              <w:rPr>
                <w:color w:val="000000"/>
                <w:sz w:val="20"/>
                <w:szCs w:val="20"/>
                <w:lang w:eastAsia="da-DK"/>
              </w:rPr>
              <w:t>Handelsværdi af passiv pengeanbringelse</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23.160.752</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21.847.158</w:t>
            </w:r>
          </w:p>
        </w:tc>
        <w:tc>
          <w:tcPr>
            <w:tcW w:w="724" w:type="pct"/>
            <w:tcBorders>
              <w:top w:val="nil"/>
              <w:left w:val="nil"/>
              <w:bottom w:val="nil"/>
              <w:right w:val="nil"/>
            </w:tcBorders>
            <w:noWrap/>
            <w:vAlign w:val="bottom"/>
          </w:tcPr>
          <w:p w:rsidR="007A35E5" w:rsidRPr="000F36EF" w:rsidRDefault="007A35E5" w:rsidP="00405EC9">
            <w:pPr>
              <w:spacing w:line="240" w:lineRule="auto"/>
              <w:jc w:val="right"/>
              <w:rPr>
                <w:color w:val="000000"/>
                <w:sz w:val="20"/>
                <w:szCs w:val="20"/>
                <w:lang w:eastAsia="da-DK"/>
              </w:rPr>
            </w:pPr>
            <w:r w:rsidRPr="000F36EF">
              <w:rPr>
                <w:color w:val="000000"/>
                <w:sz w:val="20"/>
                <w:szCs w:val="20"/>
                <w:lang w:eastAsia="da-DK"/>
              </w:rPr>
              <w:t>20.371.903</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7A35E5" w:rsidP="00405EC9">
            <w:pPr>
              <w:spacing w:line="240" w:lineRule="auto"/>
              <w:jc w:val="left"/>
              <w:rPr>
                <w:b/>
                <w:bCs/>
                <w:color w:val="000000"/>
                <w:sz w:val="20"/>
                <w:szCs w:val="20"/>
                <w:lang w:eastAsia="da-DK"/>
              </w:rPr>
            </w:pPr>
            <w:r w:rsidRPr="000F36EF">
              <w:rPr>
                <w:b/>
                <w:bCs/>
                <w:color w:val="000000"/>
                <w:sz w:val="20"/>
                <w:szCs w:val="20"/>
                <w:lang w:eastAsia="da-DK"/>
              </w:rPr>
              <w:t>Gn</w:t>
            </w:r>
          </w:p>
        </w:tc>
      </w:tr>
      <w:tr w:rsidR="007A35E5" w:rsidRPr="000F36EF" w:rsidTr="003B4912">
        <w:trPr>
          <w:trHeight w:val="300"/>
        </w:trPr>
        <w:tc>
          <w:tcPr>
            <w:tcW w:w="1910" w:type="pct"/>
            <w:gridSpan w:val="2"/>
            <w:tcBorders>
              <w:top w:val="nil"/>
              <w:left w:val="nil"/>
              <w:bottom w:val="nil"/>
              <w:right w:val="nil"/>
            </w:tcBorders>
            <w:noWrap/>
            <w:vAlign w:val="bottom"/>
          </w:tcPr>
          <w:p w:rsidR="007A35E5" w:rsidRPr="000F36EF" w:rsidRDefault="007A35E5" w:rsidP="00405EC9">
            <w:pPr>
              <w:spacing w:line="240" w:lineRule="auto"/>
              <w:jc w:val="left"/>
              <w:rPr>
                <w:sz w:val="20"/>
                <w:szCs w:val="20"/>
                <w:lang w:eastAsia="da-DK"/>
              </w:rPr>
            </w:pPr>
            <w:r w:rsidRPr="000F36EF">
              <w:rPr>
                <w:color w:val="000000"/>
                <w:sz w:val="20"/>
                <w:szCs w:val="20"/>
                <w:lang w:eastAsia="da-DK"/>
              </w:rPr>
              <w:t>Passiv procent</w:t>
            </w:r>
          </w:p>
        </w:tc>
        <w:tc>
          <w:tcPr>
            <w:tcW w:w="328"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150"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724" w:type="pct"/>
            <w:tcBorders>
              <w:top w:val="nil"/>
              <w:left w:val="nil"/>
              <w:bottom w:val="nil"/>
              <w:right w:val="nil"/>
            </w:tcBorders>
            <w:noWrap/>
            <w:vAlign w:val="bottom"/>
          </w:tcPr>
          <w:p w:rsidR="007A35E5" w:rsidRPr="000F36EF" w:rsidRDefault="00910EE3" w:rsidP="00405EC9">
            <w:pPr>
              <w:spacing w:line="240" w:lineRule="auto"/>
              <w:jc w:val="right"/>
              <w:rPr>
                <w:color w:val="000000"/>
                <w:sz w:val="20"/>
                <w:szCs w:val="20"/>
                <w:lang w:eastAsia="da-DK"/>
              </w:rPr>
            </w:pPr>
            <w:r w:rsidRPr="000F36EF">
              <w:rPr>
                <w:color w:val="000000"/>
                <w:sz w:val="20"/>
                <w:szCs w:val="20"/>
                <w:lang w:eastAsia="da-DK"/>
              </w:rPr>
              <w:t>98 %</w:t>
            </w:r>
          </w:p>
        </w:tc>
        <w:tc>
          <w:tcPr>
            <w:tcW w:w="724" w:type="pct"/>
            <w:tcBorders>
              <w:top w:val="nil"/>
              <w:left w:val="nil"/>
              <w:bottom w:val="nil"/>
              <w:right w:val="nil"/>
            </w:tcBorders>
            <w:noWrap/>
            <w:vAlign w:val="bottom"/>
          </w:tcPr>
          <w:p w:rsidR="007A35E5" w:rsidRPr="000F36EF" w:rsidRDefault="00910EE3" w:rsidP="00405EC9">
            <w:pPr>
              <w:spacing w:line="240" w:lineRule="auto"/>
              <w:jc w:val="right"/>
              <w:rPr>
                <w:color w:val="000000"/>
                <w:sz w:val="20"/>
                <w:szCs w:val="20"/>
                <w:lang w:eastAsia="da-DK"/>
              </w:rPr>
            </w:pPr>
            <w:r w:rsidRPr="000F36EF">
              <w:rPr>
                <w:color w:val="000000"/>
                <w:sz w:val="20"/>
                <w:szCs w:val="20"/>
                <w:lang w:eastAsia="da-DK"/>
              </w:rPr>
              <w:t>97 %</w:t>
            </w:r>
          </w:p>
        </w:tc>
        <w:tc>
          <w:tcPr>
            <w:tcW w:w="724" w:type="pct"/>
            <w:tcBorders>
              <w:top w:val="nil"/>
              <w:left w:val="nil"/>
              <w:bottom w:val="nil"/>
              <w:right w:val="nil"/>
            </w:tcBorders>
            <w:noWrap/>
            <w:vAlign w:val="bottom"/>
          </w:tcPr>
          <w:p w:rsidR="007A35E5" w:rsidRPr="000F36EF" w:rsidRDefault="00910EE3" w:rsidP="00405EC9">
            <w:pPr>
              <w:spacing w:line="240" w:lineRule="auto"/>
              <w:jc w:val="right"/>
              <w:rPr>
                <w:color w:val="000000"/>
                <w:sz w:val="20"/>
                <w:szCs w:val="20"/>
                <w:lang w:eastAsia="da-DK"/>
              </w:rPr>
            </w:pPr>
            <w:r w:rsidRPr="000F36EF">
              <w:rPr>
                <w:color w:val="000000"/>
                <w:sz w:val="20"/>
                <w:szCs w:val="20"/>
                <w:lang w:eastAsia="da-DK"/>
              </w:rPr>
              <w:t>97 %</w:t>
            </w:r>
          </w:p>
        </w:tc>
        <w:tc>
          <w:tcPr>
            <w:tcW w:w="109" w:type="pct"/>
            <w:tcBorders>
              <w:top w:val="nil"/>
              <w:left w:val="nil"/>
              <w:bottom w:val="nil"/>
              <w:right w:val="nil"/>
            </w:tcBorders>
            <w:noWrap/>
            <w:vAlign w:val="bottom"/>
          </w:tcPr>
          <w:p w:rsidR="007A35E5" w:rsidRPr="000F36EF" w:rsidRDefault="007A35E5" w:rsidP="00405EC9">
            <w:pPr>
              <w:spacing w:line="240" w:lineRule="auto"/>
              <w:jc w:val="left"/>
              <w:rPr>
                <w:color w:val="000000"/>
                <w:sz w:val="20"/>
                <w:szCs w:val="20"/>
                <w:lang w:eastAsia="da-DK"/>
              </w:rPr>
            </w:pPr>
          </w:p>
        </w:tc>
        <w:tc>
          <w:tcPr>
            <w:tcW w:w="331" w:type="pct"/>
            <w:tcBorders>
              <w:top w:val="nil"/>
              <w:left w:val="nil"/>
              <w:bottom w:val="nil"/>
              <w:right w:val="nil"/>
            </w:tcBorders>
            <w:noWrap/>
            <w:vAlign w:val="bottom"/>
          </w:tcPr>
          <w:p w:rsidR="007A35E5" w:rsidRPr="000F36EF" w:rsidRDefault="00910EE3" w:rsidP="00ED6DA8">
            <w:pPr>
              <w:spacing w:line="240" w:lineRule="auto"/>
              <w:jc w:val="left"/>
              <w:rPr>
                <w:color w:val="000000"/>
                <w:sz w:val="20"/>
                <w:szCs w:val="20"/>
                <w:lang w:eastAsia="da-DK"/>
              </w:rPr>
            </w:pPr>
            <w:r w:rsidRPr="000F36EF">
              <w:rPr>
                <w:color w:val="000000"/>
                <w:sz w:val="20"/>
                <w:szCs w:val="20"/>
                <w:lang w:eastAsia="da-DK"/>
              </w:rPr>
              <w:t>97 %</w:t>
            </w:r>
          </w:p>
        </w:tc>
      </w:tr>
    </w:tbl>
    <w:p w:rsidR="007A35E5" w:rsidRDefault="00270C4A" w:rsidP="00270C4A">
      <w:pPr>
        <w:pStyle w:val="Billedtekst"/>
      </w:pPr>
      <w:bookmarkStart w:id="122" w:name="_Toc218751411"/>
      <w:r>
        <w:t xml:space="preserve">Figur </w:t>
      </w:r>
      <w:fldSimple w:instr=" SEQ Figur \* ARABIC ">
        <w:r w:rsidR="000F066D">
          <w:rPr>
            <w:noProof/>
          </w:rPr>
          <w:t>29</w:t>
        </w:r>
      </w:fldSimple>
      <w:r w:rsidR="003B4912">
        <w:t xml:space="preserve"> Eksempel på virksomhed, hvor 75%-grænsen for passiv investering overskrides</w:t>
      </w:r>
      <w:bookmarkEnd w:id="122"/>
    </w:p>
    <w:p w:rsidR="003B4912" w:rsidRDefault="003B4912" w:rsidP="00806D66"/>
    <w:p w:rsidR="007A35E5" w:rsidRDefault="007A35E5" w:rsidP="00806D66">
      <w:r>
        <w:t>I nedenstående afgørelse argumenterede rådgiver for at undtagelsesbestemmelsen i aktieavancebeskatningsloven er rettet mod virksomheder, der ejer ejendomme i inv</w:t>
      </w:r>
      <w:r>
        <w:t>e</w:t>
      </w:r>
      <w:r>
        <w:t>sterings øjemed. Ikke virksomheder med næringsejendomme, som i dette tilfælde, hvor rådgiver mente, at ejendomme</w:t>
      </w:r>
      <w:r w:rsidR="001F3E63">
        <w:t>ne hørte til varebeholdninger, o</w:t>
      </w:r>
      <w:r>
        <w:t>g at aktiviteten i stedet skulle sidestilles med almindelig erhvervsvirksomhed.</w:t>
      </w:r>
    </w:p>
    <w:p w:rsidR="007A35E5" w:rsidRDefault="007A35E5" w:rsidP="006F04F6"/>
    <w:p w:rsidR="007A35E5" w:rsidRPr="00806D66" w:rsidRDefault="007A35E5" w:rsidP="00806D66">
      <w:pPr>
        <w:rPr>
          <w:i/>
          <w:sz w:val="22"/>
          <w:lang w:eastAsia="da-DK"/>
        </w:rPr>
      </w:pPr>
      <w:r w:rsidRPr="00806D66">
        <w:rPr>
          <w:i/>
          <w:sz w:val="22"/>
          <w:lang w:eastAsia="da-DK"/>
        </w:rPr>
        <w:lastRenderedPageBreak/>
        <w:t>SKM 2004.176.LR: Ligningsrådet kunne ikke imødekomme anmodning om, at ejendomshandler F kunne overdrage anparter i S ApS til børnene under iagttagelse af bestemmelserne i akti</w:t>
      </w:r>
      <w:r w:rsidRPr="00806D66">
        <w:rPr>
          <w:i/>
          <w:sz w:val="22"/>
          <w:lang w:eastAsia="da-DK"/>
        </w:rPr>
        <w:t>e</w:t>
      </w:r>
      <w:r w:rsidRPr="00806D66">
        <w:rPr>
          <w:i/>
          <w:sz w:val="22"/>
          <w:lang w:eastAsia="da-DK"/>
        </w:rPr>
        <w:t>avancebeskatningslovens § 11 om succession. Det er ifølge ABL § 11, stk. 1, nr. 4 ikke muligt at succedere efter bestemmelserne i ABL § 11, såfremt handelsværdien af selskabets udlejning</w:t>
      </w:r>
      <w:r w:rsidRPr="00806D66">
        <w:rPr>
          <w:i/>
          <w:sz w:val="22"/>
          <w:lang w:eastAsia="da-DK"/>
        </w:rPr>
        <w:t>s</w:t>
      </w:r>
      <w:r w:rsidRPr="00806D66">
        <w:rPr>
          <w:i/>
          <w:sz w:val="22"/>
          <w:lang w:eastAsia="da-DK"/>
        </w:rPr>
        <w:t>ejendomme, kontanter, værdipapirer eller lignende enten på overdragelsestidspunktet eller opgjort som gennemsnittet af de seneste 3 regnskabsår udgør mere end halvdelen af handel</w:t>
      </w:r>
      <w:r w:rsidRPr="00806D66">
        <w:rPr>
          <w:i/>
          <w:sz w:val="22"/>
          <w:lang w:eastAsia="da-DK"/>
        </w:rPr>
        <w:t>s</w:t>
      </w:r>
      <w:r w:rsidRPr="00806D66">
        <w:rPr>
          <w:i/>
          <w:sz w:val="22"/>
          <w:lang w:eastAsia="da-DK"/>
        </w:rPr>
        <w:t>værdien af selskabets samlede aktiver. Ifølge styrelsens beregninger udgjorde selskabets in</w:t>
      </w:r>
      <w:r w:rsidRPr="00806D66">
        <w:rPr>
          <w:i/>
          <w:sz w:val="22"/>
          <w:lang w:eastAsia="da-DK"/>
        </w:rPr>
        <w:t>d</w:t>
      </w:r>
      <w:r w:rsidRPr="00806D66">
        <w:rPr>
          <w:i/>
          <w:sz w:val="22"/>
          <w:lang w:eastAsia="da-DK"/>
        </w:rPr>
        <w:t xml:space="preserve">tægter fra den passive pengeanbringelse opgjort både som gennemsnittet af de seneste tre års regnskabsår samt for senest aflagte årsregnskab ca. 95 % af selskabets samlede indtægter. Selskabets indtægter fra den passive pengeanbringelse oversteg således grænsen på 50 % for alle tre år, og kravene i ABL § 11, stk. 1, nr. 4, kunne derfor ikke anses for opfyldt. Styrelsen bemærkede desuden, at det afgørende er, hvorvidt der er tale om indtægter fra udlejning af fast ejendom, og da størstedelen af selskabets indtægter stammer herfra, kan betingelserne for at succedere ikke være opfyldt. </w:t>
      </w:r>
    </w:p>
    <w:p w:rsidR="007A35E5" w:rsidRDefault="007A35E5" w:rsidP="006F04F6"/>
    <w:p w:rsidR="007A35E5" w:rsidRDefault="007A35E5" w:rsidP="006F04F6">
      <w:r>
        <w:t>Afgørelsen er et eksempel på at reglerne forstås bogstaveligt, uanset at man rammer virksomheder, der i realiteten ikke er et investeringsselskab. Det er samme proble</w:t>
      </w:r>
      <w:r>
        <w:t>m</w:t>
      </w:r>
      <w:r>
        <w:t>stilling i nedenstående afgørelse, hvor et selskab, der driver virksomhed med organis</w:t>
      </w:r>
      <w:r>
        <w:t>e</w:t>
      </w:r>
      <w:r>
        <w:t>ring og afvikling af kongresser for virksomheder og organisationer blev anset for et pengetanksselskab. Selskabet havde store forudbetalinger fra kunder, der skulle me</w:t>
      </w:r>
      <w:r>
        <w:t>d</w:t>
      </w:r>
      <w:r>
        <w:t xml:space="preserve">regnes til de finansielle aktiver, uanset at det var driftskapital. </w:t>
      </w:r>
    </w:p>
    <w:p w:rsidR="007A35E5" w:rsidRDefault="007A35E5" w:rsidP="00AF4FDF">
      <w:r>
        <w:t xml:space="preserve"> </w:t>
      </w:r>
    </w:p>
    <w:p w:rsidR="007A35E5" w:rsidRPr="006B3CFD" w:rsidRDefault="007A35E5" w:rsidP="006F04F6">
      <w:pPr>
        <w:rPr>
          <w:i/>
          <w:sz w:val="22"/>
        </w:rPr>
      </w:pPr>
      <w:r w:rsidRPr="006B3CFD">
        <w:rPr>
          <w:i/>
          <w:sz w:val="22"/>
        </w:rPr>
        <w:t>SKM.2003.458 Ligningsrådet blev anmodet om at tage stilling til, hvorvidt en fader kunne ove</w:t>
      </w:r>
      <w:r w:rsidRPr="006B3CFD">
        <w:rPr>
          <w:i/>
          <w:sz w:val="22"/>
        </w:rPr>
        <w:t>r</w:t>
      </w:r>
      <w:r w:rsidRPr="006B3CFD">
        <w:rPr>
          <w:i/>
          <w:sz w:val="22"/>
        </w:rPr>
        <w:t xml:space="preserve">drage </w:t>
      </w:r>
      <w:r w:rsidR="00910EE3" w:rsidRPr="006B3CFD">
        <w:rPr>
          <w:i/>
          <w:sz w:val="22"/>
        </w:rPr>
        <w:t>100 %</w:t>
      </w:r>
      <w:r w:rsidRPr="006B3CFD">
        <w:rPr>
          <w:i/>
          <w:sz w:val="22"/>
        </w:rPr>
        <w:t xml:space="preserve"> af anparterne i to selskaber til </w:t>
      </w:r>
      <w:r w:rsidR="00910EE3" w:rsidRPr="006B3CFD">
        <w:rPr>
          <w:i/>
          <w:sz w:val="22"/>
        </w:rPr>
        <w:t>hvert</w:t>
      </w:r>
      <w:r w:rsidRPr="006B3CFD">
        <w:rPr>
          <w:i/>
          <w:sz w:val="22"/>
        </w:rPr>
        <w:t xml:space="preserve"> af sine to børn efter reglerne om succession</w:t>
      </w:r>
      <w:r w:rsidRPr="006B3CFD">
        <w:rPr>
          <w:i/>
          <w:sz w:val="22"/>
        </w:rPr>
        <w:t>s</w:t>
      </w:r>
      <w:r w:rsidRPr="006B3CFD">
        <w:rPr>
          <w:i/>
          <w:sz w:val="22"/>
        </w:rPr>
        <w:t>overdragelse i aktieavancebeskatningslovens § 11. En stor likvid beholdning i form af forudb</w:t>
      </w:r>
      <w:r w:rsidRPr="006B3CFD">
        <w:rPr>
          <w:i/>
          <w:sz w:val="22"/>
        </w:rPr>
        <w:t>e</w:t>
      </w:r>
      <w:r w:rsidRPr="006B3CFD">
        <w:rPr>
          <w:i/>
          <w:sz w:val="22"/>
        </w:rPr>
        <w:t>talinger anses som omfattet af pengetankreglen, hvilket får den betydning, at væsentlighed</w:t>
      </w:r>
      <w:r w:rsidRPr="006B3CFD">
        <w:rPr>
          <w:i/>
          <w:sz w:val="22"/>
        </w:rPr>
        <w:t>s</w:t>
      </w:r>
      <w:r w:rsidRPr="006B3CFD">
        <w:rPr>
          <w:i/>
          <w:sz w:val="22"/>
        </w:rPr>
        <w:t>kravet i henhold til aktieavancebeskatningslovens § 11, stk. 9 opfyldes. Der kan herefter ikke ske successionsoverdragelse af de to anpartsselskaber efter aktieavancebeskatningslovens § 11.</w:t>
      </w:r>
    </w:p>
    <w:p w:rsidR="007A35E5" w:rsidRPr="00ED6DA8" w:rsidRDefault="007A35E5" w:rsidP="006F04F6"/>
    <w:p w:rsidR="007A35E5" w:rsidRDefault="007A35E5" w:rsidP="00AF4FDF">
      <w:r>
        <w:lastRenderedPageBreak/>
        <w:t xml:space="preserve">En væsentlig undtagelse er at afkast og værdien af </w:t>
      </w:r>
      <w:r w:rsidR="00935D05">
        <w:t>aktier/anparte</w:t>
      </w:r>
      <w:r>
        <w:t>r i datterselskaber, hvor ejerandelen direkte eller indirekte er mindst 25 %, ikke skal medregnes 100 % ved væsentlighedsbedømmelsen. I stedet medregnes en til ejerforholdet svarende del af datterselskabets pengetanksaktiver og de samlede aktiver. Udbytter af sådanne da</w:t>
      </w:r>
      <w:r>
        <w:t>t</w:t>
      </w:r>
      <w:r>
        <w:t xml:space="preserve">terselskaber indgår ikke i pengetanksindtægter, i stedet indregnes som ved aktiverne en til ejerforholdet del af pengetanksindtægterne og de samlede indtægter. Derudover skal </w:t>
      </w:r>
      <w:r w:rsidR="001F3E63">
        <w:t xml:space="preserve">indtægter fra </w:t>
      </w:r>
      <w:r>
        <w:t>udleje af fast ejendom mellem selskabet og datterselskabet eller andre datterselskaber ej heller medtages, og hvis udlejningsejendommen anvendes af datterselskabet i sin virksomhed og ikke videre udlejer den skal den ikke indgå i peng</w:t>
      </w:r>
      <w:r>
        <w:t>e</w:t>
      </w:r>
      <w:r>
        <w:t>tanksaktiverne</w:t>
      </w:r>
      <w:r>
        <w:rPr>
          <w:rStyle w:val="Fodnotehenvisning"/>
        </w:rPr>
        <w:footnoteReference w:id="98"/>
      </w:r>
      <w:r>
        <w:t xml:space="preserve">. Derved forberedes mulighederne for at succedere i holdingselskaber.   </w:t>
      </w:r>
    </w:p>
    <w:p w:rsidR="007A35E5" w:rsidRDefault="007A35E5" w:rsidP="00AF4FDF">
      <w:r>
        <w:t>Det er en fordel, hvis successionen planlægges i god tid. Ved det opnår man at tilpasse virksomhedens balance i årene op til, så den ikke falder for pengetanksreglen. Samtidig har man mulighed for at lave en successiv overdragelse, hvor man udnytter grænsen for afgiftsfrie gaver i en årrække inden</w:t>
      </w:r>
      <w:r w:rsidR="001F3E63">
        <w:t>,</w:t>
      </w:r>
      <w:r>
        <w:t xml:space="preserve"> man laver den endelige overdragelse. </w:t>
      </w:r>
    </w:p>
    <w:p w:rsidR="007A35E5" w:rsidRDefault="007A35E5" w:rsidP="00AF4FDF"/>
    <w:p w:rsidR="007A35E5" w:rsidRPr="006E77EF" w:rsidRDefault="009872D1" w:rsidP="006E77EF">
      <w:pPr>
        <w:pStyle w:val="Overskrift3"/>
      </w:pPr>
      <w:bookmarkStart w:id="123" w:name="_Toc221546225"/>
      <w:r>
        <w:t>4.</w:t>
      </w:r>
      <w:r w:rsidR="000555D8">
        <w:t>2</w:t>
      </w:r>
      <w:r w:rsidR="006E77EF" w:rsidRPr="006E77EF">
        <w:t xml:space="preserve">.2 </w:t>
      </w:r>
      <w:r w:rsidR="007A35E5" w:rsidRPr="006E77EF">
        <w:t>Konsekvens for overdrageren og erhververen</w:t>
      </w:r>
      <w:r w:rsidR="00627158">
        <w:t xml:space="preserve"> </w:t>
      </w:r>
      <w:r w:rsidR="00627158">
        <w:rPr>
          <w:b w:val="0"/>
          <w:sz w:val="22"/>
          <w:szCs w:val="22"/>
        </w:rPr>
        <w:t>(Pernille</w:t>
      </w:r>
      <w:r w:rsidR="00627158" w:rsidRPr="00E75844">
        <w:rPr>
          <w:b w:val="0"/>
          <w:sz w:val="22"/>
          <w:szCs w:val="22"/>
        </w:rPr>
        <w:t>)</w:t>
      </w:r>
      <w:bookmarkEnd w:id="123"/>
    </w:p>
    <w:p w:rsidR="007A35E5" w:rsidRDefault="007A35E5" w:rsidP="00AF4FDF">
      <w:r>
        <w:t>Overdrageren undgår ved successionsoverdragelse at blive beskattet ved afståelse af sine aktier. Derfor kan der også kun succederes, hvis der konstateres en avance og ikke et tab. Overdrageren kan godt lave en delvis overdragelse med succession og en delvis overdragelse ved handel og dermed afståelsesbeskatning. Erhververen indtræder i overdragerens skattemæssige stilling med hensyn til anskaffelsestidspunkt og anska</w:t>
      </w:r>
      <w:r>
        <w:t>f</w:t>
      </w:r>
      <w:r>
        <w:t>felsessum. Derudover overtager erhververen hensigten med de aktiver, der er i selsk</w:t>
      </w:r>
      <w:r>
        <w:t>a</w:t>
      </w:r>
      <w:r>
        <w:t>bet. Hvis en ejendom f.eks. er erhvervet i næringsøjemed af overdrageren, bliver se</w:t>
      </w:r>
      <w:r>
        <w:t>l</w:t>
      </w:r>
      <w:r>
        <w:t xml:space="preserve">skabet ved salg også næringsbeskattet. Et område hvor der ikke er fuld succession er ved overdragelse af aktier, hvor, </w:t>
      </w:r>
      <w:r w:rsidR="001F3E63">
        <w:t>hvis erhververen har et tab,</w:t>
      </w:r>
      <w:r>
        <w:t xml:space="preserve"> ikke kan fratrække en evt. </w:t>
      </w:r>
      <w:r>
        <w:lastRenderedPageBreak/>
        <w:t>avance ved salg af de aktier, der er succederet i</w:t>
      </w:r>
      <w:r w:rsidR="001F3E63">
        <w:t>.</w:t>
      </w:r>
      <w:r>
        <w:rPr>
          <w:rStyle w:val="Fodnotehenvisning"/>
        </w:rPr>
        <w:footnoteReference w:id="99"/>
      </w:r>
      <w:r>
        <w:t xml:space="preserve"> Derudover succederes der ikke i ejertidsnedslag for hovedaktionæraktier</w:t>
      </w:r>
      <w:r w:rsidR="001F3E63">
        <w:t>.</w:t>
      </w:r>
      <w:r>
        <w:rPr>
          <w:rStyle w:val="Fodnotehenvisning"/>
        </w:rPr>
        <w:footnoteReference w:id="100"/>
      </w:r>
    </w:p>
    <w:p w:rsidR="007A35E5" w:rsidRDefault="007A35E5" w:rsidP="00AF4FDF"/>
    <w:p w:rsidR="007A35E5" w:rsidRPr="006E77EF" w:rsidRDefault="006E77EF" w:rsidP="006E77EF">
      <w:pPr>
        <w:pStyle w:val="Overskrift3"/>
      </w:pPr>
      <w:bookmarkStart w:id="124" w:name="_Toc221546226"/>
      <w:r w:rsidRPr="006E77EF">
        <w:t>4.</w:t>
      </w:r>
      <w:r w:rsidR="000555D8">
        <w:t>2</w:t>
      </w:r>
      <w:r w:rsidRPr="006E77EF">
        <w:t xml:space="preserve">.3 </w:t>
      </w:r>
      <w:r w:rsidR="007A35E5" w:rsidRPr="006E77EF">
        <w:t>Værdiansættelse af aktier/anparter</w:t>
      </w:r>
      <w:r w:rsidR="00627158">
        <w:t xml:space="preserve"> </w:t>
      </w:r>
      <w:r w:rsidR="00627158">
        <w:rPr>
          <w:b w:val="0"/>
          <w:sz w:val="22"/>
          <w:szCs w:val="22"/>
        </w:rPr>
        <w:t>(Pernille</w:t>
      </w:r>
      <w:r w:rsidR="00627158" w:rsidRPr="00E75844">
        <w:rPr>
          <w:b w:val="0"/>
          <w:sz w:val="22"/>
          <w:szCs w:val="22"/>
        </w:rPr>
        <w:t>)</w:t>
      </w:r>
      <w:bookmarkEnd w:id="124"/>
    </w:p>
    <w:p w:rsidR="007A35E5" w:rsidRDefault="007A35E5" w:rsidP="00AF4FDF">
      <w:r>
        <w:t>Aktierne skal ved overdragelsen ansættes til handelsværdi, uanset at der påhviler dem en latent skatteforpligtigelse. Det kan dog være vanskeligt at værdiansætte unoterede aktier i en familiedrevet virksomhed, hvor de aldrig har været handlet. Der er derfor udarbejdet en generel vejledning ved udstedelse af to værdiansættelsescirkulærer til brug ved overdragelse i mellem interesseforbundne parter. TS-CIR nr. 9 af 28. marts 2000 anven</w:t>
      </w:r>
      <w:r w:rsidR="00AF3774">
        <w:t xml:space="preserve">des til søskende og deres børn, hvor der er valgfrihed i mellem Cirkl. nr. 185 af 17.11.1982 og TS-CIR nr. 9 af 28. marts </w:t>
      </w:r>
      <w:r w:rsidR="002A7A59">
        <w:t xml:space="preserve">2000 </w:t>
      </w:r>
      <w:r w:rsidR="00AF3774">
        <w:t>overdragelse til børn og børn</w:t>
      </w:r>
      <w:r w:rsidR="00AF3774">
        <w:t>e</w:t>
      </w:r>
      <w:r w:rsidR="002A7A59">
        <w:t>børn</w:t>
      </w:r>
      <w:r w:rsidR="002A7A59">
        <w:rPr>
          <w:rStyle w:val="Fodnotehenvisning"/>
        </w:rPr>
        <w:footnoteReference w:id="101"/>
      </w:r>
      <w:r w:rsidR="00AF3774">
        <w:t>. Første nævnte er dog typisk mere attraktivt, da immaterielle aktiver ikke me</w:t>
      </w:r>
      <w:r w:rsidR="00AF3774">
        <w:t>d</w:t>
      </w:r>
      <w:r w:rsidR="00AF3774">
        <w:t xml:space="preserve">regnes ved beregning af formueskattekursen. </w:t>
      </w:r>
      <w:r>
        <w:t xml:space="preserve"> </w:t>
      </w:r>
    </w:p>
    <w:p w:rsidR="007A35E5" w:rsidRDefault="007A35E5" w:rsidP="00AF4FDF">
      <w:r>
        <w:t xml:space="preserve">I følge cirkl. nr. 185 af 17.11.1982 skal der ved værdifastsættelsen af aktierne, hvis der ikke er et aktiv marked, tages udgangspunkt i det af </w:t>
      </w:r>
      <w:r w:rsidR="003D7459">
        <w:t>Skatterådet</w:t>
      </w:r>
      <w:r>
        <w:t xml:space="preserve"> fastsatte formueska</w:t>
      </w:r>
      <w:r>
        <w:t>t</w:t>
      </w:r>
      <w:r>
        <w:t xml:space="preserve">tekurs. Formueskattekursen tager udgangspunkt i en række kapitaliseringsfaktorer, hvor der tages udgangspunkt i kursen beregnet på grundlag af det seneste regnskab, dog i særlige tilfælde regnskabsåret, der udløber efter overdragelsen. </w:t>
      </w:r>
    </w:p>
    <w:p w:rsidR="0054510D" w:rsidRDefault="007A35E5" w:rsidP="00AF4FDF">
      <w:r>
        <w:t>Der er den almindelig beregningsmodel og en beregningsmodel for hovedaktionærse</w:t>
      </w:r>
      <w:r>
        <w:t>l</w:t>
      </w:r>
      <w:r>
        <w:t xml:space="preserve">skaber, der defineres som selskaber hvor over halvdelen af aktiernes stemmeværdi ejes af et andet selskab, </w:t>
      </w:r>
      <w:r w:rsidR="00461277">
        <w:t>men ikke er 100 % ejet at et selskab. F</w:t>
      </w:r>
      <w:r>
        <w:t>orskellen</w:t>
      </w:r>
      <w:r w:rsidR="00461277">
        <w:t xml:space="preserve"> på beregni</w:t>
      </w:r>
      <w:r w:rsidR="00461277">
        <w:t>n</w:t>
      </w:r>
      <w:r w:rsidR="00461277">
        <w:t>gen for de to type selskaber</w:t>
      </w:r>
      <w:r>
        <w:t xml:space="preserve"> er, at i </w:t>
      </w:r>
      <w:r w:rsidR="00910EE3">
        <w:t>sidstnævnte</w:t>
      </w:r>
      <w:r>
        <w:t xml:space="preserve"> skal der ikke indgå det deklarerede udbytt</w:t>
      </w:r>
      <w:r w:rsidR="0054510D">
        <w:t>e i beregningen.</w:t>
      </w:r>
      <w:r>
        <w:t xml:space="preserve"> </w:t>
      </w:r>
      <w:r w:rsidR="0054510D">
        <w:t xml:space="preserve">Derudover er der den modificerede regel, der anvendes, hvis et almindeligt selskab eller et hovedaktionærselskab har en beregnet indtjeningsevne på </w:t>
      </w:r>
      <w:r w:rsidR="0054510D">
        <w:lastRenderedPageBreak/>
        <w:t>mere end 10 %.</w:t>
      </w:r>
      <w:r w:rsidR="00461277">
        <w:t xml:space="preserve"> Der er specielle regler for ejendomsselskaber, og man skal benytte 90 pct. reglen for bl.a. holdingselskaber.</w:t>
      </w:r>
    </w:p>
    <w:p w:rsidR="007A35E5" w:rsidRDefault="007A35E5" w:rsidP="00AF4FDF">
      <w:r>
        <w:t>Den skattepligtige formue er opgjort på baggrund af specielle beregningsregler, bl.a. er driftsmidler medtages til deres saldoværdi, ejendomme til ejendomsvurderingen, i</w:t>
      </w:r>
      <w:r>
        <w:t>m</w:t>
      </w:r>
      <w:r>
        <w:t>materielle aktiver medregnes ikke, ej heller indretning af lejede lokaler.</w:t>
      </w:r>
    </w:p>
    <w:p w:rsidR="00C55C02" w:rsidRDefault="00C55C02" w:rsidP="00AF4FDF">
      <w:r>
        <w:t>I nedenstående eksempel er beregnet en kurs på et selskab, der skal overdrages til en person efter cirkl. nr. 185 af 17.11.1982, og som ikke er et hovedaktionærselskab.</w:t>
      </w:r>
      <w:r w:rsidR="000E2365">
        <w:t xml:space="preserve"> Case virksomheden bruges ikke til denne beregning. Da </w:t>
      </w:r>
      <w:r w:rsidR="007F0CCB">
        <w:t>virksomheden</w:t>
      </w:r>
      <w:r w:rsidR="000E2365">
        <w:t xml:space="preserve"> lige er omdannet </w:t>
      </w:r>
      <w:r w:rsidR="007F0CCB">
        <w:t xml:space="preserve">til selskab, </w:t>
      </w:r>
      <w:r w:rsidR="00DB2CA5">
        <w:t>kan man ikke bruge nedenstående beregning.</w:t>
      </w:r>
      <w:r w:rsidR="00DB2CA5">
        <w:rPr>
          <w:rStyle w:val="Fodnotehenvisning"/>
        </w:rPr>
        <w:footnoteReference w:id="102"/>
      </w:r>
      <w:r w:rsidR="0054510D">
        <w:t xml:space="preserve"> Nedenstående er et ekse</w:t>
      </w:r>
      <w:r w:rsidR="0054510D">
        <w:t>m</w:t>
      </w:r>
      <w:r w:rsidR="0054510D">
        <w:t xml:space="preserve">pel på et driftsselskab, hvor over halvdelen af aktiernes stemmeværdi ejes af et andet selskab (hovedaktionærselskab). </w:t>
      </w:r>
      <w:r w:rsidR="00DB2CA5">
        <w:t xml:space="preserve">I </w:t>
      </w:r>
      <w:r w:rsidR="00270C4A">
        <w:t>”</w:t>
      </w:r>
      <w:r w:rsidR="00012FAC">
        <w:fldChar w:fldCharType="begin"/>
      </w:r>
      <w:r w:rsidR="00270C4A">
        <w:instrText xml:space="preserve"> REF _Ref219215077 \h </w:instrText>
      </w:r>
      <w:r w:rsidR="00012FAC">
        <w:fldChar w:fldCharType="separate"/>
      </w:r>
      <w:r w:rsidR="000F066D">
        <w:t>Bilag 7 – Beregning af skattepligtig formue</w:t>
      </w:r>
      <w:r w:rsidR="00012FAC">
        <w:fldChar w:fldCharType="end"/>
      </w:r>
      <w:r w:rsidR="00270C4A">
        <w:t>”</w:t>
      </w:r>
      <w:r w:rsidR="00DB2CA5">
        <w:t xml:space="preserve"> er b</w:t>
      </w:r>
      <w:r w:rsidR="00DB2CA5">
        <w:t>e</w:t>
      </w:r>
      <w:r w:rsidR="00DB2CA5">
        <w:t>regningen af den skattepligtige formue vist.</w:t>
      </w:r>
    </w:p>
    <w:p w:rsidR="00DB2CA5" w:rsidRDefault="00DB2CA5" w:rsidP="00AF4FDF"/>
    <w:tbl>
      <w:tblPr>
        <w:tblW w:w="5018" w:type="pct"/>
        <w:tblCellMar>
          <w:left w:w="70" w:type="dxa"/>
          <w:right w:w="70" w:type="dxa"/>
        </w:tblCellMar>
        <w:tblLook w:val="00A0"/>
      </w:tblPr>
      <w:tblGrid>
        <w:gridCol w:w="3238"/>
        <w:gridCol w:w="186"/>
        <w:gridCol w:w="239"/>
        <w:gridCol w:w="1117"/>
        <w:gridCol w:w="1282"/>
        <w:gridCol w:w="1308"/>
        <w:gridCol w:w="1305"/>
      </w:tblGrid>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54510D">
            <w:pPr>
              <w:rPr>
                <w:rFonts w:cs="Arial"/>
                <w:b/>
                <w:bCs/>
                <w:sz w:val="20"/>
                <w:szCs w:val="20"/>
              </w:rPr>
            </w:pPr>
            <w:r>
              <w:br w:type="page"/>
            </w:r>
            <w:r>
              <w:br w:type="page"/>
            </w:r>
            <w:r w:rsidR="007A35E5" w:rsidRPr="007945B1">
              <w:rPr>
                <w:rFonts w:cs="Arial"/>
                <w:b/>
                <w:bCs/>
                <w:sz w:val="20"/>
                <w:szCs w:val="20"/>
              </w:rPr>
              <w:t xml:space="preserve">Beregning af skattekurs </w:t>
            </w:r>
            <w:r>
              <w:rPr>
                <w:rFonts w:cs="Arial"/>
                <w:b/>
                <w:bCs/>
                <w:sz w:val="20"/>
                <w:szCs w:val="20"/>
              </w:rPr>
              <w:t>pr. 31.</w:t>
            </w:r>
            <w:r w:rsidRPr="007945B1">
              <w:rPr>
                <w:rFonts w:cs="Arial"/>
                <w:b/>
                <w:bCs/>
                <w:sz w:val="20"/>
                <w:szCs w:val="20"/>
              </w:rPr>
              <w:t>3.2008</w:t>
            </w: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2755" w:type="pct"/>
            <w:gridSpan w:val="4"/>
            <w:tcBorders>
              <w:top w:val="nil"/>
              <w:left w:val="nil"/>
              <w:bottom w:val="nil"/>
              <w:right w:val="nil"/>
            </w:tcBorders>
            <w:shd w:val="clear" w:color="000000" w:fill="auto"/>
            <w:noWrap/>
            <w:vAlign w:val="bottom"/>
          </w:tcPr>
          <w:p w:rsidR="007A35E5" w:rsidRPr="007945B1" w:rsidRDefault="007A35E5">
            <w:pPr>
              <w:rPr>
                <w:rFonts w:cs="Arial"/>
                <w:b/>
                <w:bCs/>
                <w:sz w:val="20"/>
                <w:szCs w:val="20"/>
              </w:rPr>
            </w:pPr>
            <w:r w:rsidRPr="007945B1">
              <w:rPr>
                <w:rFonts w:cs="Arial"/>
                <w:b/>
                <w:bCs/>
                <w:sz w:val="20"/>
                <w:szCs w:val="20"/>
              </w:rPr>
              <w:t>Den almindelige beregningsregel</w:t>
            </w: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b/>
                <w:bCs/>
                <w:sz w:val="20"/>
                <w:szCs w:val="20"/>
              </w:rPr>
            </w:pP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b/>
                <w:bCs/>
                <w:sz w:val="20"/>
                <w:szCs w:val="20"/>
              </w:rPr>
            </w:pPr>
            <w:r w:rsidRPr="007945B1">
              <w:rPr>
                <w:rFonts w:cs="Arial"/>
                <w:b/>
                <w:bCs/>
                <w:sz w:val="20"/>
                <w:szCs w:val="20"/>
              </w:rPr>
              <w:t>Aktiekapital</w:t>
            </w: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b/>
                <w:bCs/>
                <w:sz w:val="20"/>
                <w:szCs w:val="20"/>
              </w:rPr>
            </w:pPr>
            <w:r w:rsidRPr="007945B1">
              <w:rPr>
                <w:rFonts w:cs="Arial"/>
                <w:b/>
                <w:bCs/>
                <w:sz w:val="20"/>
                <w:szCs w:val="20"/>
              </w:rPr>
              <w:t xml:space="preserve">        500.000 </w:t>
            </w:r>
          </w:p>
        </w:tc>
      </w:tr>
      <w:tr w:rsidR="007A35E5" w:rsidRPr="007945B1" w:rsidTr="0054510D">
        <w:trPr>
          <w:trHeight w:val="243"/>
        </w:trPr>
        <w:tc>
          <w:tcPr>
            <w:tcW w:w="2755" w:type="pct"/>
            <w:gridSpan w:val="4"/>
            <w:tcBorders>
              <w:top w:val="nil"/>
              <w:left w:val="nil"/>
              <w:bottom w:val="nil"/>
              <w:right w:val="nil"/>
            </w:tcBorders>
            <w:shd w:val="clear" w:color="000000" w:fill="auto"/>
            <w:noWrap/>
            <w:vAlign w:val="bottom"/>
          </w:tcPr>
          <w:p w:rsidR="007A35E5" w:rsidRPr="007945B1" w:rsidRDefault="00910EE3">
            <w:pPr>
              <w:rPr>
                <w:rFonts w:cs="Arial"/>
                <w:b/>
                <w:bCs/>
                <w:sz w:val="20"/>
                <w:szCs w:val="20"/>
              </w:rPr>
            </w:pPr>
            <w:r>
              <w:rPr>
                <w:rFonts w:cs="Arial"/>
                <w:b/>
                <w:bCs/>
                <w:sz w:val="20"/>
                <w:szCs w:val="20"/>
              </w:rPr>
              <w:t>Skattepligtig formue 31.</w:t>
            </w:r>
            <w:r w:rsidRPr="007945B1">
              <w:rPr>
                <w:rFonts w:cs="Arial"/>
                <w:b/>
                <w:bCs/>
                <w:sz w:val="20"/>
                <w:szCs w:val="20"/>
              </w:rPr>
              <w:t xml:space="preserve">3.2008 </w:t>
            </w: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b/>
                <w:bCs/>
                <w:sz w:val="20"/>
                <w:szCs w:val="20"/>
              </w:rPr>
            </w:pPr>
            <w:r w:rsidRPr="007945B1">
              <w:rPr>
                <w:rFonts w:cs="Arial"/>
                <w:b/>
                <w:bCs/>
                <w:sz w:val="20"/>
                <w:szCs w:val="20"/>
              </w:rPr>
              <w:t xml:space="preserve">     2.555.278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u w:val="single"/>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b/>
                <w:bCs/>
                <w:sz w:val="20"/>
                <w:szCs w:val="20"/>
              </w:rPr>
            </w:pPr>
            <w:r w:rsidRPr="007945B1">
              <w:rPr>
                <w:rFonts w:cs="Arial"/>
                <w:b/>
                <w:bCs/>
                <w:sz w:val="20"/>
                <w:szCs w:val="20"/>
              </w:rPr>
              <w:t>Indtjeningsevne</w:t>
            </w:r>
          </w:p>
        </w:tc>
        <w:tc>
          <w:tcPr>
            <w:tcW w:w="889" w:type="pct"/>
            <w:gridSpan w:val="3"/>
            <w:tcBorders>
              <w:top w:val="nil"/>
              <w:left w:val="nil"/>
              <w:bottom w:val="nil"/>
              <w:right w:val="nil"/>
            </w:tcBorders>
            <w:shd w:val="clear" w:color="000000" w:fill="auto"/>
            <w:noWrap/>
            <w:vAlign w:val="bottom"/>
          </w:tcPr>
          <w:p w:rsidR="007A35E5" w:rsidRPr="007945B1" w:rsidRDefault="007A35E5">
            <w:pPr>
              <w:jc w:val="right"/>
              <w:rPr>
                <w:rFonts w:cs="Arial"/>
                <w:sz w:val="20"/>
                <w:szCs w:val="20"/>
                <w:u w:val="single"/>
              </w:rPr>
            </w:pPr>
            <w:r w:rsidRPr="007945B1">
              <w:rPr>
                <w:rFonts w:cs="Arial"/>
                <w:sz w:val="20"/>
                <w:szCs w:val="20"/>
                <w:u w:val="single"/>
              </w:rPr>
              <w:t>2005</w:t>
            </w:r>
          </w:p>
        </w:tc>
        <w:tc>
          <w:tcPr>
            <w:tcW w:w="739" w:type="pct"/>
            <w:tcBorders>
              <w:top w:val="nil"/>
              <w:left w:val="nil"/>
              <w:bottom w:val="nil"/>
              <w:right w:val="nil"/>
            </w:tcBorders>
            <w:shd w:val="clear" w:color="000000" w:fill="auto"/>
            <w:noWrap/>
            <w:vAlign w:val="bottom"/>
          </w:tcPr>
          <w:p w:rsidR="007A35E5" w:rsidRPr="007945B1" w:rsidRDefault="007A35E5">
            <w:pPr>
              <w:jc w:val="right"/>
              <w:rPr>
                <w:rFonts w:cs="Arial"/>
                <w:sz w:val="20"/>
                <w:szCs w:val="20"/>
                <w:u w:val="single"/>
              </w:rPr>
            </w:pPr>
            <w:r w:rsidRPr="007945B1">
              <w:rPr>
                <w:rFonts w:cs="Arial"/>
                <w:sz w:val="20"/>
                <w:szCs w:val="20"/>
                <w:u w:val="single"/>
              </w:rPr>
              <w:t>2006</w:t>
            </w:r>
          </w:p>
        </w:tc>
        <w:tc>
          <w:tcPr>
            <w:tcW w:w="754" w:type="pct"/>
            <w:tcBorders>
              <w:top w:val="nil"/>
              <w:left w:val="nil"/>
              <w:bottom w:val="nil"/>
              <w:right w:val="nil"/>
            </w:tcBorders>
            <w:shd w:val="clear" w:color="000000" w:fill="auto"/>
            <w:noWrap/>
            <w:vAlign w:val="bottom"/>
          </w:tcPr>
          <w:p w:rsidR="007A35E5" w:rsidRPr="007945B1" w:rsidRDefault="007A35E5">
            <w:pPr>
              <w:jc w:val="right"/>
              <w:rPr>
                <w:rFonts w:cs="Arial"/>
                <w:sz w:val="20"/>
                <w:szCs w:val="20"/>
                <w:u w:val="single"/>
              </w:rPr>
            </w:pPr>
            <w:r w:rsidRPr="007945B1">
              <w:rPr>
                <w:rFonts w:cs="Arial"/>
                <w:sz w:val="20"/>
                <w:szCs w:val="20"/>
                <w:u w:val="single"/>
              </w:rPr>
              <w:t>2007</w:t>
            </w:r>
          </w:p>
        </w:tc>
        <w:tc>
          <w:tcPr>
            <w:tcW w:w="752"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u w:val="single"/>
              </w:rPr>
            </w:pPr>
            <w:r w:rsidRPr="007945B1">
              <w:rPr>
                <w:rFonts w:cs="Arial"/>
                <w:sz w:val="20"/>
                <w:szCs w:val="20"/>
                <w:u w:val="single"/>
              </w:rPr>
              <w:t>I alt</w:t>
            </w:r>
          </w:p>
        </w:tc>
      </w:tr>
      <w:tr w:rsidR="007A35E5" w:rsidRPr="007945B1" w:rsidTr="0054510D">
        <w:trPr>
          <w:trHeight w:val="243"/>
        </w:trPr>
        <w:tc>
          <w:tcPr>
            <w:tcW w:w="2111"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 xml:space="preserve">Skattepl.indkomst før </w:t>
            </w:r>
            <w:r w:rsidR="00910EE3" w:rsidRPr="007945B1">
              <w:rPr>
                <w:rFonts w:cs="Arial"/>
                <w:sz w:val="20"/>
                <w:szCs w:val="20"/>
              </w:rPr>
              <w:t>ovf.</w:t>
            </w:r>
            <w:r w:rsidR="00910EE3">
              <w:rPr>
                <w:rFonts w:cs="Arial"/>
                <w:sz w:val="20"/>
                <w:szCs w:val="20"/>
              </w:rPr>
              <w:t xml:space="preserve"> </w:t>
            </w:r>
            <w:r w:rsidR="00910EE3" w:rsidRPr="007945B1">
              <w:rPr>
                <w:rFonts w:cs="Arial"/>
                <w:sz w:val="20"/>
                <w:szCs w:val="20"/>
              </w:rPr>
              <w:t>underskud</w:t>
            </w:r>
          </w:p>
        </w:tc>
        <w:tc>
          <w:tcPr>
            <w:tcW w:w="644"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r w:rsidRPr="007945B1">
              <w:rPr>
                <w:rFonts w:cs="Arial"/>
                <w:sz w:val="20"/>
                <w:szCs w:val="20"/>
              </w:rPr>
              <w:t xml:space="preserve">       678.000 </w:t>
            </w:r>
          </w:p>
        </w:tc>
        <w:tc>
          <w:tcPr>
            <w:tcW w:w="739"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r w:rsidRPr="007945B1">
              <w:rPr>
                <w:rFonts w:cs="Arial"/>
                <w:sz w:val="20"/>
                <w:szCs w:val="20"/>
              </w:rPr>
              <w:t xml:space="preserve">     1.426.000 </w:t>
            </w:r>
          </w:p>
        </w:tc>
        <w:tc>
          <w:tcPr>
            <w:tcW w:w="754"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r w:rsidRPr="007945B1">
              <w:rPr>
                <w:rFonts w:cs="Arial"/>
                <w:sz w:val="20"/>
                <w:szCs w:val="20"/>
              </w:rPr>
              <w:t xml:space="preserve">     2.356.000 </w:t>
            </w:r>
          </w:p>
        </w:tc>
        <w:tc>
          <w:tcPr>
            <w:tcW w:w="752"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r w:rsidRPr="007945B1">
              <w:rPr>
                <w:rFonts w:cs="Arial"/>
                <w:sz w:val="20"/>
                <w:szCs w:val="20"/>
              </w:rPr>
              <w:t xml:space="preserve">     4.460.000 </w:t>
            </w:r>
          </w:p>
        </w:tc>
      </w:tr>
      <w:tr w:rsidR="007A35E5" w:rsidRPr="007945B1" w:rsidTr="0054510D">
        <w:trPr>
          <w:trHeight w:val="286"/>
        </w:trPr>
        <w:tc>
          <w:tcPr>
            <w:tcW w:w="1973" w:type="pct"/>
            <w:gridSpan w:val="2"/>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 xml:space="preserve">- skat </w:t>
            </w:r>
            <w:r w:rsidR="00910EE3" w:rsidRPr="007945B1">
              <w:rPr>
                <w:rFonts w:cs="Arial"/>
                <w:sz w:val="20"/>
                <w:szCs w:val="20"/>
              </w:rPr>
              <w:t>30 % 28 %</w:t>
            </w:r>
          </w:p>
        </w:tc>
        <w:tc>
          <w:tcPr>
            <w:tcW w:w="782" w:type="pct"/>
            <w:gridSpan w:val="2"/>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u w:val="single"/>
              </w:rPr>
            </w:pPr>
            <w:r w:rsidRPr="007945B1">
              <w:rPr>
                <w:rFonts w:cs="Arial"/>
                <w:sz w:val="20"/>
                <w:szCs w:val="20"/>
                <w:u w:val="single"/>
              </w:rPr>
              <w:t xml:space="preserve">      (189.840)</w:t>
            </w:r>
          </w:p>
        </w:tc>
        <w:tc>
          <w:tcPr>
            <w:tcW w:w="739"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u w:val="single"/>
              </w:rPr>
            </w:pPr>
            <w:r w:rsidRPr="007945B1">
              <w:rPr>
                <w:rFonts w:cs="Arial"/>
                <w:sz w:val="20"/>
                <w:szCs w:val="20"/>
                <w:u w:val="single"/>
              </w:rPr>
              <w:t xml:space="preserve">       (399.280)</w:t>
            </w:r>
          </w:p>
        </w:tc>
        <w:tc>
          <w:tcPr>
            <w:tcW w:w="754"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u w:val="single"/>
              </w:rPr>
            </w:pPr>
            <w:r w:rsidRPr="007945B1">
              <w:rPr>
                <w:rFonts w:cs="Arial"/>
                <w:sz w:val="20"/>
                <w:szCs w:val="20"/>
                <w:u w:val="single"/>
              </w:rPr>
              <w:t xml:space="preserve">       (659.680)</w:t>
            </w:r>
          </w:p>
        </w:tc>
        <w:tc>
          <w:tcPr>
            <w:tcW w:w="752"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u w:val="single"/>
              </w:rPr>
            </w:pPr>
            <w:r w:rsidRPr="007945B1">
              <w:rPr>
                <w:rFonts w:cs="Arial"/>
                <w:sz w:val="20"/>
                <w:szCs w:val="20"/>
                <w:u w:val="single"/>
              </w:rPr>
              <w:t xml:space="preserve">    (1.248.800)</w:t>
            </w:r>
          </w:p>
        </w:tc>
      </w:tr>
      <w:tr w:rsidR="007A35E5" w:rsidRPr="007945B1" w:rsidTr="0054510D">
        <w:trPr>
          <w:trHeight w:val="243"/>
        </w:trPr>
        <w:tc>
          <w:tcPr>
            <w:tcW w:w="1973" w:type="pct"/>
            <w:gridSpan w:val="2"/>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82" w:type="pct"/>
            <w:gridSpan w:val="2"/>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r w:rsidRPr="007945B1">
              <w:rPr>
                <w:rFonts w:cs="Arial"/>
                <w:sz w:val="20"/>
                <w:szCs w:val="20"/>
              </w:rPr>
              <w:t xml:space="preserve">       488.160 </w:t>
            </w:r>
          </w:p>
        </w:tc>
        <w:tc>
          <w:tcPr>
            <w:tcW w:w="739"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r w:rsidRPr="007945B1">
              <w:rPr>
                <w:rFonts w:cs="Arial"/>
                <w:sz w:val="20"/>
                <w:szCs w:val="20"/>
              </w:rPr>
              <w:t xml:space="preserve">     1.026.720 </w:t>
            </w:r>
          </w:p>
        </w:tc>
        <w:tc>
          <w:tcPr>
            <w:tcW w:w="754"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r w:rsidRPr="007945B1">
              <w:rPr>
                <w:rFonts w:cs="Arial"/>
                <w:sz w:val="20"/>
                <w:szCs w:val="20"/>
              </w:rPr>
              <w:t xml:space="preserve">     1.696.320 </w:t>
            </w:r>
          </w:p>
        </w:tc>
        <w:tc>
          <w:tcPr>
            <w:tcW w:w="752"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r w:rsidRPr="007945B1">
              <w:rPr>
                <w:rFonts w:cs="Arial"/>
                <w:sz w:val="20"/>
                <w:szCs w:val="20"/>
              </w:rPr>
              <w:t xml:space="preserve">     3.211.200 </w:t>
            </w:r>
          </w:p>
        </w:tc>
      </w:tr>
      <w:tr w:rsidR="007A35E5" w:rsidRPr="007945B1" w:rsidTr="0054510D">
        <w:trPr>
          <w:trHeight w:val="243"/>
        </w:trPr>
        <w:tc>
          <w:tcPr>
            <w:tcW w:w="1973" w:type="pct"/>
            <w:gridSpan w:val="2"/>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82" w:type="pct"/>
            <w:gridSpan w:val="2"/>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rsidP="00E736EB">
            <w:pPr>
              <w:jc w:val="right"/>
              <w:rPr>
                <w:rFonts w:cs="Arial"/>
                <w:sz w:val="20"/>
                <w:szCs w:val="20"/>
              </w:rPr>
            </w:pPr>
          </w:p>
        </w:tc>
      </w:tr>
      <w:tr w:rsidR="007A35E5" w:rsidRPr="007945B1" w:rsidTr="0054510D">
        <w:trPr>
          <w:trHeight w:val="243"/>
        </w:trPr>
        <w:tc>
          <w:tcPr>
            <w:tcW w:w="1973" w:type="pct"/>
            <w:gridSpan w:val="2"/>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Gennemsnit resultat 3 år</w:t>
            </w:r>
          </w:p>
        </w:tc>
        <w:tc>
          <w:tcPr>
            <w:tcW w:w="782" w:type="pct"/>
            <w:gridSpan w:val="2"/>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rsidP="0054510D">
            <w:pPr>
              <w:jc w:val="right"/>
              <w:rPr>
                <w:rFonts w:cs="Arial"/>
                <w:sz w:val="20"/>
                <w:szCs w:val="20"/>
              </w:rPr>
            </w:pPr>
            <w:r w:rsidRPr="007945B1">
              <w:rPr>
                <w:rFonts w:cs="Arial"/>
                <w:sz w:val="20"/>
                <w:szCs w:val="20"/>
              </w:rPr>
              <w:t xml:space="preserve">     1.070.400 </w:t>
            </w:r>
          </w:p>
        </w:tc>
      </w:tr>
      <w:tr w:rsidR="007A35E5" w:rsidRPr="007945B1" w:rsidTr="0054510D">
        <w:trPr>
          <w:trHeight w:val="243"/>
        </w:trPr>
        <w:tc>
          <w:tcPr>
            <w:tcW w:w="1973" w:type="pct"/>
            <w:gridSpan w:val="2"/>
            <w:tcBorders>
              <w:top w:val="nil"/>
              <w:left w:val="nil"/>
              <w:bottom w:val="nil"/>
              <w:right w:val="nil"/>
            </w:tcBorders>
            <w:shd w:val="clear" w:color="000000" w:fill="auto"/>
            <w:noWrap/>
            <w:vAlign w:val="bottom"/>
          </w:tcPr>
          <w:p w:rsidR="007A35E5" w:rsidRPr="007945B1" w:rsidRDefault="007A35E5" w:rsidP="00360E62">
            <w:pPr>
              <w:jc w:val="left"/>
              <w:rPr>
                <w:rFonts w:cs="Arial"/>
                <w:sz w:val="20"/>
                <w:szCs w:val="20"/>
              </w:rPr>
            </w:pPr>
          </w:p>
        </w:tc>
        <w:tc>
          <w:tcPr>
            <w:tcW w:w="782" w:type="pct"/>
            <w:gridSpan w:val="2"/>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50"/>
        </w:trPr>
        <w:tc>
          <w:tcPr>
            <w:tcW w:w="1973" w:type="pct"/>
            <w:gridSpan w:val="2"/>
            <w:tcBorders>
              <w:top w:val="nil"/>
              <w:left w:val="nil"/>
              <w:bottom w:val="nil"/>
              <w:right w:val="nil"/>
            </w:tcBorders>
            <w:shd w:val="clear" w:color="000000" w:fill="auto"/>
            <w:noWrap/>
            <w:vAlign w:val="center"/>
          </w:tcPr>
          <w:p w:rsidR="007A35E5" w:rsidRPr="007945B1" w:rsidRDefault="007A35E5" w:rsidP="00360E62">
            <w:pPr>
              <w:jc w:val="left"/>
              <w:rPr>
                <w:rFonts w:cs="Arial"/>
                <w:sz w:val="20"/>
                <w:szCs w:val="20"/>
              </w:rPr>
            </w:pPr>
            <w:r w:rsidRPr="007945B1">
              <w:rPr>
                <w:rFonts w:cs="Arial"/>
                <w:b/>
                <w:bCs/>
                <w:sz w:val="20"/>
                <w:szCs w:val="20"/>
              </w:rPr>
              <w:t>Gennemsnit resultat/aktiekapital*100</w:t>
            </w:r>
          </w:p>
        </w:tc>
        <w:tc>
          <w:tcPr>
            <w:tcW w:w="782" w:type="pct"/>
            <w:gridSpan w:val="2"/>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tcPr>
          <w:p w:rsidR="007A35E5" w:rsidRPr="007945B1" w:rsidRDefault="007A35E5" w:rsidP="00360E62">
            <w:pPr>
              <w:jc w:val="right"/>
              <w:rPr>
                <w:rFonts w:cs="Arial"/>
                <w:b/>
                <w:sz w:val="20"/>
                <w:szCs w:val="20"/>
              </w:rPr>
            </w:pPr>
            <w:r w:rsidRPr="007945B1">
              <w:rPr>
                <w:rFonts w:cs="Arial"/>
                <w:b/>
                <w:sz w:val="20"/>
                <w:szCs w:val="20"/>
              </w:rPr>
              <w:t>214</w:t>
            </w:r>
          </w:p>
        </w:tc>
      </w:tr>
      <w:tr w:rsidR="007A35E5" w:rsidRPr="007945B1" w:rsidTr="0054510D">
        <w:trPr>
          <w:trHeight w:val="243"/>
        </w:trPr>
        <w:tc>
          <w:tcPr>
            <w:tcW w:w="1973" w:type="pct"/>
            <w:gridSpan w:val="2"/>
            <w:tcBorders>
              <w:top w:val="nil"/>
              <w:left w:val="nil"/>
              <w:bottom w:val="nil"/>
              <w:right w:val="nil"/>
            </w:tcBorders>
            <w:shd w:val="clear" w:color="000000" w:fill="auto"/>
            <w:noWrap/>
            <w:vAlign w:val="bottom"/>
          </w:tcPr>
          <w:p w:rsidR="007A35E5" w:rsidRPr="007945B1" w:rsidRDefault="007A35E5">
            <w:pPr>
              <w:rPr>
                <w:rFonts w:cs="Arial"/>
                <w:b/>
                <w:bCs/>
                <w:sz w:val="20"/>
                <w:szCs w:val="20"/>
              </w:rPr>
            </w:pPr>
            <w:r w:rsidRPr="007945B1">
              <w:rPr>
                <w:rFonts w:cs="Arial"/>
                <w:b/>
                <w:bCs/>
                <w:sz w:val="20"/>
                <w:szCs w:val="20"/>
              </w:rPr>
              <w:lastRenderedPageBreak/>
              <w:t>Aktiernes indre værdi</w:t>
            </w:r>
          </w:p>
        </w:tc>
        <w:tc>
          <w:tcPr>
            <w:tcW w:w="782" w:type="pct"/>
            <w:gridSpan w:val="2"/>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2755" w:type="pct"/>
            <w:gridSpan w:val="4"/>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Skattemæssig EK i % af aktiekapital</w:t>
            </w: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rsidP="00B76AB0">
            <w:pPr>
              <w:jc w:val="right"/>
              <w:rPr>
                <w:rFonts w:cs="Arial"/>
                <w:b/>
                <w:sz w:val="20"/>
                <w:szCs w:val="20"/>
              </w:rPr>
            </w:pPr>
            <w:r w:rsidRPr="007945B1">
              <w:rPr>
                <w:rFonts w:cs="Arial"/>
                <w:b/>
                <w:sz w:val="20"/>
                <w:szCs w:val="20"/>
              </w:rPr>
              <w:t xml:space="preserve">              511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b/>
                <w:bCs/>
                <w:sz w:val="20"/>
                <w:szCs w:val="20"/>
              </w:rPr>
            </w:pP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2755" w:type="pct"/>
            <w:gridSpan w:val="4"/>
            <w:tcBorders>
              <w:top w:val="nil"/>
              <w:left w:val="nil"/>
              <w:bottom w:val="nil"/>
              <w:right w:val="nil"/>
            </w:tcBorders>
            <w:shd w:val="clear" w:color="000000" w:fill="auto"/>
            <w:noWrap/>
            <w:vAlign w:val="bottom"/>
          </w:tcPr>
          <w:p w:rsidR="007A35E5" w:rsidRPr="007945B1" w:rsidRDefault="007A35E5">
            <w:pPr>
              <w:rPr>
                <w:rFonts w:cs="Arial"/>
                <w:b/>
                <w:bCs/>
                <w:sz w:val="20"/>
                <w:szCs w:val="20"/>
              </w:rPr>
            </w:pPr>
            <w:r w:rsidRPr="007945B1">
              <w:rPr>
                <w:rFonts w:cs="Arial"/>
                <w:b/>
                <w:bCs/>
                <w:sz w:val="20"/>
                <w:szCs w:val="20"/>
              </w:rPr>
              <w:t>Beregning hovedaktionærselskaber</w:t>
            </w: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2755" w:type="pct"/>
            <w:gridSpan w:val="4"/>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Indtjeningsevne kapitaliseret med 8,5</w:t>
            </w: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r w:rsidRPr="007945B1">
              <w:rPr>
                <w:rFonts w:cs="Arial"/>
                <w:sz w:val="20"/>
                <w:szCs w:val="20"/>
              </w:rPr>
              <w:t xml:space="preserve">            1.820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910EE3">
            <w:pPr>
              <w:rPr>
                <w:rFonts w:cs="Arial"/>
                <w:sz w:val="20"/>
                <w:szCs w:val="20"/>
              </w:rPr>
            </w:pPr>
            <w:r w:rsidRPr="007945B1">
              <w:rPr>
                <w:rFonts w:cs="Arial"/>
                <w:sz w:val="20"/>
                <w:szCs w:val="20"/>
              </w:rPr>
              <w:t>80 %</w:t>
            </w:r>
            <w:r w:rsidR="007A35E5" w:rsidRPr="007945B1">
              <w:rPr>
                <w:rFonts w:cs="Arial"/>
                <w:sz w:val="20"/>
                <w:szCs w:val="20"/>
              </w:rPr>
              <w:t xml:space="preserve"> af indre værdi</w:t>
            </w: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right w:val="nil"/>
            </w:tcBorders>
            <w:shd w:val="clear" w:color="000000" w:fill="auto"/>
            <w:noWrap/>
            <w:vAlign w:val="bottom"/>
          </w:tcPr>
          <w:p w:rsidR="007A35E5" w:rsidRPr="007945B1" w:rsidRDefault="007A35E5" w:rsidP="00B76AB0">
            <w:pPr>
              <w:jc w:val="right"/>
              <w:rPr>
                <w:rFonts w:cs="Arial"/>
                <w:sz w:val="20"/>
                <w:szCs w:val="20"/>
                <w:u w:val="single"/>
              </w:rPr>
            </w:pPr>
            <w:r w:rsidRPr="007945B1">
              <w:rPr>
                <w:rFonts w:cs="Arial"/>
                <w:sz w:val="20"/>
                <w:szCs w:val="20"/>
                <w:u w:val="single"/>
              </w:rPr>
              <w:t xml:space="preserve">              409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single" w:sz="4" w:space="0" w:color="auto"/>
              <w:right w:val="nil"/>
            </w:tcBorders>
            <w:shd w:val="clear" w:color="000000" w:fill="auto"/>
            <w:noWrap/>
            <w:vAlign w:val="bottom"/>
          </w:tcPr>
          <w:p w:rsidR="007A35E5" w:rsidRPr="007945B1" w:rsidRDefault="007A35E5" w:rsidP="00B76AB0">
            <w:pPr>
              <w:jc w:val="right"/>
              <w:rPr>
                <w:rFonts w:cs="Arial"/>
                <w:sz w:val="20"/>
                <w:szCs w:val="20"/>
              </w:rPr>
            </w:pPr>
            <w:r w:rsidRPr="007945B1">
              <w:rPr>
                <w:rFonts w:cs="Arial"/>
                <w:sz w:val="20"/>
                <w:szCs w:val="20"/>
              </w:rPr>
              <w:t xml:space="preserve">            2.229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b/>
                <w:sz w:val="20"/>
                <w:szCs w:val="20"/>
              </w:rPr>
            </w:pPr>
            <w:r w:rsidRPr="007945B1">
              <w:rPr>
                <w:rFonts w:cs="Arial"/>
                <w:b/>
                <w:sz w:val="20"/>
                <w:szCs w:val="20"/>
              </w:rPr>
              <w:t>Gennemsnit heraf</w:t>
            </w:r>
            <w:r w:rsidR="0054510D">
              <w:rPr>
                <w:rFonts w:cs="Arial"/>
                <w:b/>
                <w:sz w:val="20"/>
                <w:szCs w:val="20"/>
              </w:rPr>
              <w:t xml:space="preserve"> (2.229/2)</w:t>
            </w: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single" w:sz="4" w:space="0" w:color="auto"/>
              <w:left w:val="nil"/>
              <w:bottom w:val="nil"/>
              <w:right w:val="nil"/>
            </w:tcBorders>
            <w:shd w:val="clear" w:color="000000" w:fill="auto"/>
            <w:noWrap/>
            <w:vAlign w:val="bottom"/>
          </w:tcPr>
          <w:p w:rsidR="007A35E5" w:rsidRPr="007945B1" w:rsidRDefault="007A35E5" w:rsidP="00B76AB0">
            <w:pPr>
              <w:jc w:val="right"/>
              <w:rPr>
                <w:rFonts w:cs="Arial"/>
                <w:b/>
                <w:sz w:val="20"/>
                <w:szCs w:val="20"/>
              </w:rPr>
            </w:pPr>
            <w:r w:rsidRPr="007945B1">
              <w:rPr>
                <w:rFonts w:cs="Arial"/>
                <w:b/>
                <w:sz w:val="20"/>
                <w:szCs w:val="20"/>
              </w:rPr>
              <w:t xml:space="preserve">            1.114 </w:t>
            </w:r>
          </w:p>
        </w:tc>
      </w:tr>
      <w:tr w:rsidR="007A35E5" w:rsidRPr="007945B1" w:rsidTr="0054510D">
        <w:trPr>
          <w:trHeight w:val="243"/>
        </w:trPr>
        <w:tc>
          <w:tcPr>
            <w:tcW w:w="4248" w:type="pct"/>
            <w:gridSpan w:val="6"/>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Hvis den beregnede kurs overstiger indre værdi, gentages beregningen efter</w:t>
            </w: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910EE3">
            <w:pPr>
              <w:rPr>
                <w:rFonts w:cs="Arial"/>
                <w:sz w:val="20"/>
                <w:szCs w:val="20"/>
              </w:rPr>
            </w:pPr>
            <w:r w:rsidRPr="007945B1">
              <w:rPr>
                <w:rFonts w:cs="Arial"/>
                <w:sz w:val="20"/>
                <w:szCs w:val="20"/>
              </w:rPr>
              <w:t>Den modificerede regel</w:t>
            </w:r>
            <w:r w:rsidR="0054510D">
              <w:rPr>
                <w:rFonts w:cs="Arial"/>
                <w:sz w:val="20"/>
                <w:szCs w:val="20"/>
              </w:rPr>
              <w:t>:</w:t>
            </w: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Indtjeningsevne  8,5</w:t>
            </w:r>
          </w:p>
        </w:tc>
        <w:tc>
          <w:tcPr>
            <w:tcW w:w="889" w:type="pct"/>
            <w:gridSpan w:val="3"/>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r w:rsidRPr="007945B1">
              <w:rPr>
                <w:rFonts w:cs="Arial"/>
                <w:sz w:val="20"/>
                <w:szCs w:val="20"/>
              </w:rPr>
              <w:t xml:space="preserve">               10 </w:t>
            </w:r>
          </w:p>
        </w:tc>
        <w:tc>
          <w:tcPr>
            <w:tcW w:w="739"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r w:rsidRPr="007945B1">
              <w:rPr>
                <w:rFonts w:cs="Arial"/>
                <w:sz w:val="20"/>
                <w:szCs w:val="20"/>
              </w:rPr>
              <w:t xml:space="preserve">                85 </w:t>
            </w: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Indtjeningsevne, rest  4,25</w:t>
            </w:r>
          </w:p>
        </w:tc>
        <w:tc>
          <w:tcPr>
            <w:tcW w:w="889" w:type="pct"/>
            <w:gridSpan w:val="3"/>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u w:val="single"/>
              </w:rPr>
            </w:pPr>
            <w:r w:rsidRPr="007945B1">
              <w:rPr>
                <w:rFonts w:cs="Arial"/>
                <w:sz w:val="20"/>
                <w:szCs w:val="20"/>
                <w:u w:val="single"/>
              </w:rPr>
              <w:t xml:space="preserve">             204 </w:t>
            </w:r>
          </w:p>
        </w:tc>
        <w:tc>
          <w:tcPr>
            <w:tcW w:w="739"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u w:val="single"/>
              </w:rPr>
            </w:pPr>
            <w:r w:rsidRPr="007945B1">
              <w:rPr>
                <w:rFonts w:cs="Arial"/>
                <w:sz w:val="20"/>
                <w:szCs w:val="20"/>
                <w:u w:val="single"/>
              </w:rPr>
              <w:t xml:space="preserve">              867 </w:t>
            </w: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889" w:type="pct"/>
            <w:gridSpan w:val="3"/>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r w:rsidRPr="007945B1">
              <w:rPr>
                <w:rFonts w:cs="Arial"/>
                <w:sz w:val="20"/>
                <w:szCs w:val="20"/>
              </w:rPr>
              <w:t xml:space="preserve">             214 </w:t>
            </w:r>
          </w:p>
        </w:tc>
        <w:tc>
          <w:tcPr>
            <w:tcW w:w="739"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r w:rsidRPr="007945B1">
              <w:rPr>
                <w:rFonts w:cs="Arial"/>
                <w:sz w:val="20"/>
                <w:szCs w:val="20"/>
              </w:rPr>
              <w:t xml:space="preserve">              952 </w:t>
            </w:r>
          </w:p>
        </w:tc>
        <w:tc>
          <w:tcPr>
            <w:tcW w:w="752"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r w:rsidRPr="007945B1">
              <w:rPr>
                <w:rFonts w:cs="Arial"/>
                <w:sz w:val="20"/>
                <w:szCs w:val="20"/>
              </w:rPr>
              <w:t xml:space="preserve">              952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910EE3">
            <w:pPr>
              <w:rPr>
                <w:rFonts w:cs="Arial"/>
                <w:sz w:val="20"/>
                <w:szCs w:val="20"/>
              </w:rPr>
            </w:pPr>
            <w:r w:rsidRPr="007945B1">
              <w:rPr>
                <w:rFonts w:cs="Arial"/>
                <w:sz w:val="20"/>
                <w:szCs w:val="20"/>
              </w:rPr>
              <w:t>80 %</w:t>
            </w:r>
            <w:r w:rsidR="007A35E5" w:rsidRPr="007945B1">
              <w:rPr>
                <w:rFonts w:cs="Arial"/>
                <w:sz w:val="20"/>
                <w:szCs w:val="20"/>
              </w:rPr>
              <w:t xml:space="preserve"> af indre værdi</w:t>
            </w:r>
          </w:p>
        </w:tc>
        <w:tc>
          <w:tcPr>
            <w:tcW w:w="889" w:type="pct"/>
            <w:gridSpan w:val="3"/>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u w:val="single"/>
              </w:rPr>
            </w:pPr>
            <w:r w:rsidRPr="007945B1">
              <w:rPr>
                <w:rFonts w:cs="Arial"/>
                <w:sz w:val="20"/>
                <w:szCs w:val="20"/>
                <w:u w:val="single"/>
              </w:rPr>
              <w:t xml:space="preserve">              409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889" w:type="pct"/>
            <w:gridSpan w:val="3"/>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r w:rsidRPr="007945B1">
              <w:rPr>
                <w:rFonts w:cs="Arial"/>
                <w:sz w:val="20"/>
                <w:szCs w:val="20"/>
              </w:rPr>
              <w:t xml:space="preserve">            1.361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889" w:type="pct"/>
            <w:gridSpan w:val="3"/>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2" w:type="pct"/>
            <w:tcBorders>
              <w:top w:val="nil"/>
              <w:left w:val="nil"/>
              <w:right w:val="nil"/>
            </w:tcBorders>
            <w:shd w:val="clear" w:color="000000" w:fill="auto"/>
            <w:noWrap/>
            <w:vAlign w:val="bottom"/>
          </w:tcPr>
          <w:p w:rsidR="007A35E5" w:rsidRPr="007945B1" w:rsidRDefault="007A35E5" w:rsidP="00B76AB0">
            <w:pPr>
              <w:jc w:val="right"/>
              <w:rPr>
                <w:rFonts w:cs="Arial"/>
                <w:sz w:val="20"/>
                <w:szCs w:val="20"/>
              </w:rPr>
            </w:pP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b/>
                <w:sz w:val="20"/>
                <w:szCs w:val="20"/>
              </w:rPr>
            </w:pPr>
            <w:r w:rsidRPr="007945B1">
              <w:rPr>
                <w:rFonts w:cs="Arial"/>
                <w:b/>
                <w:sz w:val="20"/>
                <w:szCs w:val="20"/>
              </w:rPr>
              <w:t>Gennemsnit heraf</w:t>
            </w:r>
          </w:p>
        </w:tc>
        <w:tc>
          <w:tcPr>
            <w:tcW w:w="889" w:type="pct"/>
            <w:gridSpan w:val="3"/>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rsidP="00B76AB0">
            <w:pPr>
              <w:jc w:val="right"/>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rsidP="00B76AB0">
            <w:pPr>
              <w:jc w:val="right"/>
              <w:rPr>
                <w:rFonts w:cs="Arial"/>
                <w:b/>
                <w:sz w:val="20"/>
                <w:szCs w:val="20"/>
              </w:rPr>
            </w:pPr>
            <w:r w:rsidRPr="007945B1">
              <w:rPr>
                <w:rFonts w:cs="Arial"/>
                <w:sz w:val="20"/>
                <w:szCs w:val="20"/>
              </w:rPr>
              <w:t xml:space="preserve">              </w:t>
            </w:r>
            <w:r w:rsidRPr="007945B1">
              <w:rPr>
                <w:rFonts w:cs="Arial"/>
                <w:b/>
                <w:sz w:val="20"/>
                <w:szCs w:val="20"/>
              </w:rPr>
              <w:t xml:space="preserve">681 </w:t>
            </w:r>
          </w:p>
        </w:tc>
      </w:tr>
      <w:tr w:rsidR="007A35E5" w:rsidRPr="007945B1" w:rsidTr="0054510D">
        <w:trPr>
          <w:trHeight w:val="243"/>
        </w:trPr>
        <w:tc>
          <w:tcPr>
            <w:tcW w:w="5000" w:type="pct"/>
            <w:gridSpan w:val="7"/>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Da kursen herefter overstiger indre værdi, anvendes ovenstående beregnede kurs</w:t>
            </w:r>
          </w:p>
        </w:tc>
      </w:tr>
      <w:tr w:rsidR="007A35E5" w:rsidRPr="007945B1" w:rsidTr="0054510D">
        <w:trPr>
          <w:trHeight w:val="472"/>
        </w:trPr>
        <w:tc>
          <w:tcPr>
            <w:tcW w:w="3494" w:type="pct"/>
            <w:gridSpan w:val="5"/>
            <w:tcBorders>
              <w:top w:val="nil"/>
              <w:left w:val="nil"/>
              <w:bottom w:val="nil"/>
              <w:right w:val="nil"/>
            </w:tcBorders>
            <w:shd w:val="clear" w:color="000000" w:fill="auto"/>
            <w:vAlign w:val="bottom"/>
          </w:tcPr>
          <w:p w:rsidR="007A35E5" w:rsidRPr="007945B1" w:rsidRDefault="007A35E5">
            <w:pPr>
              <w:rPr>
                <w:rFonts w:cs="Arial"/>
                <w:b/>
                <w:bCs/>
                <w:sz w:val="20"/>
                <w:szCs w:val="20"/>
              </w:rPr>
            </w:pPr>
            <w:r w:rsidRPr="007945B1">
              <w:rPr>
                <w:rFonts w:cs="Arial"/>
                <w:b/>
                <w:bCs/>
                <w:sz w:val="20"/>
                <w:szCs w:val="20"/>
              </w:rPr>
              <w:t>Skattekursen fastsættes herefter efter ovenstående beregning efter modificeret regel, afrundet</w:t>
            </w: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rsidP="00B76AB0">
            <w:pPr>
              <w:jc w:val="right"/>
              <w:rPr>
                <w:rFonts w:cs="Arial"/>
                <w:b/>
                <w:bCs/>
                <w:sz w:val="20"/>
                <w:szCs w:val="20"/>
              </w:rPr>
            </w:pPr>
            <w:r w:rsidRPr="007945B1">
              <w:rPr>
                <w:rFonts w:cs="Arial"/>
                <w:b/>
                <w:bCs/>
                <w:sz w:val="20"/>
                <w:szCs w:val="20"/>
              </w:rPr>
              <w:t xml:space="preserve">              680 </w:t>
            </w:r>
          </w:p>
        </w:tc>
      </w:tr>
      <w:tr w:rsidR="007A35E5" w:rsidRPr="007945B1" w:rsidTr="0054510D">
        <w:trPr>
          <w:trHeight w:val="243"/>
        </w:trPr>
        <w:tc>
          <w:tcPr>
            <w:tcW w:w="1866"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r w:rsidRPr="007945B1">
              <w:rPr>
                <w:rFonts w:cs="Arial"/>
                <w:sz w:val="20"/>
                <w:szCs w:val="20"/>
              </w:rPr>
              <w:t xml:space="preserve">(nedrundes </w:t>
            </w:r>
            <w:r w:rsidR="00910EE3" w:rsidRPr="007945B1">
              <w:rPr>
                <w:rFonts w:cs="Arial"/>
                <w:sz w:val="20"/>
                <w:szCs w:val="20"/>
              </w:rPr>
              <w:t>til hele</w:t>
            </w:r>
            <w:r w:rsidRPr="007945B1">
              <w:rPr>
                <w:rFonts w:cs="Arial"/>
                <w:sz w:val="20"/>
                <w:szCs w:val="20"/>
              </w:rPr>
              <w:t xml:space="preserve"> 5)</w:t>
            </w:r>
          </w:p>
        </w:tc>
        <w:tc>
          <w:tcPr>
            <w:tcW w:w="889" w:type="pct"/>
            <w:gridSpan w:val="3"/>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39"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4"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c>
          <w:tcPr>
            <w:tcW w:w="752" w:type="pct"/>
            <w:tcBorders>
              <w:top w:val="nil"/>
              <w:left w:val="nil"/>
              <w:bottom w:val="nil"/>
              <w:right w:val="nil"/>
            </w:tcBorders>
            <w:shd w:val="clear" w:color="000000" w:fill="auto"/>
            <w:noWrap/>
            <w:vAlign w:val="bottom"/>
          </w:tcPr>
          <w:p w:rsidR="007A35E5" w:rsidRPr="007945B1" w:rsidRDefault="007A35E5">
            <w:pPr>
              <w:rPr>
                <w:rFonts w:cs="Arial"/>
                <w:sz w:val="20"/>
                <w:szCs w:val="20"/>
              </w:rPr>
            </w:pPr>
          </w:p>
        </w:tc>
      </w:tr>
    </w:tbl>
    <w:p w:rsidR="007A35E5" w:rsidRDefault="00270C4A" w:rsidP="00270C4A">
      <w:pPr>
        <w:pStyle w:val="Billedtekst"/>
      </w:pPr>
      <w:bookmarkStart w:id="125" w:name="_Toc218751412"/>
      <w:r>
        <w:t xml:space="preserve">Figur </w:t>
      </w:r>
      <w:fldSimple w:instr=" SEQ Figur \* ARABIC ">
        <w:r w:rsidR="000F066D">
          <w:rPr>
            <w:noProof/>
          </w:rPr>
          <w:t>30</w:t>
        </w:r>
      </w:fldSimple>
      <w:r w:rsidR="003B4912">
        <w:t xml:space="preserve"> Eksempel på beregning af skattekurs, når selskabet overdrages til person efter cirk. 185 af  17.11.1982</w:t>
      </w:r>
      <w:bookmarkEnd w:id="125"/>
    </w:p>
    <w:p w:rsidR="003B4912" w:rsidRDefault="003B4912" w:rsidP="00AF4FDF"/>
    <w:p w:rsidR="004249B2" w:rsidRDefault="00793E35" w:rsidP="00793E35">
      <w:r>
        <w:t>E</w:t>
      </w:r>
      <w:r w:rsidR="003E1BD4">
        <w:t>n erhverver indenfor boafgiftsloven</w:t>
      </w:r>
      <w:r>
        <w:t>s personkreds § 22, dvs. børn, stedbørn og børn</w:t>
      </w:r>
      <w:r>
        <w:t>e</w:t>
      </w:r>
      <w:r>
        <w:t>børn,</w:t>
      </w:r>
      <w:r w:rsidR="003E1BD4">
        <w:t xml:space="preserve"> kan </w:t>
      </w:r>
      <w:r>
        <w:t>dermed overtage aktierne t</w:t>
      </w:r>
      <w:r w:rsidR="003E1BD4">
        <w:t>i</w:t>
      </w:r>
      <w:r>
        <w:t>l</w:t>
      </w:r>
      <w:r w:rsidR="003E1BD4">
        <w:t xml:space="preserve"> </w:t>
      </w:r>
      <w:r>
        <w:t>ovennævnte</w:t>
      </w:r>
      <w:r w:rsidR="003E1BD4">
        <w:t xml:space="preserve"> kursværdi.</w:t>
      </w:r>
      <w:r>
        <w:t xml:space="preserve"> Uanset kursværdien succederer erhververen dog stadig i overdragerens skattemæssige anskaffelsessum og anskaffelsestidspunkt. </w:t>
      </w:r>
    </w:p>
    <w:p w:rsidR="00793E35" w:rsidRDefault="00793E35" w:rsidP="00793E35">
      <w:r>
        <w:t>Hvis aktierne overdrages som en gave skal der betales gaveafgift</w:t>
      </w:r>
      <w:r w:rsidR="00C55C02">
        <w:t xml:space="preserve"> beregnet på grundlag af handelsværdien og dermed den beregnede kursværdi</w:t>
      </w:r>
      <w:r>
        <w:t>, hvis overdragelsen sker til en person, der indgår i personkredsen defineret i boafgiftsloven § 22. Hvis gaven i stedet gives til søskende eller søskende børn, skal gaven medregnes til den skattepligtige in</w:t>
      </w:r>
      <w:r>
        <w:t>d</w:t>
      </w:r>
      <w:r>
        <w:t>komst. Man kan som beskrevet i afsnit</w:t>
      </w:r>
      <w:r w:rsidR="00270C4A">
        <w:t>tet</w:t>
      </w:r>
      <w:r>
        <w:t xml:space="preserve"> </w:t>
      </w:r>
      <w:r w:rsidR="00270C4A">
        <w:t>”</w:t>
      </w:r>
      <w:r w:rsidR="00012FAC">
        <w:fldChar w:fldCharType="begin"/>
      </w:r>
      <w:r w:rsidR="00270C4A">
        <w:instrText xml:space="preserve"> REF _Ref219215144 \h </w:instrText>
      </w:r>
      <w:r w:rsidR="00012FAC">
        <w:fldChar w:fldCharType="separate"/>
      </w:r>
      <w:r w:rsidR="000F066D" w:rsidRPr="00312092">
        <w:t>3.2.1 Gaveafgiftsberegning og passivpost</w:t>
      </w:r>
      <w:r w:rsidR="00012FAC">
        <w:fldChar w:fldCharType="end"/>
      </w:r>
      <w:r w:rsidR="00270C4A">
        <w:t>”</w:t>
      </w:r>
      <w:r>
        <w:t xml:space="preserve"> </w:t>
      </w:r>
      <w:r>
        <w:lastRenderedPageBreak/>
        <w:t>beregne en passivpost i medfør af KSL § 33 D, hvis aktierne er overdraget med succe</w:t>
      </w:r>
      <w:r>
        <w:t>s</w:t>
      </w:r>
      <w:r>
        <w:t>sion, og overdrages helt eller delvis ved gave. Passivposten udligner den latente skatt</w:t>
      </w:r>
      <w:r>
        <w:t>e</w:t>
      </w:r>
      <w:r>
        <w:t>forpligtigelse på aktiverne. Hvis modtageren er indkomstskattepligtig reduceres gavens værdi derved.</w:t>
      </w:r>
      <w:r>
        <w:rPr>
          <w:rStyle w:val="Fodnotehenvisning"/>
        </w:rPr>
        <w:footnoteReference w:id="103"/>
      </w:r>
      <w:r>
        <w:t xml:space="preserve"> </w:t>
      </w:r>
    </w:p>
    <w:p w:rsidR="00C55C02" w:rsidRDefault="00C55C02" w:rsidP="00793E35">
      <w:r>
        <w:t>I nedenstående eksempel</w:t>
      </w:r>
      <w:r w:rsidR="00704A8F">
        <w:t>, hvor der tages udgangspunkt i den ovenstående skattekur</w:t>
      </w:r>
      <w:r w:rsidR="00704A8F">
        <w:t>s</w:t>
      </w:r>
      <w:r w:rsidR="00704A8F">
        <w:t>værdiberegning,</w:t>
      </w:r>
      <w:r>
        <w:t xml:space="preserve"> forudsættes det</w:t>
      </w:r>
      <w:r w:rsidR="00704A8F">
        <w:t>,</w:t>
      </w:r>
      <w:r>
        <w:t xml:space="preserve"> at der overdrages 50 % af ovenstående selskab, hvor erhververen er overdragerens barn.</w:t>
      </w:r>
    </w:p>
    <w:p w:rsidR="00C55C02" w:rsidRDefault="00C55C02" w:rsidP="00793E35"/>
    <w:tbl>
      <w:tblPr>
        <w:tblW w:w="5140" w:type="dxa"/>
        <w:tblInd w:w="55" w:type="dxa"/>
        <w:tblCellMar>
          <w:left w:w="70" w:type="dxa"/>
          <w:right w:w="70" w:type="dxa"/>
        </w:tblCellMar>
        <w:tblLook w:val="04A0"/>
      </w:tblPr>
      <w:tblGrid>
        <w:gridCol w:w="2840"/>
        <w:gridCol w:w="1060"/>
        <w:gridCol w:w="186"/>
        <w:gridCol w:w="1160"/>
      </w:tblGrid>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b/>
                <w:bCs/>
                <w:color w:val="000000"/>
                <w:sz w:val="20"/>
                <w:szCs w:val="20"/>
                <w:lang w:eastAsia="da-DK"/>
              </w:rPr>
            </w:pPr>
            <w:r w:rsidRPr="00C55C02">
              <w:rPr>
                <w:rFonts w:eastAsia="Times New Roman"/>
                <w:b/>
                <w:bCs/>
                <w:color w:val="000000"/>
                <w:sz w:val="20"/>
                <w:szCs w:val="20"/>
                <w:lang w:eastAsia="da-DK"/>
              </w:rPr>
              <w:t>Forudsætninger:</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 xml:space="preserve">Beholdning: </w:t>
            </w:r>
            <w:r w:rsidR="00DD3848">
              <w:rPr>
                <w:rFonts w:eastAsia="Times New Roman"/>
                <w:color w:val="000000"/>
                <w:sz w:val="20"/>
                <w:szCs w:val="20"/>
                <w:lang w:eastAsia="da-DK"/>
              </w:rPr>
              <w:t>(500*680)</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500.000</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9D45A7">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Kursværdi beh</w:t>
            </w:r>
            <w:r w:rsidR="009D45A7">
              <w:rPr>
                <w:rFonts w:eastAsia="Times New Roman"/>
                <w:color w:val="000000"/>
                <w:sz w:val="20"/>
                <w:szCs w:val="20"/>
                <w:lang w:eastAsia="da-DK"/>
              </w:rPr>
              <w:t>old. (500*680)</w:t>
            </w:r>
            <w:r w:rsidRPr="00C55C02">
              <w:rPr>
                <w:rFonts w:eastAsia="Times New Roman"/>
                <w:color w:val="000000"/>
                <w:sz w:val="20"/>
                <w:szCs w:val="20"/>
                <w:lang w:eastAsia="da-DK"/>
              </w:rPr>
              <w:t>:</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3.400.000</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5C17BD" w:rsidP="00C55C02">
            <w:pPr>
              <w:spacing w:line="240" w:lineRule="auto"/>
              <w:jc w:val="left"/>
              <w:rPr>
                <w:rFonts w:eastAsia="Times New Roman"/>
                <w:color w:val="000000"/>
                <w:sz w:val="20"/>
                <w:szCs w:val="20"/>
                <w:lang w:eastAsia="da-DK"/>
              </w:rPr>
            </w:pPr>
            <w:r>
              <w:rPr>
                <w:rFonts w:eastAsia="Times New Roman"/>
                <w:color w:val="000000"/>
                <w:sz w:val="20"/>
                <w:szCs w:val="20"/>
                <w:lang w:eastAsia="da-DK"/>
              </w:rPr>
              <w:t>Anskaffelsessum behold. (neg.)</w:t>
            </w:r>
            <w:r w:rsidR="00C55C02" w:rsidRPr="00C55C02">
              <w:rPr>
                <w:rFonts w:eastAsia="Times New Roman"/>
                <w:color w:val="000000"/>
                <w:sz w:val="20"/>
                <w:szCs w:val="20"/>
                <w:lang w:eastAsia="da-DK"/>
              </w:rPr>
              <w:t>:</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-975.000</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 xml:space="preserve">Afståelse </w:t>
            </w:r>
          </w:p>
        </w:tc>
        <w:tc>
          <w:tcPr>
            <w:tcW w:w="1060" w:type="dxa"/>
            <w:tcBorders>
              <w:top w:val="nil"/>
              <w:left w:val="nil"/>
              <w:bottom w:val="nil"/>
              <w:right w:val="nil"/>
            </w:tcBorders>
            <w:shd w:val="clear" w:color="auto" w:fill="auto"/>
            <w:noWrap/>
            <w:vAlign w:val="bottom"/>
            <w:hideMark/>
          </w:tcPr>
          <w:p w:rsidR="00C55C02" w:rsidRPr="00C55C02" w:rsidRDefault="00910EE3"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50 %</w:t>
            </w: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1.700.000</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 xml:space="preserve">Avance </w:t>
            </w:r>
          </w:p>
        </w:tc>
        <w:tc>
          <w:tcPr>
            <w:tcW w:w="1060" w:type="dxa"/>
            <w:tcBorders>
              <w:top w:val="nil"/>
              <w:left w:val="nil"/>
              <w:bottom w:val="nil"/>
              <w:right w:val="nil"/>
            </w:tcBorders>
            <w:shd w:val="clear" w:color="auto" w:fill="auto"/>
            <w:noWrap/>
            <w:vAlign w:val="bottom"/>
            <w:hideMark/>
          </w:tcPr>
          <w:p w:rsidR="00C55C02" w:rsidRPr="00C55C02" w:rsidRDefault="00910EE3"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50 %</w:t>
            </w: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2.187.500</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 xml:space="preserve">Passivpost </w:t>
            </w:r>
          </w:p>
        </w:tc>
        <w:tc>
          <w:tcPr>
            <w:tcW w:w="1060" w:type="dxa"/>
            <w:tcBorders>
              <w:top w:val="nil"/>
              <w:left w:val="nil"/>
              <w:bottom w:val="nil"/>
              <w:right w:val="nil"/>
            </w:tcBorders>
            <w:shd w:val="clear" w:color="auto" w:fill="auto"/>
            <w:noWrap/>
            <w:vAlign w:val="bottom"/>
            <w:hideMark/>
          </w:tcPr>
          <w:p w:rsidR="00C55C02" w:rsidRPr="00C55C02" w:rsidRDefault="00910EE3"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22 %</w:t>
            </w: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481.250</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b/>
                <w:bCs/>
                <w:color w:val="000000"/>
                <w:sz w:val="20"/>
                <w:szCs w:val="20"/>
                <w:lang w:eastAsia="da-DK"/>
              </w:rPr>
            </w:pPr>
            <w:r w:rsidRPr="00C55C02">
              <w:rPr>
                <w:rFonts w:eastAsia="Times New Roman"/>
                <w:b/>
                <w:bCs/>
                <w:color w:val="000000"/>
                <w:sz w:val="20"/>
                <w:szCs w:val="20"/>
                <w:lang w:eastAsia="da-DK"/>
              </w:rPr>
              <w:t>Gaveafgift</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 xml:space="preserve">Gave </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1.700.000</w:t>
            </w:r>
          </w:p>
        </w:tc>
      </w:tr>
      <w:tr w:rsidR="00C55C02" w:rsidRPr="00C55C02" w:rsidTr="00704A8F">
        <w:trPr>
          <w:trHeight w:val="315"/>
        </w:trPr>
        <w:tc>
          <w:tcPr>
            <w:tcW w:w="2840" w:type="dxa"/>
            <w:tcBorders>
              <w:top w:val="nil"/>
              <w:left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Passivpost</w:t>
            </w:r>
          </w:p>
        </w:tc>
        <w:tc>
          <w:tcPr>
            <w:tcW w:w="1060" w:type="dxa"/>
            <w:tcBorders>
              <w:top w:val="nil"/>
              <w:left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-481.250</w:t>
            </w:r>
          </w:p>
        </w:tc>
      </w:tr>
      <w:tr w:rsidR="00C55C02" w:rsidRPr="00C55C02" w:rsidTr="00704A8F">
        <w:trPr>
          <w:trHeight w:val="315"/>
        </w:trPr>
        <w:tc>
          <w:tcPr>
            <w:tcW w:w="2840" w:type="dxa"/>
            <w:tcBorders>
              <w:top w:val="nil"/>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Bundfradrag</w:t>
            </w:r>
          </w:p>
        </w:tc>
        <w:tc>
          <w:tcPr>
            <w:tcW w:w="1060" w:type="dxa"/>
            <w:tcBorders>
              <w:top w:val="nil"/>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-56.800</w:t>
            </w:r>
          </w:p>
        </w:tc>
      </w:tr>
      <w:tr w:rsidR="00C55C02" w:rsidRPr="00C55C02" w:rsidTr="00704A8F">
        <w:trPr>
          <w:trHeight w:val="315"/>
        </w:trPr>
        <w:tc>
          <w:tcPr>
            <w:tcW w:w="2840" w:type="dxa"/>
            <w:tcBorders>
              <w:top w:val="single" w:sz="4" w:space="0" w:color="auto"/>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Beregningsgrundlag gaveafgift</w:t>
            </w:r>
          </w:p>
        </w:tc>
        <w:tc>
          <w:tcPr>
            <w:tcW w:w="1060" w:type="dxa"/>
            <w:tcBorders>
              <w:top w:val="single" w:sz="4" w:space="0" w:color="auto"/>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single" w:sz="4" w:space="0" w:color="auto"/>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single" w:sz="4" w:space="0" w:color="auto"/>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1.161.950</w:t>
            </w:r>
          </w:p>
        </w:tc>
      </w:tr>
      <w:tr w:rsidR="00C55C02" w:rsidRPr="00C55C02" w:rsidTr="00C55C02">
        <w:trPr>
          <w:trHeight w:val="315"/>
        </w:trPr>
        <w:tc>
          <w:tcPr>
            <w:tcW w:w="2840" w:type="dxa"/>
            <w:tcBorders>
              <w:top w:val="single" w:sz="4" w:space="0" w:color="auto"/>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left"/>
              <w:rPr>
                <w:rFonts w:eastAsia="Times New Roman"/>
                <w:b/>
                <w:bCs/>
                <w:color w:val="000000"/>
                <w:sz w:val="20"/>
                <w:szCs w:val="20"/>
                <w:lang w:eastAsia="da-DK"/>
              </w:rPr>
            </w:pPr>
            <w:r w:rsidRPr="00C55C02">
              <w:rPr>
                <w:rFonts w:eastAsia="Times New Roman"/>
                <w:b/>
                <w:bCs/>
                <w:color w:val="000000"/>
                <w:sz w:val="20"/>
                <w:szCs w:val="20"/>
                <w:lang w:eastAsia="da-DK"/>
              </w:rPr>
              <w:t>Gaveafgift</w:t>
            </w:r>
          </w:p>
        </w:tc>
        <w:tc>
          <w:tcPr>
            <w:tcW w:w="1060" w:type="dxa"/>
            <w:tcBorders>
              <w:top w:val="single" w:sz="4" w:space="0" w:color="auto"/>
              <w:left w:val="nil"/>
              <w:bottom w:val="single" w:sz="4" w:space="0" w:color="auto"/>
              <w:right w:val="nil"/>
            </w:tcBorders>
            <w:shd w:val="clear" w:color="auto" w:fill="auto"/>
            <w:noWrap/>
            <w:vAlign w:val="bottom"/>
            <w:hideMark/>
          </w:tcPr>
          <w:p w:rsidR="00C55C02" w:rsidRPr="00C55C02" w:rsidRDefault="00910EE3" w:rsidP="00C55C02">
            <w:pPr>
              <w:spacing w:line="240" w:lineRule="auto"/>
              <w:jc w:val="right"/>
              <w:rPr>
                <w:rFonts w:eastAsia="Times New Roman"/>
                <w:b/>
                <w:bCs/>
                <w:color w:val="000000"/>
                <w:sz w:val="20"/>
                <w:szCs w:val="20"/>
                <w:lang w:eastAsia="da-DK"/>
              </w:rPr>
            </w:pPr>
            <w:r w:rsidRPr="00C55C02">
              <w:rPr>
                <w:rFonts w:eastAsia="Times New Roman"/>
                <w:b/>
                <w:bCs/>
                <w:color w:val="000000"/>
                <w:sz w:val="20"/>
                <w:szCs w:val="20"/>
                <w:lang w:eastAsia="da-DK"/>
              </w:rPr>
              <w:t>15 %</w:t>
            </w:r>
          </w:p>
        </w:tc>
        <w:tc>
          <w:tcPr>
            <w:tcW w:w="80" w:type="dxa"/>
            <w:tcBorders>
              <w:top w:val="single" w:sz="4" w:space="0" w:color="auto"/>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left"/>
              <w:rPr>
                <w:rFonts w:eastAsia="Times New Roman"/>
                <w:b/>
                <w:bCs/>
                <w:color w:val="000000"/>
                <w:sz w:val="20"/>
                <w:szCs w:val="20"/>
                <w:lang w:eastAsia="da-DK"/>
              </w:rPr>
            </w:pPr>
            <w:r w:rsidRPr="00C55C02">
              <w:rPr>
                <w:rFonts w:eastAsia="Times New Roman"/>
                <w:b/>
                <w:bCs/>
                <w:color w:val="000000"/>
                <w:sz w:val="20"/>
                <w:szCs w:val="20"/>
                <w:lang w:eastAsia="da-DK"/>
              </w:rPr>
              <w:t> </w:t>
            </w:r>
          </w:p>
        </w:tc>
        <w:tc>
          <w:tcPr>
            <w:tcW w:w="1160" w:type="dxa"/>
            <w:tcBorders>
              <w:top w:val="single" w:sz="4" w:space="0" w:color="auto"/>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right"/>
              <w:rPr>
                <w:rFonts w:eastAsia="Times New Roman"/>
                <w:b/>
                <w:bCs/>
                <w:color w:val="000000"/>
                <w:sz w:val="20"/>
                <w:szCs w:val="20"/>
                <w:lang w:eastAsia="da-DK"/>
              </w:rPr>
            </w:pPr>
            <w:r w:rsidRPr="00C55C02">
              <w:rPr>
                <w:rFonts w:eastAsia="Times New Roman"/>
                <w:b/>
                <w:bCs/>
                <w:color w:val="000000"/>
                <w:sz w:val="20"/>
                <w:szCs w:val="20"/>
                <w:lang w:eastAsia="da-DK"/>
              </w:rPr>
              <w:t>174.293</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b/>
                <w:bCs/>
                <w:color w:val="000000"/>
                <w:sz w:val="20"/>
                <w:szCs w:val="20"/>
                <w:lang w:eastAsia="da-DK"/>
              </w:rPr>
            </w:pPr>
            <w:r w:rsidRPr="00C55C02">
              <w:rPr>
                <w:rFonts w:eastAsia="Times New Roman"/>
                <w:b/>
                <w:bCs/>
                <w:color w:val="000000"/>
                <w:sz w:val="20"/>
                <w:szCs w:val="20"/>
                <w:lang w:eastAsia="da-DK"/>
              </w:rPr>
              <w:t>Sparet skat for overdrager</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 xml:space="preserve"> 28 % af </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93.400</w:t>
            </w: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26.152</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 xml:space="preserve"> 43 % af </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205.200</w:t>
            </w: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88.236</w:t>
            </w:r>
          </w:p>
        </w:tc>
      </w:tr>
      <w:tr w:rsidR="00C55C02" w:rsidRPr="00C55C02" w:rsidTr="00C55C02">
        <w:trPr>
          <w:trHeight w:val="315"/>
        </w:trPr>
        <w:tc>
          <w:tcPr>
            <w:tcW w:w="284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r w:rsidRPr="00C55C02">
              <w:rPr>
                <w:rFonts w:eastAsia="Times New Roman"/>
                <w:color w:val="000000"/>
                <w:sz w:val="20"/>
                <w:szCs w:val="20"/>
                <w:lang w:eastAsia="da-DK"/>
              </w:rPr>
              <w:t xml:space="preserve"> 45 % af </w:t>
            </w:r>
          </w:p>
        </w:tc>
        <w:tc>
          <w:tcPr>
            <w:tcW w:w="10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1.888.900</w:t>
            </w:r>
          </w:p>
        </w:tc>
        <w:tc>
          <w:tcPr>
            <w:tcW w:w="8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left"/>
              <w:rPr>
                <w:rFonts w:eastAsia="Times New Roman"/>
                <w:color w:val="000000"/>
                <w:sz w:val="20"/>
                <w:szCs w:val="20"/>
                <w:lang w:eastAsia="da-DK"/>
              </w:rPr>
            </w:pPr>
          </w:p>
        </w:tc>
        <w:tc>
          <w:tcPr>
            <w:tcW w:w="1160" w:type="dxa"/>
            <w:tcBorders>
              <w:top w:val="nil"/>
              <w:left w:val="nil"/>
              <w:bottom w:val="nil"/>
              <w:right w:val="nil"/>
            </w:tcBorders>
            <w:shd w:val="clear" w:color="auto" w:fill="auto"/>
            <w:noWrap/>
            <w:vAlign w:val="bottom"/>
            <w:hideMark/>
          </w:tcPr>
          <w:p w:rsidR="00C55C02" w:rsidRPr="00C55C02" w:rsidRDefault="00C55C02" w:rsidP="00C55C02">
            <w:pPr>
              <w:spacing w:line="240" w:lineRule="auto"/>
              <w:jc w:val="right"/>
              <w:rPr>
                <w:rFonts w:eastAsia="Times New Roman"/>
                <w:color w:val="000000"/>
                <w:sz w:val="20"/>
                <w:szCs w:val="20"/>
                <w:lang w:eastAsia="da-DK"/>
              </w:rPr>
            </w:pPr>
            <w:r w:rsidRPr="00C55C02">
              <w:rPr>
                <w:rFonts w:eastAsia="Times New Roman"/>
                <w:color w:val="000000"/>
                <w:sz w:val="20"/>
                <w:szCs w:val="20"/>
                <w:lang w:eastAsia="da-DK"/>
              </w:rPr>
              <w:t>850.005</w:t>
            </w:r>
          </w:p>
        </w:tc>
      </w:tr>
      <w:tr w:rsidR="00C55C02" w:rsidRPr="00C55C02" w:rsidTr="00C55C02">
        <w:trPr>
          <w:trHeight w:val="315"/>
        </w:trPr>
        <w:tc>
          <w:tcPr>
            <w:tcW w:w="2840" w:type="dxa"/>
            <w:tcBorders>
              <w:top w:val="single" w:sz="4" w:space="0" w:color="auto"/>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left"/>
              <w:rPr>
                <w:rFonts w:eastAsia="Times New Roman"/>
                <w:b/>
                <w:bCs/>
                <w:color w:val="000000"/>
                <w:sz w:val="20"/>
                <w:szCs w:val="20"/>
                <w:lang w:eastAsia="da-DK"/>
              </w:rPr>
            </w:pPr>
            <w:r w:rsidRPr="00C55C02">
              <w:rPr>
                <w:rFonts w:eastAsia="Times New Roman"/>
                <w:b/>
                <w:bCs/>
                <w:color w:val="000000"/>
                <w:sz w:val="20"/>
                <w:szCs w:val="20"/>
                <w:lang w:eastAsia="da-DK"/>
              </w:rPr>
              <w:t>Skat af aktieavance</w:t>
            </w:r>
          </w:p>
        </w:tc>
        <w:tc>
          <w:tcPr>
            <w:tcW w:w="1060" w:type="dxa"/>
            <w:tcBorders>
              <w:top w:val="single" w:sz="4" w:space="0" w:color="auto"/>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left"/>
              <w:rPr>
                <w:rFonts w:eastAsia="Times New Roman"/>
                <w:b/>
                <w:bCs/>
                <w:color w:val="000000"/>
                <w:sz w:val="20"/>
                <w:szCs w:val="20"/>
                <w:lang w:eastAsia="da-DK"/>
              </w:rPr>
            </w:pPr>
            <w:r w:rsidRPr="00C55C02">
              <w:rPr>
                <w:rFonts w:eastAsia="Times New Roman"/>
                <w:b/>
                <w:bCs/>
                <w:color w:val="000000"/>
                <w:sz w:val="20"/>
                <w:szCs w:val="20"/>
                <w:lang w:eastAsia="da-DK"/>
              </w:rPr>
              <w:t> </w:t>
            </w:r>
          </w:p>
        </w:tc>
        <w:tc>
          <w:tcPr>
            <w:tcW w:w="80" w:type="dxa"/>
            <w:tcBorders>
              <w:top w:val="single" w:sz="4" w:space="0" w:color="auto"/>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left"/>
              <w:rPr>
                <w:rFonts w:eastAsia="Times New Roman"/>
                <w:b/>
                <w:bCs/>
                <w:color w:val="000000"/>
                <w:sz w:val="20"/>
                <w:szCs w:val="20"/>
                <w:lang w:eastAsia="da-DK"/>
              </w:rPr>
            </w:pPr>
            <w:r w:rsidRPr="00C55C02">
              <w:rPr>
                <w:rFonts w:eastAsia="Times New Roman"/>
                <w:b/>
                <w:bCs/>
                <w:color w:val="000000"/>
                <w:sz w:val="20"/>
                <w:szCs w:val="20"/>
                <w:lang w:eastAsia="da-DK"/>
              </w:rPr>
              <w:t> </w:t>
            </w:r>
          </w:p>
        </w:tc>
        <w:tc>
          <w:tcPr>
            <w:tcW w:w="1160" w:type="dxa"/>
            <w:tcBorders>
              <w:top w:val="single" w:sz="4" w:space="0" w:color="auto"/>
              <w:left w:val="nil"/>
              <w:bottom w:val="single" w:sz="4" w:space="0" w:color="auto"/>
              <w:right w:val="nil"/>
            </w:tcBorders>
            <w:shd w:val="clear" w:color="auto" w:fill="auto"/>
            <w:noWrap/>
            <w:vAlign w:val="bottom"/>
            <w:hideMark/>
          </w:tcPr>
          <w:p w:rsidR="00C55C02" w:rsidRPr="00C55C02" w:rsidRDefault="00C55C02" w:rsidP="00C55C02">
            <w:pPr>
              <w:spacing w:line="240" w:lineRule="auto"/>
              <w:jc w:val="right"/>
              <w:rPr>
                <w:rFonts w:eastAsia="Times New Roman"/>
                <w:b/>
                <w:bCs/>
                <w:color w:val="000000"/>
                <w:sz w:val="20"/>
                <w:szCs w:val="20"/>
                <w:lang w:eastAsia="da-DK"/>
              </w:rPr>
            </w:pPr>
            <w:r w:rsidRPr="00C55C02">
              <w:rPr>
                <w:rFonts w:eastAsia="Times New Roman"/>
                <w:b/>
                <w:bCs/>
                <w:color w:val="000000"/>
                <w:sz w:val="20"/>
                <w:szCs w:val="20"/>
                <w:lang w:eastAsia="da-DK"/>
              </w:rPr>
              <w:t>964.393</w:t>
            </w:r>
          </w:p>
        </w:tc>
      </w:tr>
    </w:tbl>
    <w:p w:rsidR="00C55C02" w:rsidRDefault="00270C4A" w:rsidP="00270C4A">
      <w:pPr>
        <w:pStyle w:val="Billedtekst"/>
      </w:pPr>
      <w:bookmarkStart w:id="126" w:name="_Toc218751413"/>
      <w:r>
        <w:t xml:space="preserve">Figur </w:t>
      </w:r>
      <w:fldSimple w:instr=" SEQ Figur \* ARABIC ">
        <w:r w:rsidR="000F066D">
          <w:rPr>
            <w:noProof/>
          </w:rPr>
          <w:t>31</w:t>
        </w:r>
      </w:fldSimple>
      <w:r w:rsidR="003B4912">
        <w:t xml:space="preserve"> Beregning af gaveafgift og </w:t>
      </w:r>
      <w:r w:rsidR="009E7B56">
        <w:t xml:space="preserve">sparet </w:t>
      </w:r>
      <w:r w:rsidR="003B4912">
        <w:t>aktieavance</w:t>
      </w:r>
      <w:r w:rsidR="009E7B56">
        <w:t>skat</w:t>
      </w:r>
      <w:r w:rsidR="003B4912">
        <w:t xml:space="preserve"> ved overdragelse til skattekursværdi</w:t>
      </w:r>
      <w:bookmarkEnd w:id="126"/>
    </w:p>
    <w:p w:rsidR="003B4912" w:rsidRPr="00C47610" w:rsidRDefault="003B4912" w:rsidP="00793E35"/>
    <w:p w:rsidR="003E1BD4" w:rsidRDefault="00C55C02" w:rsidP="00AF4FDF">
      <w:r>
        <w:t>I eksemplet ses det at familien samlet sparer 790.100 kr. i betaling til skattevæsenet, da overdrageren sparer aktieavanceskatten ved succession, og erhververen kun skal betale 15 % i gaveafgift af gaven reduceret med passivposten.</w:t>
      </w:r>
    </w:p>
    <w:p w:rsidR="007A35E5" w:rsidRDefault="007A35E5" w:rsidP="00AF4FDF">
      <w:r>
        <w:lastRenderedPageBreak/>
        <w:t>Ved TS-CIR nr. 9 af 28. marts 2000 skal der også tages udgangspunkt i et aktiv marked. Hvis det ikke eksisterer, er udgangspunktet hjælpereglen, hvilket er indre værdi med nogle reguleringer f.eks. skal en ejendom fastsættes til ejendomsvurderingen med ti</w:t>
      </w:r>
      <w:r>
        <w:t>l</w:t>
      </w:r>
      <w:r>
        <w:t>læg af ombygningsudgifter, og beholdninger af unoterede aktier i associerede og ti</w:t>
      </w:r>
      <w:r>
        <w:t>l</w:t>
      </w:r>
      <w:r>
        <w:t>knyttede selskaber medtages til værdien opgjort ved hjælpereglen. Endvidere skal u</w:t>
      </w:r>
      <w:r>
        <w:t>d</w:t>
      </w:r>
      <w:r>
        <w:t>skudt skat afsættes</w:t>
      </w:r>
      <w:r w:rsidR="002861EF">
        <w:t>.</w:t>
      </w:r>
      <w:r>
        <w:rPr>
          <w:rStyle w:val="Fodnotehenvisning"/>
        </w:rPr>
        <w:footnoteReference w:id="104"/>
      </w:r>
      <w:r>
        <w:t xml:space="preserve"> </w:t>
      </w:r>
    </w:p>
    <w:p w:rsidR="00C96DF3" w:rsidRDefault="00C96DF3" w:rsidP="00AF4FDF"/>
    <w:p w:rsidR="007A35E5" w:rsidRDefault="00B02FAE" w:rsidP="00D75A46">
      <w:pPr>
        <w:pStyle w:val="Overskrift3"/>
      </w:pPr>
      <w:bookmarkStart w:id="127" w:name="_Toc221546227"/>
      <w:r>
        <w:t>4.</w:t>
      </w:r>
      <w:r w:rsidR="000555D8">
        <w:t>2</w:t>
      </w:r>
      <w:r>
        <w:t>.4</w:t>
      </w:r>
      <w:r w:rsidR="006E77EF">
        <w:t xml:space="preserve"> </w:t>
      </w:r>
      <w:r w:rsidR="007A35E5">
        <w:t>Kapitalafkastordningen for aktiekøb</w:t>
      </w:r>
      <w:r w:rsidR="00627158">
        <w:t xml:space="preserve"> </w:t>
      </w:r>
      <w:r w:rsidR="00627158">
        <w:rPr>
          <w:b w:val="0"/>
          <w:sz w:val="22"/>
          <w:szCs w:val="22"/>
        </w:rPr>
        <w:t>(Pernille</w:t>
      </w:r>
      <w:r w:rsidR="00627158" w:rsidRPr="00E75844">
        <w:rPr>
          <w:b w:val="0"/>
          <w:sz w:val="22"/>
          <w:szCs w:val="22"/>
        </w:rPr>
        <w:t>)</w:t>
      </w:r>
      <w:bookmarkEnd w:id="127"/>
    </w:p>
    <w:p w:rsidR="007A35E5" w:rsidRDefault="007A35E5" w:rsidP="00480514">
      <w:r>
        <w:t>En forholdsvis ny ordning fra 2004 er kapitalafkastordningen for aktiekøb, hvor man ved køb af aktier får fradrag for renteudgifterne i personlig indkomst i stedet for i kap</w:t>
      </w:r>
      <w:r>
        <w:t>i</w:t>
      </w:r>
      <w:r>
        <w:t>talindkomst, når aktierne er erhvervet for lånte midler. Derved sidestilles finansiering ved en overtagelse af en virksomhed i personligt regi og en virksomhed drevet i se</w:t>
      </w:r>
      <w:r>
        <w:t>l</w:t>
      </w:r>
      <w:r>
        <w:t>skabsregi, hvor den unge skal købe aktier for at blive medejer. Kapitalafkastordningen for aktier og anparter kan max. løbe i 10 år. Fordelen ved denne ordning er, at erhve</w:t>
      </w:r>
      <w:r>
        <w:t>r</w:t>
      </w:r>
      <w:r>
        <w:t>veren af virksomheden ikke har en lang tidshorisont, som der er ved etableringsko</w:t>
      </w:r>
      <w:r>
        <w:t>n</w:t>
      </w:r>
      <w:r>
        <w:t>tomidlerne</w:t>
      </w:r>
      <w:r w:rsidR="00B02FAE">
        <w:t>.</w:t>
      </w:r>
      <w:r>
        <w:rPr>
          <w:rStyle w:val="Fodnotehenvisning"/>
        </w:rPr>
        <w:footnoteReference w:id="105"/>
      </w:r>
      <w:r>
        <w:t xml:space="preserve"> Igen er der visse betingelser der skal være opfyldte for at kunne benytte ordningen:</w:t>
      </w:r>
    </w:p>
    <w:p w:rsidR="007A35E5" w:rsidRDefault="007A35E5" w:rsidP="002F4E41">
      <w:pPr>
        <w:numPr>
          <w:ilvl w:val="0"/>
          <w:numId w:val="15"/>
        </w:numPr>
      </w:pPr>
      <w:r>
        <w:t>køber skal være fuldt skattepligtig til Danmark</w:t>
      </w:r>
    </w:p>
    <w:p w:rsidR="007A35E5" w:rsidRDefault="00DD3848" w:rsidP="002F4E41">
      <w:pPr>
        <w:numPr>
          <w:ilvl w:val="0"/>
          <w:numId w:val="15"/>
        </w:numPr>
      </w:pPr>
      <w:r>
        <w:t xml:space="preserve">det </w:t>
      </w:r>
      <w:r w:rsidR="007A35E5">
        <w:t>kontantomregnede grundlag (anskaffelsessummen for aktierne) skal ove</w:t>
      </w:r>
      <w:r w:rsidR="007A35E5">
        <w:t>r</w:t>
      </w:r>
      <w:r w:rsidR="007A35E5">
        <w:t>stige t.kr 606 (2008)</w:t>
      </w:r>
    </w:p>
    <w:p w:rsidR="007A35E5" w:rsidRDefault="007A35E5" w:rsidP="002F4E41">
      <w:pPr>
        <w:numPr>
          <w:ilvl w:val="0"/>
          <w:numId w:val="15"/>
        </w:numPr>
      </w:pPr>
      <w:r>
        <w:t xml:space="preserve">Aktionæren skal alene eller sammen med andre ansatte eje mindst </w:t>
      </w:r>
      <w:r w:rsidR="00910EE3">
        <w:t>25 %</w:t>
      </w:r>
      <w:r>
        <w:t xml:space="preserve"> af a</w:t>
      </w:r>
      <w:r>
        <w:t>k</w:t>
      </w:r>
      <w:r>
        <w:t xml:space="preserve">tierne eller råde over mere end </w:t>
      </w:r>
      <w:r w:rsidR="00910EE3">
        <w:t>50 %</w:t>
      </w:r>
      <w:r>
        <w:t xml:space="preserve"> af stemmeværdien</w:t>
      </w:r>
    </w:p>
    <w:p w:rsidR="007A35E5" w:rsidRDefault="007A35E5" w:rsidP="002F4E41">
      <w:pPr>
        <w:numPr>
          <w:ilvl w:val="0"/>
          <w:numId w:val="15"/>
        </w:numPr>
      </w:pPr>
      <w:r>
        <w:t xml:space="preserve">Ved sameje må ingen af de ansatte aktionærer/anpartshavere råde over mere end </w:t>
      </w:r>
      <w:r w:rsidR="00910EE3">
        <w:t>50 %</w:t>
      </w:r>
      <w:r>
        <w:t xml:space="preserve"> af stemmeværdien.</w:t>
      </w:r>
    </w:p>
    <w:p w:rsidR="007A35E5" w:rsidRDefault="007A35E5" w:rsidP="002F4E41">
      <w:pPr>
        <w:numPr>
          <w:ilvl w:val="0"/>
          <w:numId w:val="15"/>
        </w:numPr>
      </w:pPr>
      <w:r>
        <w:t>selskabets hovedaktivitet må ikke være fra udlejning</w:t>
      </w:r>
    </w:p>
    <w:p w:rsidR="007A35E5" w:rsidRDefault="007A35E5" w:rsidP="002F4E41">
      <w:pPr>
        <w:numPr>
          <w:ilvl w:val="0"/>
          <w:numId w:val="15"/>
        </w:numPr>
      </w:pPr>
      <w:r>
        <w:lastRenderedPageBreak/>
        <w:t>handelsværdien af selskabets finansielle aktiver skal være mindre end 1/3 af handelsværdien af de samlede aktiver</w:t>
      </w:r>
    </w:p>
    <w:p w:rsidR="007A35E5" w:rsidRDefault="007A35E5" w:rsidP="002F4E41">
      <w:pPr>
        <w:numPr>
          <w:ilvl w:val="0"/>
          <w:numId w:val="15"/>
        </w:numPr>
      </w:pPr>
      <w:r>
        <w:t>Aktierne må ikke være erhvervet for etableringskontoindskud eller som led i skattefri virksomhedsomdannelse</w:t>
      </w:r>
    </w:p>
    <w:p w:rsidR="00C55C02" w:rsidRDefault="00C55C02" w:rsidP="00C55C02">
      <w:pPr>
        <w:spacing w:after="200"/>
        <w:rPr>
          <w:bCs/>
        </w:rPr>
      </w:pPr>
    </w:p>
    <w:p w:rsidR="00C55C02" w:rsidRDefault="00C55C02" w:rsidP="00C55C02">
      <w:pPr>
        <w:spacing w:after="200"/>
        <w:rPr>
          <w:bCs/>
        </w:rPr>
      </w:pPr>
      <w:r>
        <w:rPr>
          <w:bCs/>
        </w:rPr>
        <w:t>Hvis aktierne ikke udelukkende gives som en gave, men hvor overdrageren også skal vederlægges i kontanter, har erhververen mulighed for at benytte kapitalafkastordni</w:t>
      </w:r>
      <w:r>
        <w:rPr>
          <w:bCs/>
        </w:rPr>
        <w:t>n</w:t>
      </w:r>
      <w:r>
        <w:rPr>
          <w:bCs/>
        </w:rPr>
        <w:t xml:space="preserve">gen for aktier. </w:t>
      </w:r>
      <w:r w:rsidR="00B02FAE">
        <w:rPr>
          <w:bCs/>
        </w:rPr>
        <w:t>Or</w:t>
      </w:r>
      <w:r>
        <w:rPr>
          <w:bCs/>
        </w:rPr>
        <w:t>dningen er hensigtsmæssig, hvis tidshorisonten for overtagelsen er kort, og den unge ikke er startet i god tid med at spare op f.eks. på en etableringsko</w:t>
      </w:r>
      <w:r>
        <w:rPr>
          <w:bCs/>
        </w:rPr>
        <w:t>n</w:t>
      </w:r>
      <w:r>
        <w:rPr>
          <w:bCs/>
        </w:rPr>
        <w:t xml:space="preserve">to. </w:t>
      </w:r>
      <w:r w:rsidR="009D3CF9">
        <w:rPr>
          <w:bCs/>
        </w:rPr>
        <w:t>Ved et generationsskifte vil aktiekøbet typisk opfylde betingelserne om ejerandele, minimum for anskaffelsessum mv. D</w:t>
      </w:r>
      <w:r>
        <w:rPr>
          <w:bCs/>
        </w:rPr>
        <w:t xml:space="preserve">en unge </w:t>
      </w:r>
      <w:r w:rsidR="009D3CF9">
        <w:rPr>
          <w:bCs/>
        </w:rPr>
        <w:t xml:space="preserve">for </w:t>
      </w:r>
      <w:r>
        <w:rPr>
          <w:bCs/>
        </w:rPr>
        <w:t>fradrag i sin personlige ind</w:t>
      </w:r>
      <w:r w:rsidR="009D3CF9">
        <w:rPr>
          <w:bCs/>
        </w:rPr>
        <w:t>komst, hvi</w:t>
      </w:r>
      <w:r w:rsidR="009D3CF9">
        <w:rPr>
          <w:bCs/>
        </w:rPr>
        <w:t>l</w:t>
      </w:r>
      <w:r w:rsidR="009D3CF9">
        <w:rPr>
          <w:bCs/>
        </w:rPr>
        <w:t>ket dermed giver renteudgiftsfradraget en større skatteværdi end det normale li</w:t>
      </w:r>
      <w:r w:rsidR="009D3CF9">
        <w:rPr>
          <w:bCs/>
        </w:rPr>
        <w:t>g</w:t>
      </w:r>
      <w:r w:rsidR="009D3CF9">
        <w:rPr>
          <w:bCs/>
        </w:rPr>
        <w:t>ningsmæssige fradrag.</w:t>
      </w:r>
      <w:r>
        <w:rPr>
          <w:bCs/>
        </w:rPr>
        <w:t xml:space="preserve"> Fordelen ved kontant vederlæggelse er endvidere, at overdr</w:t>
      </w:r>
      <w:r>
        <w:rPr>
          <w:bCs/>
        </w:rPr>
        <w:t>a</w:t>
      </w:r>
      <w:r>
        <w:rPr>
          <w:bCs/>
        </w:rPr>
        <w:t>geren får likviditeten til at indskyde på pensionsordnin</w:t>
      </w:r>
      <w:r w:rsidR="009D3CF9">
        <w:rPr>
          <w:bCs/>
        </w:rPr>
        <w:t>ger. Selvom overdrageren gerne vil hjælpe næste generation på vej ved at give en gave, er en delvis kontant vederlæ</w:t>
      </w:r>
      <w:r w:rsidR="009D3CF9">
        <w:rPr>
          <w:bCs/>
        </w:rPr>
        <w:t>g</w:t>
      </w:r>
      <w:r w:rsidR="009D3CF9">
        <w:rPr>
          <w:bCs/>
        </w:rPr>
        <w:t>ges også rimeligt for at sikre overdrageren en pensionist tilv</w:t>
      </w:r>
      <w:r w:rsidR="00B02FAE">
        <w:rPr>
          <w:bCs/>
        </w:rPr>
        <w:t>ærelse med en god øk</w:t>
      </w:r>
      <w:r w:rsidR="00B02FAE">
        <w:rPr>
          <w:bCs/>
        </w:rPr>
        <w:t>o</w:t>
      </w:r>
      <w:r w:rsidR="00B02FAE">
        <w:rPr>
          <w:bCs/>
        </w:rPr>
        <w:t>nomi. Den delvise kontante vederlæggelse kan både benyttes i forbindelse med su</w:t>
      </w:r>
      <w:r w:rsidR="00B02FAE">
        <w:rPr>
          <w:bCs/>
        </w:rPr>
        <w:t>c</w:t>
      </w:r>
      <w:r w:rsidR="00B02FAE">
        <w:rPr>
          <w:bCs/>
        </w:rPr>
        <w:t>cession eller ved flere af de andre former for omstruktureringer, der gennemgås i de følgende afsnit.</w:t>
      </w:r>
    </w:p>
    <w:p w:rsidR="00935D05" w:rsidRDefault="002B5FE5" w:rsidP="00B02FAE">
      <w:pPr>
        <w:pStyle w:val="Overskrift3"/>
      </w:pPr>
      <w:r>
        <w:br w:type="page"/>
      </w:r>
      <w:bookmarkStart w:id="128" w:name="_Toc221546228"/>
      <w:r w:rsidR="00B02FAE">
        <w:lastRenderedPageBreak/>
        <w:t>4.</w:t>
      </w:r>
      <w:r w:rsidR="000555D8">
        <w:t>2</w:t>
      </w:r>
      <w:r w:rsidR="00B02FAE">
        <w:t>.5 Fordele og ulemper ved succession i aktier</w:t>
      </w:r>
      <w:r w:rsidR="00627158">
        <w:t xml:space="preserve"> </w:t>
      </w:r>
      <w:r w:rsidR="00627158">
        <w:rPr>
          <w:b w:val="0"/>
          <w:sz w:val="22"/>
          <w:szCs w:val="22"/>
        </w:rPr>
        <w:t>(Pernille</w:t>
      </w:r>
      <w:r w:rsidR="00627158" w:rsidRPr="00E75844">
        <w:rPr>
          <w:b w:val="0"/>
          <w:sz w:val="22"/>
          <w:szCs w:val="22"/>
        </w:rPr>
        <w:t>)</w:t>
      </w:r>
      <w:bookmarkEnd w:id="128"/>
    </w:p>
    <w:p w:rsidR="00B02FAE" w:rsidRPr="00B02FAE" w:rsidRDefault="00B02FAE" w:rsidP="00B02FAE"/>
    <w:tbl>
      <w:tblPr>
        <w:tblW w:w="5000" w:type="pct"/>
        <w:tblLook w:val="01E0"/>
      </w:tblPr>
      <w:tblGrid>
        <w:gridCol w:w="4360"/>
        <w:gridCol w:w="4360"/>
      </w:tblGrid>
      <w:tr w:rsidR="00935D05" w:rsidTr="00935D05">
        <w:tc>
          <w:tcPr>
            <w:tcW w:w="2500" w:type="pct"/>
            <w:tcBorders>
              <w:left w:val="single" w:sz="4" w:space="0" w:color="auto"/>
              <w:bottom w:val="single" w:sz="4" w:space="0" w:color="auto"/>
              <w:right w:val="single" w:sz="4" w:space="0" w:color="auto"/>
            </w:tcBorders>
          </w:tcPr>
          <w:p w:rsidR="00935D05" w:rsidRDefault="00935D05" w:rsidP="00935D05">
            <w:r>
              <w:t>Fordele</w:t>
            </w:r>
          </w:p>
        </w:tc>
        <w:tc>
          <w:tcPr>
            <w:tcW w:w="2500" w:type="pct"/>
            <w:tcBorders>
              <w:left w:val="single" w:sz="4" w:space="0" w:color="auto"/>
              <w:bottom w:val="single" w:sz="4" w:space="0" w:color="auto"/>
              <w:right w:val="single" w:sz="4" w:space="0" w:color="auto"/>
            </w:tcBorders>
          </w:tcPr>
          <w:p w:rsidR="00935D05" w:rsidRDefault="00935D05" w:rsidP="00935D05">
            <w:r>
              <w:t>Ulemper</w:t>
            </w:r>
          </w:p>
        </w:tc>
      </w:tr>
      <w:tr w:rsidR="00935D05" w:rsidTr="00935D05">
        <w:tc>
          <w:tcPr>
            <w:tcW w:w="2500" w:type="pct"/>
            <w:tcBorders>
              <w:top w:val="single" w:sz="4" w:space="0" w:color="auto"/>
              <w:left w:val="single" w:sz="4" w:space="0" w:color="auto"/>
              <w:bottom w:val="single" w:sz="4" w:space="0" w:color="auto"/>
              <w:right w:val="single" w:sz="4" w:space="0" w:color="auto"/>
            </w:tcBorders>
          </w:tcPr>
          <w:p w:rsidR="00935D05" w:rsidRDefault="00935D05" w:rsidP="002F4E41">
            <w:pPr>
              <w:numPr>
                <w:ilvl w:val="0"/>
                <w:numId w:val="16"/>
              </w:numPr>
              <w:spacing w:line="240" w:lineRule="auto"/>
              <w:jc w:val="left"/>
            </w:pPr>
            <w:r>
              <w:t xml:space="preserve">Kræver kun likviditet </w:t>
            </w:r>
            <w:r w:rsidR="002861EF">
              <w:t xml:space="preserve">for erhververen </w:t>
            </w:r>
            <w:r>
              <w:t>til at betale gaveafgift, hvis indenfor nærmeste familie</w:t>
            </w:r>
            <w:r>
              <w:rPr>
                <w:rStyle w:val="Fodnotehenvisning"/>
              </w:rPr>
              <w:footnoteReference w:id="106"/>
            </w:r>
          </w:p>
          <w:p w:rsidR="00935D05" w:rsidRDefault="00935D05" w:rsidP="002F4E41">
            <w:pPr>
              <w:numPr>
                <w:ilvl w:val="0"/>
                <w:numId w:val="16"/>
              </w:numPr>
              <w:spacing w:line="240" w:lineRule="auto"/>
              <w:jc w:val="left"/>
            </w:pPr>
            <w:r>
              <w:t>Fleksibilitet i forhold til kontant vede</w:t>
            </w:r>
            <w:r>
              <w:t>r</w:t>
            </w:r>
            <w:r>
              <w:t>læggelse af overdrager</w:t>
            </w:r>
            <w:r w:rsidR="002861EF">
              <w:t>, og dermed mulighed for pensionsindbetalinger</w:t>
            </w:r>
          </w:p>
          <w:p w:rsidR="00935D05" w:rsidRDefault="00935D05" w:rsidP="002F4E41">
            <w:pPr>
              <w:numPr>
                <w:ilvl w:val="0"/>
                <w:numId w:val="16"/>
              </w:numPr>
              <w:spacing w:line="240" w:lineRule="auto"/>
              <w:jc w:val="left"/>
            </w:pPr>
            <w:r>
              <w:t>Overdrager vælger selv om der skal betales lidt aktieavanceskat eller ingen skat overhovedet</w:t>
            </w:r>
          </w:p>
          <w:p w:rsidR="00935D05" w:rsidRDefault="00935D05" w:rsidP="002F4E41">
            <w:pPr>
              <w:numPr>
                <w:ilvl w:val="0"/>
                <w:numId w:val="16"/>
              </w:numPr>
              <w:spacing w:line="240" w:lineRule="auto"/>
              <w:jc w:val="left"/>
            </w:pPr>
            <w:r>
              <w:t>Færre administrationsomkostninger sammenlignet med omstruktureringer af selskaber</w:t>
            </w:r>
            <w:r w:rsidR="002861EF">
              <w:t xml:space="preserve"> og glidende overgang af interessentskab</w:t>
            </w:r>
          </w:p>
          <w:p w:rsidR="002861EF" w:rsidRDefault="002861EF" w:rsidP="002861EF">
            <w:pPr>
              <w:numPr>
                <w:ilvl w:val="0"/>
                <w:numId w:val="16"/>
              </w:numPr>
              <w:spacing w:line="240" w:lineRule="auto"/>
              <w:jc w:val="left"/>
            </w:pPr>
            <w:r>
              <w:t>Hvis mulighed for at anvende formu</w:t>
            </w:r>
            <w:r>
              <w:t>e</w:t>
            </w:r>
            <w:r>
              <w:t>skattekurs, lavere værdiansættelse og dermed lavere gaveafgift.</w:t>
            </w:r>
          </w:p>
        </w:tc>
        <w:tc>
          <w:tcPr>
            <w:tcW w:w="2500" w:type="pct"/>
            <w:tcBorders>
              <w:top w:val="single" w:sz="4" w:space="0" w:color="auto"/>
              <w:left w:val="single" w:sz="4" w:space="0" w:color="auto"/>
              <w:bottom w:val="single" w:sz="4" w:space="0" w:color="auto"/>
              <w:right w:val="single" w:sz="4" w:space="0" w:color="auto"/>
            </w:tcBorders>
          </w:tcPr>
          <w:p w:rsidR="00935D05" w:rsidRDefault="000B2DF3" w:rsidP="002F4E41">
            <w:pPr>
              <w:numPr>
                <w:ilvl w:val="0"/>
                <w:numId w:val="16"/>
              </w:numPr>
              <w:spacing w:line="240" w:lineRule="auto"/>
              <w:jc w:val="left"/>
            </w:pPr>
            <w:r>
              <w:t>I et</w:t>
            </w:r>
            <w:r w:rsidR="00935D05">
              <w:t xml:space="preserve"> </w:t>
            </w:r>
            <w:r>
              <w:t xml:space="preserve">selskab der er omdannet fra </w:t>
            </w:r>
            <w:r w:rsidR="00935D05">
              <w:t>I/S</w:t>
            </w:r>
            <w:r>
              <w:t>,</w:t>
            </w:r>
            <w:r w:rsidR="00935D05">
              <w:t xml:space="preserve"> </w:t>
            </w:r>
            <w:r>
              <w:t xml:space="preserve">og dermed har flere aktionærer, </w:t>
            </w:r>
            <w:r w:rsidR="00910EE3">
              <w:t>er, erhverver</w:t>
            </w:r>
            <w:r>
              <w:t xml:space="preserve"> ofte ikke nærmeste familie til alle interessenter. Hvis virksomh</w:t>
            </w:r>
            <w:r>
              <w:t>e</w:t>
            </w:r>
            <w:r>
              <w:t>den modtages som gave fra en akti</w:t>
            </w:r>
            <w:r>
              <w:t>o</w:t>
            </w:r>
            <w:r>
              <w:t>nær der ikke er nærmeste familie, bl</w:t>
            </w:r>
            <w:r>
              <w:t>i</w:t>
            </w:r>
            <w:r>
              <w:t>ver værdien heraf indkomst skatt</w:t>
            </w:r>
            <w:r>
              <w:t>e</w:t>
            </w:r>
            <w:r>
              <w:t>pligtig for erhververen.</w:t>
            </w:r>
          </w:p>
          <w:p w:rsidR="000B2DF3" w:rsidRDefault="000B2DF3" w:rsidP="002F4E41">
            <w:pPr>
              <w:numPr>
                <w:ilvl w:val="0"/>
                <w:numId w:val="16"/>
              </w:numPr>
              <w:spacing w:line="240" w:lineRule="auto"/>
              <w:jc w:val="left"/>
            </w:pPr>
            <w:r>
              <w:t>Erhververen succedere skattemæssigt og har derfor mindre skattemæssigt afskrivningsgrundlag</w:t>
            </w:r>
          </w:p>
          <w:p w:rsidR="00B02FAE" w:rsidRDefault="00B02FAE" w:rsidP="002F4E41">
            <w:pPr>
              <w:numPr>
                <w:ilvl w:val="0"/>
                <w:numId w:val="16"/>
              </w:numPr>
              <w:spacing w:line="240" w:lineRule="auto"/>
              <w:jc w:val="left"/>
            </w:pPr>
            <w:r>
              <w:t>Mindre likviditet for overdrageren til at indskyde på pension</w:t>
            </w:r>
          </w:p>
          <w:p w:rsidR="000B2DF3" w:rsidRDefault="000B2DF3" w:rsidP="000B2DF3">
            <w:pPr>
              <w:spacing w:line="240" w:lineRule="auto"/>
              <w:ind w:left="360"/>
              <w:jc w:val="left"/>
            </w:pPr>
          </w:p>
        </w:tc>
      </w:tr>
    </w:tbl>
    <w:p w:rsidR="007A35E5" w:rsidRDefault="00270C4A" w:rsidP="00270C4A">
      <w:pPr>
        <w:pStyle w:val="Billedtekst"/>
      </w:pPr>
      <w:bookmarkStart w:id="129" w:name="_Toc218751414"/>
      <w:r>
        <w:t xml:space="preserve">Figur </w:t>
      </w:r>
      <w:fldSimple w:instr=" SEQ Figur \* ARABIC ">
        <w:r w:rsidR="000F066D">
          <w:rPr>
            <w:noProof/>
          </w:rPr>
          <w:t>32</w:t>
        </w:r>
      </w:fldSimple>
      <w:r w:rsidR="009E7B56">
        <w:t xml:space="preserve"> Fordele og ulemper ved succession i aktier</w:t>
      </w:r>
      <w:bookmarkEnd w:id="129"/>
    </w:p>
    <w:p w:rsidR="007A35E5" w:rsidRDefault="00B02FAE" w:rsidP="00B02FAE">
      <w:pPr>
        <w:pStyle w:val="Overskrift2"/>
      </w:pPr>
      <w:bookmarkStart w:id="130" w:name="_Toc221546229"/>
      <w:r>
        <w:t>4.</w:t>
      </w:r>
      <w:r w:rsidR="000555D8">
        <w:t>3</w:t>
      </w:r>
      <w:r>
        <w:t xml:space="preserve"> </w:t>
      </w:r>
      <w:r w:rsidR="007A35E5">
        <w:t xml:space="preserve">Omstrukturering af selskab </w:t>
      </w:r>
      <w:r w:rsidR="001E379B">
        <w:t>for at</w:t>
      </w:r>
      <w:r w:rsidR="007A35E5">
        <w:t xml:space="preserve"> generationsskifte</w:t>
      </w:r>
      <w:r w:rsidR="00627158">
        <w:t xml:space="preserve"> </w:t>
      </w:r>
      <w:r w:rsidR="00627158">
        <w:rPr>
          <w:b w:val="0"/>
          <w:sz w:val="22"/>
          <w:szCs w:val="22"/>
        </w:rPr>
        <w:t>(Pernille og Jane</w:t>
      </w:r>
      <w:r w:rsidR="00627158" w:rsidRPr="00E75844">
        <w:rPr>
          <w:b w:val="0"/>
          <w:sz w:val="22"/>
          <w:szCs w:val="22"/>
        </w:rPr>
        <w:t>)</w:t>
      </w:r>
      <w:bookmarkEnd w:id="130"/>
    </w:p>
    <w:p w:rsidR="007A35E5" w:rsidRDefault="007A35E5" w:rsidP="00B02FAE">
      <w:r>
        <w:t>En etableret selskabsstruktur er ikke nødvendigvis hensigtsmæssig i forbindelse med generationsskifte, eller efter generationsskiftet i virksomhedens fremtidige levetid. Der er flere muligheder for at ændre på selskabsstrukturen, så den passer bedst muligt for virksomheden og dens ejere.</w:t>
      </w:r>
    </w:p>
    <w:p w:rsidR="007A35E5" w:rsidRDefault="007A35E5" w:rsidP="007945B1"/>
    <w:p w:rsidR="007A35E5" w:rsidRDefault="007A35E5" w:rsidP="007945B1">
      <w:r>
        <w:t>Selskabsretligt er der fastlagt regler for hvordan omstrukturering af selskaber kan ske, og der er generelt vide rammer for at ændre på selskabsstrukturen.</w:t>
      </w:r>
    </w:p>
    <w:p w:rsidR="007A35E5" w:rsidRDefault="007A35E5" w:rsidP="007945B1">
      <w:r>
        <w:t>En begrænsning kunne være det skatteretlige, hvor en ændring i selskabsstrukturen vil kunne med</w:t>
      </w:r>
      <w:r>
        <w:softHyphen/>
        <w:t>føre skattemæssige konsekvenser i form af afståelsesbeskatning. Hvis ikke der fandtes særlige regler for skattefri spaltning og fusion samt skattefri aktieomby</w:t>
      </w:r>
      <w:r>
        <w:t>t</w:t>
      </w:r>
      <w:r>
        <w:t xml:space="preserve">ning og tilførsel af aktiver kunne dette være en hindring for virksomhedens ejerskifte </w:t>
      </w:r>
      <w:r>
        <w:lastRenderedPageBreak/>
        <w:t>eller den fortsatte udvikling på det forretningsmæssige plan. Det er disse skattemæss</w:t>
      </w:r>
      <w:r>
        <w:t>i</w:t>
      </w:r>
      <w:r>
        <w:t>ge regler</w:t>
      </w:r>
      <w:r w:rsidR="00B02FAE">
        <w:t>,</w:t>
      </w:r>
      <w:r>
        <w:t xml:space="preserve"> der vil blive omtalt nedenfor. Reglerne om skattefrie transaktioner som fus</w:t>
      </w:r>
      <w:r>
        <w:t>i</w:t>
      </w:r>
      <w:r>
        <w:t>on og spaltning samt tilførsel af aktiver findes i FUSL, der bygger på fusionsdirektivet fra 1992 og er altså generelt EU-retlige regler, der er implementeret i den danske lo</w:t>
      </w:r>
      <w:r>
        <w:t>v</w:t>
      </w:r>
      <w:r>
        <w:t>givning. Danmark havde før 1992 regler på området for fusion af danske selskaber, der ikke afveg væsentligt fra reglerne i fusionsdirektivet. Reglerne om skattefri aktieo</w:t>
      </w:r>
      <w:r>
        <w:t>m</w:t>
      </w:r>
      <w:r>
        <w:t>bytning findes i ABL.</w:t>
      </w:r>
    </w:p>
    <w:p w:rsidR="009D45A7" w:rsidRPr="00DD3848" w:rsidRDefault="007A35E5" w:rsidP="00DD3848">
      <w:r>
        <w:t>Det er generelt muligt at gennemføre omstruktureringerne uden tilladelse jf. lov nr. 343 af 18. april 2007. Da det er muligt at gennemføre en af ovennævnte omstruktur</w:t>
      </w:r>
      <w:r>
        <w:t>e</w:t>
      </w:r>
      <w:r>
        <w:t>ringer uden tilladelse kan Skat ligefrem nægte at tage stilling til en anmodning om ti</w:t>
      </w:r>
      <w:r>
        <w:t>l</w:t>
      </w:r>
      <w:r>
        <w:t>ladelse jf. nedenstående:</w:t>
      </w:r>
    </w:p>
    <w:p w:rsidR="00DD3848" w:rsidRPr="00DD3848" w:rsidRDefault="00DD3848" w:rsidP="00DD3848"/>
    <w:p w:rsidR="007A35E5" w:rsidRPr="0059688E" w:rsidRDefault="007A35E5" w:rsidP="0059688E">
      <w:pPr>
        <w:pStyle w:val="NormalWeb"/>
        <w:rPr>
          <w:i/>
          <w:sz w:val="22"/>
          <w:szCs w:val="22"/>
        </w:rPr>
      </w:pPr>
      <w:r w:rsidRPr="0059688E">
        <w:rPr>
          <w:i/>
          <w:sz w:val="22"/>
          <w:szCs w:val="22"/>
        </w:rPr>
        <w:t>SKM2007.272: SKAT har med henvisning til vedtagelsen af L 110 A oplyst, at ansøgning om tilladelse til skattefri fusion efter den daværende fusionsskattelovs § 3 og § 4 ikke længere er påkrævet, såfremt fusionen ønskes gennemført med virkning pr. 1. januar 2007 eller senere.</w:t>
      </w:r>
    </w:p>
    <w:p w:rsidR="007A35E5" w:rsidRDefault="007A35E5" w:rsidP="00DD3848"/>
    <w:p w:rsidR="007A35E5" w:rsidRDefault="00B02FAE" w:rsidP="00B02FAE">
      <w:pPr>
        <w:pStyle w:val="Overskrift3"/>
      </w:pPr>
      <w:bookmarkStart w:id="131" w:name="_Toc221546230"/>
      <w:r>
        <w:t>4.</w:t>
      </w:r>
      <w:r w:rsidR="000555D8">
        <w:t>3</w:t>
      </w:r>
      <w:r>
        <w:t xml:space="preserve">.1 </w:t>
      </w:r>
      <w:r w:rsidR="007A35E5">
        <w:t>Skattefri aktieombytning</w:t>
      </w:r>
      <w:r w:rsidR="00627158">
        <w:t xml:space="preserve"> </w:t>
      </w:r>
      <w:r w:rsidR="00627158">
        <w:rPr>
          <w:b w:val="0"/>
          <w:sz w:val="22"/>
          <w:szCs w:val="22"/>
        </w:rPr>
        <w:t>(Pernille</w:t>
      </w:r>
      <w:r w:rsidR="00627158" w:rsidRPr="00E75844">
        <w:rPr>
          <w:b w:val="0"/>
          <w:sz w:val="22"/>
          <w:szCs w:val="22"/>
        </w:rPr>
        <w:t>)</w:t>
      </w:r>
      <w:bookmarkEnd w:id="131"/>
    </w:p>
    <w:p w:rsidR="007A35E5" w:rsidRDefault="007A35E5" w:rsidP="00D230CD">
      <w:r>
        <w:t>Ved aktieombytning forstås, at aktionærerne bytter deres aktier i et selskab A med aktierne i et andet selskab B. Derved kommer B til at eje aktierne i A, og de oprindelige aktionærer i A kommer i stedet til at eje aktierne i B. Der fremkommer derved en ho</w:t>
      </w:r>
      <w:r>
        <w:t>l</w:t>
      </w:r>
      <w:r>
        <w:t>ding konstruktion. Selskabsretligt er der tale om stiftelse af et selskab eller forhøjelse af kapitalen i et selskab ved apportindskud af aktier/anparter i det selskab, der bliver moderselskab.</w:t>
      </w:r>
    </w:p>
    <w:p w:rsidR="007A35E5" w:rsidRDefault="007A35E5" w:rsidP="00D230CD">
      <w:r>
        <w:t>Normalt vil en sådan transaktion være skattepligtig for aktionærerne, da de bliver re</w:t>
      </w:r>
      <w:r>
        <w:t>a</w:t>
      </w:r>
      <w:r>
        <w:t>lisationsbeskattet af de aktier, de ombytter. Samtidig får det erhvervende selskab nye anskaffelsessummer på aktierne. For det indskydende selskab er der ingen konsekve</w:t>
      </w:r>
      <w:r>
        <w:t>n</w:t>
      </w:r>
      <w:r>
        <w:t>ser udover, at det kommer til at indgå i en sambeskatning. Man kan dog foretage en skattefri akti</w:t>
      </w:r>
      <w:r w:rsidR="009A73A5">
        <w:t>eombytning efter reglerne i ABL</w:t>
      </w:r>
      <w:r>
        <w:t>. Skattefri aktieombytning kan både for</w:t>
      </w:r>
      <w:r>
        <w:t>e</w:t>
      </w:r>
      <w:r>
        <w:lastRenderedPageBreak/>
        <w:t>tages med eller uden tilladelse fra Skat, hvor førstenævnte er ABL § 36 og uden till</w:t>
      </w:r>
      <w:r>
        <w:t>a</w:t>
      </w:r>
      <w:r>
        <w:t xml:space="preserve">delse er ABL § 36 A.  </w:t>
      </w:r>
    </w:p>
    <w:p w:rsidR="007A35E5" w:rsidRDefault="007A35E5" w:rsidP="00955D53"/>
    <w:p w:rsidR="007A35E5" w:rsidRDefault="009872D1" w:rsidP="00B02FAE">
      <w:pPr>
        <w:pStyle w:val="Overskrift4"/>
      </w:pPr>
      <w:bookmarkStart w:id="132" w:name="_Toc221546231"/>
      <w:r>
        <w:t>4.</w:t>
      </w:r>
      <w:r w:rsidR="000555D8">
        <w:t>3</w:t>
      </w:r>
      <w:r w:rsidR="00B02FAE">
        <w:t xml:space="preserve">.1.1 </w:t>
      </w:r>
      <w:r w:rsidR="007A35E5">
        <w:t>Betingelse for skattefri aktieombytning</w:t>
      </w:r>
      <w:r w:rsidR="00627158">
        <w:t xml:space="preserve"> </w:t>
      </w:r>
      <w:r w:rsidR="00627158">
        <w:rPr>
          <w:b w:val="0"/>
          <w:sz w:val="22"/>
          <w:szCs w:val="22"/>
        </w:rPr>
        <w:t>(Pernille</w:t>
      </w:r>
      <w:r w:rsidR="00627158" w:rsidRPr="00E75844">
        <w:rPr>
          <w:b w:val="0"/>
          <w:sz w:val="22"/>
          <w:szCs w:val="22"/>
        </w:rPr>
        <w:t>)</w:t>
      </w:r>
      <w:bookmarkEnd w:id="132"/>
    </w:p>
    <w:p w:rsidR="007A35E5" w:rsidRDefault="007A35E5" w:rsidP="00955D53">
      <w:r>
        <w:t xml:space="preserve">Betingelserne for en skattefri ombytning er, at aktionæren er skattepligtig i Danmark, dog behøver </w:t>
      </w:r>
      <w:r w:rsidR="009A73A5">
        <w:t>selskaberne ikke have hjemsted</w:t>
      </w:r>
      <w:r>
        <w:t xml:space="preserve"> her. Det erhvervende selskab skal opnå en reel stemmeflertal ved ombytningen. Se nedenstående afgørelse hvor stemmefle</w:t>
      </w:r>
      <w:r>
        <w:t>r</w:t>
      </w:r>
      <w:r>
        <w:t>tallet ikke var reel pga. en aktionæroverenskomst.</w:t>
      </w:r>
    </w:p>
    <w:p w:rsidR="007A35E5" w:rsidRDefault="007A35E5" w:rsidP="00955D53"/>
    <w:p w:rsidR="007A35E5" w:rsidRPr="009951FA" w:rsidRDefault="007A35E5" w:rsidP="00955D53">
      <w:pPr>
        <w:rPr>
          <w:i/>
          <w:sz w:val="22"/>
          <w:lang w:eastAsia="da-DK"/>
        </w:rPr>
      </w:pPr>
      <w:r>
        <w:rPr>
          <w:i/>
          <w:sz w:val="22"/>
          <w:lang w:eastAsia="da-DK"/>
        </w:rPr>
        <w:t xml:space="preserve">SKM2001.241: </w:t>
      </w:r>
      <w:r w:rsidRPr="009951FA">
        <w:rPr>
          <w:i/>
          <w:sz w:val="22"/>
          <w:lang w:eastAsia="da-DK"/>
        </w:rPr>
        <w:t>To aktionærer, der tilsammen ejede majoriteten af kapital og stemmer i et se</w:t>
      </w:r>
      <w:r w:rsidRPr="009951FA">
        <w:rPr>
          <w:i/>
          <w:sz w:val="22"/>
          <w:lang w:eastAsia="da-DK"/>
        </w:rPr>
        <w:t>l</w:t>
      </w:r>
      <w:r w:rsidRPr="009951FA">
        <w:rPr>
          <w:i/>
          <w:sz w:val="22"/>
          <w:lang w:eastAsia="da-DK"/>
        </w:rPr>
        <w:t>skab ville foretage en skattefri aktieombytning. Holdingselskabets majoritet blev indskrænket af en aktionæroverenskomst, der gav bestyrelsesmedlemmerne, hvoraf flertallet skulle vælges af mindretalsaktionærerne, vetoret til alle væsentlige beslutninger i selskabet. Ligningsrådet gav afslag med den begrundelse, at holdingselskabet derved ikke opnåede den reelle majoritet i driftsselskabet.</w:t>
      </w:r>
    </w:p>
    <w:p w:rsidR="007A35E5" w:rsidRDefault="007A35E5" w:rsidP="00955D53"/>
    <w:p w:rsidR="007A35E5" w:rsidRDefault="007A35E5" w:rsidP="00955D53">
      <w:r>
        <w:t>Der er ikke umiddelbart, i regelsættet om aktieombytning uden tilladelse, en regul</w:t>
      </w:r>
      <w:r>
        <w:t>e</w:t>
      </w:r>
      <w:r>
        <w:t>ring af dette forhold. I bilag 1 til lovforslaget præciseres det dog, at praksis fra tidligere regelsæt også skal gælde under det nye.</w:t>
      </w:r>
    </w:p>
    <w:p w:rsidR="007A35E5" w:rsidRDefault="007A35E5" w:rsidP="00DF6853">
      <w:r w:rsidRPr="005C528C">
        <w:t>Derudover skal vederlaget bestå af aktier og en evt. kontant udligningssum, og omby</w:t>
      </w:r>
      <w:r w:rsidRPr="005C528C">
        <w:t>t</w:t>
      </w:r>
      <w:r w:rsidRPr="005C528C">
        <w:t>ningen skal gennemføres inden 6 måneder, hvor startdatoen er den første dag, hvor det erhvervende selskab åbner for sit tilbud om ombytning. Den maksimale længde er fastsat i de tilfælde, hvor der er flere aktionærer der skal acceptere for at opnå ste</w:t>
      </w:r>
      <w:r w:rsidRPr="005C528C">
        <w:t>m</w:t>
      </w:r>
      <w:r w:rsidRPr="005C528C">
        <w:t>meflertallet, og er ikke et udtryk for at man kan foretage aktieombytning med tilbag</w:t>
      </w:r>
      <w:r w:rsidRPr="005C528C">
        <w:t>e</w:t>
      </w:r>
      <w:r w:rsidRPr="005C528C">
        <w:t>virkende kraft</w:t>
      </w:r>
      <w:r w:rsidR="00DD3848">
        <w:t>.</w:t>
      </w:r>
      <w:r>
        <w:rPr>
          <w:rStyle w:val="Fodnotehenvisning"/>
        </w:rPr>
        <w:footnoteReference w:id="107"/>
      </w:r>
      <w:r>
        <w:t xml:space="preserve"> </w:t>
      </w:r>
    </w:p>
    <w:p w:rsidR="007A35E5" w:rsidRDefault="007A35E5" w:rsidP="00DF6853"/>
    <w:p w:rsidR="007A35E5" w:rsidRDefault="00B02FAE" w:rsidP="00B02FAE">
      <w:pPr>
        <w:pStyle w:val="Overskrift4"/>
      </w:pPr>
      <w:bookmarkStart w:id="133" w:name="_Ref218750205"/>
      <w:bookmarkStart w:id="134" w:name="_Toc221546232"/>
      <w:r>
        <w:lastRenderedPageBreak/>
        <w:t>4.</w:t>
      </w:r>
      <w:r w:rsidR="000555D8">
        <w:t>3</w:t>
      </w:r>
      <w:r>
        <w:t xml:space="preserve">.1.2 </w:t>
      </w:r>
      <w:r w:rsidR="007A35E5">
        <w:t>Skattefri aktieombytning uden tilladelse</w:t>
      </w:r>
      <w:bookmarkEnd w:id="133"/>
      <w:r w:rsidR="007A35E5">
        <w:t xml:space="preserve"> </w:t>
      </w:r>
      <w:r w:rsidR="00627158">
        <w:rPr>
          <w:b w:val="0"/>
          <w:sz w:val="22"/>
          <w:szCs w:val="22"/>
        </w:rPr>
        <w:t>(Pernille</w:t>
      </w:r>
      <w:r w:rsidR="00627158" w:rsidRPr="00E75844">
        <w:rPr>
          <w:b w:val="0"/>
          <w:sz w:val="22"/>
          <w:szCs w:val="22"/>
        </w:rPr>
        <w:t>)</w:t>
      </w:r>
      <w:bookmarkEnd w:id="134"/>
    </w:p>
    <w:p w:rsidR="007A35E5" w:rsidRDefault="007A35E5" w:rsidP="00833645">
      <w:r>
        <w:t>Ved skattefri aktieombytning uden tilladelse er det en betingelse, at alle aktionærer i det ombyttende selskab og det erhvervende selskab bruger ABL § 36 A.</w:t>
      </w:r>
      <w:r w:rsidRPr="00833645">
        <w:t xml:space="preserve"> </w:t>
      </w:r>
      <w:r>
        <w:t>Der skal på selvangivelsen i ombytningsåret oplyses om</w:t>
      </w:r>
      <w:r w:rsidR="00DD3848">
        <w:t>,</w:t>
      </w:r>
      <w:r>
        <w:t xml:space="preserve"> at der er foretaget en skattefri aktieo</w:t>
      </w:r>
      <w:r>
        <w:t>m</w:t>
      </w:r>
      <w:r>
        <w:t xml:space="preserve">bytning uden tilladelse. </w:t>
      </w:r>
    </w:p>
    <w:p w:rsidR="007A35E5" w:rsidRDefault="007A35E5" w:rsidP="00D230CD">
      <w:r>
        <w:t xml:space="preserve">Vederlagsaktierne skal sammen med et evt. kontant vederlag svare til handelsværdien af de ombyttede aktier på ombytningsdagen. </w:t>
      </w:r>
      <w:r w:rsidR="000A1807">
        <w:t>Det vil sige at det erhvervende selskab i forbindelse med ak</w:t>
      </w:r>
      <w:r w:rsidR="009D45A7">
        <w:t>tieombytningen, skal vederlægge</w:t>
      </w:r>
      <w:r w:rsidR="000A1807">
        <w:t xml:space="preserve"> aktionærerne i det erhvervede selskab med værdier, der svarer til handelsværdien af de aktier, aktionærerne omby</w:t>
      </w:r>
      <w:r w:rsidR="000A1807">
        <w:t>t</w:t>
      </w:r>
      <w:r w:rsidR="000A1807">
        <w:t xml:space="preserve">ter. </w:t>
      </w:r>
      <w:r>
        <w:t>Det forhindrer dog ikke, at man kan udstede vederlagsaktierne til overkurs, og det er ej heller en regulering af hvilken værdi aktierne i det ombyttede selskab skal opt</w:t>
      </w:r>
      <w:r>
        <w:t>a</w:t>
      </w:r>
      <w:r>
        <w:t>ges til i det erhvervende selskab. Reguleringen er for, at undgå formueforskydning i mellem aktionærerne på ombytningsdagen eller at de opnår andre utilsigtede skatt</w:t>
      </w:r>
      <w:r>
        <w:t>e</w:t>
      </w:r>
      <w:r>
        <w:t>mæssige fordele. Hvis bytteforholdet i mellem aktierne ikke er til handelsværdi, kan ombytningen gøres skattepligtig. I de situationer hvor det er en ene aktionær der o</w:t>
      </w:r>
      <w:r>
        <w:t>m</w:t>
      </w:r>
      <w:r>
        <w:t>bytter til et nystiftet holdingselskab, er vederlagsaktierne pr. definition byttet til ha</w:t>
      </w:r>
      <w:r>
        <w:t>n</w:t>
      </w:r>
      <w:r>
        <w:t xml:space="preserve">delsværdi. </w:t>
      </w:r>
    </w:p>
    <w:p w:rsidR="009C3992" w:rsidRDefault="009C3992" w:rsidP="00D230CD"/>
    <w:p w:rsidR="007A35E5" w:rsidRDefault="009C3992" w:rsidP="00D230CD">
      <w:r>
        <w:t>Aktierne/anparterne i det erhvervende selskab, som aktionærerne modtager som v</w:t>
      </w:r>
      <w:r>
        <w:t>e</w:t>
      </w:r>
      <w:r>
        <w:t xml:space="preserve">derlag, anses skattemæssigt for anskaffet til sammen anskaffelsessum og på samme anskaffelsestidspunkt som de ombyttede aktier. </w:t>
      </w:r>
      <w:r w:rsidR="007A35E5">
        <w:t xml:space="preserve">Som udgangspunkt er der </w:t>
      </w:r>
      <w:r>
        <w:t xml:space="preserve">dermed </w:t>
      </w:r>
      <w:r w:rsidR="007A35E5">
        <w:t>succession i vederlagsaktierne. Der er dog undtagelser, hvis der er tale om en se</w:t>
      </w:r>
      <w:r w:rsidR="007A35E5">
        <w:t>l</w:t>
      </w:r>
      <w:r w:rsidR="007A35E5">
        <w:t>skabsaktionær, der før ombytningen både var aktionær i det erhvervede og erhve</w:t>
      </w:r>
      <w:r w:rsidR="007A35E5">
        <w:t>r</w:t>
      </w:r>
      <w:r w:rsidR="007A35E5">
        <w:t xml:space="preserve">vende selskab, og som ikke har ejet alle aktierne i mere end 3 år. Her skal alle aktierne i det modtagende selskab anses for erhvervet på ombytningstidspunktet, både dem </w:t>
      </w:r>
      <w:r>
        <w:t>selskabs</w:t>
      </w:r>
      <w:r w:rsidR="007A35E5">
        <w:t>aktionæren har modtaget som vederlag og aktier, der evt. var ejet i det mo</w:t>
      </w:r>
      <w:r w:rsidR="007A35E5">
        <w:t>d</w:t>
      </w:r>
      <w:r w:rsidR="007A35E5">
        <w:t xml:space="preserve">tagende selskab i forvejen. Det er en værnsregel mod at spekulere i skattefri salg af aktier efter 3 år. Derudover kan aktietab til fremførsel i det modtagende selskab ikke </w:t>
      </w:r>
      <w:r w:rsidR="007A35E5">
        <w:lastRenderedPageBreak/>
        <w:t>modregnes i avance ved salg af aktierne i det ombyttede selskab, men kan ellers u</w:t>
      </w:r>
      <w:r w:rsidR="007A35E5">
        <w:t>d</w:t>
      </w:r>
      <w:r w:rsidR="007A35E5">
        <w:t>nyttes som sædvanlig.</w:t>
      </w:r>
    </w:p>
    <w:p w:rsidR="009C3992" w:rsidRDefault="009C3992" w:rsidP="00D230CD">
      <w:r>
        <w:t>Aktierne i det ombyttede selskab, som det erhvervende selskab får, anses for anskaffet på ombytningstidspunktet men til den oprindelige anskaffelsessum, hvis den oprind</w:t>
      </w:r>
      <w:r>
        <w:t>e</w:t>
      </w:r>
      <w:r>
        <w:t>lige anskaffelsessum er højere end handelsværdien, ansættes de dog til handelsværd</w:t>
      </w:r>
      <w:r>
        <w:t>i</w:t>
      </w:r>
      <w:r>
        <w:t xml:space="preserve">en. </w:t>
      </w:r>
      <w:r w:rsidR="00910EE3">
        <w:t>Det er for at undgå, at der kan fremprovokeres et aktietab ved salg umiddelbart efter ombytningen.</w:t>
      </w:r>
    </w:p>
    <w:p w:rsidR="009C3992" w:rsidRDefault="009C3992" w:rsidP="00D230CD"/>
    <w:p w:rsidR="007A35E5" w:rsidRDefault="007A35E5" w:rsidP="00D230CD">
      <w:r>
        <w:t>Aktieombytningen kan dog ikke anses for skattefri, hvis der i en periode på 3 år fra ombytningstidspunktet modtages skattefrit udbytte, som overstiger det erhvervende selskabs andel af det ordinære resultat fra det indskudte til det modtagende. Det ord</w:t>
      </w:r>
      <w:r>
        <w:t>i</w:t>
      </w:r>
      <w:r>
        <w:t>nære resultat definere som resultat før skat og ekstraordinære poster, og egenkapita</w:t>
      </w:r>
      <w:r>
        <w:t>l</w:t>
      </w:r>
      <w:r>
        <w:t>bevægelser kan heller ikke udloddes. Dermed kan en skattepligtig avance ikke nedsæ</w:t>
      </w:r>
      <w:r>
        <w:t>t</w:t>
      </w:r>
      <w:r>
        <w:t>tes ved skattefrie udbytter. Udlodning fra det modtagende til aktionæren er derimod ikke begrænset.</w:t>
      </w:r>
    </w:p>
    <w:p w:rsidR="007A35E5" w:rsidRDefault="007A35E5" w:rsidP="00D230CD"/>
    <w:p w:rsidR="007A35E5" w:rsidRDefault="007A35E5" w:rsidP="00DF6853">
      <w:r>
        <w:t>Reglerne om aktieombytning uden tilladelse blev indført i 2007, og er en klar lempelse for de sager, hvor det har været svært at opfylde kravene om en forretningsmæssig begrundelse, eller hvor ansøgeren må binde sig med hensyn til den detaljerede b</w:t>
      </w:r>
      <w:r>
        <w:t>e</w:t>
      </w:r>
      <w:r>
        <w:t>grundelse for hvorfor aktieombytningen er forretningsmæssig begrundet. Hvis man på omstruktureringstidspunktet eller senere ikke opfylder kravene for en skattefri akti</w:t>
      </w:r>
      <w:r>
        <w:t>e</w:t>
      </w:r>
      <w:r>
        <w:t>ombytning, kan konsekvenserne være alvorlige. Aktieombytning med tilladelse er de</w:t>
      </w:r>
      <w:r>
        <w:t>r</w:t>
      </w:r>
      <w:r>
        <w:t>for relevant i sager, hvor det kan være svært at overskue om betingelserne overholdes. Dog kan en aktieombytning uden tilladelse suppleres med et bindende svar. Aktieo</w:t>
      </w:r>
      <w:r>
        <w:t>m</w:t>
      </w:r>
      <w:r>
        <w:t>bytning med tilladelse kan også være relevant i tilfælde, hvor de skærpede betingelser om udlodninger mv. er uhensigtsmæssige for virksomheden. Det kan f.eks. være rel</w:t>
      </w:r>
      <w:r>
        <w:t>e</w:t>
      </w:r>
      <w:r>
        <w:t xml:space="preserve">vant, hvor der er en stor driftsrisiko i driftsselskabet f.eks. en entreprenørvirksomhed, </w:t>
      </w:r>
      <w:r>
        <w:lastRenderedPageBreak/>
        <w:t>og det dermed er en minimering af risici ved at udlodde udbytte større end årets resu</w:t>
      </w:r>
      <w:r>
        <w:t>l</w:t>
      </w:r>
      <w:r>
        <w:t>tat op til moderselskabet, inden de 3 år er gået</w:t>
      </w:r>
      <w:r>
        <w:rPr>
          <w:rStyle w:val="Fodnotehenvisning"/>
        </w:rPr>
        <w:footnoteReference w:id="108"/>
      </w:r>
      <w:r>
        <w:t xml:space="preserve">. </w:t>
      </w:r>
    </w:p>
    <w:p w:rsidR="007A35E5" w:rsidRDefault="007A35E5" w:rsidP="00DF6853"/>
    <w:p w:rsidR="007A35E5" w:rsidRDefault="00B02FAE" w:rsidP="00B02FAE">
      <w:pPr>
        <w:pStyle w:val="Overskrift4"/>
      </w:pPr>
      <w:bookmarkStart w:id="135" w:name="_Toc221546233"/>
      <w:r>
        <w:t>4.</w:t>
      </w:r>
      <w:r w:rsidR="000555D8">
        <w:t>3</w:t>
      </w:r>
      <w:r>
        <w:t xml:space="preserve">.1.3 </w:t>
      </w:r>
      <w:r w:rsidR="007A35E5">
        <w:t>Skattefri aktieombytning med tilladelse</w:t>
      </w:r>
      <w:r w:rsidR="00627158">
        <w:t xml:space="preserve"> </w:t>
      </w:r>
      <w:r w:rsidR="00627158">
        <w:rPr>
          <w:b w:val="0"/>
          <w:sz w:val="22"/>
          <w:szCs w:val="22"/>
        </w:rPr>
        <w:t>(Pernille</w:t>
      </w:r>
      <w:r w:rsidR="00627158" w:rsidRPr="00E75844">
        <w:rPr>
          <w:b w:val="0"/>
          <w:sz w:val="22"/>
          <w:szCs w:val="22"/>
        </w:rPr>
        <w:t>)</w:t>
      </w:r>
      <w:bookmarkEnd w:id="135"/>
    </w:p>
    <w:p w:rsidR="00951117" w:rsidRDefault="007A35E5" w:rsidP="00FB172C">
      <w:r>
        <w:t>Hvis der søges om tilladelse skal ombytningen være forretningsmæssig begrundet. Hvis tra</w:t>
      </w:r>
      <w:r w:rsidR="00951117">
        <w:t>nsaktionen har skatte</w:t>
      </w:r>
      <w:r w:rsidR="00E046DD">
        <w:t>omgåelse</w:t>
      </w:r>
      <w:r>
        <w:t xml:space="preserve"> som et hovedformål, vil Skat afslå ansøgningen. Der gives dog tilladelse, selvom der ved ombytningen også opnås skattemæssige fordele.</w:t>
      </w:r>
      <w:r w:rsidR="00951117">
        <w:t xml:space="preserve"> Jf. nedenstående afgørelse, hvor ansøgning blev afslået.</w:t>
      </w:r>
    </w:p>
    <w:p w:rsidR="00951117" w:rsidRDefault="00951117" w:rsidP="00FB172C"/>
    <w:p w:rsidR="00951117" w:rsidRPr="00951117" w:rsidRDefault="00951117" w:rsidP="00951117">
      <w:pPr>
        <w:rPr>
          <w:i/>
          <w:sz w:val="22"/>
          <w:lang w:eastAsia="da-DK"/>
        </w:rPr>
      </w:pPr>
      <w:r>
        <w:rPr>
          <w:i/>
          <w:sz w:val="22"/>
          <w:lang w:eastAsia="da-DK"/>
        </w:rPr>
        <w:t xml:space="preserve">SKM.2005.167.ØLR: </w:t>
      </w:r>
      <w:r w:rsidRPr="00951117">
        <w:rPr>
          <w:i/>
          <w:sz w:val="22"/>
          <w:lang w:eastAsia="da-DK"/>
        </w:rPr>
        <w:t>Sagen vedrørte spørgsmålet om, hvorvidt </w:t>
      </w:r>
      <w:bookmarkStart w:id="136" w:name="hit3"/>
      <w:bookmarkEnd w:id="136"/>
      <w:r w:rsidRPr="00951117">
        <w:rPr>
          <w:i/>
          <w:sz w:val="22"/>
          <w:lang w:eastAsia="da-DK"/>
        </w:rPr>
        <w:t>tilladelse til aktieombytning var afslået med rette. Ansøgningen om aktieombytning var begrundet med 1) minimering af drift</w:t>
      </w:r>
      <w:r w:rsidRPr="00951117">
        <w:rPr>
          <w:i/>
          <w:sz w:val="22"/>
          <w:lang w:eastAsia="da-DK"/>
        </w:rPr>
        <w:t>s</w:t>
      </w:r>
      <w:r w:rsidRPr="00951117">
        <w:rPr>
          <w:i/>
          <w:sz w:val="22"/>
          <w:lang w:eastAsia="da-DK"/>
        </w:rPr>
        <w:t>risiko, 2) på sigt at forberede generationsskifte og 3) muligheden for stiftelse af yderligere da</w:t>
      </w:r>
      <w:r w:rsidRPr="00951117">
        <w:rPr>
          <w:i/>
          <w:sz w:val="22"/>
          <w:lang w:eastAsia="da-DK"/>
        </w:rPr>
        <w:t>t</w:t>
      </w:r>
      <w:r w:rsidRPr="00951117">
        <w:rPr>
          <w:i/>
          <w:sz w:val="22"/>
          <w:lang w:eastAsia="da-DK"/>
        </w:rPr>
        <w:t>terselskaber i fremtiden. Ansøgningen var uden nærmere konkretisering eller dokumentation og blev ikke udbygget under sagens behandling. Afslaget blev begrundet med, at det ud fra en samlet vurdering ikke fandtes godtgjort, at aktieombytningen ønskedes foretaget ud fra fo</w:t>
      </w:r>
      <w:r w:rsidRPr="00951117">
        <w:rPr>
          <w:i/>
          <w:sz w:val="22"/>
          <w:lang w:eastAsia="da-DK"/>
        </w:rPr>
        <w:t>r</w:t>
      </w:r>
      <w:r w:rsidRPr="00951117">
        <w:rPr>
          <w:i/>
          <w:sz w:val="22"/>
          <w:lang w:eastAsia="da-DK"/>
        </w:rPr>
        <w:t>svarlige økonomiske betragtninger. Landsretten fandt i overensstemmelse hermed ikke, at sagsøgeren havde godtgjort, at transaktionen var begrundet i de af sagsøgeren anførte fo</w:t>
      </w:r>
      <w:r w:rsidRPr="00951117">
        <w:rPr>
          <w:i/>
          <w:sz w:val="22"/>
          <w:lang w:eastAsia="da-DK"/>
        </w:rPr>
        <w:t>r</w:t>
      </w:r>
      <w:r w:rsidRPr="00951117">
        <w:rPr>
          <w:i/>
          <w:sz w:val="22"/>
          <w:lang w:eastAsia="da-DK"/>
        </w:rPr>
        <w:t>hold, og afslaget fandtes ikke at være i strid med fusionsbeskatningsdirektivet og den fortol</w:t>
      </w:r>
      <w:r w:rsidRPr="00951117">
        <w:rPr>
          <w:i/>
          <w:sz w:val="22"/>
          <w:lang w:eastAsia="da-DK"/>
        </w:rPr>
        <w:t>k</w:t>
      </w:r>
      <w:r w:rsidRPr="00951117">
        <w:rPr>
          <w:i/>
          <w:sz w:val="22"/>
          <w:lang w:eastAsia="da-DK"/>
        </w:rPr>
        <w:t>ning heraf, der fremgår af Leur-Bloem-sagen (sag C-28/95). Sagsøgerens anbringende om, at der bestod en administrativ praksis om lempelse af dokumentationskravene blev afvist, aller</w:t>
      </w:r>
      <w:r w:rsidRPr="00951117">
        <w:rPr>
          <w:i/>
          <w:sz w:val="22"/>
          <w:lang w:eastAsia="da-DK"/>
        </w:rPr>
        <w:t>e</w:t>
      </w:r>
      <w:r w:rsidRPr="00951117">
        <w:rPr>
          <w:i/>
          <w:sz w:val="22"/>
          <w:lang w:eastAsia="da-DK"/>
        </w:rPr>
        <w:t>de fordi de af sagsøgeren påberåbte administrative afgørelser alle vedrørte tiden efter Land</w:t>
      </w:r>
      <w:r w:rsidRPr="00951117">
        <w:rPr>
          <w:i/>
          <w:sz w:val="22"/>
          <w:lang w:eastAsia="da-DK"/>
        </w:rPr>
        <w:t>s</w:t>
      </w:r>
      <w:r w:rsidRPr="00951117">
        <w:rPr>
          <w:i/>
          <w:sz w:val="22"/>
          <w:lang w:eastAsia="da-DK"/>
        </w:rPr>
        <w:t>skatterettens afgørelse i den konkrete sag. Officialmaksimen fandtes endvidere ikke tilsidesat.</w:t>
      </w:r>
    </w:p>
    <w:p w:rsidR="00951117" w:rsidRDefault="00951117" w:rsidP="00FB172C"/>
    <w:p w:rsidR="00951117" w:rsidRDefault="007A35E5" w:rsidP="00FB172C">
      <w:r>
        <w:t xml:space="preserve"> Tilladelse kan gives med særlige anmeldelsesvilkår, hvor det har været fast praksis at have anmeldelsesvilkår i 3 år efter ombytningen. Skat kan tilbagekalde tilladelsen, ved en anmeldelse af efterfølgende påtænkte dispositioner, der væsentlig ændrer de vilkår tilladelsen var givet på baggrund af. </w:t>
      </w:r>
    </w:p>
    <w:p w:rsidR="007A35E5" w:rsidRDefault="007A35E5" w:rsidP="00FB172C">
      <w:r>
        <w:lastRenderedPageBreak/>
        <w:t xml:space="preserve">Ifølge anmeldelsesvejledningen lægges der vægt på om ændringen stemmer overens med det oprindelige angivne formål med ombytningen, samt hvad bevæggrundene for ændringen er og de skattemæssige konsekvenser heraf. </w:t>
      </w:r>
      <w:r w:rsidR="00951117">
        <w:t>Se nedenstående afgørelse hvor en tilladelse blev tilbagekaldt, da virksomhedens konkurs ikke var anmeldt, og hvor ejeren ved aktieombytning undgik at blive personligt beskattet af den negative anskaffelsessum, der var på aktierne i det konkursramte selskab.</w:t>
      </w:r>
    </w:p>
    <w:p w:rsidR="00951117" w:rsidRDefault="00951117" w:rsidP="00FB172C"/>
    <w:p w:rsidR="00951117" w:rsidRPr="00951117" w:rsidRDefault="00951117" w:rsidP="00951117">
      <w:pPr>
        <w:rPr>
          <w:i/>
          <w:sz w:val="22"/>
          <w:lang w:eastAsia="da-DK"/>
        </w:rPr>
      </w:pPr>
      <w:r>
        <w:rPr>
          <w:i/>
          <w:sz w:val="22"/>
          <w:lang w:eastAsia="da-DK"/>
        </w:rPr>
        <w:t xml:space="preserve">SKM.2005.45.LSR: </w:t>
      </w:r>
      <w:r w:rsidRPr="00951117">
        <w:rPr>
          <w:i/>
          <w:sz w:val="22"/>
          <w:lang w:eastAsia="da-DK"/>
        </w:rPr>
        <w:t>Landsskatteretten tiltrådte, at en </w:t>
      </w:r>
      <w:bookmarkStart w:id="137" w:name="hit2"/>
      <w:bookmarkEnd w:id="137"/>
      <w:r w:rsidRPr="00951117">
        <w:rPr>
          <w:i/>
          <w:sz w:val="22"/>
          <w:lang w:eastAsia="da-DK"/>
        </w:rPr>
        <w:t>tilladelse til skattefri anpartsombytning blev tilbagekaldt. Tilladelsen var givet med anmeldelsesforbehold. Selskabets konkurs og nyt regnskab, der afveg væsentligt fra halvårsregnskabet, måtte anses for sådanne forhold, der skulle anmeldes. Den manglende anmeldelse heraf måtte anses at medføre tilladelsens tilb</w:t>
      </w:r>
      <w:r w:rsidRPr="00951117">
        <w:rPr>
          <w:i/>
          <w:sz w:val="22"/>
          <w:lang w:eastAsia="da-DK"/>
        </w:rPr>
        <w:t>a</w:t>
      </w:r>
      <w:r w:rsidRPr="00951117">
        <w:rPr>
          <w:i/>
          <w:sz w:val="22"/>
          <w:lang w:eastAsia="da-DK"/>
        </w:rPr>
        <w:t>gekaldelse.</w:t>
      </w:r>
    </w:p>
    <w:p w:rsidR="00951117" w:rsidRDefault="00951117" w:rsidP="00FB172C"/>
    <w:p w:rsidR="007A35E5" w:rsidRDefault="007A35E5" w:rsidP="00DF6853">
      <w:r>
        <w:t>Ved skattefri aktieombytning med tilladelse anses de aktier, som ombyttes, ikke for afstået. I stedet anses de modtagende aktier for anskaffet på samme tidspunkt og til samme anskaffelsessum som de ombyttede. Hvis der modtages andet vederlag, anses dette for afståelse til tredjemand, og der skal foretages en avanceopgørelse</w:t>
      </w:r>
      <w:r>
        <w:rPr>
          <w:rStyle w:val="Fodnotehenvisning"/>
        </w:rPr>
        <w:footnoteReference w:id="109"/>
      </w:r>
      <w:r>
        <w:t xml:space="preserve">. </w:t>
      </w:r>
    </w:p>
    <w:p w:rsidR="007A35E5" w:rsidRDefault="007A35E5" w:rsidP="00DF6853"/>
    <w:p w:rsidR="007A35E5" w:rsidRPr="00D75A46" w:rsidRDefault="00D75A46" w:rsidP="00D75A46">
      <w:pPr>
        <w:pStyle w:val="Overskrift3"/>
      </w:pPr>
      <w:bookmarkStart w:id="138" w:name="_Toc221546234"/>
      <w:r w:rsidRPr="00D75A46">
        <w:t>4.</w:t>
      </w:r>
      <w:r w:rsidR="000555D8">
        <w:t>3</w:t>
      </w:r>
      <w:r w:rsidRPr="00D75A46">
        <w:t xml:space="preserve">.2 </w:t>
      </w:r>
      <w:r w:rsidR="007A35E5" w:rsidRPr="00D75A46">
        <w:t>Skattefri tilførsel af aktiver</w:t>
      </w:r>
      <w:r w:rsidR="00627158">
        <w:t xml:space="preserve"> </w:t>
      </w:r>
      <w:r w:rsidR="00627158">
        <w:rPr>
          <w:b w:val="0"/>
          <w:sz w:val="22"/>
          <w:szCs w:val="22"/>
        </w:rPr>
        <w:t>(Pernille</w:t>
      </w:r>
      <w:r w:rsidR="00627158" w:rsidRPr="00E75844">
        <w:rPr>
          <w:b w:val="0"/>
          <w:sz w:val="22"/>
          <w:szCs w:val="22"/>
        </w:rPr>
        <w:t>)</w:t>
      </w:r>
      <w:bookmarkEnd w:id="138"/>
    </w:p>
    <w:p w:rsidR="007A35E5" w:rsidRDefault="007A35E5" w:rsidP="00C55F57">
      <w:r>
        <w:t xml:space="preserve">Ved tilførsel af aktiver forstås den transaktion, hvorved et selskab uden at være opløst tilfører en samlet organisatorisk enhed til et andet selskab, og som vederlag modtager aktier/anparter i det andet selskab. </w:t>
      </w:r>
    </w:p>
    <w:p w:rsidR="007A35E5" w:rsidRDefault="007A35E5" w:rsidP="00C55F57"/>
    <w:p w:rsidR="007A35E5" w:rsidRPr="00C55F57" w:rsidRDefault="00D75A46" w:rsidP="009E7B56">
      <w:pPr>
        <w:pStyle w:val="Overskrift4"/>
      </w:pPr>
      <w:bookmarkStart w:id="139" w:name="_Toc221546235"/>
      <w:r>
        <w:t>4.</w:t>
      </w:r>
      <w:r w:rsidR="000555D8">
        <w:t>3</w:t>
      </w:r>
      <w:r>
        <w:t xml:space="preserve">.2.1 </w:t>
      </w:r>
      <w:r w:rsidR="001E379B">
        <w:t xml:space="preserve">Skattefri tilførsel af aktiver, betingelser og konsekvenser </w:t>
      </w:r>
      <w:r w:rsidR="00627158">
        <w:rPr>
          <w:b w:val="0"/>
          <w:sz w:val="22"/>
          <w:szCs w:val="22"/>
        </w:rPr>
        <w:t>(Pernille</w:t>
      </w:r>
      <w:r w:rsidR="00627158" w:rsidRPr="00E75844">
        <w:rPr>
          <w:b w:val="0"/>
          <w:sz w:val="22"/>
          <w:szCs w:val="22"/>
        </w:rPr>
        <w:t>)</w:t>
      </w:r>
      <w:bookmarkEnd w:id="139"/>
    </w:p>
    <w:p w:rsidR="007A35E5" w:rsidRDefault="007A35E5" w:rsidP="00C55F57">
      <w:r>
        <w:t>Den organisatoriske enhed der tilføres, skal udgøre en selvstændig bedrift, der kan fungere ved hjælp af egne midler.</w:t>
      </w:r>
      <w:r w:rsidR="000E6502">
        <w:t xml:space="preserve"> Se nedenstående</w:t>
      </w:r>
      <w:r w:rsidR="009B36C0">
        <w:t xml:space="preserve"> afgørelse, hvor ligningsrådet ikke </w:t>
      </w:r>
      <w:r w:rsidR="009B36C0">
        <w:lastRenderedPageBreak/>
        <w:t>anse tilførslen for en gren</w:t>
      </w:r>
      <w:r w:rsidR="000A1807">
        <w:t xml:space="preserve"> af en virksomhed med </w:t>
      </w:r>
      <w:r w:rsidR="00910EE3">
        <w:t>mindre, at</w:t>
      </w:r>
      <w:r w:rsidR="009B36C0">
        <w:t xml:space="preserve"> medarbejderne beskæft</w:t>
      </w:r>
      <w:r w:rsidR="009B36C0">
        <w:t>i</w:t>
      </w:r>
      <w:r w:rsidR="009B36C0">
        <w:t>get i virksomheden fulgte med i tilførslen.</w:t>
      </w:r>
    </w:p>
    <w:p w:rsidR="007A35E5" w:rsidRPr="000E6502" w:rsidRDefault="007A35E5" w:rsidP="000E6502">
      <w:pPr>
        <w:rPr>
          <w:rFonts w:asciiTheme="minorHAnsi" w:hAnsiTheme="minorHAnsi"/>
          <w:i/>
          <w:sz w:val="22"/>
        </w:rPr>
      </w:pPr>
    </w:p>
    <w:p w:rsidR="000E6502" w:rsidRPr="000E6502" w:rsidRDefault="000E6502" w:rsidP="000E6502">
      <w:pPr>
        <w:rPr>
          <w:i/>
          <w:sz w:val="22"/>
          <w:lang w:eastAsia="da-DK"/>
        </w:rPr>
      </w:pPr>
      <w:r w:rsidRPr="009B36C0">
        <w:rPr>
          <w:i/>
          <w:sz w:val="22"/>
        </w:rPr>
        <w:t>SKM2001.77.LR</w:t>
      </w:r>
      <w:r w:rsidR="009B36C0">
        <w:rPr>
          <w:i/>
          <w:sz w:val="22"/>
          <w:lang w:eastAsia="da-DK"/>
        </w:rPr>
        <w:t xml:space="preserve">: </w:t>
      </w:r>
      <w:r w:rsidRPr="000E6502">
        <w:rPr>
          <w:i/>
          <w:sz w:val="22"/>
          <w:lang w:eastAsia="da-DK"/>
        </w:rPr>
        <w:t>Driften i et selskab skulle tilføres et nystiftet datterselskab, således at det in</w:t>
      </w:r>
      <w:r w:rsidRPr="000E6502">
        <w:rPr>
          <w:i/>
          <w:sz w:val="22"/>
          <w:lang w:eastAsia="da-DK"/>
        </w:rPr>
        <w:t>d</w:t>
      </w:r>
      <w:r w:rsidRPr="000E6502">
        <w:rPr>
          <w:i/>
          <w:sz w:val="22"/>
          <w:lang w:eastAsia="da-DK"/>
        </w:rPr>
        <w:t>skydende selskab efter tilførslen skulle være et holdingselskab. I forbindelse med en ansøgning om </w:t>
      </w:r>
      <w:bookmarkStart w:id="140" w:name="hit4"/>
      <w:bookmarkEnd w:id="140"/>
      <w:r w:rsidRPr="000E6502">
        <w:rPr>
          <w:i/>
          <w:sz w:val="22"/>
          <w:lang w:eastAsia="da-DK"/>
        </w:rPr>
        <w:t>skattefri </w:t>
      </w:r>
      <w:bookmarkStart w:id="141" w:name="hit5"/>
      <w:bookmarkEnd w:id="141"/>
      <w:r w:rsidRPr="000E6502">
        <w:rPr>
          <w:i/>
          <w:sz w:val="22"/>
          <w:lang w:eastAsia="da-DK"/>
        </w:rPr>
        <w:t>tilførsel af </w:t>
      </w:r>
      <w:bookmarkStart w:id="142" w:name="hit6"/>
      <w:bookmarkEnd w:id="142"/>
      <w:r w:rsidRPr="000E6502">
        <w:rPr>
          <w:i/>
          <w:sz w:val="22"/>
          <w:lang w:eastAsia="da-DK"/>
        </w:rPr>
        <w:t>aktiver blev der søgt om tilladelse til at lade medarbejdere, der var b</w:t>
      </w:r>
      <w:r w:rsidRPr="000E6502">
        <w:rPr>
          <w:i/>
          <w:sz w:val="22"/>
          <w:lang w:eastAsia="da-DK"/>
        </w:rPr>
        <w:t>e</w:t>
      </w:r>
      <w:r w:rsidRPr="000E6502">
        <w:rPr>
          <w:i/>
          <w:sz w:val="22"/>
          <w:lang w:eastAsia="da-DK"/>
        </w:rPr>
        <w:t>skæftigede i driften, forblive i det indskydende selskab efter tilførslen. Alternativt blev der søgt om tilladelse til at lade medarbejderne indgå i tilførslen. Ligningsrådet fandt, at det ville stride mod grendefinitionen at tillade, at lade medarbejderne forblive i det indskydende selskab.</w:t>
      </w:r>
    </w:p>
    <w:p w:rsidR="000E6502" w:rsidRPr="000E6502" w:rsidRDefault="000E6502" w:rsidP="000E6502">
      <w:pPr>
        <w:rPr>
          <w:i/>
          <w:sz w:val="22"/>
        </w:rPr>
      </w:pPr>
    </w:p>
    <w:p w:rsidR="007A35E5" w:rsidRDefault="007A35E5" w:rsidP="00C55F57">
      <w:r>
        <w:t>Det modtagende selskab erhverver aktiverne og passiverne med succession.</w:t>
      </w:r>
    </w:p>
    <w:p w:rsidR="007A35E5" w:rsidRDefault="007A35E5" w:rsidP="00FD51C3">
      <w:r>
        <w:t>Vederlaget skal være aktier i det modtagende selskab, og kan dermed ikke udgøre et delvis kontant vederlag, herunder gælder også efterfølgende udlodninger af udbytte, som kan gøre tilførslen skattepligtig. Det indskydende selskabs anskaffelsessum af v</w:t>
      </w:r>
      <w:r>
        <w:t>e</w:t>
      </w:r>
      <w:r>
        <w:t>derlagsaktierne i det modtagende selskab, svarer til den skattemæssige værdi af de indskudte aktiver og passiver, og de anses for anskaffet på tilførselstidspunktet. A</w:t>
      </w:r>
      <w:r>
        <w:t>n</w:t>
      </w:r>
      <w:r>
        <w:t>skaffelsessummen skal oplyses i forbindelse med indsendelse af det indskydende se</w:t>
      </w:r>
      <w:r>
        <w:t>l</w:t>
      </w:r>
      <w:r>
        <w:t xml:space="preserve">skabs selvangivelse. </w:t>
      </w:r>
    </w:p>
    <w:p w:rsidR="007A35E5" w:rsidRDefault="007A35E5" w:rsidP="00FD51C3">
      <w:r>
        <w:t>Ved den skattefrie tilførsel af aktiver undgår det indskydende selskab realisationsb</w:t>
      </w:r>
      <w:r>
        <w:t>e</w:t>
      </w:r>
      <w:r>
        <w:t>skatning af de tilførte aktiver, dog kun hvis de indgår i et dansk beskatningsgrundlag. Det er for at sikre at Danmark ikke mister beskatningsretten på et senere tidspunkt. I sammenhæng hermed kan det modtagne selskab ikke succedere i sådanne aktiver, der ikke har et dansk beskatningsgrundlag. Aktiver hvor der ikke er et dansk beskatning</w:t>
      </w:r>
      <w:r>
        <w:t>s</w:t>
      </w:r>
      <w:r>
        <w:t>grundlag anses for at være tilført til handelsværdien på tilførselsdagen og skattemæ</w:t>
      </w:r>
      <w:r>
        <w:t>s</w:t>
      </w:r>
      <w:r>
        <w:t xml:space="preserve">sigt får samme virkning som ved almindeligt salg. </w:t>
      </w:r>
    </w:p>
    <w:p w:rsidR="007A35E5" w:rsidRDefault="007A35E5" w:rsidP="00FD51C3">
      <w:r>
        <w:t>Ved skattefri tilførsel sker der underskudsbegrænsninger i det modtagende selskab, der ikke kan fremføre tidligere års underskud samt andre fradragsberettigede tab</w:t>
      </w:r>
      <w:r>
        <w:rPr>
          <w:rStyle w:val="Fodnotehenvisning"/>
        </w:rPr>
        <w:footnoteReference w:id="110"/>
      </w:r>
      <w:r>
        <w:t xml:space="preserve">. </w:t>
      </w:r>
    </w:p>
    <w:p w:rsidR="007A35E5" w:rsidRPr="002A77EA" w:rsidRDefault="00D75A46" w:rsidP="00D75A46">
      <w:pPr>
        <w:pStyle w:val="Overskrift4"/>
      </w:pPr>
      <w:bookmarkStart w:id="143" w:name="_Toc221546236"/>
      <w:r>
        <w:lastRenderedPageBreak/>
        <w:t>4.</w:t>
      </w:r>
      <w:r w:rsidR="000555D8">
        <w:t>3</w:t>
      </w:r>
      <w:r>
        <w:t xml:space="preserve">.2.2 </w:t>
      </w:r>
      <w:r w:rsidR="007A35E5">
        <w:t>Skattefri tilførsel uden tilladelse</w:t>
      </w:r>
      <w:r w:rsidR="00627158">
        <w:t xml:space="preserve"> </w:t>
      </w:r>
      <w:r w:rsidR="00627158">
        <w:rPr>
          <w:b w:val="0"/>
          <w:sz w:val="22"/>
          <w:szCs w:val="22"/>
        </w:rPr>
        <w:t>(Pernille</w:t>
      </w:r>
      <w:r w:rsidR="00627158" w:rsidRPr="00E75844">
        <w:rPr>
          <w:b w:val="0"/>
          <w:sz w:val="22"/>
          <w:szCs w:val="22"/>
        </w:rPr>
        <w:t>)</w:t>
      </w:r>
      <w:bookmarkEnd w:id="143"/>
    </w:p>
    <w:p w:rsidR="007A35E5" w:rsidRDefault="007A35E5" w:rsidP="002A77EA">
      <w:r>
        <w:t>Hvis der gennemføres en skattefri tilførsel af aktiver uden tilladelse er der de samme begrænsninger, som ved skattefri aktieombytning uden tilladelse vedrørende udbytte samt fremførsel af aktietab.</w:t>
      </w:r>
    </w:p>
    <w:p w:rsidR="007A35E5" w:rsidRDefault="007A35E5" w:rsidP="002A77EA">
      <w:r>
        <w:t>Hvis det indskydende selskab i forvejen ejer aktier i det modtagende selskab, får de samme anskaffelsestidspunkt dvs. tilførselstidspunkt. Derved undgår man at der sp</w:t>
      </w:r>
      <w:r>
        <w:t>e</w:t>
      </w:r>
      <w:r>
        <w:t>kuleres i at fastsætte ombytningsforholdet således, at der overføres værdier på de gamle aktier i det modtagne selskab, der kan sælges skattefrit tidligere. I tilførsel med tilladelse undgår man denne problemstilling ved fastsættelse af ejertidsvilkår i 3 år. Meddelelse om tilførslen skal ske ved indgivelse af selvangivelse for det modtagende selskab</w:t>
      </w:r>
      <w:r>
        <w:rPr>
          <w:rStyle w:val="Fodnotehenvisning"/>
        </w:rPr>
        <w:footnoteReference w:id="111"/>
      </w:r>
      <w:r>
        <w:t>.</w:t>
      </w:r>
    </w:p>
    <w:p w:rsidR="007A35E5" w:rsidRDefault="007A35E5" w:rsidP="002A77EA">
      <w:r>
        <w:t>Selvom man vælger en skattefri tilførsel uden tilladelse efter de nye regler fra 2007, er det stadigt fornuftigt at få bindende svar på grenkravet, da grenafgrænsningen tidlig</w:t>
      </w:r>
      <w:r>
        <w:t>e</w:t>
      </w:r>
      <w:r>
        <w:t xml:space="preserve">re har medfødt en del tvivl. </w:t>
      </w:r>
    </w:p>
    <w:p w:rsidR="007A35E5" w:rsidRDefault="007A35E5" w:rsidP="002A77EA"/>
    <w:p w:rsidR="007A35E5" w:rsidRDefault="009872D1" w:rsidP="00D75A46">
      <w:pPr>
        <w:pStyle w:val="Overskrift4"/>
      </w:pPr>
      <w:bookmarkStart w:id="144" w:name="_Toc221546237"/>
      <w:r>
        <w:t>4.</w:t>
      </w:r>
      <w:r w:rsidR="000555D8">
        <w:t>3</w:t>
      </w:r>
      <w:r w:rsidR="00D75A46">
        <w:t xml:space="preserve">.2.3 </w:t>
      </w:r>
      <w:r w:rsidR="007A35E5">
        <w:t>Skattefri tilførsel med tilladelse</w:t>
      </w:r>
      <w:r w:rsidR="00627158">
        <w:t xml:space="preserve"> </w:t>
      </w:r>
      <w:r w:rsidR="00627158">
        <w:rPr>
          <w:b w:val="0"/>
          <w:sz w:val="22"/>
          <w:szCs w:val="22"/>
        </w:rPr>
        <w:t>(Pernille</w:t>
      </w:r>
      <w:r w:rsidR="00627158" w:rsidRPr="00E75844">
        <w:rPr>
          <w:b w:val="0"/>
          <w:sz w:val="22"/>
          <w:szCs w:val="22"/>
        </w:rPr>
        <w:t>)</w:t>
      </w:r>
      <w:bookmarkEnd w:id="144"/>
    </w:p>
    <w:p w:rsidR="007A35E5" w:rsidRDefault="007A35E5" w:rsidP="00DF6853">
      <w:r>
        <w:t>Hvis man vælger skattefri tilførsel med tilladelse anses vederlagsaktierne også for at være anskaffet på vedtagelsestidspunktet. Der er dog en forskel, hvis det indskydende selskab i forvejen ejer aktier i det modtagende. Her beholder man det oprindelige a</w:t>
      </w:r>
      <w:r>
        <w:t>n</w:t>
      </w:r>
      <w:r>
        <w:t>skaffelsestidspunkt, der fastsættes dog typisk ejertidsvilkår i 3 år ved tilladelsen, så man i praksis får samme resultat. Hvis man har et selskab, der er hjemmehørende i udlandet, men har fast driftssted i Danmark, skal der søges om tilladelse.</w:t>
      </w:r>
      <w:r>
        <w:rPr>
          <w:rStyle w:val="Fodnotehenvisning"/>
        </w:rPr>
        <w:footnoteReference w:id="112"/>
      </w:r>
    </w:p>
    <w:p w:rsidR="007A35E5" w:rsidRPr="00DF6853" w:rsidRDefault="007A35E5" w:rsidP="00DF6853"/>
    <w:p w:rsidR="007A35E5" w:rsidRDefault="00D75A46" w:rsidP="00D75A46">
      <w:pPr>
        <w:pStyle w:val="Overskrift3"/>
      </w:pPr>
      <w:bookmarkStart w:id="145" w:name="_Toc221546238"/>
      <w:r>
        <w:lastRenderedPageBreak/>
        <w:t>4.</w:t>
      </w:r>
      <w:r w:rsidR="000555D8">
        <w:t>3</w:t>
      </w:r>
      <w:r>
        <w:t xml:space="preserve">.3 </w:t>
      </w:r>
      <w:r w:rsidR="007A35E5" w:rsidRPr="0051262F">
        <w:t>Fusion og spaltning</w:t>
      </w:r>
      <w:r w:rsidR="00627158">
        <w:t xml:space="preserve"> </w:t>
      </w:r>
      <w:r w:rsidR="00627158" w:rsidRPr="005E2C30">
        <w:rPr>
          <w:rFonts w:asciiTheme="minorHAnsi" w:hAnsiTheme="minorHAnsi"/>
          <w:b w:val="0"/>
          <w:sz w:val="22"/>
          <w:szCs w:val="22"/>
        </w:rPr>
        <w:t>(Jane)</w:t>
      </w:r>
      <w:bookmarkEnd w:id="145"/>
    </w:p>
    <w:p w:rsidR="007A35E5" w:rsidRDefault="007A35E5" w:rsidP="00DF6853">
      <w:r>
        <w:t>Reglerne om fusion og spaltning minder i høj grad om hinanden, blot med modsat fo</w:t>
      </w:r>
      <w:r>
        <w:t>r</w:t>
      </w:r>
      <w:r>
        <w:t>tegn. Hovedreglerne findes i kapitel 1 i FUSL, hvortil der ligeledes henvises når der skal gennemføres en spaltning af et selskab</w:t>
      </w:r>
      <w:r w:rsidR="00410650">
        <w:t xml:space="preserve">, ellers findes reglerne om spaltning af selskaber i FUSL kapitel </w:t>
      </w:r>
      <w:r w:rsidR="00A114BC">
        <w:t>4</w:t>
      </w:r>
      <w:r>
        <w:t>.</w:t>
      </w:r>
    </w:p>
    <w:p w:rsidR="007A35E5" w:rsidRPr="00DF6853" w:rsidRDefault="007A35E5" w:rsidP="00DF6853"/>
    <w:p w:rsidR="007A35E5" w:rsidRPr="0051262F" w:rsidRDefault="009872D1" w:rsidP="00D75A46">
      <w:pPr>
        <w:pStyle w:val="Overskrift4"/>
      </w:pPr>
      <w:bookmarkStart w:id="146" w:name="_Toc221546239"/>
      <w:r>
        <w:t>4.</w:t>
      </w:r>
      <w:r w:rsidR="000555D8">
        <w:t>3</w:t>
      </w:r>
      <w:r w:rsidR="00D75A46">
        <w:t xml:space="preserve">.3.1 </w:t>
      </w:r>
      <w:r w:rsidR="007A35E5">
        <w:t>F</w:t>
      </w:r>
      <w:r w:rsidR="007A35E5" w:rsidRPr="0051262F">
        <w:t>usion</w:t>
      </w:r>
      <w:r w:rsidR="007A35E5">
        <w:t>sbegrebet</w:t>
      </w:r>
      <w:r w:rsidR="00627158">
        <w:t xml:space="preserve"> </w:t>
      </w:r>
      <w:r w:rsidR="00627158">
        <w:rPr>
          <w:b w:val="0"/>
          <w:sz w:val="22"/>
          <w:szCs w:val="22"/>
        </w:rPr>
        <w:t>(Jane</w:t>
      </w:r>
      <w:r w:rsidR="00627158" w:rsidRPr="00E75844">
        <w:rPr>
          <w:b w:val="0"/>
          <w:sz w:val="22"/>
          <w:szCs w:val="22"/>
        </w:rPr>
        <w:t>)</w:t>
      </w:r>
      <w:bookmarkEnd w:id="146"/>
    </w:p>
    <w:p w:rsidR="007A35E5" w:rsidRDefault="007A35E5" w:rsidP="00676A46">
      <w:r>
        <w:t>Der foreligger en fusion i skattemæssig forstand når et selskab (det tilførende selskab) overdrager sin formue som helhed til et andet selskab eller sammenlægges med et andet selskab. Det modtagende selskab kan enten eksistere forud for fusionen eller opstå i forbindelse med fusionen</w:t>
      </w:r>
      <w:r>
        <w:rPr>
          <w:rStyle w:val="Fodnotehenvisning"/>
        </w:rPr>
        <w:footnoteReference w:id="113"/>
      </w:r>
      <w:r>
        <w:t xml:space="preserve">. </w:t>
      </w:r>
    </w:p>
    <w:p w:rsidR="007A35E5" w:rsidRDefault="007A35E5" w:rsidP="00676A46"/>
    <w:p w:rsidR="007A35E5" w:rsidRDefault="007A35E5" w:rsidP="00676A46">
      <w:r>
        <w:t>En fusion kan gennemføres ved at et selskab ophører uden likvidation ved at overdrage samtlige aktiver og passiver som helhed til et andet selskab – dette kaldes for en uegentlig fusion.</w:t>
      </w:r>
    </w:p>
    <w:p w:rsidR="007A35E5" w:rsidRDefault="007A35E5" w:rsidP="00676A46">
      <w:r>
        <w:t>En fusion kan også gennemføres ved at to selskaber sammensmeltes til et nyt selskab, hvorved de to oprindelige selskaber ophører – dette kaldes for en egentlig fusion.</w:t>
      </w:r>
    </w:p>
    <w:p w:rsidR="007A35E5" w:rsidRDefault="007A35E5" w:rsidP="00676A46"/>
    <w:p w:rsidR="007A35E5" w:rsidRDefault="007A35E5" w:rsidP="00676A46">
      <w:r>
        <w:t>Det ophørende selskab er defineret som værende det selskab, der indskydes ved fus</w:t>
      </w:r>
      <w:r>
        <w:t>i</w:t>
      </w:r>
      <w:r>
        <w:t>onen, mens det fortsættende selskab er defineret som det selskab, der er det modt</w:t>
      </w:r>
      <w:r>
        <w:t>a</w:t>
      </w:r>
      <w:r>
        <w:t>gende selskab.</w:t>
      </w:r>
    </w:p>
    <w:p w:rsidR="007A35E5" w:rsidRDefault="007A35E5" w:rsidP="00676A46"/>
    <w:p w:rsidR="007A35E5" w:rsidRDefault="007A35E5" w:rsidP="00676A46">
      <w:r>
        <w:t>Fusionen kan gennemføres enten skattepligtigt eller som en skattefri fusion.</w:t>
      </w:r>
    </w:p>
    <w:p w:rsidR="007A35E5" w:rsidRDefault="007A35E5" w:rsidP="00676A46"/>
    <w:p w:rsidR="007A35E5" w:rsidRPr="0051262F" w:rsidRDefault="00D75A46" w:rsidP="00D75A46">
      <w:pPr>
        <w:pStyle w:val="Overskrift4"/>
      </w:pPr>
      <w:bookmarkStart w:id="147" w:name="_Toc221546240"/>
      <w:r>
        <w:lastRenderedPageBreak/>
        <w:t>4.</w:t>
      </w:r>
      <w:r w:rsidR="000555D8">
        <w:t>3</w:t>
      </w:r>
      <w:r>
        <w:t xml:space="preserve">.3.2 </w:t>
      </w:r>
      <w:r w:rsidR="007A35E5" w:rsidRPr="0051262F">
        <w:t>Skattepligtig fusion</w:t>
      </w:r>
      <w:r w:rsidR="00627158">
        <w:t xml:space="preserve"> </w:t>
      </w:r>
      <w:r w:rsidR="00627158">
        <w:rPr>
          <w:b w:val="0"/>
          <w:sz w:val="22"/>
          <w:szCs w:val="22"/>
        </w:rPr>
        <w:t>(Jane</w:t>
      </w:r>
      <w:r w:rsidR="00627158" w:rsidRPr="00E75844">
        <w:rPr>
          <w:b w:val="0"/>
          <w:sz w:val="22"/>
          <w:szCs w:val="22"/>
        </w:rPr>
        <w:t>)</w:t>
      </w:r>
      <w:bookmarkEnd w:id="147"/>
    </w:p>
    <w:p w:rsidR="007A35E5" w:rsidRDefault="007A35E5" w:rsidP="00676A46">
      <w:r>
        <w:t>Ved en skattepligtig fusion overdrages en del af eller alle af et selskabs aktiver og pa</w:t>
      </w:r>
      <w:r>
        <w:t>s</w:t>
      </w:r>
      <w:r>
        <w:t>siver til et andet selskab og denne transaktion medfører almindelig realisationsbeska</w:t>
      </w:r>
      <w:r>
        <w:t>t</w:t>
      </w:r>
      <w:r>
        <w:t>ning i det overdragende selskab. Realisationsbeskatningen opgøres efter de almindel</w:t>
      </w:r>
      <w:r>
        <w:t>i</w:t>
      </w:r>
      <w:r>
        <w:t>ge regler gældende for de enkelte aktiver og passiver, der overdrages. Det ophørende selskab likvidationsbeskattes efter SEL § 5. Såfremt der måtte være fremførbare u</w:t>
      </w:r>
      <w:r>
        <w:t>n</w:t>
      </w:r>
      <w:r>
        <w:t>derskud i det indskydende selskab kan disse ikke overføres til det modtagende selskab. En skattepligtig fusion anses som udgangspunkt at have skattemæssig virkning fra det tidspunkt, hvor fusionen er endeligt vedtaget i alle de deltagende selskaber</w:t>
      </w:r>
      <w:r>
        <w:rPr>
          <w:rStyle w:val="Fodnotehenvisning"/>
        </w:rPr>
        <w:footnoteReference w:id="114"/>
      </w:r>
      <w:r>
        <w:t>, hvilket er i overensstemmelse med det grundlæggende princip i skatteretten om, at de skatt</w:t>
      </w:r>
      <w:r>
        <w:t>e</w:t>
      </w:r>
      <w:r>
        <w:t>retlige konsekvenser ved overdragelse af et aktiv indtræder på tidspunktet for indgåe</w:t>
      </w:r>
      <w:r>
        <w:t>l</w:t>
      </w:r>
      <w:r>
        <w:t xml:space="preserve">se af en bindende aftale. </w:t>
      </w:r>
    </w:p>
    <w:p w:rsidR="007A35E5" w:rsidRDefault="007A35E5" w:rsidP="00676A46"/>
    <w:p w:rsidR="002F512B" w:rsidRDefault="007A35E5" w:rsidP="00676A46">
      <w:r>
        <w:t xml:space="preserve">Da det er muligt selskabsretligt at gennemføre en fusion med tilbagevirkende kraft, er det bestemt i SEL § 8A, </w:t>
      </w:r>
      <w:r w:rsidR="00910EE3">
        <w:t>stk.</w:t>
      </w:r>
      <w:r>
        <w:t xml:space="preserve"> 2 at dette også accepteres skatteretligt. Det er muligt i de tilfælde hvor åbningsbalancen for det modtagende selskab er sammenfaldende med det modtagende selskabs regnskabsår</w:t>
      </w:r>
      <w:r>
        <w:rPr>
          <w:rStyle w:val="Fodnotehenvisning"/>
        </w:rPr>
        <w:footnoteReference w:id="115"/>
      </w:r>
      <w:r>
        <w:t xml:space="preserve">. Vedtages en </w:t>
      </w:r>
      <w:r w:rsidR="00D6637B">
        <w:t xml:space="preserve">skattepligtig </w:t>
      </w:r>
      <w:r>
        <w:t>fusion med tilbag</w:t>
      </w:r>
      <w:r>
        <w:t>e</w:t>
      </w:r>
      <w:r>
        <w:t>virkende kraft og er det besluttet at fusionen ligeledes skal have skattemæssig virknin</w:t>
      </w:r>
      <w:r w:rsidR="002F512B">
        <w:t xml:space="preserve">g med </w:t>
      </w:r>
      <w:r w:rsidR="002F512B" w:rsidRPr="00D6637B">
        <w:t>tilbagevirkende kraft, skal</w:t>
      </w:r>
      <w:r w:rsidRPr="00D6637B">
        <w:t xml:space="preserve"> der indsendes relevante selskabsretlige dokumenter og dokumentation for vedtagelse af fusionen i de deltagende selskaber til den lokale told- og skatteforvaltning inden en måned efter</w:t>
      </w:r>
      <w:r w:rsidR="002F512B" w:rsidRPr="00D6637B">
        <w:t>.</w:t>
      </w:r>
    </w:p>
    <w:p w:rsidR="007A35E5" w:rsidRDefault="007A35E5" w:rsidP="00676A46">
      <w:r>
        <w:t xml:space="preserve"> </w:t>
      </w:r>
    </w:p>
    <w:p w:rsidR="007A35E5" w:rsidRDefault="007A35E5" w:rsidP="00676A46">
      <w:r>
        <w:t>Det modtagende selskab anses for at have erhvervet aktiverne og passiverne på vedt</w:t>
      </w:r>
      <w:r>
        <w:t>a</w:t>
      </w:r>
      <w:r>
        <w:t>gelsesdatoen og anskaffelsessummen udgør det faktiske ydede vederlag. Der sker ikke succession i hverken anskaffelsestidspunkt, kostpris og hensigt. Der er tale om ”nye” anskaffelsessummer for det modtagende selskab. Selvom der er fusioneret med tilb</w:t>
      </w:r>
      <w:r>
        <w:t>a</w:t>
      </w:r>
      <w:r>
        <w:lastRenderedPageBreak/>
        <w:t>gevirkende kraft anses anskaffelsestidspunktet for aktiverne og passiverne at være vedtagelsestidspunktet, hvilket har betydning for f.eks. afståelse af en post aktier, der erhverves fra det indskydende selskab, hvis disse skal sælges skattefrit kan dette først ske 3 år efter vedtagelsestidspunktet.</w:t>
      </w:r>
    </w:p>
    <w:p w:rsidR="007A35E5" w:rsidRDefault="007A35E5" w:rsidP="00676A46"/>
    <w:p w:rsidR="007A35E5" w:rsidRDefault="007A35E5" w:rsidP="00676A46">
      <w:r>
        <w:t>Er der sket fusion med tilbagevirkende kraft medregner det modtagende selskab de indtægter og udgifter fra det indskydende selskab fra skæringstidspunktet.</w:t>
      </w:r>
    </w:p>
    <w:p w:rsidR="007A35E5" w:rsidRDefault="007A35E5" w:rsidP="00676A46"/>
    <w:p w:rsidR="007A35E5" w:rsidRDefault="007A35E5" w:rsidP="00676A46">
      <w:r>
        <w:t>For aktionærerne i det indskydende selskab skal der ske opgørelse af fortjeneste eller tab som følge af afståelse af aktierne/anparterne efter reglerne i ABL eller LL. Vederl</w:t>
      </w:r>
      <w:r>
        <w:t>a</w:t>
      </w:r>
      <w:r>
        <w:t>get til aktionærerne i det indskydende selskab kan såvel være kontanter som akt</w:t>
      </w:r>
      <w:r>
        <w:t>i</w:t>
      </w:r>
      <w:r>
        <w:t>er/anparter i det modtagende selskab. Afståelsestidspunktet for aktierne anses for at være vedtagelsestidspunktet for fusionen. Modtages der aktier i det modtagende se</w:t>
      </w:r>
      <w:r>
        <w:t>l</w:t>
      </w:r>
      <w:r>
        <w:t>skab som vederlag, anses disse for at være anskaffet på tidspunktet for vedtagelsen og disse aktiers værdi er lig afståelsessummen for aktierne i det indskydende selskab.</w:t>
      </w:r>
    </w:p>
    <w:p w:rsidR="007A35E5" w:rsidRDefault="007A35E5" w:rsidP="00676A46"/>
    <w:p w:rsidR="007A35E5" w:rsidRPr="0051262F" w:rsidRDefault="00D75A46" w:rsidP="00D75A46">
      <w:pPr>
        <w:pStyle w:val="Overskrift4"/>
      </w:pPr>
      <w:bookmarkStart w:id="148" w:name="_Toc221546241"/>
      <w:r>
        <w:t>4.</w:t>
      </w:r>
      <w:r w:rsidR="000555D8">
        <w:t>3</w:t>
      </w:r>
      <w:r>
        <w:t xml:space="preserve">.3.3 </w:t>
      </w:r>
      <w:r w:rsidR="007A35E5" w:rsidRPr="0051262F">
        <w:t>Skattefri fusion</w:t>
      </w:r>
      <w:r w:rsidR="00627158">
        <w:t xml:space="preserve"> </w:t>
      </w:r>
      <w:r w:rsidR="00627158">
        <w:rPr>
          <w:b w:val="0"/>
          <w:sz w:val="22"/>
          <w:szCs w:val="22"/>
        </w:rPr>
        <w:t>(Jane</w:t>
      </w:r>
      <w:r w:rsidR="00627158" w:rsidRPr="00E75844">
        <w:rPr>
          <w:b w:val="0"/>
          <w:sz w:val="22"/>
          <w:szCs w:val="22"/>
        </w:rPr>
        <w:t>)</w:t>
      </w:r>
      <w:bookmarkEnd w:id="148"/>
    </w:p>
    <w:p w:rsidR="007A35E5" w:rsidRDefault="007A35E5" w:rsidP="00676A46">
      <w:r>
        <w:t>Skattefri fusion er reguleret i FUSL kapitel 1 og kravene til at kunne gennemføre en skattefri fusion gennemgås i det efterfølgende. Der gennemgås alene forhold gælde</w:t>
      </w:r>
      <w:r>
        <w:t>n</w:t>
      </w:r>
      <w:r>
        <w:t>de for fusion af aktie- eller anpartsselskaber.</w:t>
      </w:r>
    </w:p>
    <w:p w:rsidR="007A35E5" w:rsidRDefault="007A35E5" w:rsidP="00676A46"/>
    <w:p w:rsidR="007A35E5" w:rsidRDefault="007A35E5" w:rsidP="00676A46">
      <w:r>
        <w:t>En skattefri fusion kan gennemføres med eller uden tilladelse</w:t>
      </w:r>
      <w:r>
        <w:rPr>
          <w:rStyle w:val="Fodnotehenvisning"/>
        </w:rPr>
        <w:footnoteReference w:id="116"/>
      </w:r>
      <w:r>
        <w:t>. Der er ikke et gen</w:t>
      </w:r>
      <w:r>
        <w:t>e</w:t>
      </w:r>
      <w:r>
        <w:t xml:space="preserve">relt krav om anmodning om tilladelse til at gennemføre en fusion når blot vilkårene i loven er opfyldt. </w:t>
      </w:r>
    </w:p>
    <w:p w:rsidR="007A35E5" w:rsidRDefault="007A35E5" w:rsidP="00676A46"/>
    <w:p w:rsidR="007A35E5" w:rsidRDefault="007A35E5" w:rsidP="00676A46">
      <w:r>
        <w:t>Vederlaget til selskabsdeltagerne i det indskydende selskab skal være mindst én a</w:t>
      </w:r>
      <w:r>
        <w:t>k</w:t>
      </w:r>
      <w:r>
        <w:t>tie/anpart til mindst én aktionær/anpartshaver i det modtagende selskab og deru</w:t>
      </w:r>
      <w:r>
        <w:t>d</w:t>
      </w:r>
      <w:r>
        <w:lastRenderedPageBreak/>
        <w:t>over eventuelt en kontant udligningssum jf. FUSL § 2, stk. 1.</w:t>
      </w:r>
      <w:r w:rsidR="004D5719">
        <w:t xml:space="preserve"> Eneste undtagelse hertil er i</w:t>
      </w:r>
      <w:r>
        <w:t xml:space="preserve"> det tilfælde</w:t>
      </w:r>
      <w:r w:rsidR="004D5719">
        <w:t>,</w:t>
      </w:r>
      <w:r>
        <w:t xml:space="preserve"> hvor aktierne i det indskydende selskab ejes af det modtagende selskab. Hvis der er tale om en lodret fusion, hvor et moderselskab fusionerer med datterse</w:t>
      </w:r>
      <w:r>
        <w:t>l</w:t>
      </w:r>
      <w:r>
        <w:t>skabet med moderselskabet som det fortsættende selskab, annulleres aktierne i det indskydende selskab (datterselskabet).</w:t>
      </w:r>
    </w:p>
    <w:p w:rsidR="007A35E5" w:rsidRDefault="007A35E5" w:rsidP="00676A46"/>
    <w:p w:rsidR="007A35E5" w:rsidRDefault="007A35E5" w:rsidP="00676A46">
      <w:r>
        <w:t>Fusionsdatoen skal være sammenfaldende med skæringsdatoen for det modtagende selskabs regn</w:t>
      </w:r>
      <w:r>
        <w:softHyphen/>
        <w:t xml:space="preserve">skabsår </w:t>
      </w:r>
      <w:r w:rsidR="00910EE3">
        <w:t>jf.</w:t>
      </w:r>
      <w:r>
        <w:t xml:space="preserve"> FUSL § 5. Der skal udarbejdes en åbningsbalance for det mo</w:t>
      </w:r>
      <w:r>
        <w:t>d</w:t>
      </w:r>
      <w:r>
        <w:t>tagende selskab som en del af de selskabsretlige dokumenter i fusionen.</w:t>
      </w:r>
    </w:p>
    <w:p w:rsidR="007A35E5" w:rsidRDefault="007A35E5" w:rsidP="00676A46"/>
    <w:p w:rsidR="007A35E5" w:rsidRDefault="007A35E5" w:rsidP="00676A46">
      <w:r>
        <w:t>Af øvrige selskabsretlige formskrifter ved fusionen der fremgår af ASL kapitel 15 og skal der udarbejdes:</w:t>
      </w:r>
    </w:p>
    <w:p w:rsidR="007A35E5" w:rsidRDefault="007A35E5" w:rsidP="002F4E41">
      <w:pPr>
        <w:numPr>
          <w:ilvl w:val="0"/>
          <w:numId w:val="14"/>
        </w:numPr>
      </w:pPr>
      <w:r>
        <w:t>Fusionsplan</w:t>
      </w:r>
    </w:p>
    <w:p w:rsidR="007A35E5" w:rsidRDefault="007A35E5" w:rsidP="002F4E41">
      <w:pPr>
        <w:numPr>
          <w:ilvl w:val="0"/>
          <w:numId w:val="14"/>
        </w:numPr>
      </w:pPr>
      <w:r>
        <w:t>Eventuel mellembalance for tiden fra selskabernes seneste regnskabsmæssige status til åbningsbalancens tidspunkt</w:t>
      </w:r>
    </w:p>
    <w:p w:rsidR="007A35E5" w:rsidRDefault="007A35E5" w:rsidP="002F4E41">
      <w:pPr>
        <w:numPr>
          <w:ilvl w:val="0"/>
          <w:numId w:val="14"/>
        </w:numPr>
      </w:pPr>
      <w:r>
        <w:t>Redegørelse fra bestyrelserne</w:t>
      </w:r>
    </w:p>
    <w:p w:rsidR="007A35E5" w:rsidRDefault="007A35E5" w:rsidP="002F4E41">
      <w:pPr>
        <w:numPr>
          <w:ilvl w:val="0"/>
          <w:numId w:val="14"/>
        </w:numPr>
      </w:pPr>
      <w:r>
        <w:t>Udtalelse fra vurderingsmænd/revisor om fusionsplanen</w:t>
      </w:r>
    </w:p>
    <w:p w:rsidR="007A35E5" w:rsidRDefault="007A35E5" w:rsidP="00676A46">
      <w:r>
        <w:t>Den fælles regnskabsopstilling må ikke være mere end 6 måneder gammel</w:t>
      </w:r>
      <w:r w:rsidR="009A73A5">
        <w:rPr>
          <w:rStyle w:val="Fodnotehenvisning"/>
        </w:rPr>
        <w:footnoteReference w:id="117"/>
      </w:r>
      <w:r>
        <w:t xml:space="preserve"> når fus</w:t>
      </w:r>
      <w:r>
        <w:t>i</w:t>
      </w:r>
      <w:r>
        <w:t>onsplanen underskrives, mens den endelige vedtagelse af</w:t>
      </w:r>
      <w:r w:rsidR="004D5719">
        <w:t xml:space="preserve"> fusionen</w:t>
      </w:r>
      <w:r>
        <w:t xml:space="preserve"> godt </w:t>
      </w:r>
      <w:r w:rsidR="004D5719">
        <w:t xml:space="preserve">kan </w:t>
      </w:r>
      <w:r>
        <w:t>ske efter de 6 måneder, den vedtagne fusionsplan skal dog være i overensstemmelse med den offentliggjorte fusionsplan, der er indsendt til Erhvervs og Selskabsstyrelsen efter u</w:t>
      </w:r>
      <w:r>
        <w:t>n</w:t>
      </w:r>
      <w:r>
        <w:t>derskrivelsen (indsendes inden en måned efter underskrivelsen</w:t>
      </w:r>
      <w:r w:rsidR="00995E3B">
        <w:rPr>
          <w:rStyle w:val="Fodnotehenvisning"/>
        </w:rPr>
        <w:footnoteReference w:id="118"/>
      </w:r>
      <w:r>
        <w:t>). Inden en måned efter vedtagelsen sk</w:t>
      </w:r>
      <w:r w:rsidR="002F512B">
        <w:t>ul</w:t>
      </w:r>
      <w:r>
        <w:t>l</w:t>
      </w:r>
      <w:r w:rsidR="002F512B">
        <w:t>e</w:t>
      </w:r>
      <w:r>
        <w:t xml:space="preserve"> der </w:t>
      </w:r>
      <w:r w:rsidR="002F512B">
        <w:t xml:space="preserve">tidligere </w:t>
      </w:r>
      <w:r>
        <w:t xml:space="preserve">indsendes de selskabsretlige dokumenter til Skat, hvilket </w:t>
      </w:r>
      <w:r w:rsidR="00270C4A">
        <w:t>va</w:t>
      </w:r>
      <w:r>
        <w:t>r en betingelse for at kunne gennemføre fusionen skattefrit</w:t>
      </w:r>
      <w:r>
        <w:rPr>
          <w:rStyle w:val="Fodnotehenvisning"/>
        </w:rPr>
        <w:footnoteReference w:id="119"/>
      </w:r>
      <w:r>
        <w:t xml:space="preserve"> i henhold til FUSL</w:t>
      </w:r>
      <w:r w:rsidR="002F512B">
        <w:t xml:space="preserve"> – dette krav er nu ophævet ved lov nr. 527 af 17.06.2008</w:t>
      </w:r>
      <w:r>
        <w:t>.</w:t>
      </w:r>
      <w:r w:rsidR="002F512B">
        <w:t xml:space="preserve"> Skattemyndigheder </w:t>
      </w:r>
      <w:r w:rsidR="002F512B">
        <w:lastRenderedPageBreak/>
        <w:t>kan i stedet anmode om yderligere oplysninger i tilfælde af fusion og disse skal here</w:t>
      </w:r>
      <w:r w:rsidR="002F512B">
        <w:t>f</w:t>
      </w:r>
      <w:r w:rsidR="002F512B">
        <w:t>ter indsendes.</w:t>
      </w:r>
    </w:p>
    <w:p w:rsidR="007A35E5" w:rsidRDefault="007A35E5" w:rsidP="00676A46"/>
    <w:p w:rsidR="007A35E5" w:rsidRDefault="007A35E5" w:rsidP="00676A46">
      <w:r>
        <w:t>For det indskydende selskab skal det foretages en almindelig ansættelse af indkomsten for perioden fra seneste regnskabsår og til fusionsdatoen</w:t>
      </w:r>
      <w:r>
        <w:rPr>
          <w:rStyle w:val="Fodnotehenvisning"/>
        </w:rPr>
        <w:footnoteReference w:id="120"/>
      </w:r>
      <w:r>
        <w:t>. Det er det modtagende selskabs pligt at indgive selvangivelsen for det indskydende selskab</w:t>
      </w:r>
      <w:r>
        <w:rPr>
          <w:rStyle w:val="Fodnotehenvisning"/>
        </w:rPr>
        <w:footnoteReference w:id="121"/>
      </w:r>
      <w:r>
        <w:t xml:space="preserve"> ligesom dette selskab hæfter for eventuelle skattekrav m.v. Dette er i overensstemmelse med den universalsuccession, der selskabsretligt indtræder ved fusionen.</w:t>
      </w:r>
    </w:p>
    <w:p w:rsidR="007A35E5" w:rsidRDefault="007A35E5" w:rsidP="00676A46"/>
    <w:p w:rsidR="007A35E5" w:rsidRDefault="007A35E5" w:rsidP="00676A46">
      <w:r>
        <w:t>Det modtagende selskab succederer i det indskydende selskabs anskaffelsessummer, tidspunkter og hensigt</w:t>
      </w:r>
      <w:r w:rsidR="00995E3B">
        <w:rPr>
          <w:rStyle w:val="Fodnotehenvisning"/>
        </w:rPr>
        <w:footnoteReference w:id="122"/>
      </w:r>
      <w:r>
        <w:t>. Skattemæssige afskrivninger foretaget af det indskydende selskab anses dermed for foretaget af det modtagende selskab. Der sker således ikke beskatning i det indskydende selskab af den ved fusionen konstaterede avancer eller tab. Beskatningen udskydes indtil det modtagende selskab realiserer de overtagne aktiver og passiver. På trods af at der sker succession kan der godt ske en vis form for afsmitning jf. FUSL § 8, stk. 2 – f.eks. hvis det modtagende selskab driver næring med aktiver af samme type aktiver, der i det indskydende selskab var erhvervet i anlæg</w:t>
      </w:r>
      <w:r>
        <w:t>s</w:t>
      </w:r>
      <w:r>
        <w:t xml:space="preserve">hensigt. </w:t>
      </w:r>
    </w:p>
    <w:p w:rsidR="007A35E5" w:rsidRDefault="007A35E5" w:rsidP="00676A46"/>
    <w:p w:rsidR="007A35E5" w:rsidRDefault="007A35E5" w:rsidP="00676A46">
      <w:r>
        <w:t>Underskud opstået før fusionsdatoen kan som udgangspunkt ikke fremføres efter fus</w:t>
      </w:r>
      <w:r>
        <w:t>i</w:t>
      </w:r>
      <w:r>
        <w:t>onsdatoen til modregning i det modtagende selskabs indkomstopgørelse, hverken i det indskydende eller det modtagende selskab jf. FUSL § 8, stk. 6. Underskudsbegrænsni</w:t>
      </w:r>
      <w:r>
        <w:t>n</w:t>
      </w:r>
      <w:r>
        <w:t>gen gælder dog ikke i det tilfælde hvor et moderselskab fusionerer med et sambeska</w:t>
      </w:r>
      <w:r>
        <w:t>t</w:t>
      </w:r>
      <w:r>
        <w:t>tet datterselskab, da er det muligt at fremføre underskud der er opstået mens selsk</w:t>
      </w:r>
      <w:r>
        <w:t>a</w:t>
      </w:r>
      <w:r w:rsidR="004D5719">
        <w:t xml:space="preserve">berne har været sambeskattet. </w:t>
      </w:r>
      <w:r>
        <w:t>Derudover er det heller ikke muligt at fremføre ki</w:t>
      </w:r>
      <w:r>
        <w:t>l</w:t>
      </w:r>
      <w:r>
        <w:t xml:space="preserve">deartsbegrænsede underskud f.eks. efter ABL, KGL og EBL. </w:t>
      </w:r>
    </w:p>
    <w:p w:rsidR="007A35E5" w:rsidRDefault="007A35E5" w:rsidP="00676A46">
      <w:r>
        <w:lastRenderedPageBreak/>
        <w:t>Hvis aktionærerne i det indskydende selskab vederlægges med aktier i det modtage</w:t>
      </w:r>
      <w:r>
        <w:t>n</w:t>
      </w:r>
      <w:r>
        <w:t>de selskab sker der succession, sådan at de modtagende aktier anses for at være a</w:t>
      </w:r>
      <w:r>
        <w:t>n</w:t>
      </w:r>
      <w:r>
        <w:t>skaffet på samme tidspunkt, samme hensigt og for samme anskaffelsessum som de aktier de træder i stedet for. Hvis der derimod sker vederlæggelse med andet end akt</w:t>
      </w:r>
      <w:r>
        <w:t>i</w:t>
      </w:r>
      <w:r>
        <w:t>er i det modtagende selskab skal der ske beskatning af dette i henhold til reglerne i ABL</w:t>
      </w:r>
      <w:r>
        <w:rPr>
          <w:rStyle w:val="Fodnotehenvisning"/>
        </w:rPr>
        <w:footnoteReference w:id="123"/>
      </w:r>
      <w:r>
        <w:t>. Afståelsen anses for at være sket til kursen på fusionsdatoen.</w:t>
      </w:r>
    </w:p>
    <w:p w:rsidR="007A35E5" w:rsidRDefault="007A35E5" w:rsidP="00676A46"/>
    <w:p w:rsidR="007A35E5" w:rsidRPr="0051262F" w:rsidRDefault="009872D1" w:rsidP="00D75A46">
      <w:pPr>
        <w:pStyle w:val="Overskrift4"/>
      </w:pPr>
      <w:bookmarkStart w:id="149" w:name="_Toc221546242"/>
      <w:r>
        <w:t>4.</w:t>
      </w:r>
      <w:r w:rsidR="000555D8">
        <w:t>3</w:t>
      </w:r>
      <w:r w:rsidR="006F144D">
        <w:t>.3.4</w:t>
      </w:r>
      <w:r w:rsidR="00D75A46">
        <w:t xml:space="preserve"> </w:t>
      </w:r>
      <w:r w:rsidR="007A35E5" w:rsidRPr="0051262F">
        <w:t>Skattefri spaltning</w:t>
      </w:r>
      <w:r w:rsidR="00627158">
        <w:t xml:space="preserve"> </w:t>
      </w:r>
      <w:r w:rsidR="00627158">
        <w:rPr>
          <w:b w:val="0"/>
          <w:sz w:val="22"/>
          <w:szCs w:val="22"/>
        </w:rPr>
        <w:t>(Jane</w:t>
      </w:r>
      <w:r w:rsidR="00627158" w:rsidRPr="00E75844">
        <w:rPr>
          <w:b w:val="0"/>
          <w:sz w:val="22"/>
          <w:szCs w:val="22"/>
        </w:rPr>
        <w:t>)</w:t>
      </w:r>
      <w:bookmarkEnd w:id="149"/>
    </w:p>
    <w:p w:rsidR="007A35E5" w:rsidRDefault="007A35E5" w:rsidP="00676A46">
      <w:r>
        <w:t>Det er muligt at gennemføre en skattefri spaltning af et selskab ved at anvende regle</w:t>
      </w:r>
      <w:r>
        <w:t>r</w:t>
      </w:r>
      <w:r>
        <w:t>ne i FUSL kapitel 4 samt enkelte bestemmelser i kapitel 1 om spaltningsdato, indse</w:t>
      </w:r>
      <w:r>
        <w:t>n</w:t>
      </w:r>
      <w:r>
        <w:t>delse af dokumenter</w:t>
      </w:r>
      <w:r w:rsidR="00296D20">
        <w:rPr>
          <w:rStyle w:val="Fodnotehenvisning"/>
        </w:rPr>
        <w:footnoteReference w:id="124"/>
      </w:r>
      <w:r>
        <w:t xml:space="preserve"> og de modtagende selskabers succession. Reglerne for spal</w:t>
      </w:r>
      <w:r>
        <w:t>t</w:t>
      </w:r>
      <w:r>
        <w:t>ning af selskaber minder i høj grad om reglerne for gennemførsel af fusion.</w:t>
      </w:r>
    </w:p>
    <w:p w:rsidR="007A35E5" w:rsidRDefault="007A35E5" w:rsidP="00676A46"/>
    <w:p w:rsidR="007A35E5" w:rsidRDefault="007A35E5" w:rsidP="00676A46">
      <w:r>
        <w:t>Der kan fore</w:t>
      </w:r>
      <w:r w:rsidR="004D5719">
        <w:t>tages en spaltning af et selskab</w:t>
      </w:r>
      <w:r>
        <w:t xml:space="preserve"> ved at selskabets samtlige aktiver og pass</w:t>
      </w:r>
      <w:r>
        <w:t>i</w:t>
      </w:r>
      <w:r>
        <w:t>ver overdrages til flere selskaber (nystiftede eller bestående) mod vederlag til det in</w:t>
      </w:r>
      <w:r>
        <w:t>d</w:t>
      </w:r>
      <w:r>
        <w:t>skydende selskabs aktionærer. Det indskydende selskab ophører dermed uden likvid</w:t>
      </w:r>
      <w:r>
        <w:t>a</w:t>
      </w:r>
      <w:r>
        <w:t>tion. Dette kaldes for en fuldstændig spaltning eller ophørsspaltning. For at kunne gennemføre denne form for spaltning skattefrit og uden tilladelse er det et krav at der er samme forhold mellem aktiver og gæld</w:t>
      </w:r>
      <w:r>
        <w:rPr>
          <w:rStyle w:val="Fodnotehenvisning"/>
        </w:rPr>
        <w:footnoteReference w:id="125"/>
      </w:r>
      <w:r>
        <w:t>, som det indskydende selskab havde i</w:t>
      </w:r>
      <w:r>
        <w:t>n</w:t>
      </w:r>
      <w:r>
        <w:t>den spaltningen, i de modtagende selskaber.</w:t>
      </w:r>
    </w:p>
    <w:p w:rsidR="007A35E5" w:rsidRDefault="007A35E5" w:rsidP="00676A46"/>
    <w:p w:rsidR="007A35E5" w:rsidRDefault="007A35E5" w:rsidP="00676A46">
      <w:r>
        <w:t>Det er også muligt at foretage en spaltning, hvor et selskab overdrager en del af sine aktiver og forpligtelser (skal være en samlet enhed – også kaldet for en gren af en vir</w:t>
      </w:r>
      <w:r>
        <w:t>k</w:t>
      </w:r>
      <w:r>
        <w:t>somhed) til et eller flere nystiftede eller bestående selskaber mod vederlag til det in</w:t>
      </w:r>
      <w:r>
        <w:t>d</w:t>
      </w:r>
      <w:r>
        <w:lastRenderedPageBreak/>
        <w:t>skydende selskabs aktionærer. Det indskydende selskab består fortsat. Denne metode kaldes for delvis spaltning eller grenspaltning.</w:t>
      </w:r>
    </w:p>
    <w:p w:rsidR="007A35E5" w:rsidRDefault="007A35E5" w:rsidP="00676A46"/>
    <w:p w:rsidR="007A35E5" w:rsidRDefault="007A35E5" w:rsidP="00676A46">
      <w:r>
        <w:t>Vederlaget til aktionærerne i det indskydende selskab skal mindst bestå af én aktie i det modtagende selskab/mindst én aktie i hvert af de modtagende selskaber til mindst én aktionær. Derudover kan der som ved fusion ske vederlæggelse med kontant udli</w:t>
      </w:r>
      <w:r>
        <w:t>g</w:t>
      </w:r>
      <w:r>
        <w:t>ningssum. Ved en skattefri spaltning er det således muligt at to eller flere aktionærer kan opdele et eksisterende selskab mellem sig, vederlæggelsen dog skal ske i samme forhold som hidtil. Dette giver mulighed for at enkelte selskabsdeltagere kan vede</w:t>
      </w:r>
      <w:r>
        <w:t>r</w:t>
      </w:r>
      <w:r>
        <w:t>lægges med kontanter og derefter ikke længere er selskabsdeltager i det eller de mo</w:t>
      </w:r>
      <w:r>
        <w:t>d</w:t>
      </w:r>
      <w:r>
        <w:t>tagende selskaber.</w:t>
      </w:r>
    </w:p>
    <w:p w:rsidR="007A35E5" w:rsidRDefault="007A35E5" w:rsidP="00676A46"/>
    <w:p w:rsidR="00F83EBA" w:rsidRDefault="007A35E5" w:rsidP="00676A46">
      <w:r>
        <w:t>Der gælder de samme krav til udarbejdelse af selskabsretlige dokumenter som ved en fusion, der skal indsendes til Erhvervs- og Selskabsstyrelsen til offentliggørelse</w:t>
      </w:r>
      <w:r w:rsidR="00F83EBA">
        <w:t xml:space="preserve"> inden 4 uger efter underskrift. Der gælder ligeledes her det samme forhold som ved skattefri fusion at det ikke længere er et lovkrav at de relevante selskabsretlige dokumenter indsendes til Skat.</w:t>
      </w:r>
    </w:p>
    <w:p w:rsidR="007A35E5" w:rsidRDefault="007A35E5" w:rsidP="00676A46">
      <w:r>
        <w:t>Der er som ved skattefri fusion tilsvarende begrænsninger i adgang til fremførsel af underskud opstået før spaltning. Den væsentligste undtagelse hertil er, hvis der er sket en grenspaltning, da vil det indskydende selskab fortsat kunne fremføre underskud til modregning i egne fremtidige overskud – der overføres altså ikke fremførbare unde</w:t>
      </w:r>
      <w:r>
        <w:t>r</w:t>
      </w:r>
      <w:r>
        <w:t>skud ved grenspaltningen til det modtagende selskab.</w:t>
      </w:r>
    </w:p>
    <w:p w:rsidR="007A35E5" w:rsidRDefault="007A35E5" w:rsidP="00676A46"/>
    <w:p w:rsidR="007A35E5" w:rsidRDefault="007A35E5" w:rsidP="00676A46">
      <w:r>
        <w:t>Såfremt den skattefri spaltning er gennemført uden tilladelse</w:t>
      </w:r>
      <w:r>
        <w:rPr>
          <w:rStyle w:val="Fodnotehenvisning"/>
        </w:rPr>
        <w:footnoteReference w:id="126"/>
      </w:r>
      <w:r>
        <w:t xml:space="preserve"> giver dette nogle b</w:t>
      </w:r>
      <w:r>
        <w:t>e</w:t>
      </w:r>
      <w:r>
        <w:t xml:space="preserve">grænsninger i forhold til anskaffelsestidspunkt for aktierne, der anses for anskaffet på tidspunktet for vedtagelsen af spaltningen, hvis selskabsdeltageren er et selskab. Dette </w:t>
      </w:r>
      <w:r>
        <w:lastRenderedPageBreak/>
        <w:t>betyder at selskabsdeltageren skal eje aktierne i mindst 3 år efter vedtagelsen før disse kan sælges skattefrit</w:t>
      </w:r>
      <w:r>
        <w:rPr>
          <w:rStyle w:val="Fodnotehenvisning"/>
        </w:rPr>
        <w:footnoteReference w:id="127"/>
      </w:r>
      <w:r>
        <w:t>.</w:t>
      </w:r>
    </w:p>
    <w:p w:rsidR="007A35E5" w:rsidRDefault="007A35E5" w:rsidP="00676A46">
      <w:r>
        <w:t>En skattefri spaltning uden tilladelse giver endvidere begrænsninger i adgang til udlo</w:t>
      </w:r>
      <w:r>
        <w:t>d</w:t>
      </w:r>
      <w:r>
        <w:t>ning af skattefrit udbytte til selskabsdeltagere, der kan ikke udloddes mere end se</w:t>
      </w:r>
      <w:r>
        <w:t>l</w:t>
      </w:r>
      <w:r>
        <w:t>skabsdeltagerens andel af det ordinære resultat</w:t>
      </w:r>
      <w:r>
        <w:rPr>
          <w:rStyle w:val="Fodnotehenvisning"/>
        </w:rPr>
        <w:footnoteReference w:id="128"/>
      </w:r>
      <w:r>
        <w:t>.</w:t>
      </w:r>
    </w:p>
    <w:p w:rsidR="007A35E5" w:rsidRDefault="007A35E5" w:rsidP="00676A46"/>
    <w:p w:rsidR="007A35E5" w:rsidRDefault="007A35E5" w:rsidP="009E7B56">
      <w:r>
        <w:t xml:space="preserve">Når der ansøges om tilladelse til skattefri spaltning af et selskab vil myndighedernes betingelser for tilladelse primært være om der </w:t>
      </w:r>
      <w:r w:rsidR="00270C4A">
        <w:t xml:space="preserve">ikke </w:t>
      </w:r>
      <w:r>
        <w:t>er tale om skatteunddragelse eller skatteomgåelse, hvilket der findes flere afgørelser på.</w:t>
      </w:r>
    </w:p>
    <w:p w:rsidR="009E7B56" w:rsidRDefault="009E7B56" w:rsidP="009E7B56"/>
    <w:p w:rsidR="007A35E5" w:rsidRPr="00235CC3" w:rsidRDefault="00D75A46" w:rsidP="00D75A46">
      <w:pPr>
        <w:pStyle w:val="Overskrift4"/>
      </w:pPr>
      <w:bookmarkStart w:id="150" w:name="_Toc221546243"/>
      <w:r>
        <w:t>4.</w:t>
      </w:r>
      <w:r w:rsidR="000555D8">
        <w:t>3</w:t>
      </w:r>
      <w:r w:rsidR="006F144D">
        <w:t>.3.5</w:t>
      </w:r>
      <w:r>
        <w:t xml:space="preserve"> </w:t>
      </w:r>
      <w:r w:rsidR="007A35E5" w:rsidRPr="00235CC3">
        <w:t>Skattepligtig spaltning</w:t>
      </w:r>
      <w:r w:rsidR="00627158">
        <w:t xml:space="preserve"> </w:t>
      </w:r>
      <w:r w:rsidR="00627158">
        <w:rPr>
          <w:b w:val="0"/>
          <w:sz w:val="22"/>
          <w:szCs w:val="22"/>
        </w:rPr>
        <w:t>(Jane</w:t>
      </w:r>
      <w:r w:rsidR="00627158" w:rsidRPr="00E75844">
        <w:rPr>
          <w:b w:val="0"/>
          <w:sz w:val="22"/>
          <w:szCs w:val="22"/>
        </w:rPr>
        <w:t>)</w:t>
      </w:r>
      <w:bookmarkEnd w:id="150"/>
    </w:p>
    <w:p w:rsidR="007A35E5" w:rsidRDefault="007A35E5" w:rsidP="00676A46">
      <w:r>
        <w:t>Ved en skattepligtig spaltning vil konsekvenserne for det indskydende selskab være realisationsbeskatning for afståelsen af aktiverne og passiverne. Det modtagende se</w:t>
      </w:r>
      <w:r>
        <w:t>l</w:t>
      </w:r>
      <w:r>
        <w:t xml:space="preserve">skab vil have nye anskaffelsessummer for de erhvervede aktiver og passiver. </w:t>
      </w:r>
    </w:p>
    <w:p w:rsidR="007A35E5" w:rsidRDefault="007A35E5" w:rsidP="00676A46">
      <w:r>
        <w:t>Der er ingen grenkrav og ingen bindinger til gennemførelsen. Der er dog ikke mulighed for at gennemføre med tilbagevirkende kraft. Det er dermed vedtagelsestidspunktet, der er afståelsestidspunktet.</w:t>
      </w:r>
    </w:p>
    <w:p w:rsidR="007A35E5" w:rsidRDefault="007A35E5" w:rsidP="00676A46"/>
    <w:p w:rsidR="007A35E5" w:rsidRDefault="007A35E5" w:rsidP="00676A46">
      <w:r>
        <w:t>For aktionærerne vil der ligeledes ske en afståelsesbeskatning i henhold til ABL.</w:t>
      </w:r>
    </w:p>
    <w:p w:rsidR="007A35E5" w:rsidRDefault="007A35E5" w:rsidP="00676A46">
      <w:r>
        <w:t>En skattepligtig spaltning kunne være mulighed i det tilfælde, hvor et moderselskab ønsker at spalte et datterselskab, hvor grenkravet ikke er opfyldt. Da ejerforholdene gør at der kan modtages skattefrit udbytte og ejertiden er over 3 år, kan denne spal</w:t>
      </w:r>
      <w:r>
        <w:t>t</w:t>
      </w:r>
      <w:r w:rsidR="004D5719">
        <w:t>ning gennemføres skatte</w:t>
      </w:r>
      <w:r w:rsidR="004D5719" w:rsidRPr="00F83EBA">
        <w:t>pligtigt</w:t>
      </w:r>
      <w:r>
        <w:t xml:space="preserve"> uden at der bliver tale om egentlig skattebetaling.</w:t>
      </w:r>
    </w:p>
    <w:p w:rsidR="007A35E5" w:rsidRDefault="007A35E5" w:rsidP="0059688E"/>
    <w:p w:rsidR="007A35E5" w:rsidRDefault="00D75A46" w:rsidP="00D75A46">
      <w:pPr>
        <w:pStyle w:val="Overskrift2"/>
      </w:pPr>
      <w:bookmarkStart w:id="151" w:name="_Toc221546244"/>
      <w:r>
        <w:lastRenderedPageBreak/>
        <w:t>4.</w:t>
      </w:r>
      <w:r w:rsidR="000555D8">
        <w:t>4</w:t>
      </w:r>
      <w:r>
        <w:t xml:space="preserve"> </w:t>
      </w:r>
      <w:r w:rsidR="007A35E5">
        <w:t>Eksempler på omstruktureringsmodeller</w:t>
      </w:r>
      <w:r w:rsidR="00627158">
        <w:t xml:space="preserve"> </w:t>
      </w:r>
      <w:r w:rsidR="00627158">
        <w:rPr>
          <w:b w:val="0"/>
          <w:sz w:val="22"/>
          <w:szCs w:val="22"/>
        </w:rPr>
        <w:t>(</w:t>
      </w:r>
      <w:r w:rsidR="005E2C30">
        <w:rPr>
          <w:b w:val="0"/>
          <w:sz w:val="22"/>
          <w:szCs w:val="22"/>
        </w:rPr>
        <w:t xml:space="preserve">Pernille og </w:t>
      </w:r>
      <w:r w:rsidR="00627158">
        <w:rPr>
          <w:b w:val="0"/>
          <w:sz w:val="22"/>
          <w:szCs w:val="22"/>
        </w:rPr>
        <w:t>Jane</w:t>
      </w:r>
      <w:r w:rsidR="00627158" w:rsidRPr="00E75844">
        <w:rPr>
          <w:b w:val="0"/>
          <w:sz w:val="22"/>
          <w:szCs w:val="22"/>
        </w:rPr>
        <w:t>)</w:t>
      </w:r>
      <w:bookmarkEnd w:id="151"/>
    </w:p>
    <w:p w:rsidR="007A35E5" w:rsidRDefault="007A35E5" w:rsidP="00AF0293">
      <w:r>
        <w:t>Der er mange kombinationer når man bruger omstruktureringsmulighederne for se</w:t>
      </w:r>
      <w:r>
        <w:t>l</w:t>
      </w:r>
      <w:r>
        <w:t>skaber til at generationsskifte med. Nedenstående er valgt ud fra, hvad der ville være hensigtsmæssig i casen A&amp;B I/S.</w:t>
      </w:r>
    </w:p>
    <w:p w:rsidR="007A35E5" w:rsidRDefault="007A35E5" w:rsidP="006B563F">
      <w:r>
        <w:t>I casevirksomheden A&amp;B I/S, der som omtalt tidligere ejes og drives af de to brødre A og B, og A’s datter C er muligt emne til at overtage virksomheden som led i et gener</w:t>
      </w:r>
      <w:r>
        <w:t>a</w:t>
      </w:r>
      <w:r>
        <w:t xml:space="preserve">tionsskifte. Virksomheden A&amp;B I/S er nu omdannet til A&amp;B A/S ved hjælp af reglerne i VOL jf. </w:t>
      </w:r>
      <w:r w:rsidR="00CE44B6" w:rsidRPr="00CE44B6">
        <w:t xml:space="preserve">afsnit </w:t>
      </w:r>
      <w:r w:rsidR="00270C4A">
        <w:t>”</w:t>
      </w:r>
      <w:r w:rsidR="00012FAC">
        <w:fldChar w:fldCharType="begin"/>
      </w:r>
      <w:r w:rsidR="00270C4A">
        <w:instrText xml:space="preserve"> REF _Ref219215334 \h </w:instrText>
      </w:r>
      <w:r w:rsidR="00012FAC">
        <w:fldChar w:fldCharType="separate"/>
      </w:r>
      <w:r w:rsidR="000F066D">
        <w:t>4.1.2 Skattefri virksomhedsomdannelse</w:t>
      </w:r>
      <w:r w:rsidR="00012FAC">
        <w:fldChar w:fldCharType="end"/>
      </w:r>
      <w:r w:rsidR="00270C4A">
        <w:t>”</w:t>
      </w:r>
      <w:r>
        <w:t>. Vi vil her nedenfor gennemgå nogle forskellige metoder til at kunne foretage et generationsskifte i selskabsregi.</w:t>
      </w:r>
    </w:p>
    <w:p w:rsidR="007A35E5" w:rsidRDefault="007A35E5" w:rsidP="00AF0293"/>
    <w:p w:rsidR="007A35E5" w:rsidRPr="000A3903" w:rsidRDefault="00D75A46" w:rsidP="000A3903">
      <w:pPr>
        <w:pStyle w:val="Overskrift3"/>
      </w:pPr>
      <w:bookmarkStart w:id="152" w:name="_Toc221546245"/>
      <w:r w:rsidRPr="000A3903">
        <w:t>4.</w:t>
      </w:r>
      <w:r w:rsidR="000555D8">
        <w:t>4</w:t>
      </w:r>
      <w:r w:rsidR="000A3903">
        <w:t>.</w:t>
      </w:r>
      <w:r w:rsidRPr="000A3903">
        <w:t xml:space="preserve">1 </w:t>
      </w:r>
      <w:r w:rsidR="007A35E5" w:rsidRPr="000A3903">
        <w:t>Aktieombytning og lån i holding</w:t>
      </w:r>
      <w:r w:rsidR="005E2C30">
        <w:t xml:space="preserve"> </w:t>
      </w:r>
      <w:r w:rsidR="005E2C30" w:rsidRPr="005E2C30">
        <w:rPr>
          <w:rFonts w:asciiTheme="minorHAnsi" w:hAnsiTheme="minorHAnsi"/>
          <w:b w:val="0"/>
          <w:sz w:val="22"/>
          <w:szCs w:val="22"/>
        </w:rPr>
        <w:t>(Pernille)</w:t>
      </w:r>
      <w:bookmarkEnd w:id="152"/>
    </w:p>
    <w:p w:rsidR="007A35E5" w:rsidRDefault="007A35E5" w:rsidP="009E3DD5">
      <w:r>
        <w:t xml:space="preserve">I denne model foretages der først en aktieombytning, hvor A&amp;B A/S ombytter aktierne i deres driftsselskab med aktierne i et nystiftet holdingselskab. </w:t>
      </w:r>
    </w:p>
    <w:p w:rsidR="007A35E5" w:rsidRDefault="007A35E5" w:rsidP="00AF0293">
      <w:r>
        <w:t xml:space="preserve">Datteren stifter også et holdingselskab (C Holding </w:t>
      </w:r>
      <w:r w:rsidR="002A7A59">
        <w:t>ApS</w:t>
      </w:r>
      <w:r w:rsidR="004D5719">
        <w:t>), hvor hun indskyder</w:t>
      </w:r>
      <w:r>
        <w:t xml:space="preserve"> de 125 tkr. Der foretages efterfølgende en kapitalforhøjelse i A&amp;B A/S, som C Holding ApS tegner finansieret ved et lån. Hvis virksomhedsomdannelsen er foretaget uden ejendommen er det en mindre finansier</w:t>
      </w:r>
      <w:r w:rsidR="000B2DF3">
        <w:t>ing, der skal til fra datteren.</w:t>
      </w:r>
      <w:r>
        <w:t xml:space="preserve"> C holding ApS tegner hele kap</w:t>
      </w:r>
      <w:r>
        <w:t>i</w:t>
      </w:r>
      <w:r>
        <w:t>talforhøjelsen og kommer derved til at eje 51 % og A&amp;B holding ApS 49 %. I de efte</w:t>
      </w:r>
      <w:r>
        <w:t>r</w:t>
      </w:r>
      <w:r>
        <w:t>følgende 3 år driver de virksomheden sammen, hvor de løbende overlader mere a</w:t>
      </w:r>
      <w:r>
        <w:t>n</w:t>
      </w:r>
      <w:r>
        <w:t>svar til A’s datter. Der udloddes skattefrit udbytte i de 3 år, som C Holding ApS bruger til at nedbringe gælden, derudover videreudloddes 96.400 kr. (2008) ud til datteren privat, hvilket er 28 % grænsen i aktieindkomst beskatning for ægtepar. Det udloddede udbytte b</w:t>
      </w:r>
      <w:r w:rsidR="004D5719">
        <w:t>ruger datteren til at afdrage</w:t>
      </w:r>
      <w:r>
        <w:t xml:space="preserve"> sit private lån på 125 tkr. Da C Holding ApS ejer 51 % er det muligt at udnytte underskuddet i C holding i et sambeskatningsforhold. </w:t>
      </w:r>
    </w:p>
    <w:p w:rsidR="007A35E5" w:rsidRDefault="007A35E5" w:rsidP="00AF0293">
      <w:r>
        <w:t xml:space="preserve">Efter 3 år tilbagekøber A&amp;B A/S egne aktier i A&amp;B Holding ApS, som kan sælge dem skattefrit. Der foretages efterfølgende en kapitalnedsættelse i A&amp;B A/S.  </w:t>
      </w:r>
    </w:p>
    <w:p w:rsidR="007A35E5" w:rsidRDefault="007A35E5" w:rsidP="00AF0293"/>
    <w:p w:rsidR="002D7778" w:rsidRDefault="00012FAC" w:rsidP="00AF0293">
      <w:pPr>
        <w:rPr>
          <w:noProof/>
          <w:lang w:eastAsia="da-DK"/>
        </w:rPr>
      </w:pPr>
      <w:r>
        <w:rPr>
          <w:noProof/>
          <w:lang w:eastAsia="da-DK"/>
        </w:rPr>
        <w:lastRenderedPageBreak/>
        <w:pict>
          <v:shape id="_x0000_i1029" type="#_x0000_t75" style="width:481.5pt;height:17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">
            <v:imagedata r:id="rId18" o:title="" croptop="-2438f" cropbottom="-1794f" cropleft="-466f" cropright="-1001f"/>
            <o:lock v:ext="edit" aspectratio="f"/>
          </v:shape>
        </w:pict>
      </w:r>
    </w:p>
    <w:p w:rsidR="009E7B56" w:rsidRDefault="00270C4A" w:rsidP="00270C4A">
      <w:pPr>
        <w:pStyle w:val="Billedtekst"/>
      </w:pPr>
      <w:bookmarkStart w:id="153" w:name="_Toc218751415"/>
      <w:r>
        <w:t xml:space="preserve">Figur </w:t>
      </w:r>
      <w:fldSimple w:instr=" SEQ Figur \* ARABIC ">
        <w:r w:rsidR="000F066D">
          <w:rPr>
            <w:noProof/>
          </w:rPr>
          <w:t>33</w:t>
        </w:r>
      </w:fldSimple>
      <w:r w:rsidR="009E7B56">
        <w:t xml:space="preserve"> Forløb ved omstruktureringsmodellen med kapitaludvidelse og efterfølgende tilbagekøb af aktier</w:t>
      </w:r>
      <w:bookmarkEnd w:id="153"/>
    </w:p>
    <w:p w:rsidR="002D7778" w:rsidRDefault="002D7778" w:rsidP="00AF0293"/>
    <w:p w:rsidR="007A35E5" w:rsidRDefault="007A35E5" w:rsidP="00AF0293">
      <w:r>
        <w:t>Det er mest hensigtsmæssig at foretage aktieombytningen uden tilladelse, da Skat sandsynligvis ikke vil acceptere en kapitalforhøjelse umiddelbart efter en ombytning, hvor majoritetskravet ikke længere er opfyldt. Se nedenstående afgørelse, hvor Skat netop ikke ville anerkende en kapitalforhøjelse umiddelbart efter en aktieombytning.</w:t>
      </w:r>
    </w:p>
    <w:p w:rsidR="007A35E5" w:rsidRDefault="007A35E5" w:rsidP="00AF0293"/>
    <w:p w:rsidR="007A35E5" w:rsidRPr="00B24EE7" w:rsidRDefault="007A35E5" w:rsidP="00B24EE7">
      <w:pPr>
        <w:rPr>
          <w:i/>
          <w:sz w:val="22"/>
          <w:lang w:eastAsia="da-DK"/>
        </w:rPr>
      </w:pPr>
      <w:r>
        <w:rPr>
          <w:i/>
          <w:sz w:val="22"/>
          <w:lang w:eastAsia="da-DK"/>
        </w:rPr>
        <w:t xml:space="preserve">SKM2003.129 TSS: </w:t>
      </w:r>
      <w:r w:rsidRPr="00B24EE7">
        <w:rPr>
          <w:i/>
          <w:sz w:val="22"/>
          <w:lang w:eastAsia="da-DK"/>
        </w:rPr>
        <w:t>I en ansøgning om tilladelse til anpartsombytning blev det oprindeligt o</w:t>
      </w:r>
      <w:r w:rsidRPr="00B24EE7">
        <w:rPr>
          <w:i/>
          <w:sz w:val="22"/>
          <w:lang w:eastAsia="da-DK"/>
        </w:rPr>
        <w:t>p</w:t>
      </w:r>
      <w:r w:rsidRPr="00B24EE7">
        <w:rPr>
          <w:i/>
          <w:sz w:val="22"/>
          <w:lang w:eastAsia="da-DK"/>
        </w:rPr>
        <w:t>lyst, at anpartskapitalen i driftsselskabet umiddelbart efter anpartsombytningen skulle forhøjes med 100</w:t>
      </w:r>
      <w:r>
        <w:rPr>
          <w:i/>
          <w:sz w:val="22"/>
          <w:lang w:eastAsia="da-DK"/>
        </w:rPr>
        <w:t xml:space="preserve"> </w:t>
      </w:r>
      <w:r w:rsidRPr="00B24EE7">
        <w:rPr>
          <w:i/>
          <w:sz w:val="22"/>
          <w:lang w:eastAsia="da-DK"/>
        </w:rPr>
        <w:t>% i forbindelse med indtræden af en 3-mand i selskabet. Det ved anpartsombytningen stiftede holdingselskab ville derved miste sin majoritet i driftsselskabet. Efter at rådgiver fr</w:t>
      </w:r>
      <w:r w:rsidRPr="00B24EE7">
        <w:rPr>
          <w:i/>
          <w:sz w:val="22"/>
          <w:lang w:eastAsia="da-DK"/>
        </w:rPr>
        <w:t>a</w:t>
      </w:r>
      <w:r w:rsidRPr="00B24EE7">
        <w:rPr>
          <w:i/>
          <w:sz w:val="22"/>
          <w:lang w:eastAsia="da-DK"/>
        </w:rPr>
        <w:t>faldt planerne om at lade en tredjemand indtræde i driftsselskabet, således at majoriteten kunne bevares, afgav Told- og Skattestyrelsen sin tilladelse til skattefri anpartsombytning.</w:t>
      </w:r>
    </w:p>
    <w:p w:rsidR="007A35E5" w:rsidRDefault="007A35E5" w:rsidP="00AF0293"/>
    <w:p w:rsidR="007A35E5" w:rsidRDefault="007A35E5" w:rsidP="00AF0293">
      <w:r>
        <w:t>Der er ikke noget i vejen for at lave en kapitalforhøjelse umiddelbart efter en skattefri ombytning uden tilladelse, se nedenstående afgørelse.</w:t>
      </w:r>
    </w:p>
    <w:p w:rsidR="007A35E5" w:rsidRDefault="007A35E5" w:rsidP="00AF0293"/>
    <w:p w:rsidR="007A35E5" w:rsidRPr="00B24EE7" w:rsidRDefault="007A35E5" w:rsidP="00B24EE7">
      <w:pPr>
        <w:rPr>
          <w:i/>
          <w:sz w:val="22"/>
          <w:lang w:eastAsia="da-DK"/>
        </w:rPr>
      </w:pPr>
      <w:r>
        <w:rPr>
          <w:i/>
          <w:sz w:val="22"/>
          <w:lang w:eastAsia="da-DK"/>
        </w:rPr>
        <w:t xml:space="preserve">SKM 2008.182.SR: </w:t>
      </w:r>
      <w:r w:rsidRPr="00B24EE7">
        <w:rPr>
          <w:i/>
          <w:sz w:val="22"/>
          <w:lang w:eastAsia="da-DK"/>
        </w:rPr>
        <w:t>Skatterådet bekræfter, at en anpartsombytning som umiddelbart efterfølges af en kapitalforhøjelse, hvor tredjemand indskyder kapital i det erhvervede selskab, med den konsekvens, at majoriteten opgives, og de to anpartshavere hver står som ejer af 50 %, ikke er i strid med reglerne i ABL § 36 A.</w:t>
      </w:r>
    </w:p>
    <w:p w:rsidR="007A35E5" w:rsidRDefault="007A35E5" w:rsidP="00AF0293">
      <w:r>
        <w:lastRenderedPageBreak/>
        <w:t xml:space="preserve">Den efterfølgende kapitalforhøjelse som C Holding skal tegne forudsætter, at det er muligt at optage lånet i et pengeinstitut. Hvis man forudsætter, at resultat fremover vil ligge på niveau med tidligere år på ca. 1.5 mio. kan man lave nedenstående beregning. </w:t>
      </w:r>
    </w:p>
    <w:p w:rsidR="007A35E5" w:rsidRPr="00935D05" w:rsidRDefault="007A35E5" w:rsidP="00496080">
      <w:pPr>
        <w:rPr>
          <w:rFonts w:asciiTheme="minorHAnsi" w:hAnsiTheme="minorHAnsi"/>
          <w:sz w:val="20"/>
          <w:szCs w:val="20"/>
        </w:rPr>
      </w:pPr>
    </w:p>
    <w:tbl>
      <w:tblPr>
        <w:tblW w:w="8644" w:type="dxa"/>
        <w:tblCellMar>
          <w:left w:w="70" w:type="dxa"/>
          <w:right w:w="70" w:type="dxa"/>
        </w:tblCellMar>
        <w:tblLook w:val="00A0"/>
      </w:tblPr>
      <w:tblGrid>
        <w:gridCol w:w="621"/>
        <w:gridCol w:w="1236"/>
        <w:gridCol w:w="1333"/>
        <w:gridCol w:w="1099"/>
        <w:gridCol w:w="1099"/>
        <w:gridCol w:w="1163"/>
        <w:gridCol w:w="1020"/>
        <w:gridCol w:w="1073"/>
      </w:tblGrid>
      <w:tr w:rsidR="007A35E5" w:rsidRPr="00935D05" w:rsidTr="000A1807">
        <w:trPr>
          <w:trHeight w:val="323"/>
        </w:trPr>
        <w:tc>
          <w:tcPr>
            <w:tcW w:w="621" w:type="dxa"/>
            <w:tcBorders>
              <w:top w:val="nil"/>
              <w:left w:val="nil"/>
              <w:bottom w:val="nil"/>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236" w:type="dxa"/>
            <w:tcBorders>
              <w:top w:val="nil"/>
              <w:left w:val="nil"/>
              <w:bottom w:val="nil"/>
              <w:right w:val="nil"/>
            </w:tcBorders>
            <w:noWrap/>
            <w:vAlign w:val="bottom"/>
          </w:tcPr>
          <w:p w:rsidR="007A35E5" w:rsidRPr="00935D05" w:rsidRDefault="007A35E5" w:rsidP="00935D05">
            <w:pPr>
              <w:spacing w:line="240" w:lineRule="auto"/>
              <w:jc w:val="center"/>
              <w:rPr>
                <w:rFonts w:asciiTheme="minorHAnsi" w:hAnsiTheme="minorHAnsi"/>
                <w:b/>
                <w:color w:val="000000"/>
                <w:sz w:val="20"/>
                <w:szCs w:val="20"/>
                <w:lang w:eastAsia="da-DK"/>
              </w:rPr>
            </w:pPr>
            <w:r w:rsidRPr="00935D05">
              <w:rPr>
                <w:rFonts w:asciiTheme="minorHAnsi" w:hAnsiTheme="minorHAnsi"/>
                <w:b/>
                <w:color w:val="000000"/>
                <w:sz w:val="20"/>
                <w:szCs w:val="20"/>
                <w:lang w:eastAsia="da-DK"/>
              </w:rPr>
              <w:t>Est. res. efter skat</w:t>
            </w:r>
          </w:p>
        </w:tc>
        <w:tc>
          <w:tcPr>
            <w:tcW w:w="1333" w:type="dxa"/>
            <w:tcBorders>
              <w:top w:val="nil"/>
              <w:left w:val="nil"/>
              <w:bottom w:val="nil"/>
              <w:right w:val="nil"/>
            </w:tcBorders>
            <w:noWrap/>
            <w:vAlign w:val="bottom"/>
          </w:tcPr>
          <w:p w:rsidR="007A35E5" w:rsidRPr="00935D05" w:rsidRDefault="00935D05" w:rsidP="00935D05">
            <w:pPr>
              <w:spacing w:line="240" w:lineRule="auto"/>
              <w:jc w:val="center"/>
              <w:rPr>
                <w:rFonts w:asciiTheme="minorHAnsi" w:hAnsiTheme="minorHAnsi"/>
                <w:b/>
                <w:color w:val="000000"/>
                <w:sz w:val="20"/>
                <w:szCs w:val="20"/>
                <w:lang w:eastAsia="da-DK"/>
              </w:rPr>
            </w:pPr>
            <w:r>
              <w:rPr>
                <w:rFonts w:asciiTheme="minorHAnsi" w:hAnsiTheme="minorHAnsi"/>
                <w:b/>
                <w:color w:val="000000"/>
                <w:sz w:val="20"/>
                <w:szCs w:val="20"/>
                <w:lang w:eastAsia="da-DK"/>
              </w:rPr>
              <w:t>A&amp;B H</w:t>
            </w:r>
            <w:r w:rsidR="007A35E5" w:rsidRPr="00935D05">
              <w:rPr>
                <w:rFonts w:asciiTheme="minorHAnsi" w:hAnsiTheme="minorHAnsi"/>
                <w:b/>
                <w:color w:val="000000"/>
                <w:sz w:val="20"/>
                <w:szCs w:val="20"/>
                <w:lang w:eastAsia="da-DK"/>
              </w:rPr>
              <w:t>ol</w:t>
            </w:r>
            <w:r>
              <w:rPr>
                <w:rFonts w:asciiTheme="minorHAnsi" w:hAnsiTheme="minorHAnsi"/>
                <w:b/>
                <w:color w:val="000000"/>
                <w:sz w:val="20"/>
                <w:szCs w:val="20"/>
                <w:lang w:eastAsia="da-DK"/>
              </w:rPr>
              <w:t>ding</w:t>
            </w:r>
            <w:r w:rsidR="007A35E5" w:rsidRPr="00935D05">
              <w:rPr>
                <w:rFonts w:asciiTheme="minorHAnsi" w:hAnsiTheme="minorHAnsi"/>
                <w:b/>
                <w:color w:val="000000"/>
                <w:sz w:val="20"/>
                <w:szCs w:val="20"/>
                <w:lang w:eastAsia="da-DK"/>
              </w:rPr>
              <w:t xml:space="preserve"> ApS </w:t>
            </w:r>
            <w:r w:rsidR="00910EE3" w:rsidRPr="00935D05">
              <w:rPr>
                <w:rFonts w:asciiTheme="minorHAnsi" w:hAnsiTheme="minorHAnsi"/>
                <w:b/>
                <w:color w:val="000000"/>
                <w:sz w:val="20"/>
                <w:szCs w:val="20"/>
                <w:lang w:eastAsia="da-DK"/>
              </w:rPr>
              <w:t>49 %</w:t>
            </w:r>
          </w:p>
        </w:tc>
        <w:tc>
          <w:tcPr>
            <w:tcW w:w="1099" w:type="dxa"/>
            <w:tcBorders>
              <w:top w:val="nil"/>
              <w:left w:val="nil"/>
              <w:bottom w:val="nil"/>
              <w:right w:val="nil"/>
            </w:tcBorders>
            <w:noWrap/>
            <w:vAlign w:val="bottom"/>
          </w:tcPr>
          <w:p w:rsidR="007A35E5" w:rsidRPr="00935D05" w:rsidRDefault="007A35E5" w:rsidP="00935D05">
            <w:pPr>
              <w:spacing w:line="240" w:lineRule="auto"/>
              <w:jc w:val="center"/>
              <w:rPr>
                <w:rFonts w:asciiTheme="minorHAnsi" w:hAnsiTheme="minorHAnsi"/>
                <w:b/>
                <w:color w:val="000000"/>
                <w:sz w:val="20"/>
                <w:szCs w:val="20"/>
                <w:lang w:eastAsia="da-DK"/>
              </w:rPr>
            </w:pPr>
            <w:r w:rsidRPr="00935D05">
              <w:rPr>
                <w:rFonts w:asciiTheme="minorHAnsi" w:hAnsiTheme="minorHAnsi"/>
                <w:b/>
                <w:color w:val="000000"/>
                <w:sz w:val="20"/>
                <w:szCs w:val="20"/>
                <w:lang w:eastAsia="da-DK"/>
              </w:rPr>
              <w:t>C</w:t>
            </w:r>
            <w:r w:rsidR="00935D05">
              <w:rPr>
                <w:rFonts w:asciiTheme="minorHAnsi" w:hAnsiTheme="minorHAnsi"/>
                <w:b/>
                <w:color w:val="000000"/>
                <w:sz w:val="20"/>
                <w:szCs w:val="20"/>
                <w:lang w:eastAsia="da-DK"/>
              </w:rPr>
              <w:t xml:space="preserve"> Holding</w:t>
            </w:r>
            <w:r w:rsidRPr="00935D05">
              <w:rPr>
                <w:rFonts w:asciiTheme="minorHAnsi" w:hAnsiTheme="minorHAnsi"/>
                <w:b/>
                <w:color w:val="000000"/>
                <w:sz w:val="20"/>
                <w:szCs w:val="20"/>
                <w:lang w:eastAsia="da-DK"/>
              </w:rPr>
              <w:t xml:space="preserve"> ApS </w:t>
            </w:r>
            <w:r w:rsidR="00910EE3" w:rsidRPr="00935D05">
              <w:rPr>
                <w:rFonts w:asciiTheme="minorHAnsi" w:hAnsiTheme="minorHAnsi"/>
                <w:b/>
                <w:color w:val="000000"/>
                <w:sz w:val="20"/>
                <w:szCs w:val="20"/>
                <w:lang w:eastAsia="da-DK"/>
              </w:rPr>
              <w:t>51 %</w:t>
            </w:r>
          </w:p>
        </w:tc>
        <w:tc>
          <w:tcPr>
            <w:tcW w:w="1099" w:type="dxa"/>
            <w:tcBorders>
              <w:top w:val="nil"/>
              <w:left w:val="nil"/>
              <w:bottom w:val="nil"/>
              <w:right w:val="nil"/>
            </w:tcBorders>
            <w:noWrap/>
            <w:vAlign w:val="bottom"/>
          </w:tcPr>
          <w:p w:rsidR="007A35E5" w:rsidRPr="00935D05" w:rsidRDefault="007A35E5" w:rsidP="00935D05">
            <w:pPr>
              <w:spacing w:line="240" w:lineRule="auto"/>
              <w:jc w:val="center"/>
              <w:rPr>
                <w:rFonts w:asciiTheme="minorHAnsi" w:hAnsiTheme="minorHAnsi"/>
                <w:b/>
                <w:color w:val="000000"/>
                <w:sz w:val="20"/>
                <w:szCs w:val="20"/>
                <w:lang w:eastAsia="da-DK"/>
              </w:rPr>
            </w:pPr>
            <w:r w:rsidRPr="00935D05">
              <w:rPr>
                <w:rFonts w:asciiTheme="minorHAnsi" w:hAnsiTheme="minorHAnsi"/>
                <w:b/>
                <w:color w:val="000000"/>
                <w:sz w:val="20"/>
                <w:szCs w:val="20"/>
                <w:lang w:eastAsia="da-DK"/>
              </w:rPr>
              <w:t>Ydelse</w:t>
            </w:r>
          </w:p>
        </w:tc>
        <w:tc>
          <w:tcPr>
            <w:tcW w:w="1163" w:type="dxa"/>
            <w:tcBorders>
              <w:top w:val="nil"/>
              <w:left w:val="nil"/>
              <w:bottom w:val="nil"/>
              <w:right w:val="nil"/>
            </w:tcBorders>
            <w:noWrap/>
            <w:vAlign w:val="bottom"/>
          </w:tcPr>
          <w:p w:rsidR="007A35E5" w:rsidRPr="00935D05" w:rsidRDefault="00935D05" w:rsidP="00935D05">
            <w:pPr>
              <w:spacing w:line="240" w:lineRule="auto"/>
              <w:jc w:val="center"/>
              <w:rPr>
                <w:rFonts w:asciiTheme="minorHAnsi" w:hAnsiTheme="minorHAnsi"/>
                <w:b/>
                <w:color w:val="000000"/>
                <w:sz w:val="20"/>
                <w:szCs w:val="20"/>
                <w:lang w:eastAsia="da-DK"/>
              </w:rPr>
            </w:pPr>
            <w:r>
              <w:rPr>
                <w:rFonts w:asciiTheme="minorHAnsi" w:hAnsiTheme="minorHAnsi"/>
                <w:b/>
                <w:color w:val="000000"/>
                <w:sz w:val="20"/>
                <w:szCs w:val="20"/>
                <w:lang w:eastAsia="da-DK"/>
              </w:rPr>
              <w:t>U</w:t>
            </w:r>
            <w:r w:rsidR="007A35E5" w:rsidRPr="00935D05">
              <w:rPr>
                <w:rFonts w:asciiTheme="minorHAnsi" w:hAnsiTheme="minorHAnsi"/>
                <w:b/>
                <w:color w:val="000000"/>
                <w:sz w:val="20"/>
                <w:szCs w:val="20"/>
                <w:lang w:eastAsia="da-DK"/>
              </w:rPr>
              <w:t>dbytte dat</w:t>
            </w:r>
            <w:r>
              <w:rPr>
                <w:rFonts w:asciiTheme="minorHAnsi" w:hAnsiTheme="minorHAnsi"/>
                <w:b/>
                <w:color w:val="000000"/>
                <w:sz w:val="20"/>
                <w:szCs w:val="20"/>
                <w:lang w:eastAsia="da-DK"/>
              </w:rPr>
              <w:t>ter pv</w:t>
            </w:r>
            <w:r w:rsidR="007A35E5" w:rsidRPr="00935D05">
              <w:rPr>
                <w:rFonts w:asciiTheme="minorHAnsi" w:hAnsiTheme="minorHAnsi"/>
                <w:b/>
                <w:color w:val="000000"/>
                <w:sz w:val="20"/>
                <w:szCs w:val="20"/>
                <w:lang w:eastAsia="da-DK"/>
              </w:rPr>
              <w:t>.</w:t>
            </w:r>
          </w:p>
        </w:tc>
        <w:tc>
          <w:tcPr>
            <w:tcW w:w="1020" w:type="dxa"/>
            <w:tcBorders>
              <w:top w:val="nil"/>
              <w:left w:val="nil"/>
              <w:bottom w:val="nil"/>
              <w:right w:val="nil"/>
            </w:tcBorders>
            <w:noWrap/>
            <w:vAlign w:val="bottom"/>
          </w:tcPr>
          <w:p w:rsidR="007A35E5" w:rsidRPr="00935D05" w:rsidRDefault="007A35E5" w:rsidP="00935D05">
            <w:pPr>
              <w:spacing w:line="240" w:lineRule="auto"/>
              <w:jc w:val="center"/>
              <w:rPr>
                <w:rFonts w:asciiTheme="minorHAnsi" w:hAnsiTheme="minorHAnsi"/>
                <w:b/>
                <w:color w:val="000000"/>
                <w:sz w:val="20"/>
                <w:szCs w:val="20"/>
                <w:lang w:eastAsia="da-DK"/>
              </w:rPr>
            </w:pPr>
            <w:r w:rsidRPr="00935D05">
              <w:rPr>
                <w:rFonts w:asciiTheme="minorHAnsi" w:hAnsiTheme="minorHAnsi"/>
                <w:b/>
                <w:color w:val="000000"/>
                <w:sz w:val="20"/>
                <w:szCs w:val="20"/>
                <w:lang w:eastAsia="da-DK"/>
              </w:rPr>
              <w:t>Afdrag pv. gæld</w:t>
            </w:r>
          </w:p>
        </w:tc>
        <w:tc>
          <w:tcPr>
            <w:tcW w:w="1073" w:type="dxa"/>
            <w:tcBorders>
              <w:top w:val="nil"/>
              <w:left w:val="nil"/>
              <w:bottom w:val="nil"/>
              <w:right w:val="nil"/>
            </w:tcBorders>
            <w:noWrap/>
            <w:vAlign w:val="bottom"/>
          </w:tcPr>
          <w:p w:rsidR="007A35E5" w:rsidRPr="00935D05" w:rsidRDefault="007A35E5" w:rsidP="00935D05">
            <w:pPr>
              <w:spacing w:line="240" w:lineRule="auto"/>
              <w:jc w:val="center"/>
              <w:rPr>
                <w:rFonts w:asciiTheme="minorHAnsi" w:hAnsiTheme="minorHAnsi"/>
                <w:b/>
                <w:color w:val="000000"/>
                <w:sz w:val="20"/>
                <w:szCs w:val="20"/>
                <w:lang w:eastAsia="da-DK"/>
              </w:rPr>
            </w:pPr>
            <w:r w:rsidRPr="00935D05">
              <w:rPr>
                <w:rFonts w:asciiTheme="minorHAnsi" w:hAnsiTheme="minorHAnsi"/>
                <w:b/>
                <w:color w:val="000000"/>
                <w:sz w:val="20"/>
                <w:szCs w:val="20"/>
                <w:lang w:eastAsia="da-DK"/>
              </w:rPr>
              <w:t>Overskud</w:t>
            </w:r>
          </w:p>
        </w:tc>
      </w:tr>
      <w:tr w:rsidR="007A35E5" w:rsidRPr="00935D05" w:rsidTr="000A1807">
        <w:trPr>
          <w:trHeight w:val="15"/>
        </w:trPr>
        <w:tc>
          <w:tcPr>
            <w:tcW w:w="621"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236"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333" w:type="dxa"/>
            <w:tcBorders>
              <w:top w:val="nil"/>
              <w:left w:val="nil"/>
              <w:bottom w:val="single" w:sz="4" w:space="0" w:color="auto"/>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p>
        </w:tc>
        <w:tc>
          <w:tcPr>
            <w:tcW w:w="1099"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99"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163"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20"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73"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r>
      <w:tr w:rsidR="007A35E5" w:rsidRPr="00935D05" w:rsidTr="000A1807">
        <w:trPr>
          <w:trHeight w:val="323"/>
        </w:trPr>
        <w:tc>
          <w:tcPr>
            <w:tcW w:w="621"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b/>
                <w:bCs/>
                <w:color w:val="000000"/>
                <w:sz w:val="20"/>
                <w:szCs w:val="20"/>
                <w:lang w:eastAsia="da-DK"/>
              </w:rPr>
            </w:pPr>
            <w:r w:rsidRPr="00935D05">
              <w:rPr>
                <w:rFonts w:asciiTheme="minorHAnsi" w:hAnsiTheme="minorHAnsi"/>
                <w:b/>
                <w:bCs/>
                <w:color w:val="000000"/>
                <w:sz w:val="20"/>
                <w:szCs w:val="20"/>
                <w:lang w:eastAsia="da-DK"/>
              </w:rPr>
              <w:t>2008</w:t>
            </w:r>
          </w:p>
        </w:tc>
        <w:tc>
          <w:tcPr>
            <w:tcW w:w="1236"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1.125.000</w:t>
            </w:r>
          </w:p>
        </w:tc>
        <w:tc>
          <w:tcPr>
            <w:tcW w:w="1333"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551.250</w:t>
            </w:r>
          </w:p>
        </w:tc>
        <w:tc>
          <w:tcPr>
            <w:tcW w:w="1099"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573.750</w:t>
            </w:r>
          </w:p>
        </w:tc>
        <w:tc>
          <w:tcPr>
            <w:tcW w:w="1099"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471.707</w:t>
            </w:r>
          </w:p>
        </w:tc>
        <w:tc>
          <w:tcPr>
            <w:tcW w:w="1163"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93.400</w:t>
            </w:r>
          </w:p>
        </w:tc>
        <w:tc>
          <w:tcPr>
            <w:tcW w:w="1020"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67.248</w:t>
            </w:r>
          </w:p>
        </w:tc>
        <w:tc>
          <w:tcPr>
            <w:tcW w:w="1073"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8.643</w:t>
            </w:r>
          </w:p>
        </w:tc>
      </w:tr>
      <w:tr w:rsidR="007A35E5" w:rsidRPr="00935D05" w:rsidTr="000A1807">
        <w:trPr>
          <w:trHeight w:val="323"/>
        </w:trPr>
        <w:tc>
          <w:tcPr>
            <w:tcW w:w="621"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b/>
                <w:bCs/>
                <w:color w:val="000000"/>
                <w:sz w:val="20"/>
                <w:szCs w:val="20"/>
                <w:lang w:eastAsia="da-DK"/>
              </w:rPr>
            </w:pPr>
            <w:r w:rsidRPr="00935D05">
              <w:rPr>
                <w:rFonts w:asciiTheme="minorHAnsi" w:hAnsiTheme="minorHAnsi"/>
                <w:b/>
                <w:bCs/>
                <w:color w:val="000000"/>
                <w:sz w:val="20"/>
                <w:szCs w:val="20"/>
                <w:lang w:eastAsia="da-DK"/>
              </w:rPr>
              <w:t>2009</w:t>
            </w:r>
          </w:p>
        </w:tc>
        <w:tc>
          <w:tcPr>
            <w:tcW w:w="1236"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1.125.000</w:t>
            </w:r>
          </w:p>
        </w:tc>
        <w:tc>
          <w:tcPr>
            <w:tcW w:w="133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551.250</w:t>
            </w:r>
          </w:p>
        </w:tc>
        <w:tc>
          <w:tcPr>
            <w:tcW w:w="1099"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573.750</w:t>
            </w:r>
          </w:p>
        </w:tc>
        <w:tc>
          <w:tcPr>
            <w:tcW w:w="1099"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471.707</w:t>
            </w:r>
          </w:p>
        </w:tc>
        <w:tc>
          <w:tcPr>
            <w:tcW w:w="116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93.400</w:t>
            </w:r>
          </w:p>
        </w:tc>
        <w:tc>
          <w:tcPr>
            <w:tcW w:w="1020"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67.248</w:t>
            </w:r>
          </w:p>
        </w:tc>
        <w:tc>
          <w:tcPr>
            <w:tcW w:w="107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8.643</w:t>
            </w:r>
          </w:p>
        </w:tc>
      </w:tr>
      <w:tr w:rsidR="007A35E5" w:rsidRPr="00935D05" w:rsidTr="000A1807">
        <w:trPr>
          <w:trHeight w:val="323"/>
        </w:trPr>
        <w:tc>
          <w:tcPr>
            <w:tcW w:w="621"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b/>
                <w:bCs/>
                <w:color w:val="000000"/>
                <w:sz w:val="20"/>
                <w:szCs w:val="20"/>
                <w:lang w:eastAsia="da-DK"/>
              </w:rPr>
            </w:pPr>
            <w:r w:rsidRPr="00935D05">
              <w:rPr>
                <w:rFonts w:asciiTheme="minorHAnsi" w:hAnsiTheme="minorHAnsi"/>
                <w:b/>
                <w:bCs/>
                <w:color w:val="000000"/>
                <w:sz w:val="20"/>
                <w:szCs w:val="20"/>
                <w:lang w:eastAsia="da-DK"/>
              </w:rPr>
              <w:t>2010</w:t>
            </w:r>
          </w:p>
        </w:tc>
        <w:tc>
          <w:tcPr>
            <w:tcW w:w="1236"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1.125.000</w:t>
            </w:r>
          </w:p>
        </w:tc>
        <w:tc>
          <w:tcPr>
            <w:tcW w:w="133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551.250</w:t>
            </w:r>
          </w:p>
        </w:tc>
        <w:tc>
          <w:tcPr>
            <w:tcW w:w="1099"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573.750</w:t>
            </w:r>
          </w:p>
        </w:tc>
        <w:tc>
          <w:tcPr>
            <w:tcW w:w="1099"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471.707</w:t>
            </w:r>
          </w:p>
        </w:tc>
        <w:tc>
          <w:tcPr>
            <w:tcW w:w="116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93.400</w:t>
            </w:r>
          </w:p>
        </w:tc>
        <w:tc>
          <w:tcPr>
            <w:tcW w:w="1020" w:type="dxa"/>
            <w:tcBorders>
              <w:top w:val="nil"/>
              <w:left w:val="nil"/>
              <w:bottom w:val="nil"/>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7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8.643</w:t>
            </w:r>
          </w:p>
        </w:tc>
      </w:tr>
      <w:tr w:rsidR="007A35E5" w:rsidRPr="00935D05" w:rsidTr="000A1807">
        <w:trPr>
          <w:trHeight w:val="323"/>
        </w:trPr>
        <w:tc>
          <w:tcPr>
            <w:tcW w:w="621"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b/>
                <w:bCs/>
                <w:color w:val="000000"/>
                <w:sz w:val="20"/>
                <w:szCs w:val="20"/>
                <w:lang w:eastAsia="da-DK"/>
              </w:rPr>
            </w:pPr>
            <w:r w:rsidRPr="00935D05">
              <w:rPr>
                <w:rFonts w:asciiTheme="minorHAnsi" w:hAnsiTheme="minorHAnsi"/>
                <w:b/>
                <w:bCs/>
                <w:color w:val="000000"/>
                <w:sz w:val="20"/>
                <w:szCs w:val="20"/>
                <w:lang w:eastAsia="da-DK"/>
              </w:rPr>
              <w:t>2011</w:t>
            </w:r>
          </w:p>
        </w:tc>
        <w:tc>
          <w:tcPr>
            <w:tcW w:w="1236"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1.125.000</w:t>
            </w:r>
          </w:p>
        </w:tc>
        <w:tc>
          <w:tcPr>
            <w:tcW w:w="133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551.250</w:t>
            </w:r>
          </w:p>
        </w:tc>
        <w:tc>
          <w:tcPr>
            <w:tcW w:w="1099"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573.750</w:t>
            </w:r>
          </w:p>
        </w:tc>
        <w:tc>
          <w:tcPr>
            <w:tcW w:w="1099"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471.707</w:t>
            </w:r>
          </w:p>
        </w:tc>
        <w:tc>
          <w:tcPr>
            <w:tcW w:w="116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93.400</w:t>
            </w:r>
          </w:p>
        </w:tc>
        <w:tc>
          <w:tcPr>
            <w:tcW w:w="1020" w:type="dxa"/>
            <w:tcBorders>
              <w:top w:val="nil"/>
              <w:left w:val="nil"/>
              <w:bottom w:val="nil"/>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7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8.643</w:t>
            </w:r>
          </w:p>
        </w:tc>
      </w:tr>
      <w:tr w:rsidR="007A35E5" w:rsidRPr="00935D05" w:rsidTr="000A1807">
        <w:trPr>
          <w:trHeight w:val="15"/>
        </w:trPr>
        <w:tc>
          <w:tcPr>
            <w:tcW w:w="621" w:type="dxa"/>
            <w:tcBorders>
              <w:top w:val="nil"/>
              <w:left w:val="nil"/>
              <w:bottom w:val="nil"/>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236" w:type="dxa"/>
            <w:tcBorders>
              <w:top w:val="nil"/>
              <w:left w:val="nil"/>
              <w:bottom w:val="nil"/>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333"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99"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99"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163"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20" w:type="dxa"/>
            <w:tcBorders>
              <w:top w:val="nil"/>
              <w:left w:val="nil"/>
              <w:bottom w:val="single" w:sz="4" w:space="0" w:color="auto"/>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073" w:type="dxa"/>
            <w:tcBorders>
              <w:top w:val="nil"/>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p>
        </w:tc>
      </w:tr>
      <w:tr w:rsidR="007A35E5" w:rsidRPr="00935D05" w:rsidTr="000A1807">
        <w:trPr>
          <w:trHeight w:val="323"/>
        </w:trPr>
        <w:tc>
          <w:tcPr>
            <w:tcW w:w="621" w:type="dxa"/>
            <w:tcBorders>
              <w:top w:val="nil"/>
              <w:left w:val="nil"/>
              <w:bottom w:val="nil"/>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236" w:type="dxa"/>
            <w:tcBorders>
              <w:top w:val="nil"/>
              <w:left w:val="nil"/>
              <w:bottom w:val="nil"/>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c>
          <w:tcPr>
            <w:tcW w:w="1333"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2.205.000</w:t>
            </w:r>
          </w:p>
        </w:tc>
        <w:tc>
          <w:tcPr>
            <w:tcW w:w="1099"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2.295.000</w:t>
            </w:r>
          </w:p>
        </w:tc>
        <w:tc>
          <w:tcPr>
            <w:tcW w:w="1099"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1.886.828</w:t>
            </w:r>
          </w:p>
        </w:tc>
        <w:tc>
          <w:tcPr>
            <w:tcW w:w="1163"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373.600</w:t>
            </w:r>
          </w:p>
        </w:tc>
        <w:tc>
          <w:tcPr>
            <w:tcW w:w="1020" w:type="dxa"/>
            <w:tcBorders>
              <w:top w:val="single" w:sz="4" w:space="0" w:color="auto"/>
              <w:left w:val="nil"/>
              <w:bottom w:val="nil"/>
              <w:right w:val="nil"/>
            </w:tcBorders>
            <w:noWrap/>
            <w:vAlign w:val="bottom"/>
          </w:tcPr>
          <w:p w:rsidR="007A35E5" w:rsidRPr="00935D05" w:rsidRDefault="007A35E5" w:rsidP="00CD6C19">
            <w:pPr>
              <w:spacing w:line="240" w:lineRule="auto"/>
              <w:jc w:val="right"/>
              <w:rPr>
                <w:rFonts w:asciiTheme="minorHAnsi" w:hAnsiTheme="minorHAnsi"/>
                <w:color w:val="000000"/>
                <w:sz w:val="20"/>
                <w:szCs w:val="20"/>
                <w:lang w:eastAsia="da-DK"/>
              </w:rPr>
            </w:pPr>
            <w:r w:rsidRPr="00935D05">
              <w:rPr>
                <w:rFonts w:asciiTheme="minorHAnsi" w:hAnsiTheme="minorHAnsi"/>
                <w:color w:val="000000"/>
                <w:sz w:val="20"/>
                <w:szCs w:val="20"/>
                <w:lang w:eastAsia="da-DK"/>
              </w:rPr>
              <w:t>134.496</w:t>
            </w:r>
          </w:p>
        </w:tc>
        <w:tc>
          <w:tcPr>
            <w:tcW w:w="1073" w:type="dxa"/>
            <w:tcBorders>
              <w:top w:val="nil"/>
              <w:left w:val="nil"/>
              <w:bottom w:val="nil"/>
              <w:right w:val="nil"/>
            </w:tcBorders>
            <w:noWrap/>
            <w:vAlign w:val="bottom"/>
          </w:tcPr>
          <w:p w:rsidR="007A35E5" w:rsidRPr="00935D05" w:rsidRDefault="007A35E5" w:rsidP="00CD6C19">
            <w:pPr>
              <w:spacing w:line="240" w:lineRule="auto"/>
              <w:jc w:val="left"/>
              <w:rPr>
                <w:rFonts w:asciiTheme="minorHAnsi" w:hAnsiTheme="minorHAnsi"/>
                <w:color w:val="000000"/>
                <w:sz w:val="20"/>
                <w:szCs w:val="20"/>
                <w:lang w:eastAsia="da-DK"/>
              </w:rPr>
            </w:pPr>
          </w:p>
        </w:tc>
      </w:tr>
    </w:tbl>
    <w:p w:rsidR="007A35E5" w:rsidRDefault="00270C4A" w:rsidP="00270C4A">
      <w:pPr>
        <w:pStyle w:val="Billedtekst"/>
      </w:pPr>
      <w:bookmarkStart w:id="154" w:name="_Toc218751416"/>
      <w:r>
        <w:t xml:space="preserve">Figur </w:t>
      </w:r>
      <w:fldSimple w:instr=" SEQ Figur \* ARABIC ">
        <w:r w:rsidR="000F066D">
          <w:rPr>
            <w:noProof/>
          </w:rPr>
          <w:t>34</w:t>
        </w:r>
      </w:fldSimple>
      <w:r w:rsidR="009E7B56">
        <w:t xml:space="preserve"> Likviditetsoversigt ved optagelse af lån og efterfølgende afvikling heraf</w:t>
      </w:r>
      <w:bookmarkEnd w:id="154"/>
    </w:p>
    <w:p w:rsidR="007A35E5" w:rsidRPr="0078054D" w:rsidRDefault="007A35E5" w:rsidP="0078054D">
      <w:pPr>
        <w:rPr>
          <w:lang w:eastAsia="da-DK"/>
        </w:rPr>
      </w:pPr>
    </w:p>
    <w:p w:rsidR="007A35E5" w:rsidRPr="0078054D" w:rsidRDefault="007A35E5" w:rsidP="0078054D">
      <w:pPr>
        <w:rPr>
          <w:color w:val="000000"/>
          <w:szCs w:val="24"/>
          <w:lang w:eastAsia="da-DK"/>
        </w:rPr>
      </w:pPr>
      <w:r w:rsidRPr="0078054D">
        <w:rPr>
          <w:color w:val="000000"/>
          <w:szCs w:val="24"/>
          <w:lang w:eastAsia="da-DK"/>
        </w:rPr>
        <w:t>De 125 tkr. har en amortiseret kostpris ved 9 % på 138 tkr., hvis de tilbagebetales på 2 år med 4 ydelser pr. år. Der skal dermed ca. 2 års udbytte til 28 % beskatning, for at tilbagebetale de 125 tkr. indskudt privat.</w:t>
      </w:r>
    </w:p>
    <w:p w:rsidR="007A35E5" w:rsidRPr="0078054D" w:rsidRDefault="007A35E5" w:rsidP="0078054D">
      <w:pPr>
        <w:rPr>
          <w:color w:val="000000"/>
          <w:szCs w:val="24"/>
          <w:lang w:eastAsia="da-DK"/>
        </w:rPr>
      </w:pPr>
      <w:r w:rsidRPr="0078054D">
        <w:rPr>
          <w:color w:val="000000"/>
          <w:szCs w:val="24"/>
          <w:lang w:eastAsia="da-DK"/>
        </w:rPr>
        <w:t xml:space="preserve">Hvis det antages at datteren kan overtage de 51 % til værdien på omdannelsesdagen på 1.509.500 (4.009.750 uden ejendom, prioritetsgæld og udskudt skat heraf), skal hun tegne for 1.539.690. Det giver en samlet egenkapital på </w:t>
      </w:r>
      <w:r>
        <w:rPr>
          <w:color w:val="000000"/>
          <w:szCs w:val="24"/>
          <w:lang w:eastAsia="da-DK"/>
        </w:rPr>
        <w:t>3.049.190. Hun skal derfor i C H</w:t>
      </w:r>
      <w:r w:rsidRPr="0078054D">
        <w:rPr>
          <w:color w:val="000000"/>
          <w:szCs w:val="24"/>
          <w:lang w:eastAsia="da-DK"/>
        </w:rPr>
        <w:t>olding</w:t>
      </w:r>
      <w:r>
        <w:rPr>
          <w:color w:val="000000"/>
          <w:szCs w:val="24"/>
          <w:lang w:eastAsia="da-DK"/>
        </w:rPr>
        <w:t xml:space="preserve"> ApS</w:t>
      </w:r>
      <w:r w:rsidRPr="0078054D">
        <w:rPr>
          <w:color w:val="000000"/>
          <w:szCs w:val="24"/>
          <w:lang w:eastAsia="da-DK"/>
        </w:rPr>
        <w:t xml:space="preserve"> optage et lån på 1.540.000 - 125.000 = 1.415.000, hvor der løber 113.200 i renter på d</w:t>
      </w:r>
      <w:r>
        <w:rPr>
          <w:color w:val="000000"/>
          <w:szCs w:val="24"/>
          <w:lang w:eastAsia="da-DK"/>
        </w:rPr>
        <w:t>et første år, hvor der ikke betales ydelser, da der endnu ikke er udloddet udbytte</w:t>
      </w:r>
      <w:r w:rsidRPr="0078054D">
        <w:rPr>
          <w:color w:val="000000"/>
          <w:szCs w:val="24"/>
          <w:lang w:eastAsia="da-DK"/>
        </w:rPr>
        <w:t xml:space="preserve">. </w:t>
      </w:r>
      <w:r w:rsidR="000A1807">
        <w:rPr>
          <w:color w:val="000000"/>
          <w:szCs w:val="24"/>
          <w:lang w:eastAsia="da-DK"/>
        </w:rPr>
        <w:t>Til en amortiseret kostpris på 9</w:t>
      </w:r>
      <w:r w:rsidRPr="0078054D">
        <w:rPr>
          <w:color w:val="000000"/>
          <w:szCs w:val="24"/>
          <w:lang w:eastAsia="da-DK"/>
        </w:rPr>
        <w:t xml:space="preserve"> % med kun en ydelse årligt, der forfalder umiddelbart efter udbytteudbetalingerne, skal der i alt betales ydelser på 1.846</w:t>
      </w:r>
      <w:r w:rsidR="00AD65DE">
        <w:rPr>
          <w:color w:val="000000"/>
          <w:szCs w:val="24"/>
          <w:lang w:eastAsia="da-DK"/>
        </w:rPr>
        <w:t xml:space="preserve"> tkr.</w:t>
      </w:r>
      <w:r w:rsidRPr="0078054D">
        <w:rPr>
          <w:color w:val="000000"/>
          <w:szCs w:val="24"/>
          <w:lang w:eastAsia="da-DK"/>
        </w:rPr>
        <w:t xml:space="preserve"> Datterens holding kan afdrage gælden på 4 år med ca. 472 tkr. i årligt afdrag. Det giver hende alle år et likviditetsoverskud i holding på ca. 9 tkr. om året til administration</w:t>
      </w:r>
      <w:r w:rsidRPr="0078054D">
        <w:rPr>
          <w:color w:val="000000"/>
          <w:szCs w:val="24"/>
          <w:lang w:eastAsia="da-DK"/>
        </w:rPr>
        <w:t>s</w:t>
      </w:r>
      <w:r w:rsidRPr="0078054D">
        <w:rPr>
          <w:color w:val="000000"/>
          <w:szCs w:val="24"/>
          <w:lang w:eastAsia="da-DK"/>
        </w:rPr>
        <w:t>omkostninger.</w:t>
      </w:r>
    </w:p>
    <w:p w:rsidR="00225A78" w:rsidRDefault="00225A78" w:rsidP="009E3DD5">
      <w:pPr>
        <w:rPr>
          <w:lang w:eastAsia="da-DK"/>
        </w:rPr>
      </w:pPr>
      <w:r>
        <w:rPr>
          <w:lang w:eastAsia="da-DK"/>
        </w:rPr>
        <w:t xml:space="preserve">Et alternativ til at datteren skal låne pengene i et pengeinstitut er et gældsbrev udstedt til farens holding. Fordelen er her at hun undgår at skal stille sikkerhed for lånet, hvor sikkerheden ofte også indebære en personlig kaution eller anden sikkerhedsstillelse med private aktiver f.eks. boligen. </w:t>
      </w:r>
    </w:p>
    <w:p w:rsidR="007A35E5" w:rsidRDefault="007A35E5" w:rsidP="009E3DD5">
      <w:pPr>
        <w:rPr>
          <w:lang w:eastAsia="da-DK"/>
        </w:rPr>
      </w:pPr>
      <w:r>
        <w:rPr>
          <w:lang w:eastAsia="da-DK"/>
        </w:rPr>
        <w:lastRenderedPageBreak/>
        <w:t xml:space="preserve">Efterfølgende køber driftsselskabet egne aktier tilbage af A&amp;B Holding ApS, som kan sælge skattefrit og foretager en kapitalnedsættelse. Derved bliver C Holding eneejer efter 3 år. </w:t>
      </w:r>
    </w:p>
    <w:p w:rsidR="007A35E5" w:rsidRDefault="007A35E5" w:rsidP="00425B4B">
      <w:pPr>
        <w:rPr>
          <w:lang w:eastAsia="da-DK"/>
        </w:rPr>
      </w:pPr>
      <w:r w:rsidRPr="00425B4B">
        <w:rPr>
          <w:lang w:eastAsia="da-DK"/>
        </w:rPr>
        <w:t>A&amp;B Holding ApS kan spaltes uden tilladelse, hvis A og B af ønsker hvert sit selskab. Det kan skyldes forskellige ønsker til udbytte eller planer om nye aktiviteter.</w:t>
      </w:r>
    </w:p>
    <w:p w:rsidR="000B2DF3" w:rsidRDefault="000B2DF3" w:rsidP="00425B4B"/>
    <w:p w:rsidR="000B2DF3" w:rsidRPr="000A3903" w:rsidRDefault="000F6B41" w:rsidP="000A3903">
      <w:pPr>
        <w:rPr>
          <w:b/>
        </w:rPr>
      </w:pPr>
      <w:r w:rsidRPr="000A3903">
        <w:rPr>
          <w:b/>
        </w:rPr>
        <w:t>Fordele og ulemper ved aktieombytning og lån i holding</w:t>
      </w:r>
    </w:p>
    <w:p w:rsidR="000A3903" w:rsidRPr="000A3903" w:rsidRDefault="000A3903" w:rsidP="000A3903"/>
    <w:tbl>
      <w:tblPr>
        <w:tblW w:w="5000" w:type="pct"/>
        <w:tblLook w:val="01E0"/>
      </w:tblPr>
      <w:tblGrid>
        <w:gridCol w:w="4360"/>
        <w:gridCol w:w="4360"/>
      </w:tblGrid>
      <w:tr w:rsidR="000B2DF3" w:rsidTr="00910EE3">
        <w:tc>
          <w:tcPr>
            <w:tcW w:w="2500" w:type="pct"/>
            <w:tcBorders>
              <w:left w:val="single" w:sz="4" w:space="0" w:color="auto"/>
              <w:bottom w:val="single" w:sz="4" w:space="0" w:color="auto"/>
              <w:right w:val="single" w:sz="4" w:space="0" w:color="auto"/>
            </w:tcBorders>
          </w:tcPr>
          <w:p w:rsidR="000B2DF3" w:rsidRDefault="000B2DF3" w:rsidP="00910EE3">
            <w:r>
              <w:t>Fordele</w:t>
            </w:r>
          </w:p>
        </w:tc>
        <w:tc>
          <w:tcPr>
            <w:tcW w:w="2500" w:type="pct"/>
            <w:tcBorders>
              <w:left w:val="single" w:sz="4" w:space="0" w:color="auto"/>
              <w:bottom w:val="single" w:sz="4" w:space="0" w:color="auto"/>
              <w:right w:val="single" w:sz="4" w:space="0" w:color="auto"/>
            </w:tcBorders>
          </w:tcPr>
          <w:p w:rsidR="000B2DF3" w:rsidRDefault="000B2DF3" w:rsidP="00910EE3">
            <w:r>
              <w:t>Ulemper</w:t>
            </w:r>
          </w:p>
        </w:tc>
      </w:tr>
      <w:tr w:rsidR="000B2DF3" w:rsidTr="00910EE3">
        <w:tc>
          <w:tcPr>
            <w:tcW w:w="2500" w:type="pct"/>
            <w:tcBorders>
              <w:top w:val="single" w:sz="4" w:space="0" w:color="auto"/>
              <w:left w:val="single" w:sz="4" w:space="0" w:color="auto"/>
              <w:bottom w:val="single" w:sz="4" w:space="0" w:color="auto"/>
              <w:right w:val="single" w:sz="4" w:space="0" w:color="auto"/>
            </w:tcBorders>
          </w:tcPr>
          <w:p w:rsidR="000B2DF3" w:rsidRDefault="000B2DF3" w:rsidP="002F4E41">
            <w:pPr>
              <w:numPr>
                <w:ilvl w:val="0"/>
                <w:numId w:val="16"/>
              </w:numPr>
              <w:spacing w:line="240" w:lineRule="auto"/>
              <w:jc w:val="left"/>
            </w:pPr>
            <w:r>
              <w:t xml:space="preserve">Datteren </w:t>
            </w:r>
            <w:r w:rsidR="000D69E2">
              <w:t>for ingen eller en begrænset</w:t>
            </w:r>
            <w:r>
              <w:t xml:space="preserve"> hæfte</w:t>
            </w:r>
            <w:r w:rsidR="000D69E2">
              <w:t>lse</w:t>
            </w:r>
            <w:r>
              <w:t xml:space="preserve"> personligt for gælden til te</w:t>
            </w:r>
            <w:r>
              <w:t>g</w:t>
            </w:r>
            <w:r>
              <w:t>ning af kapitalforhøjelse</w:t>
            </w:r>
            <w:r w:rsidR="000D69E2">
              <w:t xml:space="preserve"> </w:t>
            </w:r>
          </w:p>
          <w:p w:rsidR="000B2DF3" w:rsidRDefault="000B2DF3" w:rsidP="002F4E41">
            <w:pPr>
              <w:numPr>
                <w:ilvl w:val="0"/>
                <w:numId w:val="16"/>
              </w:numPr>
              <w:spacing w:line="240" w:lineRule="auto"/>
              <w:jc w:val="left"/>
            </w:pPr>
            <w:r>
              <w:t>Renteudgifter i datterens holding kan udnyttes i sambeskatning</w:t>
            </w:r>
          </w:p>
          <w:p w:rsidR="000B2DF3" w:rsidRDefault="000B2DF3" w:rsidP="002F4E41">
            <w:pPr>
              <w:numPr>
                <w:ilvl w:val="0"/>
                <w:numId w:val="16"/>
              </w:numPr>
              <w:spacing w:line="240" w:lineRule="auto"/>
              <w:jc w:val="left"/>
            </w:pPr>
            <w:r>
              <w:t>Nytegning af selskabskapital giver l</w:t>
            </w:r>
            <w:r>
              <w:t>i</w:t>
            </w:r>
            <w:r>
              <w:t>kviditet i selskabet</w:t>
            </w:r>
          </w:p>
          <w:p w:rsidR="000B2DF3" w:rsidRDefault="000B2DF3" w:rsidP="002F4E41">
            <w:pPr>
              <w:numPr>
                <w:ilvl w:val="0"/>
                <w:numId w:val="16"/>
              </w:numPr>
              <w:spacing w:line="240" w:lineRule="auto"/>
              <w:jc w:val="left"/>
            </w:pPr>
            <w:r>
              <w:t>Glidende overgang</w:t>
            </w:r>
            <w:r w:rsidR="009D45A7">
              <w:t>, da datter først bliver medejer</w:t>
            </w:r>
          </w:p>
        </w:tc>
        <w:tc>
          <w:tcPr>
            <w:tcW w:w="2500" w:type="pct"/>
            <w:tcBorders>
              <w:top w:val="single" w:sz="4" w:space="0" w:color="auto"/>
              <w:left w:val="single" w:sz="4" w:space="0" w:color="auto"/>
              <w:bottom w:val="single" w:sz="4" w:space="0" w:color="auto"/>
              <w:right w:val="single" w:sz="4" w:space="0" w:color="auto"/>
            </w:tcBorders>
          </w:tcPr>
          <w:p w:rsidR="000B2DF3" w:rsidRDefault="000B2DF3" w:rsidP="002F4E41">
            <w:pPr>
              <w:numPr>
                <w:ilvl w:val="0"/>
                <w:numId w:val="16"/>
              </w:numPr>
              <w:spacing w:line="240" w:lineRule="auto"/>
              <w:jc w:val="left"/>
            </w:pPr>
            <w:r>
              <w:t>Udbyttebegrænsningen nedsætter muligheden for at afdrage på gælden i datterens holding</w:t>
            </w:r>
          </w:p>
          <w:p w:rsidR="000B2DF3" w:rsidRDefault="000B2DF3" w:rsidP="002F4E41">
            <w:pPr>
              <w:numPr>
                <w:ilvl w:val="0"/>
                <w:numId w:val="16"/>
              </w:numPr>
              <w:spacing w:line="240" w:lineRule="auto"/>
              <w:jc w:val="left"/>
            </w:pPr>
            <w:r>
              <w:t>Likviditetsbelastende for driftsselsk</w:t>
            </w:r>
            <w:r>
              <w:t>a</w:t>
            </w:r>
            <w:r>
              <w:t>bet, der skal finansiere købet</w:t>
            </w:r>
          </w:p>
          <w:p w:rsidR="000B2DF3" w:rsidRDefault="000B2DF3" w:rsidP="002F4E41">
            <w:pPr>
              <w:numPr>
                <w:ilvl w:val="0"/>
                <w:numId w:val="16"/>
              </w:numPr>
              <w:spacing w:line="240" w:lineRule="auto"/>
              <w:jc w:val="left"/>
            </w:pPr>
            <w:r>
              <w:t>3 års begrænsning på aktiesalg for overdrageren</w:t>
            </w:r>
          </w:p>
          <w:p w:rsidR="000B2DF3" w:rsidRDefault="000B2DF3" w:rsidP="002F4E41">
            <w:pPr>
              <w:numPr>
                <w:ilvl w:val="0"/>
                <w:numId w:val="16"/>
              </w:numPr>
              <w:spacing w:line="240" w:lineRule="auto"/>
              <w:jc w:val="left"/>
            </w:pPr>
            <w:r>
              <w:t>Større honoraromkostninger pga. o</w:t>
            </w:r>
            <w:r>
              <w:t>m</w:t>
            </w:r>
            <w:r>
              <w:t>struktureringer</w:t>
            </w:r>
          </w:p>
          <w:p w:rsidR="009D45A7" w:rsidRDefault="009D45A7" w:rsidP="002F4E41">
            <w:pPr>
              <w:numPr>
                <w:ilvl w:val="0"/>
                <w:numId w:val="16"/>
              </w:numPr>
              <w:spacing w:line="240" w:lineRule="auto"/>
              <w:jc w:val="left"/>
            </w:pPr>
            <w:r>
              <w:t>Usikkerhed om virksomhedens fre</w:t>
            </w:r>
            <w:r>
              <w:t>m</w:t>
            </w:r>
            <w:r>
              <w:t>tidige indtjening, og dermed udlo</w:t>
            </w:r>
            <w:r>
              <w:t>d</w:t>
            </w:r>
            <w:r>
              <w:t>ning af udbytte til holding til betaling af gæld.</w:t>
            </w:r>
          </w:p>
        </w:tc>
      </w:tr>
    </w:tbl>
    <w:p w:rsidR="007A35E5" w:rsidRDefault="00270C4A" w:rsidP="00270C4A">
      <w:pPr>
        <w:pStyle w:val="Billedtekst"/>
      </w:pPr>
      <w:bookmarkStart w:id="155" w:name="_Toc218751417"/>
      <w:r>
        <w:t xml:space="preserve">Figur </w:t>
      </w:r>
      <w:fldSimple w:instr=" SEQ Figur \* ARABIC ">
        <w:r w:rsidR="000F066D">
          <w:rPr>
            <w:noProof/>
          </w:rPr>
          <w:t>35</w:t>
        </w:r>
      </w:fldSimple>
      <w:r w:rsidR="009E7B56">
        <w:t xml:space="preserve"> Fordele og ulemper ved aktieombytning og overdragelse af aktier ved låneoptagelse i ho</w:t>
      </w:r>
      <w:r w:rsidR="009E7B56">
        <w:t>l</w:t>
      </w:r>
      <w:r w:rsidR="009E7B56">
        <w:t>dingselskab</w:t>
      </w:r>
      <w:bookmarkEnd w:id="155"/>
    </w:p>
    <w:p w:rsidR="007A35E5" w:rsidRPr="000A3903" w:rsidRDefault="009872D1" w:rsidP="000A3903">
      <w:pPr>
        <w:pStyle w:val="Overskrift3"/>
      </w:pPr>
      <w:bookmarkStart w:id="156" w:name="_Toc221546246"/>
      <w:r>
        <w:t>4.</w:t>
      </w:r>
      <w:r w:rsidR="000555D8">
        <w:t>4</w:t>
      </w:r>
      <w:r w:rsidR="000A3903" w:rsidRPr="000A3903">
        <w:t xml:space="preserve">.2 </w:t>
      </w:r>
      <w:r w:rsidR="007A35E5" w:rsidRPr="000A3903">
        <w:t>Aktieombytning, spaltning og succession</w:t>
      </w:r>
      <w:r w:rsidR="005E2C30">
        <w:t xml:space="preserve"> </w:t>
      </w:r>
      <w:r w:rsidR="005E2C30" w:rsidRPr="005E2C30">
        <w:rPr>
          <w:rFonts w:asciiTheme="minorHAnsi" w:hAnsiTheme="minorHAnsi"/>
          <w:b w:val="0"/>
          <w:sz w:val="22"/>
          <w:szCs w:val="22"/>
        </w:rPr>
        <w:t>(Pernille)</w:t>
      </w:r>
      <w:bookmarkEnd w:id="156"/>
    </w:p>
    <w:p w:rsidR="007A35E5" w:rsidRDefault="007A35E5" w:rsidP="003D3ECA">
      <w:r>
        <w:t>I denne model skal der også foretages en aktieombytning. Efterfølgende spaltes ho</w:t>
      </w:r>
      <w:r>
        <w:t>l</w:t>
      </w:r>
      <w:r>
        <w:t xml:space="preserve">dingselskabet, hvor der i B’s selskab indskydes likvider og i A indskydes aktierne i A&amp;B A/S. Hvis B gerne vil fortsætte og kun A vil generationsskifte, kan aktierne i A&amp;B A/S og deles ligeligt i mellem dem. Datteren kan efterfølgende løbende succedere i aktierne i A Holding A/S eller købe aktierne af A Holding A/S.  </w:t>
      </w:r>
    </w:p>
    <w:p w:rsidR="007A35E5" w:rsidRDefault="007A35E5" w:rsidP="003D3ECA"/>
    <w:p w:rsidR="002D7778" w:rsidRDefault="00012FAC" w:rsidP="003D3ECA">
      <w:pPr>
        <w:rPr>
          <w:noProof/>
          <w:lang w:eastAsia="da-DK"/>
        </w:rPr>
      </w:pPr>
      <w:r>
        <w:rPr>
          <w:noProof/>
          <w:lang w:eastAsia="da-DK"/>
        </w:rPr>
        <w:lastRenderedPageBreak/>
        <w:pict>
          <v:shape id="_x0000_i1030" type="#_x0000_t75" style="width:336pt;height:174.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">
            <v:imagedata r:id="rId19" o:title="" croptop="-3030f" cropbottom="-275f" cropleft="-954f" cropright="-308f"/>
            <o:lock v:ext="edit" aspectratio="f"/>
          </v:shape>
        </w:pict>
      </w:r>
    </w:p>
    <w:p w:rsidR="009E7B56" w:rsidRDefault="00270C4A" w:rsidP="00270C4A">
      <w:pPr>
        <w:pStyle w:val="Billedtekst"/>
        <w:rPr>
          <w:noProof/>
          <w:lang w:eastAsia="da-DK"/>
        </w:rPr>
      </w:pPr>
      <w:bookmarkStart w:id="157" w:name="_Ref218954694"/>
      <w:bookmarkStart w:id="158" w:name="_Toc218751418"/>
      <w:r>
        <w:t xml:space="preserve">Figur </w:t>
      </w:r>
      <w:fldSimple w:instr=" SEQ Figur \* ARABIC ">
        <w:r w:rsidR="000F066D">
          <w:rPr>
            <w:noProof/>
          </w:rPr>
          <w:t>36</w:t>
        </w:r>
      </w:fldSimple>
      <w:bookmarkEnd w:id="157"/>
      <w:r w:rsidR="009E7B56">
        <w:t xml:space="preserve"> Forløb af aktieombytning og efterfølgende spaltning</w:t>
      </w:r>
      <w:bookmarkEnd w:id="158"/>
    </w:p>
    <w:p w:rsidR="007A35E5" w:rsidRDefault="007A35E5" w:rsidP="00617795"/>
    <w:p w:rsidR="008C68A3" w:rsidRDefault="008C68A3" w:rsidP="00617795">
      <w:r>
        <w:t>Aktieombytning og efterfølgende spaltning kan foretages uden tilladelse. Se nedenst</w:t>
      </w:r>
      <w:r>
        <w:t>å</w:t>
      </w:r>
      <w:r>
        <w:t>ende afgørelse.</w:t>
      </w:r>
    </w:p>
    <w:p w:rsidR="008C68A3" w:rsidRDefault="008C68A3" w:rsidP="00617795"/>
    <w:p w:rsidR="008C68A3" w:rsidRPr="008C68A3" w:rsidRDefault="008C68A3" w:rsidP="008C68A3">
      <w:pPr>
        <w:rPr>
          <w:i/>
          <w:sz w:val="22"/>
          <w:lang w:eastAsia="da-DK"/>
        </w:rPr>
      </w:pPr>
      <w:r>
        <w:rPr>
          <w:i/>
          <w:sz w:val="22"/>
          <w:lang w:eastAsia="da-DK"/>
        </w:rPr>
        <w:t xml:space="preserve">SKM.2008.884.SR: </w:t>
      </w:r>
      <w:r w:rsidRPr="008C68A3">
        <w:rPr>
          <w:i/>
          <w:sz w:val="22"/>
          <w:lang w:eastAsia="da-DK"/>
        </w:rPr>
        <w:t>Aktionærerne i selskabet A i Schweiz kunne ombytte deres aktier med aktier i et nystiftet dansk selskab B uden tilladelse. Det "ordinære resultat" i aktieavancebeskatning</w:t>
      </w:r>
      <w:r w:rsidRPr="008C68A3">
        <w:rPr>
          <w:i/>
          <w:sz w:val="22"/>
          <w:lang w:eastAsia="da-DK"/>
        </w:rPr>
        <w:t>s</w:t>
      </w:r>
      <w:r w:rsidRPr="008C68A3">
        <w:rPr>
          <w:i/>
          <w:sz w:val="22"/>
          <w:lang w:eastAsia="da-DK"/>
        </w:rPr>
        <w:t>lovens § 36 A, stk. 7, skal forstås som det ordinære regnskabsmæssige resultat opgjort efter reglerne i  schweizisk ret. Selskabet B kan ophørsspaltes uden tilladelse. De fysiske aktionærer anses for at have modtaget vederlagsaktierne i de respektive holdingselskaber med succession og ejertidsnedslag. Spaltningsdatoen for de modtagende selskaber og det indskydende selskab fastsættes.</w:t>
      </w:r>
    </w:p>
    <w:p w:rsidR="008C68A3" w:rsidRDefault="008C68A3" w:rsidP="001F0703"/>
    <w:p w:rsidR="007A35E5" w:rsidRDefault="007A35E5" w:rsidP="001F0703">
      <w:r>
        <w:t>Da der ikke umiddelbart er nogen fordel i at ombytte med tilladelse, udover udbytt</w:t>
      </w:r>
      <w:r>
        <w:t>e</w:t>
      </w:r>
      <w:r>
        <w:t>begrænsninger og da det er administrativt tungere, foretages ombytningen uden till</w:t>
      </w:r>
      <w:r>
        <w:t>a</w:t>
      </w:r>
      <w:r>
        <w:t>delse. Selvom man foretager en ombytning med tilladelse, og dermed undgår de o</w:t>
      </w:r>
      <w:r>
        <w:t>b</w:t>
      </w:r>
      <w:r>
        <w:t xml:space="preserve">jektive regler om udbyttebegrænsninger, er der alligevel en stor risiko for at Skat vil anse store udlodninger efterfølgende som kontantvederlag. </w:t>
      </w:r>
    </w:p>
    <w:p w:rsidR="007A35E5" w:rsidRPr="00617795" w:rsidRDefault="007A35E5" w:rsidP="00617795">
      <w:pPr>
        <w:rPr>
          <w:szCs w:val="24"/>
        </w:rPr>
      </w:pPr>
      <w:r w:rsidRPr="00617795">
        <w:rPr>
          <w:szCs w:val="24"/>
        </w:rPr>
        <w:t>Den efterfølgende spaltning skal foretages som en ophørsspaltning, da det ikke er m</w:t>
      </w:r>
      <w:r w:rsidRPr="00617795">
        <w:rPr>
          <w:szCs w:val="24"/>
        </w:rPr>
        <w:t>u</w:t>
      </w:r>
      <w:r w:rsidRPr="00617795">
        <w:rPr>
          <w:szCs w:val="24"/>
        </w:rPr>
        <w:t xml:space="preserve">ligt at opfylde grenkravet i et selskab, </w:t>
      </w:r>
      <w:r w:rsidRPr="00617795">
        <w:rPr>
          <w:szCs w:val="24"/>
          <w:lang w:eastAsia="da-DK"/>
        </w:rPr>
        <w:t>der udelukkende består likvider og aktier. Se nedenstående afgørelse, hvor Ligningsrådet ikke anså aktier og likvider for en gren af en virksomhed.</w:t>
      </w:r>
    </w:p>
    <w:p w:rsidR="007A35E5" w:rsidRPr="00AA799F" w:rsidRDefault="007A35E5" w:rsidP="00425B4B">
      <w:pPr>
        <w:rPr>
          <w:i/>
          <w:sz w:val="22"/>
          <w:lang w:eastAsia="da-DK"/>
        </w:rPr>
      </w:pPr>
      <w:r>
        <w:rPr>
          <w:i/>
          <w:sz w:val="22"/>
          <w:lang w:eastAsia="da-DK"/>
        </w:rPr>
        <w:lastRenderedPageBreak/>
        <w:t xml:space="preserve">Tfs 2000.712: </w:t>
      </w:r>
      <w:r w:rsidRPr="00425B4B">
        <w:rPr>
          <w:i/>
          <w:sz w:val="22"/>
          <w:lang w:eastAsia="da-DK"/>
        </w:rPr>
        <w:t>Ligningsrådet meddelte afslag på en ansøgning om skattefri spaltning af et se</w:t>
      </w:r>
      <w:r w:rsidRPr="00425B4B">
        <w:rPr>
          <w:i/>
          <w:sz w:val="22"/>
          <w:lang w:eastAsia="da-DK"/>
        </w:rPr>
        <w:t>l</w:t>
      </w:r>
      <w:r w:rsidRPr="00425B4B">
        <w:rPr>
          <w:i/>
          <w:sz w:val="22"/>
          <w:lang w:eastAsia="da-DK"/>
        </w:rPr>
        <w:t>skab, da de udspaltede aktiver og passiver (aktier i et børsnoteret datterselskab samt likvide midler) ikke udgjorde en gren af en virksomhed.</w:t>
      </w:r>
    </w:p>
    <w:p w:rsidR="007A35E5" w:rsidRDefault="007A35E5" w:rsidP="001F0703"/>
    <w:p w:rsidR="007A35E5" w:rsidRDefault="007A35E5" w:rsidP="00863E5C">
      <w:r>
        <w:t>Igen er det administrativt tungt at foretage en spaltning med tilladelse, og den eneste ulempe ved spaltning uden tilladelse er udbyttebegrænsninger i 3 år.</w:t>
      </w:r>
    </w:p>
    <w:p w:rsidR="007A35E5" w:rsidRDefault="007A35E5" w:rsidP="001F0703">
      <w:r>
        <w:t>For at opfylde kravet om det samme forhold mellem aktiver og gæld, kan der evt. o</w:t>
      </w:r>
      <w:r>
        <w:t>p</w:t>
      </w:r>
      <w:r>
        <w:t>tages et lån for at udligne. Hvis B ikke vil fortsætte skal A’s holding have alle aktierne og B’s holding skal have likvider. Det kan gøres på nedenstående måde.</w:t>
      </w:r>
    </w:p>
    <w:p w:rsidR="007A35E5" w:rsidRDefault="007A35E5" w:rsidP="001F0703"/>
    <w:tbl>
      <w:tblPr>
        <w:tblW w:w="8371" w:type="dxa"/>
        <w:tblInd w:w="55" w:type="dxa"/>
        <w:tblCellMar>
          <w:left w:w="70" w:type="dxa"/>
          <w:right w:w="70" w:type="dxa"/>
        </w:tblCellMar>
        <w:tblLook w:val="04A0"/>
      </w:tblPr>
      <w:tblGrid>
        <w:gridCol w:w="2267"/>
        <w:gridCol w:w="1292"/>
        <w:gridCol w:w="1321"/>
        <w:gridCol w:w="1231"/>
        <w:gridCol w:w="194"/>
        <w:gridCol w:w="1033"/>
        <w:gridCol w:w="1033"/>
      </w:tblGrid>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92"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r w:rsidRPr="00E87137">
              <w:rPr>
                <w:rFonts w:eastAsia="Times New Roman"/>
                <w:b/>
                <w:bCs/>
                <w:color w:val="000000"/>
                <w:sz w:val="20"/>
                <w:szCs w:val="20"/>
                <w:lang w:eastAsia="da-DK"/>
              </w:rPr>
              <w:t>A&amp;B Holding</w:t>
            </w:r>
          </w:p>
        </w:tc>
        <w:tc>
          <w:tcPr>
            <w:tcW w:w="1321"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r w:rsidRPr="00E87137">
              <w:rPr>
                <w:rFonts w:eastAsia="Times New Roman"/>
                <w:b/>
                <w:bCs/>
                <w:color w:val="000000"/>
                <w:sz w:val="20"/>
                <w:szCs w:val="20"/>
                <w:lang w:eastAsia="da-DK"/>
              </w:rPr>
              <w:t>Optagelse lån</w:t>
            </w:r>
          </w:p>
        </w:tc>
        <w:tc>
          <w:tcPr>
            <w:tcW w:w="1231"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r w:rsidRPr="00E87137">
              <w:rPr>
                <w:rFonts w:eastAsia="Times New Roman"/>
                <w:b/>
                <w:bCs/>
                <w:color w:val="000000"/>
                <w:sz w:val="20"/>
                <w:szCs w:val="20"/>
                <w:lang w:eastAsia="da-DK"/>
              </w:rPr>
              <w:t>A&amp;B Holding</w:t>
            </w:r>
          </w:p>
        </w:tc>
        <w:tc>
          <w:tcPr>
            <w:tcW w:w="194"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r w:rsidRPr="00E87137">
              <w:rPr>
                <w:rFonts w:eastAsia="Times New Roman"/>
                <w:b/>
                <w:bCs/>
                <w:color w:val="000000"/>
                <w:sz w:val="20"/>
                <w:szCs w:val="20"/>
                <w:lang w:eastAsia="da-DK"/>
              </w:rPr>
              <w:t>A Holding</w:t>
            </w:r>
          </w:p>
        </w:tc>
        <w:tc>
          <w:tcPr>
            <w:tcW w:w="1033"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r w:rsidRPr="00E87137">
              <w:rPr>
                <w:rFonts w:eastAsia="Times New Roman"/>
                <w:b/>
                <w:bCs/>
                <w:color w:val="000000"/>
                <w:sz w:val="20"/>
                <w:szCs w:val="20"/>
                <w:lang w:eastAsia="da-DK"/>
              </w:rPr>
              <w:t>B holding</w:t>
            </w: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92"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94"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val="en-US" w:eastAsia="da-DK"/>
              </w:rPr>
            </w:pPr>
            <w:r w:rsidRPr="00E87137">
              <w:rPr>
                <w:rFonts w:eastAsia="Times New Roman"/>
                <w:color w:val="000000"/>
                <w:sz w:val="20"/>
                <w:szCs w:val="20"/>
                <w:lang w:val="en-US" w:eastAsia="da-DK"/>
              </w:rPr>
              <w:t>Kapitalandele i A&amp;B A/S</w:t>
            </w: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4.009.750</w:t>
            </w: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4.009.750</w:t>
            </w: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4.009.750</w:t>
            </w: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0</w:t>
            </w: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r w:rsidRPr="00E87137">
              <w:rPr>
                <w:rFonts w:eastAsia="Times New Roman"/>
                <w:color w:val="000000"/>
                <w:sz w:val="20"/>
                <w:szCs w:val="20"/>
                <w:lang w:eastAsia="da-DK"/>
              </w:rPr>
              <w:t>Likvider</w:t>
            </w: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4.009.750</w:t>
            </w: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4.009.750</w:t>
            </w: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0</w:t>
            </w: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4.009.750</w:t>
            </w: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r w:rsidRPr="00E87137">
              <w:rPr>
                <w:rFonts w:eastAsia="Times New Roman"/>
                <w:b/>
                <w:bCs/>
                <w:color w:val="000000"/>
                <w:sz w:val="20"/>
                <w:szCs w:val="20"/>
                <w:lang w:eastAsia="da-DK"/>
              </w:rPr>
              <w:t>Aktiver i alt</w:t>
            </w:r>
          </w:p>
        </w:tc>
        <w:tc>
          <w:tcPr>
            <w:tcW w:w="1292"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4.009.750</w:t>
            </w: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p>
        </w:tc>
        <w:tc>
          <w:tcPr>
            <w:tcW w:w="1231"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8.019.500</w:t>
            </w: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p>
        </w:tc>
        <w:tc>
          <w:tcPr>
            <w:tcW w:w="1033"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4.009.750</w:t>
            </w:r>
          </w:p>
        </w:tc>
        <w:tc>
          <w:tcPr>
            <w:tcW w:w="1033"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4.009.750</w:t>
            </w: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r w:rsidRPr="00E87137">
              <w:rPr>
                <w:rFonts w:eastAsia="Times New Roman"/>
                <w:b/>
                <w:bCs/>
                <w:color w:val="000000"/>
                <w:sz w:val="20"/>
                <w:szCs w:val="20"/>
                <w:lang w:eastAsia="da-DK"/>
              </w:rPr>
              <w:t>Egenkapital</w:t>
            </w:r>
          </w:p>
        </w:tc>
        <w:tc>
          <w:tcPr>
            <w:tcW w:w="1292"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4.009.750</w:t>
            </w: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p>
        </w:tc>
        <w:tc>
          <w:tcPr>
            <w:tcW w:w="1231"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4.009.750</w:t>
            </w: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p>
        </w:tc>
        <w:tc>
          <w:tcPr>
            <w:tcW w:w="1033"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2.004.875</w:t>
            </w:r>
          </w:p>
        </w:tc>
        <w:tc>
          <w:tcPr>
            <w:tcW w:w="1033"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2.004.875</w:t>
            </w: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r w:rsidRPr="00E87137">
              <w:rPr>
                <w:rFonts w:eastAsia="Times New Roman"/>
                <w:color w:val="000000"/>
                <w:sz w:val="20"/>
                <w:szCs w:val="20"/>
                <w:lang w:eastAsia="da-DK"/>
              </w:rPr>
              <w:t>Lån</w:t>
            </w: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4.009.750</w:t>
            </w: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4.009.750</w:t>
            </w: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2.004.875</w:t>
            </w: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r w:rsidRPr="00E87137">
              <w:rPr>
                <w:rFonts w:eastAsia="Times New Roman"/>
                <w:color w:val="000000"/>
                <w:sz w:val="20"/>
                <w:szCs w:val="20"/>
                <w:lang w:eastAsia="da-DK"/>
              </w:rPr>
              <w:t>2.004.875</w:t>
            </w: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color w:val="000000"/>
                <w:sz w:val="20"/>
                <w:szCs w:val="20"/>
                <w:lang w:eastAsia="da-DK"/>
              </w:rPr>
            </w:pPr>
            <w:r w:rsidRPr="00E87137">
              <w:rPr>
                <w:rFonts w:eastAsia="Times New Roman"/>
                <w:b/>
                <w:bCs/>
                <w:color w:val="000000"/>
                <w:sz w:val="20"/>
                <w:szCs w:val="20"/>
                <w:lang w:eastAsia="da-DK"/>
              </w:rPr>
              <w:t>Passiver i alt</w:t>
            </w:r>
          </w:p>
        </w:tc>
        <w:tc>
          <w:tcPr>
            <w:tcW w:w="1292"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4.009.750</w:t>
            </w: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p>
        </w:tc>
        <w:tc>
          <w:tcPr>
            <w:tcW w:w="1231"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8.019.500</w:t>
            </w: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p>
        </w:tc>
        <w:tc>
          <w:tcPr>
            <w:tcW w:w="1033"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4.009.750</w:t>
            </w:r>
          </w:p>
        </w:tc>
        <w:tc>
          <w:tcPr>
            <w:tcW w:w="1033" w:type="dxa"/>
            <w:tcBorders>
              <w:top w:val="nil"/>
              <w:left w:val="nil"/>
              <w:bottom w:val="single" w:sz="4" w:space="0" w:color="auto"/>
              <w:right w:val="nil"/>
            </w:tcBorders>
            <w:shd w:val="clear" w:color="auto" w:fill="auto"/>
            <w:noWrap/>
            <w:vAlign w:val="bottom"/>
            <w:hideMark/>
          </w:tcPr>
          <w:p w:rsidR="00E87137" w:rsidRPr="00E87137" w:rsidRDefault="00E87137" w:rsidP="00CB7957">
            <w:pPr>
              <w:spacing w:line="240" w:lineRule="auto"/>
              <w:jc w:val="right"/>
              <w:rPr>
                <w:rFonts w:eastAsia="Times New Roman"/>
                <w:b/>
                <w:bCs/>
                <w:color w:val="000000"/>
                <w:sz w:val="20"/>
                <w:szCs w:val="20"/>
                <w:lang w:eastAsia="da-DK"/>
              </w:rPr>
            </w:pPr>
            <w:r w:rsidRPr="00E87137">
              <w:rPr>
                <w:rFonts w:eastAsia="Times New Roman"/>
                <w:b/>
                <w:bCs/>
                <w:color w:val="000000"/>
                <w:sz w:val="20"/>
                <w:szCs w:val="20"/>
                <w:lang w:eastAsia="da-DK"/>
              </w:rPr>
              <w:t>4.009.750</w:t>
            </w: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color w:val="000000"/>
                <w:sz w:val="20"/>
                <w:szCs w:val="20"/>
                <w:lang w:eastAsia="da-DK"/>
              </w:rPr>
            </w:pP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color w:val="000000"/>
                <w:sz w:val="20"/>
                <w:szCs w:val="20"/>
                <w:lang w:eastAsia="da-DK"/>
              </w:rPr>
            </w:pPr>
          </w:p>
        </w:tc>
      </w:tr>
      <w:tr w:rsidR="00E87137" w:rsidRPr="00E87137" w:rsidTr="00CB7957">
        <w:trPr>
          <w:trHeight w:val="316"/>
        </w:trPr>
        <w:tc>
          <w:tcPr>
            <w:tcW w:w="2267" w:type="dxa"/>
            <w:tcBorders>
              <w:top w:val="nil"/>
              <w:left w:val="nil"/>
              <w:bottom w:val="nil"/>
              <w:right w:val="nil"/>
            </w:tcBorders>
            <w:shd w:val="clear" w:color="auto" w:fill="auto"/>
            <w:noWrap/>
            <w:vAlign w:val="bottom"/>
            <w:hideMark/>
          </w:tcPr>
          <w:p w:rsidR="00E87137" w:rsidRPr="00E87137" w:rsidRDefault="00E87137" w:rsidP="00E87137">
            <w:pPr>
              <w:spacing w:line="240" w:lineRule="auto"/>
              <w:jc w:val="left"/>
              <w:rPr>
                <w:rFonts w:eastAsia="Times New Roman"/>
                <w:b/>
                <w:bCs/>
                <w:i/>
                <w:iCs/>
                <w:color w:val="000000"/>
                <w:sz w:val="20"/>
                <w:szCs w:val="20"/>
                <w:lang w:eastAsia="da-DK"/>
              </w:rPr>
            </w:pPr>
            <w:r w:rsidRPr="00E87137">
              <w:rPr>
                <w:rFonts w:eastAsia="Times New Roman"/>
                <w:b/>
                <w:bCs/>
                <w:i/>
                <w:iCs/>
                <w:color w:val="000000"/>
                <w:sz w:val="20"/>
                <w:szCs w:val="20"/>
                <w:lang w:eastAsia="da-DK"/>
              </w:rPr>
              <w:t>Forhold aktier og gæld</w:t>
            </w:r>
          </w:p>
        </w:tc>
        <w:tc>
          <w:tcPr>
            <w:tcW w:w="1292"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i/>
                <w:iCs/>
                <w:color w:val="000000"/>
                <w:sz w:val="20"/>
                <w:szCs w:val="20"/>
                <w:lang w:eastAsia="da-DK"/>
              </w:rPr>
            </w:pPr>
          </w:p>
        </w:tc>
        <w:tc>
          <w:tcPr>
            <w:tcW w:w="132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i/>
                <w:iCs/>
                <w:color w:val="000000"/>
                <w:sz w:val="20"/>
                <w:szCs w:val="20"/>
                <w:lang w:eastAsia="da-DK"/>
              </w:rPr>
            </w:pPr>
          </w:p>
        </w:tc>
        <w:tc>
          <w:tcPr>
            <w:tcW w:w="1231"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i/>
                <w:iCs/>
                <w:color w:val="000000"/>
                <w:sz w:val="20"/>
                <w:szCs w:val="20"/>
                <w:lang w:eastAsia="da-DK"/>
              </w:rPr>
            </w:pPr>
            <w:r w:rsidRPr="00E87137">
              <w:rPr>
                <w:rFonts w:eastAsia="Times New Roman"/>
                <w:b/>
                <w:bCs/>
                <w:i/>
                <w:iCs/>
                <w:color w:val="000000"/>
                <w:sz w:val="20"/>
                <w:szCs w:val="20"/>
                <w:lang w:eastAsia="da-DK"/>
              </w:rPr>
              <w:t>2,0</w:t>
            </w:r>
          </w:p>
        </w:tc>
        <w:tc>
          <w:tcPr>
            <w:tcW w:w="194"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i/>
                <w:iCs/>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i/>
                <w:iCs/>
                <w:color w:val="000000"/>
                <w:sz w:val="20"/>
                <w:szCs w:val="20"/>
                <w:lang w:eastAsia="da-DK"/>
              </w:rPr>
            </w:pPr>
            <w:r w:rsidRPr="00E87137">
              <w:rPr>
                <w:rFonts w:eastAsia="Times New Roman"/>
                <w:b/>
                <w:bCs/>
                <w:i/>
                <w:iCs/>
                <w:color w:val="000000"/>
                <w:sz w:val="20"/>
                <w:szCs w:val="20"/>
                <w:lang w:eastAsia="da-DK"/>
              </w:rPr>
              <w:t>2,0</w:t>
            </w:r>
          </w:p>
        </w:tc>
        <w:tc>
          <w:tcPr>
            <w:tcW w:w="1033" w:type="dxa"/>
            <w:tcBorders>
              <w:top w:val="nil"/>
              <w:left w:val="nil"/>
              <w:bottom w:val="nil"/>
              <w:right w:val="nil"/>
            </w:tcBorders>
            <w:shd w:val="clear" w:color="auto" w:fill="auto"/>
            <w:noWrap/>
            <w:vAlign w:val="bottom"/>
            <w:hideMark/>
          </w:tcPr>
          <w:p w:rsidR="00E87137" w:rsidRPr="00E87137" w:rsidRDefault="00E87137" w:rsidP="00CB7957">
            <w:pPr>
              <w:spacing w:line="240" w:lineRule="auto"/>
              <w:jc w:val="right"/>
              <w:rPr>
                <w:rFonts w:eastAsia="Times New Roman"/>
                <w:b/>
                <w:bCs/>
                <w:i/>
                <w:iCs/>
                <w:color w:val="000000"/>
                <w:sz w:val="20"/>
                <w:szCs w:val="20"/>
                <w:lang w:eastAsia="da-DK"/>
              </w:rPr>
            </w:pPr>
            <w:r w:rsidRPr="00E87137">
              <w:rPr>
                <w:rFonts w:eastAsia="Times New Roman"/>
                <w:b/>
                <w:bCs/>
                <w:i/>
                <w:iCs/>
                <w:color w:val="000000"/>
                <w:sz w:val="20"/>
                <w:szCs w:val="20"/>
                <w:lang w:eastAsia="da-DK"/>
              </w:rPr>
              <w:t>2,0</w:t>
            </w:r>
          </w:p>
        </w:tc>
      </w:tr>
    </w:tbl>
    <w:p w:rsidR="00E87137" w:rsidRDefault="00270C4A" w:rsidP="00270C4A">
      <w:pPr>
        <w:pStyle w:val="Billedtekst"/>
      </w:pPr>
      <w:bookmarkStart w:id="159" w:name="_Toc218751419"/>
      <w:r>
        <w:t xml:space="preserve">Figur </w:t>
      </w:r>
      <w:fldSimple w:instr=" SEQ Figur \* ARABIC ">
        <w:r w:rsidR="000F066D">
          <w:rPr>
            <w:noProof/>
          </w:rPr>
          <w:t>37</w:t>
        </w:r>
      </w:fldSimple>
      <w:r w:rsidR="009E7B56">
        <w:t xml:space="preserve"> Optagelse af lån for at opfylde kravet om forholdet mellem aktiver og gæld ved spaltning af holdingselskabet</w:t>
      </w:r>
      <w:bookmarkEnd w:id="159"/>
    </w:p>
    <w:p w:rsidR="000A1807" w:rsidRDefault="000A1807" w:rsidP="001F0703"/>
    <w:p w:rsidR="007A35E5" w:rsidRDefault="007A35E5" w:rsidP="001F0703">
      <w:r>
        <w:t>Derved kan datteren løbende overtage efter sin far evt. ved succession i holdingselsk</w:t>
      </w:r>
      <w:r>
        <w:t>a</w:t>
      </w:r>
      <w:r>
        <w:t>bet. Hvis B vil fortsætte skal holdingselskaberne blot dele kapitalandele i mellem dem,</w:t>
      </w:r>
      <w:r w:rsidR="00B74441">
        <w:t xml:space="preserve"> så C kan nøjes med at overtage</w:t>
      </w:r>
      <w:r>
        <w:t xml:space="preserve"> halvdelen fra sin far.</w:t>
      </w:r>
    </w:p>
    <w:p w:rsidR="007A35E5" w:rsidRDefault="007A35E5" w:rsidP="00863E5C">
      <w:r>
        <w:t>Ved den skattefrie spaltning skal vederlagsaktierne svare til handelsværdi. Da der er mere en aktionær, og der dermed er en risiko for formueforskydning, kan det være hensigtsmæssig, at få et bindende svar på handelsværdien af aktierne. Der er success</w:t>
      </w:r>
      <w:r>
        <w:t>i</w:t>
      </w:r>
      <w:r>
        <w:lastRenderedPageBreak/>
        <w:t>on for personlige aktionærer som A og B, så vederlagsaktierne får både samme anska</w:t>
      </w:r>
      <w:r>
        <w:t>f</w:t>
      </w:r>
      <w:r>
        <w:t xml:space="preserve">felsessum og anskaffelsestidspunkt som aktierne i det indskydende selskab. Da der også var succession i vederlagsaktierne i aktieombytningen, har A og B derfor det samme anskaffelsestidspunkt og den samme anskaffelsessum, som de havde i A&amp;B A/S. </w:t>
      </w:r>
      <w:r w:rsidR="009D45A7">
        <w:t>Hvis datter skal overtage holdingselskabet er det mest hensigtsmæssig ved su</w:t>
      </w:r>
      <w:r w:rsidR="009D45A7">
        <w:t>c</w:t>
      </w:r>
      <w:r w:rsidR="009D45A7">
        <w:t xml:space="preserve">cession, da A ellers får en forholdsvis stor skat pga. af den negative anskaffelsessum. Der skal </w:t>
      </w:r>
      <w:r>
        <w:t xml:space="preserve">gå 3 år fra </w:t>
      </w:r>
      <w:r w:rsidR="009D45A7">
        <w:t>aktieombytningen</w:t>
      </w:r>
      <w:r>
        <w:t xml:space="preserve"> til at A kan sælge </w:t>
      </w:r>
      <w:r w:rsidR="00B74441">
        <w:t xml:space="preserve">resten af </w:t>
      </w:r>
      <w:r>
        <w:t xml:space="preserve">sine aktier </w:t>
      </w:r>
      <w:r w:rsidR="009D45A7">
        <w:t>i datterse</w:t>
      </w:r>
      <w:r w:rsidR="009D45A7">
        <w:t>l</w:t>
      </w:r>
      <w:r w:rsidR="009D45A7">
        <w:t xml:space="preserve">skabet </w:t>
      </w:r>
      <w:r>
        <w:t>til sin datter skatte</w:t>
      </w:r>
      <w:r w:rsidR="009D45A7">
        <w:t>frit</w:t>
      </w:r>
      <w:r w:rsidR="00B74441">
        <w:t>. På det tidspunkt er</w:t>
      </w:r>
      <w:r w:rsidR="009D45A7">
        <w:t xml:space="preserve"> egenkapitalen slanket pga. af løbe</w:t>
      </w:r>
      <w:r w:rsidR="009D45A7">
        <w:t>n</w:t>
      </w:r>
      <w:r w:rsidR="009D45A7">
        <w:t xml:space="preserve">de udlodninger, </w:t>
      </w:r>
      <w:r w:rsidR="00B74441">
        <w:t>og det er derfor forh</w:t>
      </w:r>
      <w:r w:rsidR="009D45A7">
        <w:t>oldsvis billigt for datteren.</w:t>
      </w:r>
      <w:r>
        <w:t xml:space="preserve"> </w:t>
      </w:r>
    </w:p>
    <w:p w:rsidR="007A35E5" w:rsidRDefault="007A35E5" w:rsidP="00863E5C"/>
    <w:p w:rsidR="00831732" w:rsidRPr="000A3903" w:rsidRDefault="000F6B41" w:rsidP="000A3903">
      <w:pPr>
        <w:rPr>
          <w:rStyle w:val="Strk"/>
        </w:rPr>
      </w:pPr>
      <w:r w:rsidRPr="000A3903">
        <w:rPr>
          <w:rStyle w:val="Strk"/>
        </w:rPr>
        <w:t>Fordele og ulemper ved aktieombytning, spaltning og succession</w:t>
      </w:r>
    </w:p>
    <w:tbl>
      <w:tblPr>
        <w:tblW w:w="5000" w:type="pct"/>
        <w:tblLook w:val="01E0"/>
      </w:tblPr>
      <w:tblGrid>
        <w:gridCol w:w="4360"/>
        <w:gridCol w:w="4360"/>
      </w:tblGrid>
      <w:tr w:rsidR="00831732" w:rsidTr="00910EE3">
        <w:tc>
          <w:tcPr>
            <w:tcW w:w="2500" w:type="pct"/>
            <w:tcBorders>
              <w:left w:val="single" w:sz="4" w:space="0" w:color="auto"/>
              <w:bottom w:val="single" w:sz="4" w:space="0" w:color="auto"/>
              <w:right w:val="single" w:sz="4" w:space="0" w:color="auto"/>
            </w:tcBorders>
          </w:tcPr>
          <w:p w:rsidR="00831732" w:rsidRDefault="00831732" w:rsidP="00910EE3">
            <w:r>
              <w:t>Fordele</w:t>
            </w:r>
          </w:p>
        </w:tc>
        <w:tc>
          <w:tcPr>
            <w:tcW w:w="2500" w:type="pct"/>
            <w:tcBorders>
              <w:left w:val="single" w:sz="4" w:space="0" w:color="auto"/>
              <w:bottom w:val="single" w:sz="4" w:space="0" w:color="auto"/>
              <w:right w:val="single" w:sz="4" w:space="0" w:color="auto"/>
            </w:tcBorders>
          </w:tcPr>
          <w:p w:rsidR="00831732" w:rsidRDefault="00831732" w:rsidP="00910EE3">
            <w:r>
              <w:t>Ulemper</w:t>
            </w:r>
          </w:p>
        </w:tc>
      </w:tr>
      <w:tr w:rsidR="00831732" w:rsidTr="00910EE3">
        <w:tc>
          <w:tcPr>
            <w:tcW w:w="2500" w:type="pct"/>
            <w:tcBorders>
              <w:top w:val="single" w:sz="4" w:space="0" w:color="auto"/>
              <w:left w:val="single" w:sz="4" w:space="0" w:color="auto"/>
              <w:bottom w:val="single" w:sz="4" w:space="0" w:color="auto"/>
              <w:right w:val="single" w:sz="4" w:space="0" w:color="auto"/>
            </w:tcBorders>
          </w:tcPr>
          <w:p w:rsidR="00831732" w:rsidRDefault="00831732" w:rsidP="002F4E41">
            <w:pPr>
              <w:numPr>
                <w:ilvl w:val="0"/>
                <w:numId w:val="16"/>
              </w:numPr>
              <w:spacing w:line="240" w:lineRule="auto"/>
              <w:jc w:val="left"/>
            </w:pPr>
            <w:r>
              <w:t>Da aktionærer får hver deres holding kan de selv bestemme udbytte mv.</w:t>
            </w:r>
          </w:p>
          <w:p w:rsidR="00831732" w:rsidRDefault="00A03B8D" w:rsidP="002F4E41">
            <w:pPr>
              <w:numPr>
                <w:ilvl w:val="0"/>
                <w:numId w:val="16"/>
              </w:numPr>
              <w:spacing w:line="240" w:lineRule="auto"/>
              <w:jc w:val="left"/>
            </w:pPr>
            <w:r>
              <w:t>Ikke likviditets krævende for datter, der ikke skal købe sig ind</w:t>
            </w:r>
          </w:p>
          <w:p w:rsidR="00A03B8D" w:rsidRDefault="00A03B8D" w:rsidP="002F4E41">
            <w:pPr>
              <w:numPr>
                <w:ilvl w:val="0"/>
                <w:numId w:val="16"/>
              </w:numPr>
              <w:spacing w:line="240" w:lineRule="auto"/>
              <w:jc w:val="left"/>
            </w:pPr>
            <w:r>
              <w:t>Overdrager skal ikke betale realisat</w:t>
            </w:r>
            <w:r>
              <w:t>i</w:t>
            </w:r>
            <w:r>
              <w:t>onsbeskatning</w:t>
            </w:r>
            <w:r w:rsidR="00472689">
              <w:t xml:space="preserve"> hverken ved at datt</w:t>
            </w:r>
            <w:r w:rsidR="00472689">
              <w:t>e</w:t>
            </w:r>
            <w:r w:rsidR="00472689">
              <w:t>ren succederer i holding eller ved salg af aktier i datterselskab.</w:t>
            </w:r>
          </w:p>
          <w:p w:rsidR="00472689" w:rsidRDefault="00472689" w:rsidP="002F4E41">
            <w:pPr>
              <w:numPr>
                <w:ilvl w:val="0"/>
                <w:numId w:val="16"/>
              </w:numPr>
              <w:spacing w:line="240" w:lineRule="auto"/>
              <w:jc w:val="left"/>
            </w:pPr>
            <w:r>
              <w:t>Aktionærer bestemmer selv fordeling af aktiver og passiver ved spaltning.</w:t>
            </w:r>
          </w:p>
          <w:p w:rsidR="00472689" w:rsidRDefault="00472689" w:rsidP="002F4E41">
            <w:pPr>
              <w:numPr>
                <w:ilvl w:val="0"/>
                <w:numId w:val="16"/>
              </w:numPr>
              <w:spacing w:line="240" w:lineRule="auto"/>
              <w:jc w:val="left"/>
            </w:pPr>
            <w:r>
              <w:t>Datteren kan købe sig ind billigere ind, da der ved spaltning optages lån for at få samme forhold i mellem aktiver og gæld.</w:t>
            </w:r>
          </w:p>
        </w:tc>
        <w:tc>
          <w:tcPr>
            <w:tcW w:w="2500" w:type="pct"/>
            <w:tcBorders>
              <w:top w:val="single" w:sz="4" w:space="0" w:color="auto"/>
              <w:left w:val="single" w:sz="4" w:space="0" w:color="auto"/>
              <w:bottom w:val="single" w:sz="4" w:space="0" w:color="auto"/>
              <w:right w:val="single" w:sz="4" w:space="0" w:color="auto"/>
            </w:tcBorders>
          </w:tcPr>
          <w:p w:rsidR="00831732" w:rsidRDefault="00831732" w:rsidP="002F4E41">
            <w:pPr>
              <w:numPr>
                <w:ilvl w:val="0"/>
                <w:numId w:val="16"/>
              </w:numPr>
              <w:spacing w:line="240" w:lineRule="auto"/>
              <w:jc w:val="left"/>
            </w:pPr>
            <w:r>
              <w:t>Skal opfylde kravet om samme forhold mellem aktiver og passiver</w:t>
            </w:r>
          </w:p>
          <w:p w:rsidR="00831732" w:rsidRDefault="00A03B8D" w:rsidP="002F4E41">
            <w:pPr>
              <w:numPr>
                <w:ilvl w:val="0"/>
                <w:numId w:val="16"/>
              </w:numPr>
              <w:spacing w:line="240" w:lineRule="auto"/>
              <w:jc w:val="left"/>
            </w:pPr>
            <w:r>
              <w:t>Administrativt tungt</w:t>
            </w:r>
          </w:p>
          <w:p w:rsidR="00A03B8D" w:rsidRDefault="00A03B8D" w:rsidP="002F4E41">
            <w:pPr>
              <w:numPr>
                <w:ilvl w:val="0"/>
                <w:numId w:val="16"/>
              </w:numPr>
              <w:spacing w:line="240" w:lineRule="auto"/>
              <w:jc w:val="left"/>
            </w:pPr>
            <w:r>
              <w:t>Skal gå 3 år inden faren kan sælge</w:t>
            </w:r>
          </w:p>
        </w:tc>
      </w:tr>
    </w:tbl>
    <w:p w:rsidR="00831732" w:rsidRDefault="00270C4A" w:rsidP="00270C4A">
      <w:pPr>
        <w:pStyle w:val="Billedtekst"/>
      </w:pPr>
      <w:bookmarkStart w:id="160" w:name="_Toc218751420"/>
      <w:r>
        <w:t xml:space="preserve">Figur </w:t>
      </w:r>
      <w:fldSimple w:instr=" SEQ Figur \* ARABIC ">
        <w:r w:rsidR="000F066D">
          <w:rPr>
            <w:noProof/>
          </w:rPr>
          <w:t>38</w:t>
        </w:r>
      </w:fldSimple>
      <w:r w:rsidR="009E7B56">
        <w:t xml:space="preserve"> Fordele og ulemper ved aktieombytning, spaltning og succession</w:t>
      </w:r>
      <w:bookmarkEnd w:id="160"/>
    </w:p>
    <w:p w:rsidR="00225A78" w:rsidRDefault="00225A78" w:rsidP="000A3903">
      <w:pPr>
        <w:pStyle w:val="Overskrift3"/>
      </w:pPr>
    </w:p>
    <w:p w:rsidR="007A35E5" w:rsidRPr="000A3903" w:rsidRDefault="000A3903" w:rsidP="000A3903">
      <w:pPr>
        <w:pStyle w:val="Overskrift3"/>
      </w:pPr>
      <w:bookmarkStart w:id="161" w:name="_Toc221546247"/>
      <w:r w:rsidRPr="000A3903">
        <w:t>4.</w:t>
      </w:r>
      <w:r w:rsidR="000555D8">
        <w:t>4</w:t>
      </w:r>
      <w:r w:rsidRPr="000A3903">
        <w:t xml:space="preserve">.3 </w:t>
      </w:r>
      <w:r w:rsidR="007A35E5" w:rsidRPr="000A3903">
        <w:t>Aktieombytning og udbyttedifferentiering.</w:t>
      </w:r>
      <w:r w:rsidR="005E2C30">
        <w:t xml:space="preserve"> </w:t>
      </w:r>
      <w:r w:rsidR="005E2C30">
        <w:rPr>
          <w:b w:val="0"/>
          <w:sz w:val="22"/>
          <w:szCs w:val="22"/>
        </w:rPr>
        <w:t>(Jane</w:t>
      </w:r>
      <w:r w:rsidR="005E2C30" w:rsidRPr="00E75844">
        <w:rPr>
          <w:b w:val="0"/>
          <w:sz w:val="22"/>
          <w:szCs w:val="22"/>
        </w:rPr>
        <w:t>)</w:t>
      </w:r>
      <w:bookmarkEnd w:id="161"/>
    </w:p>
    <w:p w:rsidR="00CF6B2F" w:rsidRDefault="00CF6B2F" w:rsidP="00CF6B2F">
      <w:r>
        <w:t>I denne metode er det tanken at datteren C får mulighed for at købe sig ”billigt” ind i selskabet og via differentiering af aktierne udloddes der forlods til A og B indtil at væ</w:t>
      </w:r>
      <w:r>
        <w:t>r</w:t>
      </w:r>
      <w:r>
        <w:t>dierne er ligeligt fordelt mellem de tre personer.</w:t>
      </w:r>
    </w:p>
    <w:p w:rsidR="00CF6B2F" w:rsidRDefault="00CF6B2F" w:rsidP="00CF6B2F"/>
    <w:p w:rsidR="00CF6B2F" w:rsidRDefault="00CF6B2F" w:rsidP="00CF6B2F">
      <w:r>
        <w:lastRenderedPageBreak/>
        <w:t>Første step vil være at fortage en skattefri aktieombytning, hvilket er muligt at foret</w:t>
      </w:r>
      <w:r>
        <w:t>a</w:t>
      </w:r>
      <w:r>
        <w:t>ge uden tilladelse jf. afsnit ”</w:t>
      </w:r>
      <w:r w:rsidR="00012FAC">
        <w:fldChar w:fldCharType="begin"/>
      </w:r>
      <w:r>
        <w:instrText xml:space="preserve"> REF _Ref218750205 \h </w:instrText>
      </w:r>
      <w:r w:rsidR="00012FAC">
        <w:fldChar w:fldCharType="separate"/>
      </w:r>
      <w:r w:rsidR="000F066D">
        <w:t>4.3.1.2 Skattefri aktieombytning uden tilladelse</w:t>
      </w:r>
      <w:r w:rsidR="00012FAC">
        <w:fldChar w:fldCharType="end"/>
      </w:r>
      <w:r>
        <w:t>” når beti</w:t>
      </w:r>
      <w:r>
        <w:t>n</w:t>
      </w:r>
      <w:r>
        <w:t>gelserne herfor er opfyldte. Herefter udvides kapitalen ved at C nytegner kapital i se</w:t>
      </w:r>
      <w:r>
        <w:t>l</w:t>
      </w:r>
      <w:r>
        <w:t xml:space="preserve">skabet, hvilket uddybes nærmere i dette afsnit. </w:t>
      </w:r>
    </w:p>
    <w:p w:rsidR="00CF6B2F" w:rsidRDefault="00CF6B2F" w:rsidP="00CF6B2F"/>
    <w:p w:rsidR="00CF6B2F" w:rsidRDefault="00012FAC" w:rsidP="00CF6B2F">
      <w:r>
        <w:rPr>
          <w:noProof/>
          <w:lang w:eastAsia="da-DK"/>
        </w:rPr>
        <w:pict>
          <v:shape id="_x0000_i1031" type="#_x0000_t75" style="width:302.25pt;height:174.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">
            <v:imagedata r:id="rId20" o:title="" croptop="-3030f" cropbottom="-275f" cropleft="-982f" cropright="-2523f"/>
            <o:lock v:ext="edit" aspectratio="f"/>
          </v:shape>
        </w:pict>
      </w:r>
    </w:p>
    <w:p w:rsidR="00CF6B2F" w:rsidRPr="000D27E1" w:rsidRDefault="00270C4A" w:rsidP="00270C4A">
      <w:pPr>
        <w:pStyle w:val="Billedtekst"/>
      </w:pPr>
      <w:bookmarkStart w:id="162" w:name="_Toc218751421"/>
      <w:r>
        <w:t xml:space="preserve">Figur </w:t>
      </w:r>
      <w:fldSimple w:instr=" SEQ Figur \* ARABIC ">
        <w:r w:rsidR="000F066D">
          <w:rPr>
            <w:noProof/>
          </w:rPr>
          <w:t>39</w:t>
        </w:r>
      </w:fldSimple>
      <w:r w:rsidR="00CF6B2F">
        <w:t xml:space="preserve"> Omstrukturering ved aktieombytning og udbyttedifferentiering</w:t>
      </w:r>
      <w:bookmarkEnd w:id="162"/>
    </w:p>
    <w:p w:rsidR="00CF6B2F" w:rsidRDefault="00CF6B2F" w:rsidP="00CF6B2F"/>
    <w:p w:rsidR="00CF6B2F" w:rsidRDefault="00CF6B2F" w:rsidP="00CF6B2F">
      <w:r>
        <w:t>Efter etablering af holdingkonstruktionen foretages der en vedtægtsændring i selsk</w:t>
      </w:r>
      <w:r>
        <w:t>a</w:t>
      </w:r>
      <w:r>
        <w:t>bet A&amp;B A/S, hvorefter selskabskapitalen opdeles i aktieklasser, således at A&amp;B Ho</w:t>
      </w:r>
      <w:r>
        <w:t>l</w:t>
      </w:r>
      <w:r>
        <w:t>ding A/S ejer den nominelle aktiekapital i A&amp;B A/S som værende A-aktier, der har fo</w:t>
      </w:r>
      <w:r>
        <w:t>r</w:t>
      </w:r>
      <w:r>
        <w:t>lods ret til udbytte. Samtidig åbnes der for muligheden for at der kan nytegnes akti</w:t>
      </w:r>
      <w:r>
        <w:t>e</w:t>
      </w:r>
      <w:r>
        <w:t>kapital i A&amp;B A/S til en lavere kurs – f.eks. helt ned til pari – disse aktier har klasse B status.</w:t>
      </w:r>
    </w:p>
    <w:p w:rsidR="00CF6B2F" w:rsidRDefault="00CF6B2F" w:rsidP="00CF6B2F"/>
    <w:p w:rsidR="00CF6B2F" w:rsidRDefault="00CF6B2F" w:rsidP="00CF6B2F">
      <w:r>
        <w:t>Det er dog normal praksis, at hvis der foretages vedtægtsændringer i et selskab, hvo</w:t>
      </w:r>
      <w:r>
        <w:t>r</w:t>
      </w:r>
      <w:r>
        <w:t>efter aktierne i selskabet vurderes at have skiftet identitet, da anses dette med afståe</w:t>
      </w:r>
      <w:r>
        <w:t>l</w:t>
      </w:r>
      <w:r>
        <w:t>se af aktierne, der skal beskattes efter ABL</w:t>
      </w:r>
      <w:r>
        <w:rPr>
          <w:rStyle w:val="Fodnotehenvisning"/>
        </w:rPr>
        <w:footnoteReference w:id="129"/>
      </w:r>
      <w:r>
        <w:t>. Ligeledes anses en ændring i vedtægte</w:t>
      </w:r>
      <w:r>
        <w:t>r</w:t>
      </w:r>
      <w:r>
        <w:t xml:space="preserve">ne, hvorefter der vil ske forskellig udbytteudlodning til forskellige aktieklasser, for at være en så væsentlig ændring at dette sidestilles med aktieafståelse. Men i det tilfælde hvor der ikke vil ske en formueforskydning mellem de tilbageværende aktionærer og </w:t>
      </w:r>
      <w:r>
        <w:lastRenderedPageBreak/>
        <w:t>den indtrædende aktionær vil dette ikke blive anset for at være aktieafståelse</w:t>
      </w:r>
      <w:r>
        <w:rPr>
          <w:rStyle w:val="Fodnotehenvisning"/>
        </w:rPr>
        <w:footnoteReference w:id="130"/>
      </w:r>
      <w:r>
        <w:t>. På tidspunktet, hvor den forlods udbyttefordel var udbetalt, ændres vedtægterne igen således, at opdeling i aktieklasser ophæves, og da dette sker på tidspunktet hvor alle aktionærerne har de samme rettigheder, anses der ikke for at være sket formuefo</w:t>
      </w:r>
      <w:r>
        <w:t>r</w:t>
      </w:r>
      <w:r>
        <w:t>skydning mellem dem. Der er dermed heller ikke tale om aktieafståelse ved denne ændring.</w:t>
      </w:r>
    </w:p>
    <w:p w:rsidR="00CF6B2F" w:rsidRDefault="00CF6B2F" w:rsidP="00CF6B2F"/>
    <w:p w:rsidR="00CF6B2F" w:rsidRDefault="00CF6B2F" w:rsidP="00CF6B2F">
      <w:r>
        <w:t>Der findes indtil flere afgørelser på området, den der støttes ret på til brug for gener</w:t>
      </w:r>
      <w:r>
        <w:t>a</w:t>
      </w:r>
      <w:r>
        <w:t>tionsskiftet i A&amp;B A/S er:</w:t>
      </w:r>
    </w:p>
    <w:p w:rsidR="00CF6B2F" w:rsidRPr="004F6945" w:rsidRDefault="00CF6B2F" w:rsidP="00CF6B2F">
      <w:pPr>
        <w:pStyle w:val="NormalWeb"/>
        <w:rPr>
          <w:i/>
          <w:sz w:val="22"/>
          <w:szCs w:val="22"/>
        </w:rPr>
      </w:pPr>
      <w:r>
        <w:rPr>
          <w:i/>
          <w:sz w:val="22"/>
          <w:szCs w:val="22"/>
        </w:rPr>
        <w:t>SKM 2004.416.L:</w:t>
      </w:r>
      <w:r w:rsidRPr="004F6945">
        <w:rPr>
          <w:i/>
        </w:rPr>
        <w:t xml:space="preserve"> </w:t>
      </w:r>
      <w:r w:rsidRPr="004F6945">
        <w:rPr>
          <w:i/>
          <w:sz w:val="22"/>
          <w:szCs w:val="22"/>
        </w:rPr>
        <w:t>Eneanpartshaverens holdingselskab påtænkte at lade eneanpartshaverens to børns holdingselskaber nytegne anparter i eneanpartshaverens holdingselskabs helejede da</w:t>
      </w:r>
      <w:r w:rsidRPr="004F6945">
        <w:rPr>
          <w:i/>
          <w:sz w:val="22"/>
          <w:szCs w:val="22"/>
        </w:rPr>
        <w:t>t</w:t>
      </w:r>
      <w:r w:rsidRPr="004F6945">
        <w:rPr>
          <w:i/>
          <w:sz w:val="22"/>
          <w:szCs w:val="22"/>
        </w:rPr>
        <w:t>terselskab. Tegningskursen på anpartsposterne oversteg imidlertid børnenes holdingselskabers betalingsevne. I forbindelse med nytegningen skulle vedtægterne derfor ændres, således at børnenes holdingselskaber kunne tegne anparter, der tålte de andre anparters forlods ret til udbytte. Den forlods udbytteret ville reducere værdien af børnenes holdingselskabers anpart</w:t>
      </w:r>
      <w:r w:rsidRPr="004F6945">
        <w:rPr>
          <w:i/>
          <w:sz w:val="22"/>
          <w:szCs w:val="22"/>
        </w:rPr>
        <w:t>s</w:t>
      </w:r>
      <w:r w:rsidRPr="004F6945">
        <w:rPr>
          <w:i/>
          <w:sz w:val="22"/>
          <w:szCs w:val="22"/>
        </w:rPr>
        <w:t>poster, således at værdien af anpartsposterne svarede til holdingselskabernes betalingsevne.</w:t>
      </w:r>
    </w:p>
    <w:p w:rsidR="00CF6B2F" w:rsidRPr="004F6945" w:rsidRDefault="00CF6B2F" w:rsidP="00CF6B2F">
      <w:pPr>
        <w:pStyle w:val="NormalWeb"/>
        <w:rPr>
          <w:i/>
          <w:sz w:val="22"/>
          <w:szCs w:val="22"/>
        </w:rPr>
      </w:pPr>
      <w:r w:rsidRPr="004F6945">
        <w:rPr>
          <w:i/>
          <w:sz w:val="22"/>
          <w:szCs w:val="22"/>
        </w:rPr>
        <w:t>Ligningsrådet fandt, at den forlods udbytteret skulle fastsættes i forhold til det beløb, som de indtrædende anpartshavere fik del i ved nytegningen. De indtrædende anpartshavere skulle således give afkald på den del af deres udbytte, der svarede til deres uberettigede andel af selskabets værdi, dvs</w:t>
      </w:r>
      <w:r>
        <w:rPr>
          <w:i/>
          <w:sz w:val="22"/>
          <w:szCs w:val="22"/>
        </w:rPr>
        <w:t>.</w:t>
      </w:r>
      <w:r w:rsidRPr="004F6945">
        <w:rPr>
          <w:i/>
          <w:sz w:val="22"/>
          <w:szCs w:val="22"/>
        </w:rPr>
        <w:t xml:space="preserve"> deres ejerandel af (selskabets værdi + tegningsbeløbet) fratrukket te</w:t>
      </w:r>
      <w:r w:rsidRPr="004F6945">
        <w:rPr>
          <w:i/>
          <w:sz w:val="22"/>
          <w:szCs w:val="22"/>
        </w:rPr>
        <w:t>g</w:t>
      </w:r>
      <w:r w:rsidRPr="004F6945">
        <w:rPr>
          <w:i/>
          <w:sz w:val="22"/>
          <w:szCs w:val="22"/>
        </w:rPr>
        <w:t>ningsbeløbet. Resultatet blev fordelt på ejerandelen for at finde det beløb, som den hidtidige anpartshavers</w:t>
      </w:r>
      <w:r w:rsidRPr="004F6945">
        <w:rPr>
          <w:i/>
          <w:color w:val="3F6075"/>
          <w:sz w:val="22"/>
          <w:szCs w:val="22"/>
        </w:rPr>
        <w:t xml:space="preserve"> </w:t>
      </w:r>
      <w:r w:rsidRPr="004F6945">
        <w:rPr>
          <w:i/>
          <w:sz w:val="22"/>
          <w:szCs w:val="22"/>
        </w:rPr>
        <w:t>holdingselskab skulle have i forlods udbytte. Det forlods udbytte skulle tillægges en passende forrentning.</w:t>
      </w:r>
    </w:p>
    <w:p w:rsidR="00CF6B2F" w:rsidRDefault="00CF6B2F" w:rsidP="00CF6B2F">
      <w:r>
        <w:t>Datteren C har nu muligheden for at købe sig ind i selskabet, men vil få begrænset u</w:t>
      </w:r>
      <w:r>
        <w:t>d</w:t>
      </w:r>
      <w:r>
        <w:t xml:space="preserve">bytteret på grund aktieklasseopdelingen. A&amp;B Holding A/S tillægges forlods udbytteret typisk svarende til selskabets indre værdi med tillæg af goodwill, reduceret for den </w:t>
      </w:r>
      <w:r>
        <w:lastRenderedPageBreak/>
        <w:t>nominelle aktiekapital og korrigeret for den tidsmæssige forskydning, der er før vede</w:t>
      </w:r>
      <w:r>
        <w:t>r</w:t>
      </w:r>
      <w:r>
        <w:t>laget modtages</w:t>
      </w:r>
      <w:r>
        <w:rPr>
          <w:rStyle w:val="Fodnotehenvisning"/>
        </w:rPr>
        <w:footnoteReference w:id="131"/>
      </w:r>
      <w:r>
        <w:t>. Det antages at C ønsker at købe sig ind i selskabet, således at hun får en nominel ejerandel svarende til en tredjedel. Herved opnås fordelen ved at de oprindelige ejere fortsat er i virksomheden, og C kan indtræde gradvist ind i driften af selskabet. Fordelene herved er omtalt tidligere i afsnit ”</w:t>
      </w:r>
      <w:r w:rsidR="00012FAC">
        <w:fldChar w:fldCharType="begin"/>
      </w:r>
      <w:r>
        <w:instrText xml:space="preserve"> REF _Ref218750321 \h </w:instrText>
      </w:r>
      <w:r w:rsidR="00012FAC">
        <w:fldChar w:fldCharType="separate"/>
      </w:r>
      <w:r w:rsidR="000F066D">
        <w:t>3.1.6.1</w:t>
      </w:r>
      <w:r w:rsidR="000F066D" w:rsidRPr="00AF2D39">
        <w:t xml:space="preserve"> </w:t>
      </w:r>
      <w:r w:rsidR="000F066D">
        <w:t>Overdragelse ved køb af ideel andel, skattemæssige konsekve</w:t>
      </w:r>
      <w:r w:rsidR="000F066D">
        <w:t>n</w:t>
      </w:r>
      <w:r w:rsidR="000F066D">
        <w:t>ser herved</w:t>
      </w:r>
      <w:r w:rsidR="00012FAC">
        <w:fldChar w:fldCharType="end"/>
      </w:r>
      <w:r>
        <w:t>”, hvortil der henvises.</w:t>
      </w:r>
    </w:p>
    <w:p w:rsidR="00CF6B2F" w:rsidRDefault="00CF6B2F" w:rsidP="00CF6B2F"/>
    <w:p w:rsidR="00CF6B2F" w:rsidRDefault="00CF6B2F" w:rsidP="00CF6B2F">
      <w:r>
        <w:t>Med udgangspunkt i de tidligere foretagne beregninger og under hensyntagen til ovenstående afgørelse, beregnes størrelsen af det forlods udbytte som A&amp;B Holding A/S har ret til, når C nytegner B-aktier, således at C vil komme til at eje nominelt en tredjedel af aktiekapitalen.</w:t>
      </w:r>
    </w:p>
    <w:p w:rsidR="00C96DF3" w:rsidRDefault="00C96DF3" w:rsidP="00CF6B2F"/>
    <w:tbl>
      <w:tblPr>
        <w:tblW w:w="5600" w:type="dxa"/>
        <w:tblInd w:w="55" w:type="dxa"/>
        <w:tblCellMar>
          <w:left w:w="70" w:type="dxa"/>
          <w:right w:w="70" w:type="dxa"/>
        </w:tblCellMar>
        <w:tblLook w:val="0000"/>
      </w:tblPr>
      <w:tblGrid>
        <w:gridCol w:w="2080"/>
        <w:gridCol w:w="1760"/>
        <w:gridCol w:w="1760"/>
      </w:tblGrid>
      <w:tr w:rsidR="00CF6B2F" w:rsidRPr="000D22A7" w:rsidTr="00CF6B2F">
        <w:trPr>
          <w:trHeight w:val="255"/>
        </w:trPr>
        <w:tc>
          <w:tcPr>
            <w:tcW w:w="2080" w:type="dxa"/>
            <w:tcBorders>
              <w:top w:val="nil"/>
              <w:left w:val="nil"/>
              <w:bottom w:val="nil"/>
              <w:right w:val="nil"/>
            </w:tcBorders>
            <w:noWrap/>
            <w:vAlign w:val="bottom"/>
          </w:tcPr>
          <w:p w:rsidR="00CF6B2F" w:rsidRPr="000D22A7" w:rsidRDefault="00CF6B2F" w:rsidP="00CF6B2F">
            <w:pPr>
              <w:rPr>
                <w:rFonts w:cs="Arial"/>
                <w:sz w:val="20"/>
                <w:szCs w:val="20"/>
                <w:lang w:eastAsia="da-DK"/>
              </w:rPr>
            </w:pP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 xml:space="preserve">Selskabets </w:t>
            </w: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Selskabets</w:t>
            </w:r>
          </w:p>
        </w:tc>
      </w:tr>
      <w:tr w:rsidR="00CF6B2F" w:rsidRPr="000D22A7" w:rsidTr="00CF6B2F">
        <w:trPr>
          <w:trHeight w:val="255"/>
        </w:trPr>
        <w:tc>
          <w:tcPr>
            <w:tcW w:w="2080" w:type="dxa"/>
            <w:tcBorders>
              <w:top w:val="nil"/>
              <w:left w:val="nil"/>
              <w:bottom w:val="nil"/>
              <w:right w:val="nil"/>
            </w:tcBorders>
            <w:noWrap/>
            <w:vAlign w:val="bottom"/>
          </w:tcPr>
          <w:p w:rsidR="00CF6B2F" w:rsidRPr="000D22A7" w:rsidRDefault="00CF6B2F" w:rsidP="00CF6B2F">
            <w:pPr>
              <w:rPr>
                <w:rFonts w:cs="Arial"/>
                <w:sz w:val="20"/>
                <w:szCs w:val="20"/>
                <w:lang w:eastAsia="da-DK"/>
              </w:rPr>
            </w:pP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balance ved</w:t>
            </w: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balance efter</w:t>
            </w:r>
          </w:p>
        </w:tc>
      </w:tr>
      <w:tr w:rsidR="00CF6B2F" w:rsidRPr="000D22A7" w:rsidTr="00CF6B2F">
        <w:trPr>
          <w:trHeight w:val="255"/>
        </w:trPr>
        <w:tc>
          <w:tcPr>
            <w:tcW w:w="208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(beløb i t.DKK)</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stiftelse</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nytegning</w:t>
            </w:r>
          </w:p>
        </w:tc>
      </w:tr>
      <w:tr w:rsidR="00CF6B2F" w:rsidRPr="000D22A7" w:rsidTr="00CF6B2F">
        <w:trPr>
          <w:trHeight w:val="255"/>
        </w:trPr>
        <w:tc>
          <w:tcPr>
            <w:tcW w:w="2080" w:type="dxa"/>
            <w:tcBorders>
              <w:top w:val="nil"/>
              <w:left w:val="nil"/>
              <w:bottom w:val="nil"/>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Aktiekapital (klasse A)</w:t>
            </w: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500</w:t>
            </w: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500</w:t>
            </w:r>
          </w:p>
        </w:tc>
      </w:tr>
      <w:tr w:rsidR="00CF6B2F" w:rsidRPr="000D22A7" w:rsidTr="00CF6B2F">
        <w:trPr>
          <w:trHeight w:val="255"/>
        </w:trPr>
        <w:tc>
          <w:tcPr>
            <w:tcW w:w="2080" w:type="dxa"/>
            <w:tcBorders>
              <w:top w:val="nil"/>
              <w:left w:val="nil"/>
              <w:bottom w:val="nil"/>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Aktiekapital (klasse B)</w:t>
            </w: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0</w:t>
            </w: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250</w:t>
            </w:r>
          </w:p>
        </w:tc>
      </w:tr>
      <w:tr w:rsidR="00CF6B2F" w:rsidRPr="000D22A7" w:rsidTr="00CF6B2F">
        <w:trPr>
          <w:trHeight w:val="255"/>
        </w:trPr>
        <w:tc>
          <w:tcPr>
            <w:tcW w:w="208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Overkurs/reserver</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3.510</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3.510</w:t>
            </w:r>
          </w:p>
        </w:tc>
      </w:tr>
      <w:tr w:rsidR="00CF6B2F" w:rsidRPr="000D22A7" w:rsidTr="00CF6B2F">
        <w:trPr>
          <w:trHeight w:val="255"/>
        </w:trPr>
        <w:tc>
          <w:tcPr>
            <w:tcW w:w="208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Egenkapital i alt</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4.010</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4260</w:t>
            </w:r>
          </w:p>
        </w:tc>
      </w:tr>
      <w:tr w:rsidR="00CF6B2F" w:rsidRPr="000D22A7" w:rsidTr="00CF6B2F">
        <w:trPr>
          <w:trHeight w:val="255"/>
        </w:trPr>
        <w:tc>
          <w:tcPr>
            <w:tcW w:w="3840" w:type="dxa"/>
            <w:gridSpan w:val="2"/>
            <w:tcBorders>
              <w:top w:val="nil"/>
              <w:left w:val="nil"/>
              <w:bottom w:val="nil"/>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Forlods udbytteret til klasse A:</w:t>
            </w:r>
          </w:p>
        </w:tc>
        <w:tc>
          <w:tcPr>
            <w:tcW w:w="1760" w:type="dxa"/>
            <w:tcBorders>
              <w:top w:val="nil"/>
              <w:left w:val="nil"/>
              <w:bottom w:val="nil"/>
              <w:right w:val="nil"/>
            </w:tcBorders>
            <w:noWrap/>
            <w:vAlign w:val="bottom"/>
          </w:tcPr>
          <w:p w:rsidR="00CF6B2F" w:rsidRPr="000D22A7" w:rsidRDefault="00CF6B2F" w:rsidP="00CF6B2F">
            <w:pPr>
              <w:rPr>
                <w:rFonts w:cs="Arial"/>
                <w:sz w:val="20"/>
                <w:szCs w:val="20"/>
                <w:lang w:eastAsia="da-DK"/>
              </w:rPr>
            </w:pPr>
          </w:p>
        </w:tc>
      </w:tr>
      <w:tr w:rsidR="00CF6B2F" w:rsidRPr="000D22A7" w:rsidTr="00CF6B2F">
        <w:trPr>
          <w:trHeight w:val="255"/>
        </w:trPr>
        <w:tc>
          <w:tcPr>
            <w:tcW w:w="2080" w:type="dxa"/>
            <w:tcBorders>
              <w:top w:val="nil"/>
              <w:left w:val="nil"/>
              <w:bottom w:val="nil"/>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Selskabets værdi</w:t>
            </w:r>
          </w:p>
        </w:tc>
        <w:tc>
          <w:tcPr>
            <w:tcW w:w="1760" w:type="dxa"/>
            <w:tcBorders>
              <w:top w:val="nil"/>
              <w:left w:val="nil"/>
              <w:bottom w:val="nil"/>
              <w:right w:val="nil"/>
            </w:tcBorders>
            <w:noWrap/>
            <w:vAlign w:val="bottom"/>
          </w:tcPr>
          <w:p w:rsidR="00CF6B2F" w:rsidRPr="000D22A7" w:rsidRDefault="00CF6B2F" w:rsidP="00CF6B2F">
            <w:pPr>
              <w:rPr>
                <w:rFonts w:cs="Arial"/>
                <w:sz w:val="20"/>
                <w:szCs w:val="20"/>
                <w:lang w:eastAsia="da-DK"/>
              </w:rPr>
            </w:pP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4.010</w:t>
            </w:r>
          </w:p>
        </w:tc>
      </w:tr>
      <w:tr w:rsidR="00CF6B2F" w:rsidRPr="000D22A7" w:rsidTr="00CF6B2F">
        <w:trPr>
          <w:trHeight w:val="255"/>
        </w:trPr>
        <w:tc>
          <w:tcPr>
            <w:tcW w:w="2080" w:type="dxa"/>
            <w:tcBorders>
              <w:top w:val="nil"/>
              <w:left w:val="nil"/>
              <w:bottom w:val="nil"/>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Goodwill, anslået</w:t>
            </w:r>
          </w:p>
        </w:tc>
        <w:tc>
          <w:tcPr>
            <w:tcW w:w="1760" w:type="dxa"/>
            <w:tcBorders>
              <w:top w:val="nil"/>
              <w:left w:val="nil"/>
              <w:bottom w:val="nil"/>
              <w:right w:val="nil"/>
            </w:tcBorders>
            <w:noWrap/>
            <w:vAlign w:val="bottom"/>
          </w:tcPr>
          <w:p w:rsidR="00CF6B2F" w:rsidRPr="000D22A7" w:rsidRDefault="00CF6B2F" w:rsidP="00CF6B2F">
            <w:pPr>
              <w:rPr>
                <w:rFonts w:cs="Arial"/>
                <w:sz w:val="20"/>
                <w:szCs w:val="20"/>
                <w:lang w:eastAsia="da-DK"/>
              </w:rPr>
            </w:pP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600</w:t>
            </w:r>
          </w:p>
        </w:tc>
      </w:tr>
      <w:tr w:rsidR="00CF6B2F" w:rsidRPr="000D22A7" w:rsidTr="00CF6B2F">
        <w:trPr>
          <w:trHeight w:val="255"/>
        </w:trPr>
        <w:tc>
          <w:tcPr>
            <w:tcW w:w="208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Tegningsbeløb</w:t>
            </w:r>
          </w:p>
        </w:tc>
        <w:tc>
          <w:tcPr>
            <w:tcW w:w="176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 </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250</w:t>
            </w:r>
          </w:p>
        </w:tc>
      </w:tr>
      <w:tr w:rsidR="00CF6B2F" w:rsidRPr="000D22A7" w:rsidTr="00CF6B2F">
        <w:trPr>
          <w:trHeight w:val="255"/>
        </w:trPr>
        <w:tc>
          <w:tcPr>
            <w:tcW w:w="208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Beregningsgrundlag</w:t>
            </w:r>
          </w:p>
        </w:tc>
        <w:tc>
          <w:tcPr>
            <w:tcW w:w="176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 </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4.860</w:t>
            </w:r>
          </w:p>
        </w:tc>
      </w:tr>
      <w:tr w:rsidR="00CF6B2F" w:rsidRPr="000D22A7" w:rsidTr="00CF6B2F">
        <w:trPr>
          <w:trHeight w:val="255"/>
        </w:trPr>
        <w:tc>
          <w:tcPr>
            <w:tcW w:w="5600" w:type="dxa"/>
            <w:gridSpan w:val="3"/>
            <w:tcBorders>
              <w:top w:val="nil"/>
              <w:left w:val="nil"/>
              <w:bottom w:val="nil"/>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Klasse B skal give afkald på udbytteret beregnet som:</w:t>
            </w:r>
          </w:p>
        </w:tc>
      </w:tr>
      <w:tr w:rsidR="00CF6B2F" w:rsidRPr="000D22A7" w:rsidTr="00CF6B2F">
        <w:trPr>
          <w:trHeight w:val="255"/>
        </w:trPr>
        <w:tc>
          <w:tcPr>
            <w:tcW w:w="2080" w:type="dxa"/>
            <w:tcBorders>
              <w:top w:val="nil"/>
              <w:left w:val="nil"/>
              <w:bottom w:val="nil"/>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 xml:space="preserve">1/3 af </w:t>
            </w: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4.860</w:t>
            </w:r>
          </w:p>
        </w:tc>
        <w:tc>
          <w:tcPr>
            <w:tcW w:w="1760" w:type="dxa"/>
            <w:tcBorders>
              <w:top w:val="nil"/>
              <w:left w:val="nil"/>
              <w:bottom w:val="nil"/>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1.620</w:t>
            </w:r>
          </w:p>
        </w:tc>
      </w:tr>
      <w:tr w:rsidR="00CF6B2F" w:rsidRPr="000D22A7" w:rsidTr="00CF6B2F">
        <w:trPr>
          <w:trHeight w:val="255"/>
        </w:trPr>
        <w:tc>
          <w:tcPr>
            <w:tcW w:w="208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Tegningsbeløb</w:t>
            </w:r>
          </w:p>
        </w:tc>
        <w:tc>
          <w:tcPr>
            <w:tcW w:w="1760" w:type="dxa"/>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 </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-250</w:t>
            </w:r>
          </w:p>
        </w:tc>
      </w:tr>
      <w:tr w:rsidR="00CF6B2F" w:rsidRPr="000D22A7" w:rsidTr="00CF6B2F">
        <w:trPr>
          <w:trHeight w:val="255"/>
        </w:trPr>
        <w:tc>
          <w:tcPr>
            <w:tcW w:w="3840" w:type="dxa"/>
            <w:gridSpan w:val="2"/>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Udbytteafkald i alt (1/3) </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1.370</w:t>
            </w:r>
          </w:p>
        </w:tc>
      </w:tr>
      <w:tr w:rsidR="00CF6B2F" w:rsidRPr="000D22A7" w:rsidTr="00CF6B2F">
        <w:trPr>
          <w:trHeight w:val="255"/>
        </w:trPr>
        <w:tc>
          <w:tcPr>
            <w:tcW w:w="3840" w:type="dxa"/>
            <w:gridSpan w:val="2"/>
            <w:tcBorders>
              <w:top w:val="nil"/>
              <w:left w:val="nil"/>
              <w:bottom w:val="single" w:sz="4" w:space="0" w:color="auto"/>
              <w:right w:val="nil"/>
            </w:tcBorders>
            <w:noWrap/>
            <w:vAlign w:val="bottom"/>
          </w:tcPr>
          <w:p w:rsidR="00CF6B2F" w:rsidRPr="000D22A7" w:rsidRDefault="00CF6B2F" w:rsidP="00CF6B2F">
            <w:pPr>
              <w:rPr>
                <w:rFonts w:cs="Arial"/>
                <w:sz w:val="20"/>
                <w:szCs w:val="20"/>
                <w:lang w:eastAsia="da-DK"/>
              </w:rPr>
            </w:pPr>
            <w:r w:rsidRPr="000D22A7">
              <w:rPr>
                <w:rFonts w:cs="Arial"/>
                <w:sz w:val="20"/>
                <w:szCs w:val="20"/>
                <w:lang w:eastAsia="da-DK"/>
              </w:rPr>
              <w:t>Klasse A, forlodsudbytteret beregnet</w:t>
            </w:r>
          </w:p>
        </w:tc>
        <w:tc>
          <w:tcPr>
            <w:tcW w:w="1760" w:type="dxa"/>
            <w:tcBorders>
              <w:top w:val="nil"/>
              <w:left w:val="nil"/>
              <w:bottom w:val="single" w:sz="4" w:space="0" w:color="auto"/>
              <w:right w:val="nil"/>
            </w:tcBorders>
            <w:noWrap/>
            <w:vAlign w:val="bottom"/>
          </w:tcPr>
          <w:p w:rsidR="00CF6B2F" w:rsidRPr="000D22A7" w:rsidRDefault="00CF6B2F" w:rsidP="00CF6B2F">
            <w:pPr>
              <w:jc w:val="right"/>
              <w:rPr>
                <w:rFonts w:cs="Arial"/>
                <w:sz w:val="20"/>
                <w:szCs w:val="20"/>
                <w:lang w:eastAsia="da-DK"/>
              </w:rPr>
            </w:pPr>
            <w:r w:rsidRPr="000D22A7">
              <w:rPr>
                <w:rFonts w:cs="Arial"/>
                <w:sz w:val="20"/>
                <w:szCs w:val="20"/>
                <w:lang w:eastAsia="da-DK"/>
              </w:rPr>
              <w:t>4.110</w:t>
            </w:r>
          </w:p>
        </w:tc>
      </w:tr>
    </w:tbl>
    <w:p w:rsidR="00CF6B2F" w:rsidRPr="000D27E1" w:rsidRDefault="00270C4A" w:rsidP="00270C4A">
      <w:pPr>
        <w:pStyle w:val="Billedtekst"/>
      </w:pPr>
      <w:bookmarkStart w:id="163" w:name="_Toc218751422"/>
      <w:r>
        <w:t xml:space="preserve">Figur </w:t>
      </w:r>
      <w:fldSimple w:instr=" SEQ Figur \* ARABIC ">
        <w:r w:rsidR="000F066D">
          <w:rPr>
            <w:noProof/>
          </w:rPr>
          <w:t>40</w:t>
        </w:r>
      </w:fldSimple>
      <w:r w:rsidR="00CF6B2F">
        <w:t xml:space="preserve"> Beregning af forlodsudbytteret for klasse A aktier</w:t>
      </w:r>
      <w:bookmarkEnd w:id="163"/>
    </w:p>
    <w:p w:rsidR="00CF6B2F" w:rsidRDefault="00CF6B2F" w:rsidP="00CF6B2F">
      <w:r w:rsidRPr="000D27E1">
        <w:lastRenderedPageBreak/>
        <w:t>Som det fremgår af ovenstående vil A&amp;B Holding A/S have en forlods udbytteret til t.DKK 4.110, der forrentes med en fikseret rente svarende til diskontoen + 4 %, hvilket ultimo 2008 vil give en rente på 7,5 % (3,5 + 4)</w:t>
      </w:r>
      <w:r>
        <w:t xml:space="preserve"> idet der tages udgangspunkt i meget lille eller ingen risiko</w:t>
      </w:r>
      <w:r w:rsidRPr="000D27E1">
        <w:t>. Det kan dog forekomme lidt underligt at der i beregningen af den forlods udbytteret tages udgangspunkt i den samlede egenkapital i selskabet – altså såvel selskabskapitalen som reserver i selskabet. Det er ikke desto mindre den metode der anvendes i den før omtalte afgørelse. Det virker umiddelbart forkert, da selskabet under uændrede ejerforhold kun ville have mulighed for at udlodde de frie reserver og aldrig selskabskapitalen.</w:t>
      </w:r>
      <w:r>
        <w:t xml:space="preserve"> </w:t>
      </w:r>
    </w:p>
    <w:p w:rsidR="00CF6B2F" w:rsidRDefault="00CF6B2F" w:rsidP="00CF6B2F"/>
    <w:p w:rsidR="00CF6B2F" w:rsidRDefault="00CF6B2F" w:rsidP="00CF6B2F">
      <w:r>
        <w:t>Såfremt der er sket skattefri aktieombytning</w:t>
      </w:r>
      <w:r>
        <w:rPr>
          <w:rStyle w:val="Fodnotehenvisning"/>
        </w:rPr>
        <w:footnoteReference w:id="132"/>
      </w:r>
      <w:r>
        <w:t xml:space="preserve"> uden tilladelse forinden der ændres i vedtægterne, skal opmærksomheden henledes på begrænsningen i udbytter, da der ikke må udloddes mere end det ordinære resultat i en periode på tre år efter aktieo</w:t>
      </w:r>
      <w:r>
        <w:t>m</w:t>
      </w:r>
      <w:r>
        <w:t>bytningen. Da skal aktieombytningen enten være foretaget tre år før, der ændres i vedtægterne eller alternativt der anmodes om tilladelse til at gennemføre aktieomby</w:t>
      </w:r>
      <w:r>
        <w:t>t</w:t>
      </w:r>
      <w:r>
        <w:t>ningen. Hvis det ikke er muligt at opnå tilladelse, vil det som anført være nødvendigt at aktieombytningen er foretaget minimum tre før vedtægtsændringen.</w:t>
      </w:r>
    </w:p>
    <w:p w:rsidR="00CF6B2F" w:rsidRDefault="00CF6B2F" w:rsidP="00CF6B2F"/>
    <w:p w:rsidR="00CF6B2F" w:rsidRDefault="00CF6B2F" w:rsidP="00CF6B2F">
      <w:r>
        <w:t>Der vil herefter opstå problemstilling om, hvorvidt den forlodsudbytteret skal være tidsbegrænset således, at hvis udbyttefordele ikke er udnyttet inden et vist tidsrum, bortfalder fordelen eller alternativt begrænset til udlodningen rent faktisk er vedtaget. Jf. TfS 2003.943 antages det at det afgørende for valg af metode må bero på om udby</w:t>
      </w:r>
      <w:r>
        <w:t>t</w:t>
      </w:r>
      <w:r>
        <w:t>tefordelen svarer til optjent goodwill eller om den også dækker andre værdier i selsk</w:t>
      </w:r>
      <w:r>
        <w:t>a</w:t>
      </w:r>
      <w:r>
        <w:t>bet. Hvis der alene er tale om udbyttefordel svarende til optjent goodwill vil dette tale for at tidsbegrænse, da goodwill antages at have en vis levetid. Mens alternativet, hvor udbyttefordelen også består af andre værdier i selskabet, vil tale for at maksimere til absolutte tal.</w:t>
      </w:r>
    </w:p>
    <w:p w:rsidR="00CF6B2F" w:rsidRDefault="00CF6B2F" w:rsidP="00CF6B2F"/>
    <w:p w:rsidR="00CF6B2F" w:rsidRDefault="00CF6B2F" w:rsidP="00CF6B2F">
      <w:r w:rsidRPr="000D27E1">
        <w:lastRenderedPageBreak/>
        <w:t>I eksemplet A&amp;B A/S er der tale om en kombination af goodwill og andre værdier i se</w:t>
      </w:r>
      <w:r w:rsidRPr="000D27E1">
        <w:t>l</w:t>
      </w:r>
      <w:r w:rsidRPr="000D27E1">
        <w:t>skabet, hvilket altså vil tale for at maksimere til absolutte tal jf. ovenstående afsnit. Som en del af planlægningen i generationsskiftet kunne selskabet have foretaget u</w:t>
      </w:r>
      <w:r w:rsidRPr="000D27E1">
        <w:t>d</w:t>
      </w:r>
      <w:r w:rsidRPr="000D27E1">
        <w:t>lodning til A&amp;B Holding A/S forinden nytegningen af aktier</w:t>
      </w:r>
      <w:r w:rsidRPr="000D27E1">
        <w:rPr>
          <w:rStyle w:val="Fodnotehenvisning"/>
        </w:rPr>
        <w:footnoteReference w:id="133"/>
      </w:r>
      <w:r w:rsidRPr="000D27E1">
        <w:t xml:space="preserve">, hvorved det </w:t>
      </w:r>
      <w:r w:rsidR="00BB4C4B">
        <w:t xml:space="preserve">kan tale for at </w:t>
      </w:r>
      <w:r w:rsidRPr="000D27E1">
        <w:t>man kan have tidsbegrænset udbyttefordelen. Derved vil det også have været m</w:t>
      </w:r>
      <w:r w:rsidRPr="000D27E1">
        <w:t>u</w:t>
      </w:r>
      <w:r w:rsidRPr="000D27E1">
        <w:t>ligt at tilgodese den næste generation, da goodwillen er en beregnet størrelse, der ikke fremgår af regnskabet som følge af</w:t>
      </w:r>
      <w:r>
        <w:t>,</w:t>
      </w:r>
      <w:r w:rsidRPr="000D27E1">
        <w:t xml:space="preserve"> at der er tale om internt oparbejdet goodwill. Ved at tidsbegrænse den forlods udbytteret, der hidrører fra goodwill, kan de oprindelige aktionærer være tilbageholdende med at udlodde og der igennem give en fordel til den næste generation. Problemet heri kan dog være at der i perioden har været gode resultater, der netop taler for at der en goodwillværdi, som Skat kan anfægte. </w:t>
      </w:r>
    </w:p>
    <w:p w:rsidR="00CF6B2F" w:rsidRDefault="00CF6B2F" w:rsidP="00CF6B2F"/>
    <w:p w:rsidR="00CF6B2F" w:rsidRDefault="00CF6B2F" w:rsidP="00CF6B2F">
      <w:r>
        <w:t>Ophævelse af klassedelingen skal ske, når den forlods udbytteret ikke længere er akt</w:t>
      </w:r>
      <w:r>
        <w:t>u</w:t>
      </w:r>
      <w:r>
        <w:t>el. Dette sker ved en vedtægtsændring, hvor klassedelingen ophæves. Der sker ikke nogen forskydning mellem aktieklasserne</w:t>
      </w:r>
      <w:r>
        <w:rPr>
          <w:rStyle w:val="Fodnotehenvisning"/>
        </w:rPr>
        <w:footnoteReference w:id="134"/>
      </w:r>
      <w:r>
        <w:t xml:space="preserve"> ved denne vedtægtsændring, da rettigh</w:t>
      </w:r>
      <w:r>
        <w:t>e</w:t>
      </w:r>
      <w:r>
        <w:t>der og forpligtelser er ens, som følge af at de forlods rettigheder er udtømte. Der er alene tale om en formel ændring i vedtægterne.</w:t>
      </w:r>
    </w:p>
    <w:p w:rsidR="00CF6B2F" w:rsidRDefault="00CF6B2F" w:rsidP="00CF6B2F"/>
    <w:p w:rsidR="00CF6B2F" w:rsidRDefault="00CF6B2F" w:rsidP="00CF6B2F">
      <w:r>
        <w:t xml:space="preserve">Forinden en generationsskiftemodel påbegyndes som ovenstående, kan det være en god ide at anmode om bindende svar fra </w:t>
      </w:r>
      <w:r w:rsidR="003D7459">
        <w:t>Skatterådet</w:t>
      </w:r>
      <w:r>
        <w:t xml:space="preserve">, hvor alle relevante forhold og påtænkte dispositioner forelægges. Et bindende svar fra </w:t>
      </w:r>
      <w:r w:rsidR="003D7459">
        <w:t>Skatterådet</w:t>
      </w:r>
      <w:r>
        <w:t xml:space="preserve"> er bindende for Skat i 5 år.</w:t>
      </w:r>
    </w:p>
    <w:p w:rsidR="00CF6B2F" w:rsidRDefault="00CF6B2F" w:rsidP="00CF6B2F"/>
    <w:p w:rsidR="00CF6B2F" w:rsidRPr="0012347C" w:rsidRDefault="00EB00B4" w:rsidP="00CF6B2F">
      <w:pPr>
        <w:rPr>
          <w:b/>
        </w:rPr>
      </w:pPr>
      <w:r>
        <w:rPr>
          <w:b/>
        </w:rPr>
        <w:br w:type="page"/>
      </w:r>
      <w:r w:rsidR="00CF6B2F" w:rsidRPr="0012347C">
        <w:rPr>
          <w:b/>
        </w:rPr>
        <w:lastRenderedPageBreak/>
        <w:t>Fordele og ulemper ved udbyttedifferentiering:</w:t>
      </w:r>
    </w:p>
    <w:p w:rsidR="00CF6B2F" w:rsidRDefault="00CF6B2F" w:rsidP="00CF6B2F"/>
    <w:tbl>
      <w:tblPr>
        <w:tblW w:w="5000" w:type="pct"/>
        <w:tblLook w:val="01E0"/>
      </w:tblPr>
      <w:tblGrid>
        <w:gridCol w:w="4360"/>
        <w:gridCol w:w="4360"/>
      </w:tblGrid>
      <w:tr w:rsidR="00CF6B2F" w:rsidTr="00CF6B2F">
        <w:tc>
          <w:tcPr>
            <w:tcW w:w="2500" w:type="pct"/>
            <w:tcBorders>
              <w:left w:val="single" w:sz="4" w:space="0" w:color="auto"/>
              <w:bottom w:val="single" w:sz="4" w:space="0" w:color="auto"/>
              <w:right w:val="single" w:sz="4" w:space="0" w:color="auto"/>
            </w:tcBorders>
          </w:tcPr>
          <w:p w:rsidR="00CF6B2F" w:rsidRDefault="00CF6B2F" w:rsidP="00CF6B2F">
            <w:r>
              <w:t>Fordele</w:t>
            </w:r>
          </w:p>
        </w:tc>
        <w:tc>
          <w:tcPr>
            <w:tcW w:w="2500" w:type="pct"/>
            <w:tcBorders>
              <w:left w:val="single" w:sz="4" w:space="0" w:color="auto"/>
              <w:bottom w:val="single" w:sz="4" w:space="0" w:color="auto"/>
              <w:right w:val="single" w:sz="4" w:space="0" w:color="auto"/>
            </w:tcBorders>
          </w:tcPr>
          <w:p w:rsidR="00CF6B2F" w:rsidRDefault="00CF6B2F" w:rsidP="00CF6B2F">
            <w:r>
              <w:t>Ulemper</w:t>
            </w:r>
          </w:p>
        </w:tc>
      </w:tr>
      <w:tr w:rsidR="00CF6B2F" w:rsidTr="00CF6B2F">
        <w:tc>
          <w:tcPr>
            <w:tcW w:w="2500" w:type="pct"/>
            <w:tcBorders>
              <w:top w:val="single" w:sz="4" w:space="0" w:color="auto"/>
              <w:left w:val="single" w:sz="4" w:space="0" w:color="auto"/>
              <w:bottom w:val="single" w:sz="4" w:space="0" w:color="auto"/>
              <w:right w:val="single" w:sz="4" w:space="0" w:color="auto"/>
            </w:tcBorders>
          </w:tcPr>
          <w:p w:rsidR="00CF6B2F" w:rsidRDefault="00CF6B2F" w:rsidP="00CF6B2F">
            <w:pPr>
              <w:numPr>
                <w:ilvl w:val="0"/>
                <w:numId w:val="16"/>
              </w:numPr>
              <w:spacing w:line="240" w:lineRule="auto"/>
              <w:jc w:val="left"/>
            </w:pPr>
            <w:r>
              <w:t>Datteren kan købe sig ”billigt” ind i selskabet – der er mindre kapitalkr</w:t>
            </w:r>
            <w:r>
              <w:t>æ</w:t>
            </w:r>
            <w:r>
              <w:t>vende end som hvis C skulle indtræde med 1/3 i I/S’et jf. afsnit ”</w:t>
            </w:r>
            <w:r w:rsidR="00012FAC">
              <w:fldChar w:fldCharType="begin"/>
            </w:r>
            <w:r>
              <w:instrText xml:space="preserve"> REF _Ref218750457 \h </w:instrText>
            </w:r>
            <w:r w:rsidR="00012FAC">
              <w:fldChar w:fldCharType="separate"/>
            </w:r>
            <w:r w:rsidR="000F066D">
              <w:t>3.1.6.2 Overdragelse ved optagelse af en int</w:t>
            </w:r>
            <w:r w:rsidR="000F066D">
              <w:t>e</w:t>
            </w:r>
            <w:r w:rsidR="000F066D">
              <w:t>ressent</w:t>
            </w:r>
            <w:r w:rsidR="00012FAC">
              <w:fldChar w:fldCharType="end"/>
            </w:r>
            <w:r>
              <w:t>”</w:t>
            </w:r>
          </w:p>
          <w:p w:rsidR="00CF6B2F" w:rsidRDefault="00CF6B2F" w:rsidP="00CF6B2F">
            <w:pPr>
              <w:numPr>
                <w:ilvl w:val="0"/>
                <w:numId w:val="16"/>
              </w:numPr>
              <w:spacing w:line="240" w:lineRule="auto"/>
              <w:jc w:val="left"/>
            </w:pPr>
            <w:r>
              <w:t>Muligt at tidsbegrænse udbytteford</w:t>
            </w:r>
            <w:r>
              <w:t>e</w:t>
            </w:r>
            <w:r>
              <w:t>len, hvis forlodsudbytte alene hidrører fra goodwill</w:t>
            </w:r>
          </w:p>
          <w:p w:rsidR="00CF6B2F" w:rsidRDefault="00CF6B2F" w:rsidP="00CF6B2F">
            <w:pPr>
              <w:numPr>
                <w:ilvl w:val="0"/>
                <w:numId w:val="16"/>
              </w:numPr>
              <w:spacing w:line="240" w:lineRule="auto"/>
              <w:jc w:val="left"/>
            </w:pPr>
            <w:r>
              <w:t>Nytegning af selskabskapital giver l</w:t>
            </w:r>
            <w:r>
              <w:t>i</w:t>
            </w:r>
            <w:r>
              <w:t>kviditet i selskabet</w:t>
            </w:r>
          </w:p>
          <w:p w:rsidR="00CF6B2F" w:rsidRDefault="00CF6B2F" w:rsidP="00CF6B2F">
            <w:pPr>
              <w:numPr>
                <w:ilvl w:val="0"/>
                <w:numId w:val="16"/>
              </w:numPr>
              <w:spacing w:line="240" w:lineRule="auto"/>
              <w:jc w:val="left"/>
            </w:pPr>
            <w:r>
              <w:t xml:space="preserve">Der </w:t>
            </w:r>
            <w:r w:rsidR="00F83EBA">
              <w:t xml:space="preserve">kan </w:t>
            </w:r>
            <w:r>
              <w:t>anmodes om bindende svar fra Skat for beregningen af den forlo</w:t>
            </w:r>
            <w:r>
              <w:t>d</w:t>
            </w:r>
            <w:r>
              <w:t>sudbytteret, hvorved det sikres at der ikke senere vil ske korrektioner fra Skat’s side</w:t>
            </w:r>
          </w:p>
        </w:tc>
        <w:tc>
          <w:tcPr>
            <w:tcW w:w="2500" w:type="pct"/>
            <w:tcBorders>
              <w:top w:val="single" w:sz="4" w:space="0" w:color="auto"/>
              <w:left w:val="single" w:sz="4" w:space="0" w:color="auto"/>
              <w:bottom w:val="single" w:sz="4" w:space="0" w:color="auto"/>
              <w:right w:val="single" w:sz="4" w:space="0" w:color="auto"/>
            </w:tcBorders>
          </w:tcPr>
          <w:p w:rsidR="00CF6B2F" w:rsidRDefault="00CF6B2F" w:rsidP="00CF6B2F">
            <w:pPr>
              <w:numPr>
                <w:ilvl w:val="0"/>
                <w:numId w:val="16"/>
              </w:numPr>
              <w:spacing w:line="240" w:lineRule="auto"/>
              <w:jc w:val="left"/>
            </w:pPr>
            <w:r>
              <w:t>Kræver planlægning i god tid, hvis a</w:t>
            </w:r>
            <w:r>
              <w:t>k</w:t>
            </w:r>
            <w:r>
              <w:t>tieombytning sker uden tilladelse pga. udbyttebegrænsningsreglerne.</w:t>
            </w:r>
          </w:p>
          <w:p w:rsidR="00CF6B2F" w:rsidRDefault="00CF6B2F" w:rsidP="00CF6B2F">
            <w:pPr>
              <w:numPr>
                <w:ilvl w:val="0"/>
                <w:numId w:val="16"/>
              </w:numPr>
              <w:spacing w:line="240" w:lineRule="auto"/>
              <w:jc w:val="left"/>
            </w:pPr>
            <w:r>
              <w:t>Datteren skal kunne fremskaffe kapital til at købe aktier for.</w:t>
            </w:r>
          </w:p>
          <w:p w:rsidR="00CF6B2F" w:rsidRDefault="00CF6B2F" w:rsidP="00CF6B2F">
            <w:pPr>
              <w:numPr>
                <w:ilvl w:val="0"/>
                <w:numId w:val="16"/>
              </w:numPr>
              <w:spacing w:line="240" w:lineRule="auto"/>
              <w:jc w:val="left"/>
            </w:pPr>
            <w:r>
              <w:t>Risiko for at Skat anser vedtægtsæ</w:t>
            </w:r>
            <w:r>
              <w:t>n</w:t>
            </w:r>
            <w:r>
              <w:t>dring for afståelse – der kan anmodes om bindende svar for at imødegå denne risiko</w:t>
            </w:r>
          </w:p>
          <w:p w:rsidR="00CF6B2F" w:rsidRDefault="00CF6B2F" w:rsidP="00CF6B2F">
            <w:pPr>
              <w:numPr>
                <w:ilvl w:val="0"/>
                <w:numId w:val="16"/>
              </w:numPr>
              <w:spacing w:line="240" w:lineRule="auto"/>
              <w:jc w:val="left"/>
            </w:pPr>
            <w:r>
              <w:t>Forlods udbytte kræver at der føres likviditet fra selskabet, hvilket kan hæmme driften i selskabet</w:t>
            </w:r>
          </w:p>
          <w:p w:rsidR="00CF6B2F" w:rsidRDefault="00CF6B2F" w:rsidP="00CF6B2F">
            <w:pPr>
              <w:numPr>
                <w:ilvl w:val="0"/>
                <w:numId w:val="16"/>
              </w:numPr>
              <w:spacing w:line="240" w:lineRule="auto"/>
              <w:jc w:val="left"/>
            </w:pPr>
            <w:r>
              <w:t>Nyt anskaffelsestidspunkt for omby</w:t>
            </w:r>
            <w:r>
              <w:t>t</w:t>
            </w:r>
            <w:r>
              <w:t>tede aktier, dog oprindelig anskaffe</w:t>
            </w:r>
            <w:r>
              <w:t>l</w:t>
            </w:r>
            <w:r>
              <w:t>sessum – dvs. holdingselskabet kan først sælge skattefrit 3 år efter akti</w:t>
            </w:r>
            <w:r>
              <w:t>e</w:t>
            </w:r>
            <w:r>
              <w:t>ombytningen.</w:t>
            </w:r>
          </w:p>
        </w:tc>
      </w:tr>
    </w:tbl>
    <w:p w:rsidR="00CF6B2F" w:rsidRPr="009448B6" w:rsidRDefault="00BB4C4B" w:rsidP="00BB4C4B">
      <w:pPr>
        <w:pStyle w:val="Billedtekst"/>
      </w:pPr>
      <w:bookmarkStart w:id="164" w:name="_Toc218751423"/>
      <w:r>
        <w:t xml:space="preserve">Figur </w:t>
      </w:r>
      <w:fldSimple w:instr=" SEQ Figur \* ARABIC ">
        <w:r w:rsidR="000F066D">
          <w:rPr>
            <w:noProof/>
          </w:rPr>
          <w:t>41</w:t>
        </w:r>
      </w:fldSimple>
      <w:r w:rsidR="00CF6B2F">
        <w:t xml:space="preserve"> Fordele og ulemper ved udbyttedifferentiering</w:t>
      </w:r>
      <w:bookmarkEnd w:id="164"/>
    </w:p>
    <w:p w:rsidR="007A35E5" w:rsidRDefault="007A35E5" w:rsidP="006B563F"/>
    <w:p w:rsidR="007A35E5" w:rsidRDefault="000A3903" w:rsidP="000A3903">
      <w:pPr>
        <w:pStyle w:val="Overskrift3"/>
      </w:pPr>
      <w:bookmarkStart w:id="165" w:name="_Ref218955138"/>
      <w:bookmarkStart w:id="166" w:name="_Toc221546248"/>
      <w:r w:rsidRPr="000A3903">
        <w:t>4.</w:t>
      </w:r>
      <w:r w:rsidR="000555D8">
        <w:t>4</w:t>
      </w:r>
      <w:r w:rsidRPr="000A3903">
        <w:t xml:space="preserve">.4 </w:t>
      </w:r>
      <w:r w:rsidR="007A35E5" w:rsidRPr="000A3903">
        <w:t>Skattefri tilførsel af aktiver</w:t>
      </w:r>
      <w:r w:rsidR="00CF6B2F">
        <w:t xml:space="preserve"> til datterselskaber</w:t>
      </w:r>
      <w:bookmarkEnd w:id="165"/>
      <w:r w:rsidR="005E2C30">
        <w:t xml:space="preserve"> </w:t>
      </w:r>
      <w:r w:rsidR="005E2C30" w:rsidRPr="005E2C30">
        <w:rPr>
          <w:rFonts w:asciiTheme="minorHAnsi" w:hAnsiTheme="minorHAnsi"/>
          <w:b w:val="0"/>
          <w:sz w:val="22"/>
          <w:szCs w:val="22"/>
        </w:rPr>
        <w:t>(Jane)</w:t>
      </w:r>
      <w:bookmarkEnd w:id="166"/>
    </w:p>
    <w:p w:rsidR="00CF6B2F" w:rsidRDefault="00CF6B2F" w:rsidP="00CF6B2F">
      <w:r>
        <w:t>Udgangspunktet er igen, at der er sket skattefri virksomhedsomdannelse, hvorved se</w:t>
      </w:r>
      <w:r>
        <w:t>l</w:t>
      </w:r>
      <w:r>
        <w:t xml:space="preserve">skabet A&amp;B A/S er stiftet. </w:t>
      </w:r>
    </w:p>
    <w:p w:rsidR="00CF6B2F" w:rsidRDefault="00CF6B2F" w:rsidP="00CF6B2F">
      <w:r>
        <w:t>Herefter stifter A&amp;B A/S et datterselskab, hvor driften i A&amp;B A/S indskydes i efter re</w:t>
      </w:r>
      <w:r>
        <w:t>g</w:t>
      </w:r>
      <w:r>
        <w:t>lerne om skattefri tilførsel af aktiver, endvidere stiftes endnu et datterselskab, A&amp;B Ejd. A/S, hvor ejendommen og dennes gæld indskydes i. De overførte aktiver og pass</w:t>
      </w:r>
      <w:r>
        <w:t>i</w:t>
      </w:r>
      <w:r>
        <w:t>ver skal udgøre en gren af en virksomhed der kan fungere ved egne midler. Det kan i dette tilfælde også overvejes om der bør anmodes om bindende svar for at sikre at grenkravet er opfyldt</w:t>
      </w:r>
      <w:r>
        <w:rPr>
          <w:rStyle w:val="Fodnotehenvisning"/>
        </w:rPr>
        <w:footnoteReference w:id="135"/>
      </w:r>
      <w:r>
        <w:t>.  Vederlaget for tilførslen af aktiver kan alene være i form af aktier i det modtagende selskab, kontantvederlag accepteres altså ikke. Selskabsko</w:t>
      </w:r>
      <w:r>
        <w:t>n</w:t>
      </w:r>
      <w:r>
        <w:lastRenderedPageBreak/>
        <w:t xml:space="preserve">struktionen kommer til at minde meget om selskabskonstruktionen som ved skattefri aktieombytning, det er bare en anden måde, der er kommet frem til denne. </w:t>
      </w:r>
    </w:p>
    <w:p w:rsidR="00CF6B2F" w:rsidRDefault="00CF6B2F" w:rsidP="00CF6B2F"/>
    <w:p w:rsidR="00CF6B2F" w:rsidRDefault="00CF6B2F" w:rsidP="00CF6B2F">
      <w:r>
        <w:t>I denne transaktion kunne man også forestille sig at ejendommen var forblevet i A&amp;B A/S, da en ejendom har særstilling i den forstand at en ejendom anses at udgøre en selvstændig virksomhedsgren</w:t>
      </w:r>
      <w:r>
        <w:rPr>
          <w:rStyle w:val="Fodnotehenvisning"/>
        </w:rPr>
        <w:footnoteReference w:id="136"/>
      </w:r>
      <w:r>
        <w:t xml:space="preserve"> og derved altid enten kan beholdes i det indskydende selskab eller tilføres til et selskab. På samme vis anses en debitormasse altid for at v</w:t>
      </w:r>
      <w:r>
        <w:t>æ</w:t>
      </w:r>
      <w:r>
        <w:t>re en integreret del af virksomheden og kan dermed ikke ud</w:t>
      </w:r>
      <w:r w:rsidR="00BB4C4B">
        <w:t>e</w:t>
      </w:r>
      <w:r>
        <w:t>holdes fra virksomhed</w:t>
      </w:r>
      <w:r>
        <w:t>s</w:t>
      </w:r>
      <w:r>
        <w:t>grenen.</w:t>
      </w:r>
    </w:p>
    <w:p w:rsidR="00CF6B2F" w:rsidRDefault="00CF6B2F" w:rsidP="00CF6B2F">
      <w:r>
        <w:t>Fordelen ved at ejendommen overføres til selskab for sig selv er, at hvis det på et tid</w:t>
      </w:r>
      <w:r>
        <w:t>s</w:t>
      </w:r>
      <w:r>
        <w:t>punkt overvejes at sælge ejendommen, vil det være nemmere at handle med selve selskabet, hvor dette kan sælges skattefrit efter 3 års ejertid. Alternativet vil være at selve ejendommen sælges i selskabet, hvorefter der skal foretages avanceopgørelse med deraf følgende beskatning. Ved at sælge selskabet er der mulighed for at ”handle” med den udskudte skat, der hviler på ejendommen, og den nye ejer af ejendommen kan derved indirekte indtræde i den oprindelige anskaffelsessum, tidspunkt og for</w:t>
      </w:r>
      <w:r>
        <w:t>e</w:t>
      </w:r>
      <w:r>
        <w:t xml:space="preserve">tagne afskrivninger. </w:t>
      </w:r>
    </w:p>
    <w:p w:rsidR="00CF6B2F" w:rsidRDefault="00012FAC" w:rsidP="00CF6B2F">
      <w:r>
        <w:rPr>
          <w:noProof/>
          <w:lang w:eastAsia="da-DK"/>
        </w:rPr>
        <w:pict>
          <v:shape id="_x0000_i1032" type="#_x0000_t75" style="width:482.25pt;height:201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">
            <v:imagedata r:id="rId21" o:title="" croptop="-2112f" cropbottom="-169f" cropleft="-459f"/>
            <o:lock v:ext="edit" aspectratio="f"/>
          </v:shape>
        </w:pict>
      </w:r>
    </w:p>
    <w:p w:rsidR="00CF6B2F" w:rsidRPr="008E69F4" w:rsidRDefault="00BB4C4B" w:rsidP="00BB4C4B">
      <w:pPr>
        <w:pStyle w:val="Billedtekst"/>
      </w:pPr>
      <w:bookmarkStart w:id="167" w:name="_Ref218750661"/>
      <w:bookmarkStart w:id="168" w:name="_Ref218598602"/>
      <w:bookmarkStart w:id="169" w:name="_Ref218598594"/>
      <w:bookmarkStart w:id="170" w:name="_Toc218751424"/>
      <w:r>
        <w:t xml:space="preserve">Figur </w:t>
      </w:r>
      <w:fldSimple w:instr=" SEQ Figur \* ARABIC ">
        <w:r w:rsidR="000F066D">
          <w:rPr>
            <w:noProof/>
          </w:rPr>
          <w:t>42</w:t>
        </w:r>
      </w:fldSimple>
      <w:bookmarkEnd w:id="167"/>
      <w:r w:rsidR="00CF6B2F">
        <w:t xml:space="preserve"> Omstruktureringsmodel ved tilførsel af aktiver, aktieombytning og spaltning</w:t>
      </w:r>
      <w:bookmarkEnd w:id="168"/>
      <w:bookmarkEnd w:id="169"/>
      <w:bookmarkEnd w:id="170"/>
    </w:p>
    <w:p w:rsidR="00CF6B2F" w:rsidRDefault="00CF6B2F" w:rsidP="00CF6B2F">
      <w:r>
        <w:lastRenderedPageBreak/>
        <w:t>Det kan eventuelt være hensigtsmæssigt at foretage en aktieombytning af A&amp;B A/S, så der reelt er to holdingselskaber over hinanden, hvilket er vist ovenfor i</w:t>
      </w:r>
      <w:r w:rsidR="00995E3B">
        <w:t xml:space="preserve"> </w:t>
      </w:r>
      <w:r w:rsidR="00012FAC">
        <w:fldChar w:fldCharType="begin"/>
      </w:r>
      <w:r w:rsidR="00995E3B">
        <w:instrText xml:space="preserve"> REF _Ref218750661 \h </w:instrText>
      </w:r>
      <w:r w:rsidR="00012FAC">
        <w:fldChar w:fldCharType="separate"/>
      </w:r>
      <w:r w:rsidR="000F066D">
        <w:t xml:space="preserve">Figur </w:t>
      </w:r>
      <w:r w:rsidR="000F066D">
        <w:rPr>
          <w:noProof/>
        </w:rPr>
        <w:t>42</w:t>
      </w:r>
      <w:r w:rsidR="00012FAC">
        <w:fldChar w:fldCharType="end"/>
      </w:r>
      <w:r>
        <w:t>. Det øverste holdingselskab spaltes herefter således, at A og B har hver deres holdingse</w:t>
      </w:r>
      <w:r>
        <w:t>l</w:t>
      </w:r>
      <w:r>
        <w:t>skab. Dette kan være hensigtsmæssigt, fordi A og B kan have forskellige behov for at udbytteudlodning, og ved at de ejer hver deres holdingselskab kan de hver især selv beslutte, hvor meget der skal udloddes endeligt til dem selv personligt. Hvis A og B har et fælles holdingselskab kræves det, at der er enighed om udbytteudlodningen til dem selv personligt.</w:t>
      </w:r>
    </w:p>
    <w:p w:rsidR="00CF6B2F" w:rsidRDefault="00CF6B2F" w:rsidP="00CF6B2F"/>
    <w:p w:rsidR="00CF6B2F" w:rsidRDefault="00CF6B2F" w:rsidP="00CF6B2F">
      <w:r>
        <w:t>Ved at A og B har hver deres eget holdingselskab gives endvidere muligheden for, at når ejertiden er mere end 3 år, kan de hver især afhænde aktierne i ”mellem</w:t>
      </w:r>
      <w:r>
        <w:softHyphen/>
        <w:t>hol</w:t>
      </w:r>
      <w:r>
        <w:softHyphen/>
        <w:t>ding</w:t>
      </w:r>
      <w:r>
        <w:softHyphen/>
        <w:t>sel</w:t>
      </w:r>
      <w:r>
        <w:softHyphen/>
        <w:t>skabet” skattefrit. Det øverste holdingselskab får herefter status af en pengetank, hvor der kan udloddes udbytte til ejeren personligt i takt med at der er behov for de</w:t>
      </w:r>
      <w:r>
        <w:t>t</w:t>
      </w:r>
      <w:r>
        <w:t>te.</w:t>
      </w:r>
    </w:p>
    <w:p w:rsidR="00CF6B2F" w:rsidRDefault="00CF6B2F" w:rsidP="00CF6B2F">
      <w:r>
        <w:t>Hvis A og B har hver deres eget holdingselskab gives der endvidere mulighed for at de hver især kan investere i andre selskaber uafhængigt af hinanden.</w:t>
      </w:r>
    </w:p>
    <w:p w:rsidR="00CF6B2F" w:rsidRDefault="00CF6B2F" w:rsidP="00CF6B2F"/>
    <w:p w:rsidR="00CF6B2F" w:rsidRDefault="00CF6B2F" w:rsidP="00CF6B2F">
      <w:r>
        <w:t>Konstruktionen med ”dobbelt” holdingselskab er også muligt at gennemføre ved hjælp af aktieombytningsmetoden, hvor det er ofte forekommende at der først sker stiftelse af selskab ved hjælp af VOL, og dernæst aktieombytning til holdingselskabskonstrukt</w:t>
      </w:r>
      <w:r>
        <w:t>i</w:t>
      </w:r>
      <w:r>
        <w:t>onen. Det er dog også muligt at gennemføre den skattefri aktieombytning dobbelt, hvorved der opstår 2 holdingselskaber ovenover hinanden, og efterfølgende ophør</w:t>
      </w:r>
      <w:r>
        <w:t>s</w:t>
      </w:r>
      <w:r>
        <w:t xml:space="preserve">spalte det øverste holdingselskab, hvorved de personlige ejere vil komme til at eje hver deres holdingselskab jf. nedenstående anmodning om bindende svar. </w:t>
      </w:r>
    </w:p>
    <w:p w:rsidR="00CF6B2F" w:rsidRPr="005C07FF" w:rsidRDefault="00CF6B2F" w:rsidP="00CF6B2F">
      <w:pPr>
        <w:pStyle w:val="NormalWeb"/>
        <w:rPr>
          <w:i/>
          <w:sz w:val="22"/>
          <w:szCs w:val="22"/>
        </w:rPr>
      </w:pPr>
      <w:r w:rsidRPr="005C07FF">
        <w:rPr>
          <w:i/>
          <w:sz w:val="22"/>
          <w:szCs w:val="22"/>
        </w:rPr>
        <w:t>SKM2008.275.SR: Skatterådet kan bekræfte, at den dobbelte aktieombytning med efterfølge</w:t>
      </w:r>
      <w:r w:rsidRPr="005C07FF">
        <w:rPr>
          <w:i/>
          <w:sz w:val="22"/>
          <w:szCs w:val="22"/>
        </w:rPr>
        <w:t>n</w:t>
      </w:r>
      <w:r w:rsidRPr="005C07FF">
        <w:rPr>
          <w:i/>
          <w:sz w:val="22"/>
          <w:szCs w:val="22"/>
        </w:rPr>
        <w:t>de spaltning af det øverste holdingselskab kan ske skattefrit i henhold til hhv. Aktieavanceb</w:t>
      </w:r>
      <w:r w:rsidRPr="005C07FF">
        <w:rPr>
          <w:i/>
          <w:sz w:val="22"/>
          <w:szCs w:val="22"/>
        </w:rPr>
        <w:t>e</w:t>
      </w:r>
      <w:r w:rsidRPr="005C07FF">
        <w:rPr>
          <w:i/>
          <w:sz w:val="22"/>
          <w:szCs w:val="22"/>
        </w:rPr>
        <w:t>skatningsloven § 36 a og Fusionsskattelovens § 15 a og b, selvom der ikke søges om tilladelse.</w:t>
      </w:r>
    </w:p>
    <w:p w:rsidR="00CF6B2F" w:rsidRDefault="00CF6B2F" w:rsidP="00CF6B2F">
      <w:r>
        <w:lastRenderedPageBreak/>
        <w:t>I den omtalte sag, har man anmodet om bindende svar for den påtænkte disposition, da det ikke længere er nødvendigt at søge om tilladelse. Risikoen for at en gennemført omstrukturering ikke kan gennemføres skattefrit på trods af at der ikke skal anmodes om tilladelse vil være at transaktionen vil være skattepligtig. Via det den bindende svarmulighed elimineres risikoen for eventuel skattepligtig omstrukturering.</w:t>
      </w:r>
    </w:p>
    <w:p w:rsidR="00CF6B2F" w:rsidRDefault="00CF6B2F" w:rsidP="00CF6B2F"/>
    <w:p w:rsidR="00CF6B2F" w:rsidRDefault="00CF6B2F" w:rsidP="00CF6B2F">
      <w:r>
        <w:t>Det indskydende selskab A&amp;B A/S ejer i forvejen aktier i det nystiftede selskab A&amp;B Drift A/S og A&amp;B Ejd. A/S, og ved tilførslen af aktiver i datterselskaberne vil de oprind</w:t>
      </w:r>
      <w:r>
        <w:t>e</w:t>
      </w:r>
      <w:r>
        <w:t>lige aktier i A&amp;B Drift A/S og A&amp;B Ejd. A/S blive anset for at være anskaffet på samme tidspunkt som tidspunktet for tilførslen, hvilket vil sige vedtagelsestidspunktet.</w:t>
      </w:r>
    </w:p>
    <w:p w:rsidR="00CF6B2F" w:rsidRDefault="00CF6B2F" w:rsidP="00CF6B2F"/>
    <w:p w:rsidR="00EB00B4" w:rsidRDefault="00CF6B2F" w:rsidP="00CF6B2F">
      <w:r>
        <w:t>A&amp;B Drift A/S vil nu være et slanket selskab, der vil være ”billigere” for datteren at k</w:t>
      </w:r>
      <w:r>
        <w:t>ø</w:t>
      </w:r>
      <w:r>
        <w:t>be sig ind i. Der tages endnu engang udgangspunkt i caseregnskabet, hvor der foret</w:t>
      </w:r>
      <w:r>
        <w:t>a</w:t>
      </w:r>
      <w:r>
        <w:t>ges en skattefri tilførsel af aktiver på baggrunden af åbningsbalance i forbindelse med den skattefri virksomhedsomdannelse i</w:t>
      </w:r>
      <w:r w:rsidR="00D365F8">
        <w:t xml:space="preserve"> afsnit</w:t>
      </w:r>
      <w:r>
        <w:t xml:space="preserve"> </w:t>
      </w:r>
      <w:r w:rsidR="00D365F8">
        <w:t>”</w:t>
      </w:r>
      <w:r w:rsidR="00012FAC">
        <w:fldChar w:fldCharType="begin"/>
      </w:r>
      <w:r w:rsidR="00D365F8">
        <w:instrText xml:space="preserve"> REF _Ref218750719 \h </w:instrText>
      </w:r>
      <w:r w:rsidR="00012FAC">
        <w:fldChar w:fldCharType="separate"/>
      </w:r>
      <w:r w:rsidR="000F066D" w:rsidRPr="00D93548">
        <w:t>4.</w:t>
      </w:r>
      <w:r w:rsidR="000F066D">
        <w:t>1</w:t>
      </w:r>
      <w:r w:rsidR="000F066D" w:rsidRPr="00D93548">
        <w:t>.</w:t>
      </w:r>
      <w:r w:rsidR="000F066D">
        <w:t>3</w:t>
      </w:r>
      <w:r w:rsidR="000F066D" w:rsidRPr="00D93548">
        <w:t xml:space="preserve"> </w:t>
      </w:r>
      <w:r w:rsidR="000F066D">
        <w:t>C</w:t>
      </w:r>
      <w:r w:rsidR="000F066D" w:rsidRPr="00D93548">
        <w:t>ase</w:t>
      </w:r>
      <w:r w:rsidR="000F066D">
        <w:t>regnskab omdannelse af vir</w:t>
      </w:r>
      <w:r w:rsidR="000F066D">
        <w:t>k</w:t>
      </w:r>
      <w:r w:rsidR="000F066D">
        <w:t>somhed</w:t>
      </w:r>
      <w:r w:rsidR="00012FAC">
        <w:fldChar w:fldCharType="end"/>
      </w:r>
      <w:r w:rsidR="00D365F8">
        <w:t>”.</w:t>
      </w:r>
    </w:p>
    <w:p w:rsidR="00CF6B2F" w:rsidRDefault="00CF6B2F" w:rsidP="00CF6B2F"/>
    <w:tbl>
      <w:tblPr>
        <w:tblW w:w="5000" w:type="pct"/>
        <w:tblCellMar>
          <w:left w:w="70" w:type="dxa"/>
          <w:right w:w="70" w:type="dxa"/>
        </w:tblCellMar>
        <w:tblLook w:val="04A0"/>
      </w:tblPr>
      <w:tblGrid>
        <w:gridCol w:w="2854"/>
        <w:gridCol w:w="1447"/>
        <w:gridCol w:w="1447"/>
        <w:gridCol w:w="1449"/>
        <w:gridCol w:w="1447"/>
      </w:tblGrid>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Selskabets</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åbnings-</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A&amp;B Drift</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A&amp;B Ejd.</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Beløb i t.DKK</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balance</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A/S</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A/S</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A&amp;B A/S</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Goodwill</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580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580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Ejendom</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5.000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5.000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Indretning lejede lokaler</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900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900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Driftsmateriel og inventar</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600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600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Kapitalindestående A&amp;B Drift A/S</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1.733</w:t>
            </w: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Kapitalindestående A&amp;B Ejd. A/S</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2.376</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Anlægsaktiver i alt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7.080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2.080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5.000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4.109</w:t>
            </w:r>
          </w:p>
        </w:tc>
      </w:tr>
    </w:tbl>
    <w:p w:rsidR="00EB00B4" w:rsidRDefault="00EB00B4"/>
    <w:p w:rsidR="00C96DF3" w:rsidRDefault="00EB00B4">
      <w:r>
        <w:br w:type="page"/>
      </w:r>
    </w:p>
    <w:tbl>
      <w:tblPr>
        <w:tblW w:w="5000" w:type="pct"/>
        <w:tblCellMar>
          <w:left w:w="70" w:type="dxa"/>
          <w:right w:w="70" w:type="dxa"/>
        </w:tblCellMar>
        <w:tblLook w:val="04A0"/>
      </w:tblPr>
      <w:tblGrid>
        <w:gridCol w:w="2854"/>
        <w:gridCol w:w="1447"/>
        <w:gridCol w:w="1447"/>
        <w:gridCol w:w="1449"/>
        <w:gridCol w:w="1447"/>
      </w:tblGrid>
      <w:tr w:rsidR="00C96DF3" w:rsidRPr="00F041D0" w:rsidTr="00C96DF3">
        <w:trPr>
          <w:trHeight w:val="255"/>
        </w:trPr>
        <w:tc>
          <w:tcPr>
            <w:tcW w:w="1651" w:type="pct"/>
            <w:tcBorders>
              <w:top w:val="nil"/>
              <w:left w:val="nil"/>
              <w:bottom w:val="nil"/>
              <w:right w:val="nil"/>
            </w:tcBorders>
            <w:shd w:val="clear" w:color="auto" w:fill="auto"/>
            <w:noWrap/>
            <w:vAlign w:val="bottom"/>
            <w:hideMark/>
          </w:tcPr>
          <w:p w:rsidR="00C96DF3" w:rsidRPr="00F041D0" w:rsidRDefault="00C96DF3" w:rsidP="006911F3">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r w:rsidRPr="00F041D0">
              <w:rPr>
                <w:rFonts w:eastAsia="Times New Roman" w:cs="Arial"/>
                <w:sz w:val="20"/>
                <w:szCs w:val="20"/>
                <w:lang w:eastAsia="da-DK"/>
              </w:rPr>
              <w:t>Selskabets</w:t>
            </w:r>
          </w:p>
        </w:tc>
        <w:tc>
          <w:tcPr>
            <w:tcW w:w="837" w:type="pct"/>
            <w:tcBorders>
              <w:top w:val="nil"/>
              <w:left w:val="nil"/>
              <w:bottom w:val="nil"/>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p>
        </w:tc>
      </w:tr>
      <w:tr w:rsidR="00C96DF3" w:rsidRPr="00F041D0" w:rsidTr="00C96DF3">
        <w:trPr>
          <w:trHeight w:val="255"/>
        </w:trPr>
        <w:tc>
          <w:tcPr>
            <w:tcW w:w="1651" w:type="pct"/>
            <w:tcBorders>
              <w:top w:val="nil"/>
              <w:left w:val="nil"/>
              <w:right w:val="nil"/>
            </w:tcBorders>
            <w:shd w:val="clear" w:color="auto" w:fill="auto"/>
            <w:noWrap/>
            <w:vAlign w:val="bottom"/>
            <w:hideMark/>
          </w:tcPr>
          <w:p w:rsidR="00C96DF3" w:rsidRPr="00F041D0" w:rsidRDefault="00C96DF3" w:rsidP="006911F3">
            <w:pPr>
              <w:spacing w:line="240" w:lineRule="auto"/>
              <w:jc w:val="left"/>
              <w:rPr>
                <w:rFonts w:eastAsia="Times New Roman" w:cs="Arial"/>
                <w:sz w:val="20"/>
                <w:szCs w:val="20"/>
                <w:lang w:eastAsia="da-DK"/>
              </w:rPr>
            </w:pPr>
          </w:p>
        </w:tc>
        <w:tc>
          <w:tcPr>
            <w:tcW w:w="837" w:type="pct"/>
            <w:tcBorders>
              <w:top w:val="nil"/>
              <w:left w:val="nil"/>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r w:rsidRPr="00F041D0">
              <w:rPr>
                <w:rFonts w:eastAsia="Times New Roman" w:cs="Arial"/>
                <w:sz w:val="20"/>
                <w:szCs w:val="20"/>
                <w:lang w:eastAsia="da-DK"/>
              </w:rPr>
              <w:t>åbnings-</w:t>
            </w:r>
          </w:p>
        </w:tc>
        <w:tc>
          <w:tcPr>
            <w:tcW w:w="837" w:type="pct"/>
            <w:tcBorders>
              <w:top w:val="nil"/>
              <w:left w:val="nil"/>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r w:rsidRPr="00F041D0">
              <w:rPr>
                <w:rFonts w:eastAsia="Times New Roman" w:cs="Arial"/>
                <w:sz w:val="20"/>
                <w:szCs w:val="20"/>
                <w:lang w:eastAsia="da-DK"/>
              </w:rPr>
              <w:t>A&amp;B Drift</w:t>
            </w:r>
          </w:p>
        </w:tc>
        <w:tc>
          <w:tcPr>
            <w:tcW w:w="838" w:type="pct"/>
            <w:tcBorders>
              <w:top w:val="nil"/>
              <w:left w:val="nil"/>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r w:rsidRPr="00F041D0">
              <w:rPr>
                <w:rFonts w:eastAsia="Times New Roman" w:cs="Arial"/>
                <w:sz w:val="20"/>
                <w:szCs w:val="20"/>
                <w:lang w:eastAsia="da-DK"/>
              </w:rPr>
              <w:t>A&amp;B Ejd.</w:t>
            </w:r>
          </w:p>
        </w:tc>
        <w:tc>
          <w:tcPr>
            <w:tcW w:w="837" w:type="pct"/>
            <w:tcBorders>
              <w:top w:val="nil"/>
              <w:left w:val="nil"/>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p>
        </w:tc>
      </w:tr>
      <w:tr w:rsidR="00C96DF3" w:rsidRPr="00F041D0" w:rsidTr="00C96DF3">
        <w:trPr>
          <w:trHeight w:val="255"/>
        </w:trPr>
        <w:tc>
          <w:tcPr>
            <w:tcW w:w="1651" w:type="pct"/>
            <w:tcBorders>
              <w:top w:val="nil"/>
              <w:left w:val="nil"/>
              <w:bottom w:val="single" w:sz="4" w:space="0" w:color="auto"/>
              <w:right w:val="nil"/>
            </w:tcBorders>
            <w:shd w:val="clear" w:color="auto" w:fill="auto"/>
            <w:noWrap/>
            <w:vAlign w:val="bottom"/>
            <w:hideMark/>
          </w:tcPr>
          <w:p w:rsidR="00C96DF3" w:rsidRPr="00F041D0" w:rsidRDefault="00C96DF3" w:rsidP="00C96DF3">
            <w:pPr>
              <w:spacing w:line="240" w:lineRule="auto"/>
              <w:jc w:val="left"/>
              <w:rPr>
                <w:rFonts w:eastAsia="Times New Roman" w:cs="Arial"/>
                <w:sz w:val="20"/>
                <w:szCs w:val="20"/>
                <w:lang w:eastAsia="da-DK"/>
              </w:rPr>
            </w:pPr>
            <w:r w:rsidRPr="00F041D0">
              <w:rPr>
                <w:rFonts w:eastAsia="Times New Roman" w:cs="Arial"/>
                <w:sz w:val="20"/>
                <w:szCs w:val="20"/>
                <w:lang w:eastAsia="da-DK"/>
              </w:rPr>
              <w:t>Beløb i t.DKK</w:t>
            </w:r>
            <w:r>
              <w:rPr>
                <w:rFonts w:eastAsia="Times New Roman" w:cs="Arial"/>
                <w:sz w:val="20"/>
                <w:szCs w:val="20"/>
                <w:lang w:eastAsia="da-DK"/>
              </w:rPr>
              <w:t xml:space="preserve"> </w:t>
            </w:r>
          </w:p>
        </w:tc>
        <w:tc>
          <w:tcPr>
            <w:tcW w:w="837" w:type="pct"/>
            <w:tcBorders>
              <w:top w:val="nil"/>
              <w:left w:val="nil"/>
              <w:bottom w:val="single" w:sz="4" w:space="0" w:color="auto"/>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r w:rsidRPr="00F041D0">
              <w:rPr>
                <w:rFonts w:eastAsia="Times New Roman" w:cs="Arial"/>
                <w:sz w:val="20"/>
                <w:szCs w:val="20"/>
                <w:lang w:eastAsia="da-DK"/>
              </w:rPr>
              <w:t>balance</w:t>
            </w:r>
          </w:p>
        </w:tc>
        <w:tc>
          <w:tcPr>
            <w:tcW w:w="837" w:type="pct"/>
            <w:tcBorders>
              <w:top w:val="nil"/>
              <w:left w:val="nil"/>
              <w:bottom w:val="single" w:sz="4" w:space="0" w:color="auto"/>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r w:rsidRPr="00F041D0">
              <w:rPr>
                <w:rFonts w:eastAsia="Times New Roman" w:cs="Arial"/>
                <w:sz w:val="20"/>
                <w:szCs w:val="20"/>
                <w:lang w:eastAsia="da-DK"/>
              </w:rPr>
              <w:t>A/S</w:t>
            </w:r>
          </w:p>
        </w:tc>
        <w:tc>
          <w:tcPr>
            <w:tcW w:w="838" w:type="pct"/>
            <w:tcBorders>
              <w:top w:val="nil"/>
              <w:left w:val="nil"/>
              <w:bottom w:val="single" w:sz="4" w:space="0" w:color="auto"/>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r w:rsidRPr="00F041D0">
              <w:rPr>
                <w:rFonts w:eastAsia="Times New Roman" w:cs="Arial"/>
                <w:sz w:val="20"/>
                <w:szCs w:val="20"/>
                <w:lang w:eastAsia="da-DK"/>
              </w:rPr>
              <w:t>A/S</w:t>
            </w:r>
          </w:p>
        </w:tc>
        <w:tc>
          <w:tcPr>
            <w:tcW w:w="837" w:type="pct"/>
            <w:tcBorders>
              <w:top w:val="nil"/>
              <w:left w:val="nil"/>
              <w:bottom w:val="single" w:sz="4" w:space="0" w:color="auto"/>
              <w:right w:val="nil"/>
            </w:tcBorders>
            <w:shd w:val="clear" w:color="auto" w:fill="auto"/>
            <w:noWrap/>
            <w:vAlign w:val="bottom"/>
            <w:hideMark/>
          </w:tcPr>
          <w:p w:rsidR="00C96DF3" w:rsidRPr="00F041D0" w:rsidRDefault="00C96DF3" w:rsidP="006911F3">
            <w:pPr>
              <w:spacing w:line="240" w:lineRule="auto"/>
              <w:jc w:val="right"/>
              <w:rPr>
                <w:rFonts w:eastAsia="Times New Roman" w:cs="Arial"/>
                <w:sz w:val="20"/>
                <w:szCs w:val="20"/>
                <w:lang w:eastAsia="da-DK"/>
              </w:rPr>
            </w:pPr>
            <w:r w:rsidRPr="00F041D0">
              <w:rPr>
                <w:rFonts w:eastAsia="Times New Roman" w:cs="Arial"/>
                <w:sz w:val="20"/>
                <w:szCs w:val="20"/>
                <w:lang w:eastAsia="da-DK"/>
              </w:rPr>
              <w:t>A&amp;B A/S</w:t>
            </w:r>
          </w:p>
        </w:tc>
      </w:tr>
      <w:tr w:rsidR="00CF6B2F" w:rsidRPr="00F041D0" w:rsidTr="00C96DF3">
        <w:trPr>
          <w:trHeight w:val="255"/>
        </w:trPr>
        <w:tc>
          <w:tcPr>
            <w:tcW w:w="1651" w:type="pct"/>
            <w:tcBorders>
              <w:top w:val="single" w:sz="4" w:space="0" w:color="auto"/>
              <w:left w:val="nil"/>
              <w:bottom w:val="nil"/>
              <w:right w:val="nil"/>
            </w:tcBorders>
            <w:shd w:val="clear" w:color="auto" w:fill="auto"/>
            <w:noWrap/>
            <w:vAlign w:val="bottom"/>
            <w:hideMark/>
          </w:tcPr>
          <w:p w:rsidR="00C96DF3" w:rsidRDefault="00C96DF3" w:rsidP="00CF6B2F">
            <w:pPr>
              <w:spacing w:line="240" w:lineRule="auto"/>
              <w:jc w:val="left"/>
              <w:rPr>
                <w:rFonts w:eastAsia="Times New Roman" w:cs="Arial"/>
                <w:sz w:val="20"/>
                <w:szCs w:val="20"/>
                <w:lang w:eastAsia="da-DK"/>
              </w:rPr>
            </w:pPr>
            <w:r>
              <w:rPr>
                <w:rFonts w:eastAsia="Times New Roman" w:cs="Arial"/>
                <w:sz w:val="20"/>
                <w:szCs w:val="20"/>
                <w:lang w:eastAsia="da-DK"/>
              </w:rPr>
              <w:t>(fortsat fra forrige side)</w:t>
            </w:r>
          </w:p>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Varelager</w:t>
            </w:r>
          </w:p>
        </w:tc>
        <w:tc>
          <w:tcPr>
            <w:tcW w:w="837" w:type="pct"/>
            <w:tcBorders>
              <w:top w:val="single" w:sz="4" w:space="0" w:color="auto"/>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2.640</w:t>
            </w:r>
          </w:p>
        </w:tc>
        <w:tc>
          <w:tcPr>
            <w:tcW w:w="837" w:type="pct"/>
            <w:tcBorders>
              <w:top w:val="single" w:sz="4" w:space="0" w:color="auto"/>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2.640</w:t>
            </w:r>
          </w:p>
        </w:tc>
        <w:tc>
          <w:tcPr>
            <w:tcW w:w="838" w:type="pct"/>
            <w:tcBorders>
              <w:top w:val="single" w:sz="4" w:space="0" w:color="auto"/>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7" w:type="pct"/>
            <w:tcBorders>
              <w:top w:val="single" w:sz="4" w:space="0" w:color="auto"/>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Debitorer</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2.080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2.080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Udligningsbeløb B</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12</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12</w:t>
            </w: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Likvide beholdninger</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Omsætningsaktiver i alt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4.782</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4.720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62</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Aktiver i alt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11.862</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6.800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5.050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4.171</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Selskabskapital</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500</w:t>
            </w: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Reserver</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3.510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1.233</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1.876</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3.510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Egenkapital i alt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4.010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1.733</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2.376</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4.010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Udskudt skat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1.121</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347</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774</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Hensatte forpligtelser i alt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1.121</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347</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774</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Prioritetsgæld ejendom</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1.850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1.850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Driftskredit</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2.628</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2.628</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Leverandører</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1.679</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1.679</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Mellemregning A</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161</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161</w:t>
            </w: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Anden gæld</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413</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413</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0</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Gældsforpligtelser i alt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6.731</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4.720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1.850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161</w:t>
            </w:r>
          </w:p>
        </w:tc>
      </w:tr>
      <w:tr w:rsidR="00CF6B2F" w:rsidRPr="00F041D0" w:rsidTr="00EB00B4">
        <w:trPr>
          <w:trHeight w:val="255"/>
        </w:trPr>
        <w:tc>
          <w:tcPr>
            <w:tcW w:w="1651"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8"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c>
          <w:tcPr>
            <w:tcW w:w="837" w:type="pct"/>
            <w:tcBorders>
              <w:top w:val="nil"/>
              <w:left w:val="nil"/>
              <w:bottom w:val="nil"/>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p>
        </w:tc>
      </w:tr>
      <w:tr w:rsidR="00CF6B2F" w:rsidRPr="00F041D0" w:rsidTr="00EB00B4">
        <w:trPr>
          <w:trHeight w:val="255"/>
        </w:trPr>
        <w:tc>
          <w:tcPr>
            <w:tcW w:w="1651"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left"/>
              <w:rPr>
                <w:rFonts w:eastAsia="Times New Roman" w:cs="Arial"/>
                <w:sz w:val="20"/>
                <w:szCs w:val="20"/>
                <w:lang w:eastAsia="da-DK"/>
              </w:rPr>
            </w:pPr>
            <w:r w:rsidRPr="00F041D0">
              <w:rPr>
                <w:rFonts w:eastAsia="Times New Roman" w:cs="Arial"/>
                <w:sz w:val="20"/>
                <w:szCs w:val="20"/>
                <w:lang w:eastAsia="da-DK"/>
              </w:rPr>
              <w:t>Passiver i alt</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11.862</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6.800</w:t>
            </w:r>
          </w:p>
        </w:tc>
        <w:tc>
          <w:tcPr>
            <w:tcW w:w="838"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5.000</w:t>
            </w:r>
          </w:p>
        </w:tc>
        <w:tc>
          <w:tcPr>
            <w:tcW w:w="837" w:type="pct"/>
            <w:tcBorders>
              <w:top w:val="nil"/>
              <w:left w:val="nil"/>
              <w:bottom w:val="single" w:sz="4" w:space="0" w:color="auto"/>
              <w:right w:val="nil"/>
            </w:tcBorders>
            <w:shd w:val="clear" w:color="auto" w:fill="auto"/>
            <w:noWrap/>
            <w:vAlign w:val="bottom"/>
            <w:hideMark/>
          </w:tcPr>
          <w:p w:rsidR="00CF6B2F" w:rsidRPr="00F041D0" w:rsidRDefault="00CF6B2F" w:rsidP="00CF6B2F">
            <w:pPr>
              <w:spacing w:line="240" w:lineRule="auto"/>
              <w:jc w:val="right"/>
              <w:rPr>
                <w:rFonts w:eastAsia="Times New Roman" w:cs="Arial"/>
                <w:sz w:val="20"/>
                <w:szCs w:val="20"/>
                <w:lang w:eastAsia="da-DK"/>
              </w:rPr>
            </w:pPr>
            <w:r w:rsidRPr="00F041D0">
              <w:rPr>
                <w:rFonts w:eastAsia="Times New Roman" w:cs="Arial"/>
                <w:sz w:val="20"/>
                <w:szCs w:val="20"/>
                <w:lang w:eastAsia="da-DK"/>
              </w:rPr>
              <w:t>4.171</w:t>
            </w:r>
          </w:p>
        </w:tc>
      </w:tr>
    </w:tbl>
    <w:p w:rsidR="00CF6B2F" w:rsidRPr="00F041D0" w:rsidRDefault="00BB4C4B" w:rsidP="00BB4C4B">
      <w:pPr>
        <w:pStyle w:val="Billedtekst"/>
      </w:pPr>
      <w:bookmarkStart w:id="171" w:name="_Toc218751425"/>
      <w:r>
        <w:t xml:space="preserve">Figur </w:t>
      </w:r>
      <w:fldSimple w:instr=" SEQ Figur \* ARABIC ">
        <w:r w:rsidR="000F066D">
          <w:rPr>
            <w:noProof/>
          </w:rPr>
          <w:t>43</w:t>
        </w:r>
      </w:fldSimple>
      <w:r w:rsidR="00D365F8">
        <w:t xml:space="preserve"> Oversigt over tilførsel af aktiver til datterselskaber</w:t>
      </w:r>
      <w:bookmarkEnd w:id="171"/>
    </w:p>
    <w:p w:rsidR="00CF6B2F" w:rsidRDefault="00CF6B2F" w:rsidP="00CF6B2F"/>
    <w:p w:rsidR="00CF6B2F" w:rsidRDefault="00CF6B2F" w:rsidP="00CF6B2F">
      <w:r>
        <w:t>Som det fremgår af ovenstående vil egenkapitalen i A&amp;B Drift A/S blive væsentligt r</w:t>
      </w:r>
      <w:r>
        <w:t>e</w:t>
      </w:r>
      <w:r>
        <w:t xml:space="preserve">duceret som følge af at ejendommen </w:t>
      </w:r>
      <w:r w:rsidR="00E673B9">
        <w:t>tilføres til et selskab for sig selv</w:t>
      </w:r>
      <w:r>
        <w:t>. Dog skal der v</w:t>
      </w:r>
      <w:r>
        <w:t>æ</w:t>
      </w:r>
      <w:r>
        <w:t>re opmærksomhed på at anskaffelsestidspunktet for aktierne i A&amp;S Drift A/S og A&amp;B Ejd. A/S er identisk tidspunktet for vedtagelsen af tilførslen, derfor kan aktierne ikke sælges skattefrit, før der er gået 3 år efter tilførslen.</w:t>
      </w:r>
    </w:p>
    <w:p w:rsidR="00CF6B2F" w:rsidRDefault="00CF6B2F" w:rsidP="00CF6B2F">
      <w:r>
        <w:t>Hvis der vælges at tilføre aktiverne som skattepligtig tilførsel af aktiver, vil der udløses skat af avancerne på goodwill, indretning af lejede lokaler samt driftsmidlerne, da A&amp;B A/S har succederet i de skattemæssige værdier som følge af den skattefrie virkso</w:t>
      </w:r>
      <w:r>
        <w:t>m</w:t>
      </w:r>
      <w:r>
        <w:lastRenderedPageBreak/>
        <w:t>hedsomdannelse, der er beskrevet i</w:t>
      </w:r>
      <w:r w:rsidR="00D365F8">
        <w:t xml:space="preserve"> afsnit ”</w:t>
      </w:r>
      <w:r w:rsidR="00012FAC">
        <w:fldChar w:fldCharType="begin"/>
      </w:r>
      <w:r w:rsidR="00D365F8">
        <w:instrText xml:space="preserve"> REF _Ref218750803 \h </w:instrText>
      </w:r>
      <w:r w:rsidR="00012FAC">
        <w:fldChar w:fldCharType="separate"/>
      </w:r>
      <w:r w:rsidR="000F066D" w:rsidRPr="00D93548">
        <w:t>4.</w:t>
      </w:r>
      <w:r w:rsidR="000F066D">
        <w:t>1</w:t>
      </w:r>
      <w:r w:rsidR="000F066D" w:rsidRPr="00D93548">
        <w:t>.</w:t>
      </w:r>
      <w:r w:rsidR="000F066D">
        <w:t>3</w:t>
      </w:r>
      <w:r w:rsidR="000F066D" w:rsidRPr="00D93548">
        <w:t xml:space="preserve"> </w:t>
      </w:r>
      <w:r w:rsidR="000F066D">
        <w:t>C</w:t>
      </w:r>
      <w:r w:rsidR="000F066D" w:rsidRPr="00D93548">
        <w:t>ase</w:t>
      </w:r>
      <w:r w:rsidR="000F066D">
        <w:t>regnskab omdannelse af vir</w:t>
      </w:r>
      <w:r w:rsidR="000F066D">
        <w:t>k</w:t>
      </w:r>
      <w:r w:rsidR="000F066D">
        <w:t>somhed</w:t>
      </w:r>
      <w:r w:rsidR="00012FAC">
        <w:fldChar w:fldCharType="end"/>
      </w:r>
      <w:r w:rsidR="00D365F8">
        <w:t>”</w:t>
      </w:r>
    </w:p>
    <w:p w:rsidR="00CF6B2F" w:rsidRDefault="00CF6B2F" w:rsidP="00CF6B2F"/>
    <w:p w:rsidR="00D365F8" w:rsidRDefault="00D365F8" w:rsidP="00D365F8">
      <w:pPr>
        <w:pStyle w:val="Overskrift3"/>
      </w:pPr>
      <w:bookmarkStart w:id="172" w:name="_Toc221546249"/>
      <w:r>
        <w:t>4.</w:t>
      </w:r>
      <w:r w:rsidR="000555D8">
        <w:t>4</w:t>
      </w:r>
      <w:r>
        <w:t>.5 Skattefri tilførsel af aktiver til selskab ejet af C</w:t>
      </w:r>
      <w:r w:rsidR="005E2C30">
        <w:t xml:space="preserve"> </w:t>
      </w:r>
      <w:r w:rsidR="005E2C30" w:rsidRPr="005E2C30">
        <w:rPr>
          <w:rFonts w:asciiTheme="minorHAnsi" w:hAnsiTheme="minorHAnsi"/>
          <w:b w:val="0"/>
          <w:sz w:val="22"/>
          <w:szCs w:val="22"/>
        </w:rPr>
        <w:t>(Jane)</w:t>
      </w:r>
      <w:bookmarkEnd w:id="172"/>
    </w:p>
    <w:p w:rsidR="002A781A" w:rsidRDefault="00D365F8" w:rsidP="00D365F8">
      <w:r>
        <w:t>En anden måde at bruge metoden tilførsel af aktiver vil være at datteren har stiftet eget anpartsselskab med en nominel kapital på t.DKK 125, herefter tilføres driftsaktiv</w:t>
      </w:r>
      <w:r>
        <w:t>i</w:t>
      </w:r>
      <w:r>
        <w:t xml:space="preserve">teten til datterens selskab C ApS. </w:t>
      </w:r>
      <w:r w:rsidR="002A781A">
        <w:t>Metoden er her vist uden holdingselskabskonstrukt</w:t>
      </w:r>
      <w:r w:rsidR="002A781A">
        <w:t>i</w:t>
      </w:r>
      <w:r w:rsidR="002A781A">
        <w:t xml:space="preserve">on, men </w:t>
      </w:r>
      <w:r w:rsidR="00C76D06">
        <w:t xml:space="preserve">det </w:t>
      </w:r>
      <w:r w:rsidR="002A781A">
        <w:t>kunne helt sikkert være hensigtsmæssigt at etablere holdingselskaber jf. tidligere omtale af fordele ved holdingselskaberne i afsnit ”</w:t>
      </w:r>
      <w:r w:rsidR="00012FAC">
        <w:fldChar w:fldCharType="begin"/>
      </w:r>
      <w:r w:rsidR="002A781A">
        <w:instrText xml:space="preserve"> REF _Ref218955138 \h </w:instrText>
      </w:r>
      <w:r w:rsidR="00012FAC">
        <w:fldChar w:fldCharType="separate"/>
      </w:r>
      <w:r w:rsidR="000F066D" w:rsidRPr="000A3903">
        <w:t>4.</w:t>
      </w:r>
      <w:r w:rsidR="000F066D">
        <w:t>4</w:t>
      </w:r>
      <w:r w:rsidR="000F066D" w:rsidRPr="000A3903">
        <w:t>.4 Skattefri tilførsel af aktiver</w:t>
      </w:r>
      <w:r w:rsidR="000F066D">
        <w:t xml:space="preserve"> til datterselskaber</w:t>
      </w:r>
      <w:r w:rsidR="00012FAC">
        <w:fldChar w:fldCharType="end"/>
      </w:r>
      <w:r w:rsidR="002A781A">
        <w:t>”</w:t>
      </w:r>
    </w:p>
    <w:p w:rsidR="00D365F8" w:rsidRDefault="00D365F8" w:rsidP="00D365F8">
      <w:r>
        <w:t>Vederlaget for tilførslen af aktiver i datterens selskab vil være anparter i C ApS for n</w:t>
      </w:r>
      <w:r>
        <w:t>o</w:t>
      </w:r>
      <w:r>
        <w:t>minelt t.DKK 500, hvorefter A&amp;B A/S vi</w:t>
      </w:r>
      <w:r w:rsidR="002A781A">
        <w:t>l komme til at eje 80% af C ApS, hvilket illustr</w:t>
      </w:r>
      <w:r w:rsidR="002A781A">
        <w:t>e</w:t>
      </w:r>
      <w:r w:rsidR="002A781A">
        <w:t xml:space="preserve">res nedenfor i </w:t>
      </w:r>
      <w:r w:rsidR="00012FAC">
        <w:fldChar w:fldCharType="begin"/>
      </w:r>
      <w:r w:rsidR="002A781A">
        <w:instrText xml:space="preserve"> REF _Ref218954713 \h </w:instrText>
      </w:r>
      <w:r w:rsidR="00012FAC">
        <w:fldChar w:fldCharType="separate"/>
      </w:r>
      <w:r w:rsidR="000F066D">
        <w:t xml:space="preserve">Figur </w:t>
      </w:r>
      <w:r w:rsidR="000F066D">
        <w:rPr>
          <w:noProof/>
        </w:rPr>
        <w:t>44</w:t>
      </w:r>
      <w:r w:rsidR="00012FAC">
        <w:fldChar w:fldCharType="end"/>
      </w:r>
      <w:r w:rsidR="002A781A">
        <w:t>.</w:t>
      </w:r>
    </w:p>
    <w:p w:rsidR="00D365F8" w:rsidRDefault="00D365F8" w:rsidP="00D365F8"/>
    <w:p w:rsidR="00D365F8" w:rsidRDefault="00012FAC" w:rsidP="00D365F8">
      <w:r>
        <w:rPr>
          <w:noProof/>
          <w:lang w:eastAsia="da-DK"/>
        </w:rPr>
        <w:pict>
          <v:shape id="_x0000_i1033" type="#_x0000_t75" style="width:317.25pt;height:163.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">
            <v:imagedata r:id="rId22" o:title="" croptop="-3265f" cropbottom="-381f" cropleft="-900f" cropright="-31f"/>
            <o:lock v:ext="edit" aspectratio="f"/>
          </v:shape>
        </w:pict>
      </w:r>
    </w:p>
    <w:p w:rsidR="00D365F8" w:rsidRPr="00CD53AE" w:rsidRDefault="00BB4C4B" w:rsidP="00BB4C4B">
      <w:pPr>
        <w:pStyle w:val="Billedtekst"/>
      </w:pPr>
      <w:bookmarkStart w:id="173" w:name="_Ref218954713"/>
      <w:bookmarkStart w:id="174" w:name="_Toc218751426"/>
      <w:r>
        <w:t xml:space="preserve">Figur </w:t>
      </w:r>
      <w:fldSimple w:instr=" SEQ Figur \* ARABIC ">
        <w:r w:rsidR="000F066D">
          <w:rPr>
            <w:noProof/>
          </w:rPr>
          <w:t>44</w:t>
        </w:r>
      </w:fldSimple>
      <w:bookmarkEnd w:id="173"/>
      <w:r w:rsidR="00D365F8">
        <w:t xml:space="preserve"> Oversigt over tilførsel af aktiver til datterens selskab</w:t>
      </w:r>
      <w:bookmarkEnd w:id="174"/>
    </w:p>
    <w:p w:rsidR="00D365F8" w:rsidRDefault="00D365F8" w:rsidP="00D365F8"/>
    <w:p w:rsidR="00C96DF3" w:rsidRDefault="00D365F8" w:rsidP="00D365F8">
      <w:r>
        <w:t>Princippet i tilførslen af aktiver til C ApS er meget lig metoden for tilførsel af aktiver til et datterselskab, forskellen er her at der nu er to ejere af driftsaktiviteten. Endvidere vil C ApS skulle sambeskattes med A&amp;B A/S</w:t>
      </w:r>
      <w:r w:rsidR="002A781A">
        <w:t>,</w:t>
      </w:r>
      <w:r>
        <w:t xml:space="preserve"> da dette selskab har </w:t>
      </w:r>
      <w:r w:rsidR="00C76D06">
        <w:t>bestemmende indfl</w:t>
      </w:r>
      <w:r w:rsidR="00C76D06">
        <w:t>y</w:t>
      </w:r>
      <w:r w:rsidR="00C76D06">
        <w:t>delse</w:t>
      </w:r>
      <w:r>
        <w:t xml:space="preserve"> i C ApS. For det indskydende selskab A&amp;B A/S sker der ikke beskatning af fortj</w:t>
      </w:r>
      <w:r>
        <w:t>e</w:t>
      </w:r>
      <w:r>
        <w:t>neste og tab på de tilførte aktiver og passiver</w:t>
      </w:r>
      <w:r w:rsidR="00C76D06">
        <w:t xml:space="preserve"> da der sket skattefri tilførsel af aktiver</w:t>
      </w:r>
      <w:r>
        <w:t xml:space="preserve">. I </w:t>
      </w:r>
      <w:r>
        <w:lastRenderedPageBreak/>
        <w:t>det modtagende selskab sker der succession i de skattemæssige værdier, som anska</w:t>
      </w:r>
      <w:r>
        <w:t>f</w:t>
      </w:r>
      <w:r>
        <w:t>felsestidspunkt, anskaffelsessum, foretagne afskrivninger og hensigt.</w:t>
      </w:r>
    </w:p>
    <w:p w:rsidR="00C96DF3" w:rsidRDefault="00C96DF3" w:rsidP="00D365F8"/>
    <w:tbl>
      <w:tblPr>
        <w:tblW w:w="5000" w:type="pct"/>
        <w:tblCellMar>
          <w:left w:w="70" w:type="dxa"/>
          <w:right w:w="70" w:type="dxa"/>
        </w:tblCellMar>
        <w:tblLook w:val="04A0"/>
      </w:tblPr>
      <w:tblGrid>
        <w:gridCol w:w="2255"/>
        <w:gridCol w:w="1017"/>
        <w:gridCol w:w="1566"/>
        <w:gridCol w:w="264"/>
        <w:gridCol w:w="1238"/>
        <w:gridCol w:w="1018"/>
        <w:gridCol w:w="1286"/>
      </w:tblGrid>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Pr>
                <w:rFonts w:eastAsia="Times New Roman" w:cs="Arial"/>
                <w:sz w:val="20"/>
                <w:szCs w:val="20"/>
                <w:lang w:eastAsia="da-DK"/>
              </w:rPr>
              <w:t>A&amp;B A/S</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 xml:space="preserve">Balance for </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åbnings-</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A&amp;B A/S efter</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Tilførsel af</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 xml:space="preserve">Balance C </w:t>
            </w:r>
            <w:r>
              <w:rPr>
                <w:rFonts w:eastAsia="Times New Roman" w:cs="Arial"/>
                <w:sz w:val="20"/>
                <w:szCs w:val="20"/>
                <w:lang w:eastAsia="da-DK"/>
              </w:rPr>
              <w:t>ApS</w:t>
            </w: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Beløb i t.DKK</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balance</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tilførsel af aktiver</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driftsaktivitet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C ApS</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efter tilførsel</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Goodwill</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580</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580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580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Ejendom</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5.000</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5.000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Indretning lejede lokaler</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900</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900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900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Driftsmateriel og inventar</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600</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600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600</w:t>
            </w: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Pr>
                <w:rFonts w:eastAsia="Times New Roman" w:cs="Arial"/>
                <w:sz w:val="20"/>
                <w:szCs w:val="20"/>
                <w:lang w:eastAsia="da-DK"/>
              </w:rPr>
              <w:t xml:space="preserve">Kapitalindestående C </w:t>
            </w:r>
            <w:r w:rsidRPr="00CD53AE">
              <w:rPr>
                <w:rFonts w:eastAsia="Times New Roman" w:cs="Arial"/>
                <w:sz w:val="20"/>
                <w:szCs w:val="20"/>
                <w:lang w:eastAsia="da-DK"/>
              </w:rPr>
              <w:t>ApS</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1.733</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Anlægsaktiver i alt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7.080</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6.733</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2.080</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2.080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Varelager</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2.640</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2.640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2.640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Debitorer</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2.080</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2.080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2.080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Udligningsbeløb B</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Likvide beholdninger</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50</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125</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125</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Omsætningsaktiver i alt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4.782</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62</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4.720</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125</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4.845</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Aktiver i alt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11.862</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6.795</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6.800</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125</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6.925</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Selskabskapital</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500</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500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500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125</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625</w:t>
            </w: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Reserver</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3.510</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3.510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1.233</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1.233</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Egenkapital i alt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4.010</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4.010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1.733</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125</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1.858</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Udskudt skat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1.121</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774</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347</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347</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Hensatte forpligtelser i alt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1.121</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774</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347</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347</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Prioritetsgæld ejendom</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1.850</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1.850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Driftskredit</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2.628</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2.628</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2.628</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Leverandører</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1.679</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1.679</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1.679</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Mellemregning A</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161</w:t>
            </w: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161</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Anden gæld</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413</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413</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413</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Gældsforpligtelser i alt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6.731</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2.011</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4.720</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0</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4.720</w:t>
            </w:r>
          </w:p>
        </w:tc>
      </w:tr>
      <w:tr w:rsidR="00D365F8" w:rsidRPr="00CD53AE" w:rsidTr="00C96DF3">
        <w:trPr>
          <w:trHeight w:val="255"/>
        </w:trPr>
        <w:tc>
          <w:tcPr>
            <w:tcW w:w="130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90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589"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44"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r>
      <w:tr w:rsidR="00D365F8" w:rsidRPr="00CD53AE" w:rsidTr="00C96DF3">
        <w:trPr>
          <w:trHeight w:val="255"/>
        </w:trPr>
        <w:tc>
          <w:tcPr>
            <w:tcW w:w="130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left"/>
              <w:rPr>
                <w:rFonts w:eastAsia="Times New Roman" w:cs="Arial"/>
                <w:sz w:val="20"/>
                <w:szCs w:val="20"/>
                <w:lang w:eastAsia="da-DK"/>
              </w:rPr>
            </w:pPr>
            <w:r w:rsidRPr="00CD53AE">
              <w:rPr>
                <w:rFonts w:eastAsia="Times New Roman" w:cs="Arial"/>
                <w:sz w:val="20"/>
                <w:szCs w:val="20"/>
                <w:lang w:eastAsia="da-DK"/>
              </w:rPr>
              <w:t>Passiver i alt</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11.862</w:t>
            </w:r>
          </w:p>
        </w:tc>
        <w:tc>
          <w:tcPr>
            <w:tcW w:w="90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6.795</w:t>
            </w:r>
          </w:p>
        </w:tc>
        <w:tc>
          <w:tcPr>
            <w:tcW w:w="153" w:type="pct"/>
            <w:tcBorders>
              <w:top w:val="nil"/>
              <w:left w:val="nil"/>
              <w:bottom w:val="nil"/>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p>
        </w:tc>
        <w:tc>
          <w:tcPr>
            <w:tcW w:w="716"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6.800</w:t>
            </w:r>
          </w:p>
        </w:tc>
        <w:tc>
          <w:tcPr>
            <w:tcW w:w="589"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125</w:t>
            </w:r>
          </w:p>
        </w:tc>
        <w:tc>
          <w:tcPr>
            <w:tcW w:w="744" w:type="pct"/>
            <w:tcBorders>
              <w:top w:val="nil"/>
              <w:left w:val="nil"/>
              <w:bottom w:val="single" w:sz="4" w:space="0" w:color="auto"/>
              <w:right w:val="nil"/>
            </w:tcBorders>
            <w:shd w:val="clear" w:color="auto" w:fill="auto"/>
            <w:noWrap/>
            <w:vAlign w:val="bottom"/>
            <w:hideMark/>
          </w:tcPr>
          <w:p w:rsidR="00D365F8" w:rsidRPr="00CD53AE" w:rsidRDefault="00D365F8" w:rsidP="00941B7C">
            <w:pPr>
              <w:spacing w:line="240" w:lineRule="auto"/>
              <w:jc w:val="right"/>
              <w:rPr>
                <w:rFonts w:eastAsia="Times New Roman" w:cs="Arial"/>
                <w:sz w:val="20"/>
                <w:szCs w:val="20"/>
                <w:lang w:eastAsia="da-DK"/>
              </w:rPr>
            </w:pPr>
            <w:r w:rsidRPr="00CD53AE">
              <w:rPr>
                <w:rFonts w:eastAsia="Times New Roman" w:cs="Arial"/>
                <w:sz w:val="20"/>
                <w:szCs w:val="20"/>
                <w:lang w:eastAsia="da-DK"/>
              </w:rPr>
              <w:t>6.925</w:t>
            </w:r>
          </w:p>
        </w:tc>
      </w:tr>
    </w:tbl>
    <w:p w:rsidR="00D365F8" w:rsidRPr="007B1244" w:rsidRDefault="00BB4C4B" w:rsidP="00BB4C4B">
      <w:pPr>
        <w:pStyle w:val="Billedtekst"/>
      </w:pPr>
      <w:bookmarkStart w:id="175" w:name="_Toc218751427"/>
      <w:r>
        <w:t xml:space="preserve">Figur </w:t>
      </w:r>
      <w:fldSimple w:instr=" SEQ Figur \* ARABIC ">
        <w:r w:rsidR="000F066D">
          <w:rPr>
            <w:noProof/>
          </w:rPr>
          <w:t>45</w:t>
        </w:r>
      </w:fldSimple>
      <w:r w:rsidR="00D365F8">
        <w:t xml:space="preserve"> Åbningsbalancer ved tilførsel af aktiver til selskab ejet af C</w:t>
      </w:r>
      <w:bookmarkEnd w:id="175"/>
    </w:p>
    <w:p w:rsidR="00D365F8" w:rsidRDefault="00D365F8" w:rsidP="00CF6B2F"/>
    <w:p w:rsidR="00B5514C" w:rsidRDefault="002A781A" w:rsidP="00CF6B2F">
      <w:r>
        <w:lastRenderedPageBreak/>
        <w:t>Efter 3 års ejertid kan A&amp;B A/S tilbagekøbe aktierne, hvorefter C ApS ejer driftsaktivit</w:t>
      </w:r>
      <w:r>
        <w:t>e</w:t>
      </w:r>
      <w:r>
        <w:t>ten 100%.</w:t>
      </w:r>
      <w:r w:rsidR="00B5514C">
        <w:t xml:space="preserve"> Vederlag for aktier/anparter, der solgt til udstedende selskab skal beskattes efter de almindelige regler for beskatning og fortjeneste ved salg af aktier og ikke som udbytte, hvis selskabet opfylder betingelserne for at kunne modtage skattefrit udby</w:t>
      </w:r>
      <w:r w:rsidR="00B5514C">
        <w:t>t</w:t>
      </w:r>
      <w:r w:rsidR="00B5514C">
        <w:t>te</w:t>
      </w:r>
      <w:r w:rsidR="00B5514C">
        <w:rPr>
          <w:rStyle w:val="Fodnotehenvisning"/>
        </w:rPr>
        <w:footnoteReference w:id="137"/>
      </w:r>
      <w:r w:rsidR="00296D20">
        <w:t>, det vil dermed sige at når ejertiden er over 3 år kan der ske afståelse uden at dette udløser beskatning</w:t>
      </w:r>
      <w:r w:rsidR="00B5514C">
        <w:t xml:space="preserve">. Sker der derimod tilbagekøb af aktierne inden 3 års fristen betyder dette at der skal ske en avanceopgørelse. Den skattemæssige anskaffelsessum for anparterne </w:t>
      </w:r>
      <w:r w:rsidR="00D54D48">
        <w:t>opgøres efter reglerne i VOL § 4, stk 2, hvilket vil sige den kontante salgsværdi fratrukket den skattepligtige fortjeneste, der vil være konstateret herved</w:t>
      </w:r>
      <w:r w:rsidR="00D54D48">
        <w:rPr>
          <w:rStyle w:val="Fodnotehenvisning"/>
        </w:rPr>
        <w:footnoteReference w:id="138"/>
      </w:r>
      <w:r w:rsidR="00D54D48">
        <w:t xml:space="preserve">, </w:t>
      </w:r>
      <w:r w:rsidR="00166C64">
        <w:t>hvilket i denne situation vil ligge i størrelsesordenen t.DKK 700. Der kunne derfor blive tale om en avance i størrelsesordenen t.DKK 1.000 ved tilbagekøb umiddelbart efter tilførslen</w:t>
      </w:r>
      <w:r w:rsidR="00BB4C4B">
        <w:t xml:space="preserve"> når dette sker til indre værdi, hvilket da vil udløse en skat på t.DKK 250, når salget sker inden 3 års ejertid.</w:t>
      </w:r>
    </w:p>
    <w:p w:rsidR="00B5514C" w:rsidRDefault="00B5514C" w:rsidP="00CF6B2F"/>
    <w:p w:rsidR="00EB00B4" w:rsidRDefault="002A781A" w:rsidP="00CF6B2F">
      <w:r>
        <w:t>Det har ved denne metode ”kun” kostet C t.DKK 125 til stiftelse af selskabet</w:t>
      </w:r>
      <w:r w:rsidR="00B5514C">
        <w:t>,</w:t>
      </w:r>
      <w:r>
        <w:t xml:space="preserve"> </w:t>
      </w:r>
      <w:r w:rsidR="00D54D48">
        <w:t xml:space="preserve">for </w:t>
      </w:r>
      <w:r>
        <w:t>at e</w:t>
      </w:r>
      <w:r>
        <w:t>r</w:t>
      </w:r>
      <w:r>
        <w:t xml:space="preserve">hverve driftsaktiviteten fra A&amp;B A/S. </w:t>
      </w:r>
    </w:p>
    <w:p w:rsidR="00D365F8" w:rsidRPr="00D335A7" w:rsidRDefault="00EB00B4" w:rsidP="00D365F8">
      <w:pPr>
        <w:rPr>
          <w:b/>
        </w:rPr>
      </w:pPr>
      <w:r>
        <w:br w:type="page"/>
      </w:r>
      <w:r w:rsidR="00D365F8" w:rsidRPr="00D335A7">
        <w:rPr>
          <w:b/>
        </w:rPr>
        <w:lastRenderedPageBreak/>
        <w:t>Fordele og ulemper ved skattefri tilførsel af aktiver</w:t>
      </w:r>
      <w:r w:rsidR="00166C64">
        <w:rPr>
          <w:b/>
        </w:rPr>
        <w:t xml:space="preserve"> </w:t>
      </w:r>
    </w:p>
    <w:tbl>
      <w:tblPr>
        <w:tblW w:w="5000" w:type="pct"/>
        <w:tblLook w:val="01E0"/>
      </w:tblPr>
      <w:tblGrid>
        <w:gridCol w:w="4360"/>
        <w:gridCol w:w="4360"/>
      </w:tblGrid>
      <w:tr w:rsidR="00D365F8" w:rsidTr="00941B7C">
        <w:tc>
          <w:tcPr>
            <w:tcW w:w="2500" w:type="pct"/>
            <w:tcBorders>
              <w:left w:val="single" w:sz="4" w:space="0" w:color="auto"/>
              <w:bottom w:val="single" w:sz="4" w:space="0" w:color="auto"/>
              <w:right w:val="single" w:sz="4" w:space="0" w:color="auto"/>
            </w:tcBorders>
          </w:tcPr>
          <w:p w:rsidR="00D365F8" w:rsidRDefault="00D365F8" w:rsidP="00941B7C">
            <w:r>
              <w:t>Fordele</w:t>
            </w:r>
          </w:p>
        </w:tc>
        <w:tc>
          <w:tcPr>
            <w:tcW w:w="2500" w:type="pct"/>
            <w:tcBorders>
              <w:left w:val="single" w:sz="4" w:space="0" w:color="auto"/>
              <w:bottom w:val="single" w:sz="4" w:space="0" w:color="auto"/>
              <w:right w:val="single" w:sz="4" w:space="0" w:color="auto"/>
            </w:tcBorders>
          </w:tcPr>
          <w:p w:rsidR="00D365F8" w:rsidRDefault="00D365F8" w:rsidP="00941B7C">
            <w:r>
              <w:t>Ulemper</w:t>
            </w:r>
          </w:p>
        </w:tc>
      </w:tr>
      <w:tr w:rsidR="00D365F8" w:rsidTr="00941B7C">
        <w:tc>
          <w:tcPr>
            <w:tcW w:w="2500" w:type="pct"/>
            <w:tcBorders>
              <w:top w:val="single" w:sz="4" w:space="0" w:color="auto"/>
              <w:left w:val="single" w:sz="4" w:space="0" w:color="auto"/>
              <w:bottom w:val="single" w:sz="4" w:space="0" w:color="auto"/>
              <w:right w:val="single" w:sz="4" w:space="0" w:color="auto"/>
            </w:tcBorders>
          </w:tcPr>
          <w:p w:rsidR="00D365F8" w:rsidRDefault="00D365F8" w:rsidP="00D365F8">
            <w:pPr>
              <w:numPr>
                <w:ilvl w:val="0"/>
                <w:numId w:val="16"/>
              </w:numPr>
              <w:spacing w:line="240" w:lineRule="auto"/>
              <w:jc w:val="left"/>
            </w:pPr>
            <w:r>
              <w:t>Driftsselskabet er blevet slanket og derve</w:t>
            </w:r>
            <w:r w:rsidR="002A781A">
              <w:t>d ”billigere” at købe sig ind i</w:t>
            </w:r>
            <w:r w:rsidR="00296D20">
              <w:t xml:space="preserve"> ved metode 1</w:t>
            </w:r>
            <w:r w:rsidR="002A781A">
              <w:t>, alternativt kan driftsaktiv</w:t>
            </w:r>
            <w:r w:rsidR="002A781A">
              <w:t>i</w:t>
            </w:r>
            <w:r w:rsidR="002A781A">
              <w:t>teten indskydes i datterens selskab mod vederlag i aktier</w:t>
            </w:r>
          </w:p>
          <w:p w:rsidR="00D365F8" w:rsidRDefault="00D365F8" w:rsidP="00D365F8">
            <w:pPr>
              <w:numPr>
                <w:ilvl w:val="0"/>
                <w:numId w:val="16"/>
              </w:numPr>
              <w:spacing w:line="240" w:lineRule="auto"/>
              <w:jc w:val="left"/>
            </w:pPr>
            <w:r>
              <w:t>Mulighed for at holde selskabet slankt ved at udlodde skattefrie udbytter til A&amp;B A/S</w:t>
            </w:r>
            <w:r w:rsidR="00296D20">
              <w:t xml:space="preserve"> i metode 1.</w:t>
            </w:r>
          </w:p>
          <w:p w:rsidR="00D365F8" w:rsidRDefault="00D365F8" w:rsidP="00D365F8">
            <w:pPr>
              <w:numPr>
                <w:ilvl w:val="0"/>
                <w:numId w:val="16"/>
              </w:numPr>
              <w:spacing w:line="240" w:lineRule="auto"/>
              <w:jc w:val="left"/>
            </w:pPr>
            <w:r>
              <w:t>Transaktionen kan gennemføres uden at der skal ansøges om tilladelse hos Skat.</w:t>
            </w:r>
          </w:p>
          <w:p w:rsidR="00BB4C4B" w:rsidRDefault="00BB4C4B" w:rsidP="00D365F8">
            <w:pPr>
              <w:numPr>
                <w:ilvl w:val="0"/>
                <w:numId w:val="16"/>
              </w:numPr>
              <w:spacing w:line="240" w:lineRule="auto"/>
              <w:jc w:val="left"/>
            </w:pPr>
            <w:r>
              <w:t>V/ metode 2 kan der tilbagekøbes a</w:t>
            </w:r>
            <w:r>
              <w:t>k</w:t>
            </w:r>
            <w:r>
              <w:t>tier til det udstedende selskab efter 3 års ejertid, uden at dette udløser b</w:t>
            </w:r>
            <w:r>
              <w:t>e</w:t>
            </w:r>
            <w:r>
              <w:t>skatning</w:t>
            </w:r>
          </w:p>
        </w:tc>
        <w:tc>
          <w:tcPr>
            <w:tcW w:w="2500" w:type="pct"/>
            <w:tcBorders>
              <w:top w:val="single" w:sz="4" w:space="0" w:color="auto"/>
              <w:left w:val="single" w:sz="4" w:space="0" w:color="auto"/>
              <w:bottom w:val="single" w:sz="4" w:space="0" w:color="auto"/>
              <w:right w:val="single" w:sz="4" w:space="0" w:color="auto"/>
            </w:tcBorders>
          </w:tcPr>
          <w:p w:rsidR="00D365F8" w:rsidRDefault="00D365F8" w:rsidP="00D365F8">
            <w:pPr>
              <w:numPr>
                <w:ilvl w:val="0"/>
                <w:numId w:val="16"/>
              </w:numPr>
              <w:spacing w:line="240" w:lineRule="auto"/>
              <w:jc w:val="left"/>
            </w:pPr>
            <w:r>
              <w:t>Datteren skal kunne fremskaffe kapital til at købe aktier for</w:t>
            </w:r>
            <w:r w:rsidR="00E673B9">
              <w:t>, alternativt fre</w:t>
            </w:r>
            <w:r w:rsidR="00E673B9">
              <w:t>m</w:t>
            </w:r>
            <w:r w:rsidR="00E673B9">
              <w:t>skaffe kapital til at stifte eget selskab for</w:t>
            </w:r>
          </w:p>
          <w:p w:rsidR="00D365F8" w:rsidRDefault="00D365F8" w:rsidP="00D365F8">
            <w:pPr>
              <w:numPr>
                <w:ilvl w:val="0"/>
                <w:numId w:val="16"/>
              </w:numPr>
              <w:spacing w:line="240" w:lineRule="auto"/>
              <w:jc w:val="left"/>
            </w:pPr>
            <w:r>
              <w:t>Risiko for at Skat ikke anser grenkravet for at være opfyldt – dette kan dog imødegås ved at anmode om binde</w:t>
            </w:r>
            <w:r>
              <w:t>n</w:t>
            </w:r>
            <w:r>
              <w:t>de svar</w:t>
            </w:r>
          </w:p>
          <w:p w:rsidR="00D365F8" w:rsidRDefault="00D365F8" w:rsidP="00D365F8">
            <w:pPr>
              <w:numPr>
                <w:ilvl w:val="0"/>
                <w:numId w:val="16"/>
              </w:numPr>
              <w:spacing w:line="240" w:lineRule="auto"/>
              <w:jc w:val="left"/>
            </w:pPr>
            <w:r>
              <w:t>Aktierne i A&amp;B Drift A/S og A&amp;B Ejd. A/S kan først sælges skattefrit efter 3 års ejertid.</w:t>
            </w:r>
          </w:p>
          <w:p w:rsidR="00D365F8" w:rsidRDefault="00D365F8" w:rsidP="00D365F8">
            <w:pPr>
              <w:numPr>
                <w:ilvl w:val="0"/>
                <w:numId w:val="16"/>
              </w:numPr>
              <w:spacing w:line="240" w:lineRule="auto"/>
              <w:jc w:val="left"/>
            </w:pPr>
            <w:r>
              <w:t>Udbyttebegrænsning i 3 år, hvis den skattefri tilførsel af aktiver er sket uden tilladelse, det er dog muligt at udlodde det ordinære driftsresultat</w:t>
            </w:r>
          </w:p>
          <w:p w:rsidR="00E673B9" w:rsidRDefault="00E673B9" w:rsidP="00D365F8">
            <w:pPr>
              <w:numPr>
                <w:ilvl w:val="0"/>
                <w:numId w:val="16"/>
              </w:numPr>
              <w:spacing w:line="240" w:lineRule="auto"/>
              <w:jc w:val="left"/>
            </w:pPr>
            <w:r>
              <w:t>Ved tilbagekøb af aktier i 2. metode belaste</w:t>
            </w:r>
            <w:r w:rsidR="00BB4C4B">
              <w:t>s</w:t>
            </w:r>
            <w:r>
              <w:t xml:space="preserve"> driftsselskabet af dette likv</w:t>
            </w:r>
            <w:r>
              <w:t>i</w:t>
            </w:r>
            <w:r>
              <w:t>ditetstræk</w:t>
            </w:r>
          </w:p>
          <w:p w:rsidR="00166C64" w:rsidRDefault="00166C64" w:rsidP="00D365F8">
            <w:pPr>
              <w:numPr>
                <w:ilvl w:val="0"/>
                <w:numId w:val="16"/>
              </w:numPr>
              <w:spacing w:line="240" w:lineRule="auto"/>
              <w:jc w:val="left"/>
            </w:pPr>
            <w:r>
              <w:t>Ved tilbagekøb af aktier i 2. metode vil dette udløse beskatning hos A&amp;B A/S</w:t>
            </w:r>
            <w:r w:rsidR="00296D20">
              <w:t xml:space="preserve"> som avance ved salg af aktier</w:t>
            </w:r>
            <w:r w:rsidR="00BB4C4B">
              <w:t>, hvis dette sker inden 3 års ejertid</w:t>
            </w:r>
          </w:p>
        </w:tc>
      </w:tr>
    </w:tbl>
    <w:p w:rsidR="00D365F8" w:rsidRPr="009448B6" w:rsidRDefault="00BB4C4B" w:rsidP="00BB4C4B">
      <w:pPr>
        <w:pStyle w:val="Billedtekst"/>
      </w:pPr>
      <w:bookmarkStart w:id="176" w:name="_Toc218751428"/>
      <w:r>
        <w:t xml:space="preserve">Figur </w:t>
      </w:r>
      <w:fldSimple w:instr=" SEQ Figur \* ARABIC ">
        <w:r w:rsidR="000F066D">
          <w:rPr>
            <w:noProof/>
          </w:rPr>
          <w:t>46</w:t>
        </w:r>
      </w:fldSimple>
      <w:r w:rsidR="00D365F8">
        <w:t xml:space="preserve"> Fordele og ulemper ved skattefri tilførsel af aktiver</w:t>
      </w:r>
      <w:bookmarkEnd w:id="176"/>
    </w:p>
    <w:p w:rsidR="00D365F8" w:rsidRDefault="00D365F8" w:rsidP="00D365F8"/>
    <w:p w:rsidR="00D365F8" w:rsidRDefault="00D365F8" w:rsidP="00D365F8">
      <w:pPr>
        <w:pStyle w:val="Overskrift2"/>
      </w:pPr>
      <w:bookmarkStart w:id="177" w:name="_Toc221546250"/>
      <w:r>
        <w:t>4.</w:t>
      </w:r>
      <w:r w:rsidR="000555D8">
        <w:t>5</w:t>
      </w:r>
      <w:r>
        <w:t xml:space="preserve"> Delkonklusion på generationsskifte </w:t>
      </w:r>
      <w:r w:rsidR="00F43C78">
        <w:t>i</w:t>
      </w:r>
      <w:r>
        <w:t xml:space="preserve"> selskab</w:t>
      </w:r>
      <w:r w:rsidR="00F43C78">
        <w:t>sform</w:t>
      </w:r>
      <w:r w:rsidR="005E2C30">
        <w:t xml:space="preserve"> </w:t>
      </w:r>
      <w:r w:rsidR="005E2C30" w:rsidRPr="005E2C30">
        <w:rPr>
          <w:rFonts w:asciiTheme="minorHAnsi" w:hAnsiTheme="minorHAnsi"/>
          <w:b w:val="0"/>
          <w:sz w:val="22"/>
          <w:szCs w:val="22"/>
        </w:rPr>
        <w:t>(</w:t>
      </w:r>
      <w:r w:rsidR="005E2C30">
        <w:rPr>
          <w:rFonts w:asciiTheme="minorHAnsi" w:hAnsiTheme="minorHAnsi"/>
          <w:b w:val="0"/>
          <w:sz w:val="22"/>
          <w:szCs w:val="22"/>
        </w:rPr>
        <w:t xml:space="preserve">Pernille og </w:t>
      </w:r>
      <w:r w:rsidR="005E2C30" w:rsidRPr="005E2C30">
        <w:rPr>
          <w:rFonts w:asciiTheme="minorHAnsi" w:hAnsiTheme="minorHAnsi"/>
          <w:b w:val="0"/>
          <w:sz w:val="22"/>
          <w:szCs w:val="22"/>
        </w:rPr>
        <w:t>Jane)</w:t>
      </w:r>
      <w:bookmarkEnd w:id="177"/>
    </w:p>
    <w:p w:rsidR="00F43C78" w:rsidRDefault="00F43C78" w:rsidP="00F43C78">
      <w:r>
        <w:t>Der er i de foregående afsnit gennemgået muligheder for at kunne gennemføre et g</w:t>
      </w:r>
      <w:r>
        <w:t>e</w:t>
      </w:r>
      <w:r>
        <w:t>nerationsskifte i selskabsform. For det første kunne der være mulighed for at C succ</w:t>
      </w:r>
      <w:r>
        <w:t>e</w:t>
      </w:r>
      <w:r>
        <w:t xml:space="preserve">derede i aktierne, som A ejede. Denne mulighed kunne gennemføres ved at der skete en værdiansættelse til skattekursværdien eller </w:t>
      </w:r>
      <w:r w:rsidRPr="00D97AC4">
        <w:t>jf</w:t>
      </w:r>
      <w:r w:rsidR="00D97AC4">
        <w:t>.</w:t>
      </w:r>
      <w:r w:rsidRPr="00D97AC4">
        <w:t xml:space="preserve"> TSS 2000-09 </w:t>
      </w:r>
      <w:r w:rsidR="00BB4C4B">
        <w:t>og ved modregning af passivpost vil dette være en ”billig” måde at købe aktier for</w:t>
      </w:r>
      <w:r>
        <w:t>. Ofte vil skattekursværdien være den laveste, da der ikke medtages immaterielle aktiver i denne beregning. Ford</w:t>
      </w:r>
      <w:r>
        <w:t>e</w:t>
      </w:r>
      <w:r>
        <w:t xml:space="preserve">len ved succession er at overdrageren ikke beskattes af avancen, mens ulempen er at erhververen overtager skatteforpligtelsen på aktierne. </w:t>
      </w:r>
      <w:r w:rsidR="00E046DD">
        <w:t>O</w:t>
      </w:r>
      <w:r>
        <w:t xml:space="preserve">fte har erhververen </w:t>
      </w:r>
      <w:r w:rsidR="00E046DD">
        <w:t xml:space="preserve">dog </w:t>
      </w:r>
      <w:r>
        <w:t xml:space="preserve">til </w:t>
      </w:r>
      <w:r>
        <w:lastRenderedPageBreak/>
        <w:t>hensigt at eje aktierne i mange år fremover, og derfor vil dette have en mindre bety</w:t>
      </w:r>
      <w:r>
        <w:t>d</w:t>
      </w:r>
      <w:r>
        <w:t>ning</w:t>
      </w:r>
      <w:r w:rsidR="00E046DD">
        <w:t>.</w:t>
      </w:r>
      <w:r>
        <w:t xml:space="preserve"> </w:t>
      </w:r>
      <w:r w:rsidR="00E046DD">
        <w:t>D</w:t>
      </w:r>
      <w:r>
        <w:t>et primære vil være at drive virksomheden videre og skabe en indtjening.</w:t>
      </w:r>
    </w:p>
    <w:p w:rsidR="00F43C78" w:rsidRDefault="00F43C78" w:rsidP="00F43C78"/>
    <w:p w:rsidR="00D365F8" w:rsidRDefault="00F43C78" w:rsidP="00CF6B2F">
      <w:r>
        <w:t>Udover successionsmuligheden kan der foretages forskellige omstruktureringer af se</w:t>
      </w:r>
      <w:r>
        <w:t>l</w:t>
      </w:r>
      <w:r>
        <w:t xml:space="preserve">skabet, hvorved der skabes en hensigtsmæssig konstruktion, </w:t>
      </w:r>
      <w:r w:rsidR="007934DF">
        <w:t>der skaber mulighed for at C kan komme til at eje aktier i driftsselskabet på en lempelig måde. Fordelene ved de beskrevne metoder er at C kan etablere sig i selskabsform for relativt beskedne midler og via selskabet komme til at eje andele i driften. Efter en vis ejertid kan der ligeledes ændres i ejerkredsen på en, for C, lempelig måde, så denne kommer til at eje en større andel af driften uden selv at skulle erlægge yderligere midler. Selskabsfo</w:t>
      </w:r>
      <w:r w:rsidR="007934DF">
        <w:t>r</w:t>
      </w:r>
      <w:r w:rsidR="007934DF">
        <w:t>men gør det muligt at gennemføre denne form for generationsskifte uden at der udl</w:t>
      </w:r>
      <w:r w:rsidR="007934DF">
        <w:t>ø</w:t>
      </w:r>
      <w:r w:rsidR="00BB4C4B">
        <w:t>ses skatter i systemet.</w:t>
      </w:r>
      <w:r w:rsidR="007934DF">
        <w:t xml:space="preserve"> </w:t>
      </w:r>
      <w:r w:rsidR="00BB4C4B">
        <w:t>S</w:t>
      </w:r>
      <w:r w:rsidR="007934DF">
        <w:t>å længe midlerne bliver i selskaberne udløses der ikke beska</w:t>
      </w:r>
      <w:r w:rsidR="007934DF">
        <w:t>t</w:t>
      </w:r>
      <w:r w:rsidR="007934DF">
        <w:t>ning. De oprindelige ejer ender ud med at have deres egne ”pengetanke”, der kan fu</w:t>
      </w:r>
      <w:r w:rsidR="007934DF">
        <w:t>n</w:t>
      </w:r>
      <w:r w:rsidR="007934DF">
        <w:t>gere som en privat pensionsopsparing, og der kan trækkes udbytte ud til dem selv pe</w:t>
      </w:r>
      <w:r w:rsidR="007934DF">
        <w:t>r</w:t>
      </w:r>
      <w:r w:rsidR="007934DF">
        <w:t>sonligt når der er behov for dette. Først når der udloddes udbytte til ejerne personligt vil dette udløse beskatning.</w:t>
      </w:r>
    </w:p>
    <w:p w:rsidR="007934DF" w:rsidRDefault="007934DF" w:rsidP="00CF6B2F"/>
    <w:p w:rsidR="007934DF" w:rsidRPr="00CF6B2F" w:rsidRDefault="007934DF" w:rsidP="00CF6B2F">
      <w:r>
        <w:t>En helt klar fordel ved at generationsskifte i selskabsformen</w:t>
      </w:r>
      <w:r w:rsidR="00E046DD">
        <w:t>,</w:t>
      </w:r>
      <w:r>
        <w:t xml:space="preserve"> frem for i interessen</w:t>
      </w:r>
      <w:r>
        <w:t>t</w:t>
      </w:r>
      <w:r>
        <w:t>skabsformen</w:t>
      </w:r>
      <w:r w:rsidR="00E046DD">
        <w:t>,</w:t>
      </w:r>
      <w:r>
        <w:t xml:space="preserve"> er</w:t>
      </w:r>
      <w:r w:rsidR="00E046DD">
        <w:t>,</w:t>
      </w:r>
      <w:r>
        <w:t xml:space="preserve"> at det er langt lettere at handle med aktier end at handle med enkelt aktiver.</w:t>
      </w:r>
      <w:r w:rsidR="00E046DD">
        <w:t xml:space="preserve"> Samtidig har man i omstruktureringsfasen mulighed for at tænke en </w:t>
      </w:r>
      <w:r w:rsidR="00D97AC4">
        <w:t>fremti</w:t>
      </w:r>
      <w:r w:rsidR="00E046DD">
        <w:t xml:space="preserve">dig hensigtsmæssig struktur ind for virksomheden, end hvis den personlige virksomhed blot videreføres. En hensigtsmæssig struktur kan bl.a. være holdingselskaber for at styre risiko i driftsselskabet og den skat der skal betales i personligt regi samt opdeling af aktiviteter i forskellige selskaber af risikohensyn. Desuden giver en selskabsstruktur bedre muligheder for at fremskaffe kapital ved ejerandele. </w:t>
      </w:r>
    </w:p>
    <w:p w:rsidR="004F5AA0" w:rsidRPr="000A3903" w:rsidRDefault="000A3903" w:rsidP="000A3903">
      <w:pPr>
        <w:pStyle w:val="Overskrift1"/>
      </w:pPr>
      <w:bookmarkStart w:id="178" w:name="_Toc221546251"/>
      <w:r w:rsidRPr="000A3903">
        <w:lastRenderedPageBreak/>
        <w:t>5</w:t>
      </w:r>
      <w:r>
        <w:t>.</w:t>
      </w:r>
      <w:r w:rsidRPr="000A3903">
        <w:t xml:space="preserve"> </w:t>
      </w:r>
      <w:r w:rsidR="004F5AA0" w:rsidRPr="000A3903">
        <w:t>Konklusion</w:t>
      </w:r>
      <w:r w:rsidR="005E2C30">
        <w:t xml:space="preserve"> </w:t>
      </w:r>
      <w:r w:rsidR="005E2C30" w:rsidRPr="005E2C30">
        <w:rPr>
          <w:rFonts w:asciiTheme="minorHAnsi" w:hAnsiTheme="minorHAnsi"/>
          <w:b w:val="0"/>
          <w:sz w:val="22"/>
          <w:szCs w:val="22"/>
        </w:rPr>
        <w:t>(</w:t>
      </w:r>
      <w:r w:rsidR="005E2C30">
        <w:rPr>
          <w:rFonts w:asciiTheme="minorHAnsi" w:hAnsiTheme="minorHAnsi"/>
          <w:b w:val="0"/>
          <w:sz w:val="22"/>
          <w:szCs w:val="22"/>
        </w:rPr>
        <w:t xml:space="preserve">Pernille og </w:t>
      </w:r>
      <w:r w:rsidR="005E2C30" w:rsidRPr="005E2C30">
        <w:rPr>
          <w:rFonts w:asciiTheme="minorHAnsi" w:hAnsiTheme="minorHAnsi"/>
          <w:b w:val="0"/>
          <w:sz w:val="22"/>
          <w:szCs w:val="22"/>
        </w:rPr>
        <w:t>Jane)</w:t>
      </w:r>
      <w:bookmarkEnd w:id="178"/>
    </w:p>
    <w:p w:rsidR="004F5AA0" w:rsidRDefault="004F5AA0" w:rsidP="004F5AA0">
      <w:r>
        <w:t>Vort emne i vores kandidatafhandling er generationsskifte af en virkso</w:t>
      </w:r>
      <w:r>
        <w:t>m</w:t>
      </w:r>
      <w:r>
        <w:t>hed/interessentskab i levende live og hvilke muligheder der vil være for at overdrage en virksomhed til næste generation.</w:t>
      </w:r>
    </w:p>
    <w:p w:rsidR="004F5AA0" w:rsidRDefault="004F5AA0" w:rsidP="004F5AA0"/>
    <w:p w:rsidR="004F5AA0" w:rsidRDefault="004F5AA0" w:rsidP="004F5AA0">
      <w:r>
        <w:t>Tidligere var den primære årsag til at en virksomhed blev videreført af den næste g</w:t>
      </w:r>
      <w:r>
        <w:t>e</w:t>
      </w:r>
      <w:r>
        <w:t>neration, at ejeren afgik ved døden og via dødsbobeskatningsreglerne, var der muli</w:t>
      </w:r>
      <w:r>
        <w:t>g</w:t>
      </w:r>
      <w:r>
        <w:t>hed for at næste generation eller ægtefælle kunne videreføre virksomheden under lempelig eller ingen beskatning, da det var muligt at succedere ved dødsfaldet i den afdødes virksomhed. Der var gode successionsmuligheder for at kunne videreføre vir</w:t>
      </w:r>
      <w:r>
        <w:t>k</w:t>
      </w:r>
      <w:r>
        <w:t>somheden.</w:t>
      </w:r>
    </w:p>
    <w:p w:rsidR="004F5AA0" w:rsidRDefault="004F5AA0" w:rsidP="004F5AA0">
      <w:r>
        <w:t>Efterhånden er det nu muligt at generationsskifte en virksomhed i levende live på samme vilkår som ved død. Der er indført lempelige beskatningsregler på dette omr</w:t>
      </w:r>
      <w:r>
        <w:t>å</w:t>
      </w:r>
      <w:r>
        <w:t>de, hvis ægtefælle, næste generation eller en medarbejder vil videreføre virksomh</w:t>
      </w:r>
      <w:r>
        <w:t>e</w:t>
      </w:r>
      <w:r>
        <w:t xml:space="preserve">den. </w:t>
      </w:r>
    </w:p>
    <w:p w:rsidR="004F5AA0" w:rsidRDefault="004F5AA0" w:rsidP="004F5AA0">
      <w:r>
        <w:t>Det er endvidere meget ”oppe” i tiden at et generationsskifte påbegyndes og planlæ</w:t>
      </w:r>
      <w:r>
        <w:t>g</w:t>
      </w:r>
      <w:r>
        <w:t>ges i god tid, hvilket vil sige flere år før at skiftet bliver en realitet</w:t>
      </w:r>
      <w:r w:rsidR="007934DF">
        <w:t>, måske endda før virksomhedsejeren er begyndt at overveje pensionering</w:t>
      </w:r>
      <w:r>
        <w:t>. Ved at starte i god tid kan erhververen få foretaget opsparing via etableringskontoordningen (eller fra 2009 iværksætterkontoen, der giver større fradragsværdi). Via denne opsparingsform gives der skattemæssigt fradrag for opsparingen, der dog reducerer anskaffelsessummen for investeringerne når midlerne anvendes.</w:t>
      </w:r>
    </w:p>
    <w:p w:rsidR="004F5AA0" w:rsidRDefault="004F5AA0" w:rsidP="004F5AA0"/>
    <w:p w:rsidR="004F5AA0" w:rsidRDefault="004F5AA0" w:rsidP="004F5AA0">
      <w:r>
        <w:t>En virksomhed der drives i interessentskabsform giver nogle særlige udfordringer til et generationsskifte. Dels vil mange forhold som for en almindelig personligt drevet vir</w:t>
      </w:r>
      <w:r>
        <w:t>k</w:t>
      </w:r>
      <w:r>
        <w:t xml:space="preserve">somhed være gældende for generationsskifte af </w:t>
      </w:r>
      <w:r w:rsidR="00D97AC4">
        <w:t>interessentskabet</w:t>
      </w:r>
      <w:r w:rsidR="007376A7">
        <w:t>. Men der vil også være yderlige forhold, man</w:t>
      </w:r>
      <w:r>
        <w:t xml:space="preserve"> skal være opmærksom på. Hvis der optages en yderligere interessent, vil dette betyde at de eksisterende interessenter afstår en ideel andel af deres del af virksomheden. Mens hvis én interessent generationsskifter eller sælger sin </w:t>
      </w:r>
      <w:r>
        <w:lastRenderedPageBreak/>
        <w:t>andel, vil dette ikke give konsekvenser for de øvrige interessenter – udover at de n</w:t>
      </w:r>
      <w:r>
        <w:t>a</w:t>
      </w:r>
      <w:r>
        <w:t>turligvis skal acceptere den nye interessent.</w:t>
      </w:r>
    </w:p>
    <w:p w:rsidR="004F5AA0" w:rsidRDefault="004F5AA0" w:rsidP="004F5AA0"/>
    <w:p w:rsidR="004F5AA0" w:rsidRDefault="004F5AA0" w:rsidP="004F5AA0">
      <w:r>
        <w:t>Det vil være muligt i personligt regi at afstå virksomheden eller en andel af virksomh</w:t>
      </w:r>
      <w:r>
        <w:t>e</w:t>
      </w:r>
      <w:r>
        <w:t>den som en beskattet overdragelse eller via succession.</w:t>
      </w:r>
    </w:p>
    <w:p w:rsidR="004F5AA0" w:rsidRDefault="004F5AA0" w:rsidP="004F5AA0">
      <w:r>
        <w:t xml:space="preserve">Den beskattede overdragelse er den mest likviditetskrævende for erhververen, mens overdrageren </w:t>
      </w:r>
      <w:r w:rsidR="00BB4C4B">
        <w:t xml:space="preserve">derved </w:t>
      </w:r>
      <w:r>
        <w:t>får mulighed for at kunne indskyde avancerne på ophørspension. Hvis ikke erhververen har midler selv til at overtage virksomheden for, kræves der at der er mulighed for at kunne låne midlerne i f.eks. banken. Dette stiller yderligere krav indtjeningen i virksomheden, da der skal ske forrentning af lånet.</w:t>
      </w:r>
    </w:p>
    <w:p w:rsidR="004F5AA0" w:rsidRDefault="004F5AA0" w:rsidP="00D97AC4">
      <w:r>
        <w:t>Ved succession er der mindre</w:t>
      </w:r>
      <w:r w:rsidR="00BB4C4B">
        <w:t xml:space="preserve"> eller ingen</w:t>
      </w:r>
      <w:r>
        <w:t xml:space="preserve"> krav til likviditeten</w:t>
      </w:r>
      <w:r w:rsidR="00BB4C4B">
        <w:t>, hvis overdragelsen sker helt eller delvist som gave,</w:t>
      </w:r>
      <w:r>
        <w:t xml:space="preserve"> for erhververen, mens overdrageren ikke får likviditet ud af overdragelsen til at indskyde på pensionsordninger. Til gengæld indtræder erhverv</w:t>
      </w:r>
      <w:r>
        <w:t>e</w:t>
      </w:r>
      <w:r>
        <w:t>ren i overdragerens skattemæssige stilling</w:t>
      </w:r>
      <w:r w:rsidR="00327D5E">
        <w:t>,</w:t>
      </w:r>
      <w:r>
        <w:t xml:space="preserve"> hvad angår anskaffelsessummer, foretagne afskrivninger, anskaffelsestidspunkt og hensigt. Endvidere er det muligt at succedere i virksomhedsskatteordningen</w:t>
      </w:r>
      <w:r w:rsidR="00327D5E">
        <w:t>,</w:t>
      </w:r>
      <w:r>
        <w:t xml:space="preserve"> hvad angår opsparet overskud. Ved en overdragelse med succession kan der være tale om et gaveelement og der skal tages stilling til om der eventuelt skal betales gaveafgift. </w:t>
      </w:r>
    </w:p>
    <w:p w:rsidR="004F5AA0" w:rsidRDefault="004F5AA0" w:rsidP="004F5AA0"/>
    <w:p w:rsidR="004F5AA0" w:rsidRDefault="004F5AA0" w:rsidP="004F5AA0">
      <w:r>
        <w:t>Det kan være hensigtsmæssigt at omdanne interessentskabet til selskabsform før der indledes generationsskifte. Omdannelsen af virksomheden kan gøres skattefrit, hvor selskabet succederer skattemæssigt i anskaffelsessummer, foretagne afskrivninger, anskaffelsestidspunkt og hensigt. Der er nogle kriterier, der skal være opfyldte for at kunne omdanne efter reglerne i virksomhedsomdannelsesloven.</w:t>
      </w:r>
    </w:p>
    <w:p w:rsidR="004F5AA0" w:rsidRDefault="004F5AA0" w:rsidP="004F5AA0">
      <w:r>
        <w:t>Det vil dog altid være muligt at omdanne den personligt drevne virksomhed til et se</w:t>
      </w:r>
      <w:r>
        <w:t>l</w:t>
      </w:r>
      <w:r>
        <w:t>skab, ved en beskattet overdragelse. Ved en beskattet overdragelse udløses avancer til beskatning, ligesom opsparet overskud vil komme til genbeskatning. Kravet om skatt</w:t>
      </w:r>
      <w:r>
        <w:t>e</w:t>
      </w:r>
      <w:r>
        <w:t>betalingen ved den beskattede overdragelse kan være den ene store hindring, der gør at der vælges skattefri virksomhedsomdannelse.</w:t>
      </w:r>
    </w:p>
    <w:p w:rsidR="004F5AA0" w:rsidRDefault="004F5AA0" w:rsidP="004F5AA0">
      <w:r>
        <w:lastRenderedPageBreak/>
        <w:t xml:space="preserve">Når virksomheden er omdannet til selskabsform, giver dette nogle flere muligheder for at kunne overdrage en del af virksomheden til næste generation (eller </w:t>
      </w:r>
      <w:r w:rsidR="00BB4C4B">
        <w:t xml:space="preserve">eventuelt </w:t>
      </w:r>
      <w:r>
        <w:t>tre</w:t>
      </w:r>
      <w:r>
        <w:t>d</w:t>
      </w:r>
      <w:r>
        <w:t>jemand) på nogle lempeligere måder.</w:t>
      </w:r>
    </w:p>
    <w:p w:rsidR="004F5AA0" w:rsidRDefault="004F5AA0" w:rsidP="004F5AA0">
      <w:r>
        <w:t>Der vil være mulighed for at succedere i aktier/anparter analogt på samme vis som hvis der var tale om en personligt drevet virksomhed. Da der er tale om interessen</w:t>
      </w:r>
      <w:r>
        <w:t>t</w:t>
      </w:r>
      <w:r>
        <w:t>skabsdrevet virksomhed, vil det være noget enklere at sælge</w:t>
      </w:r>
      <w:r w:rsidR="007376A7">
        <w:t xml:space="preserve"> eller overdrage med su</w:t>
      </w:r>
      <w:r w:rsidR="007376A7">
        <w:t>c</w:t>
      </w:r>
      <w:r w:rsidR="007376A7">
        <w:t>cession</w:t>
      </w:r>
      <w:r>
        <w:t xml:space="preserve"> aktier/anparter, frem for at skulle delafstå en ideel anpart af hele virksomh</w:t>
      </w:r>
      <w:r>
        <w:t>e</w:t>
      </w:r>
      <w:r>
        <w:t>den</w:t>
      </w:r>
      <w:r w:rsidR="007376A7">
        <w:t>, især hvis der skal foretages et successivt generationsskifte</w:t>
      </w:r>
      <w:r>
        <w:t xml:space="preserve">. I selskabsformen er der </w:t>
      </w:r>
      <w:r w:rsidR="007376A7">
        <w:t xml:space="preserve">også </w:t>
      </w:r>
      <w:r>
        <w:t>flere muligheder for at optage yderligere ejere. Endvidere vil en holdin</w:t>
      </w:r>
      <w:r>
        <w:t>g</w:t>
      </w:r>
      <w:r>
        <w:t>konstruktion være hensigtsmæssigt, da der kan udloddes skattefrie udbytter til ho</w:t>
      </w:r>
      <w:r>
        <w:t>l</w:t>
      </w:r>
      <w:r>
        <w:t>dingselskabet, hvorved driftsselskabet slankes og derved ikke vil være kapitalkrævende for en ny aktionær at indtræde i.</w:t>
      </w:r>
    </w:p>
    <w:p w:rsidR="004F5AA0" w:rsidRDefault="004F5AA0" w:rsidP="004F5AA0">
      <w:r>
        <w:t xml:space="preserve">I selskabsform er der flere muligheder for på en lempelig måde at få næste generation ind på en ”billig” måde via forskellige omstruktureringsmodeller, som vi har valgt at beskrive i vores afhandling; </w:t>
      </w:r>
    </w:p>
    <w:p w:rsidR="004F5AA0" w:rsidRDefault="004F5AA0" w:rsidP="004F5AA0">
      <w:r>
        <w:t>Stiftelse af holdingselskab, hvor der optages lån til at erhverve aktier i driftsselskabet. Lånet nedbringes med skattefrit udbytte over nogle år.</w:t>
      </w:r>
    </w:p>
    <w:p w:rsidR="004F5AA0" w:rsidRDefault="004F5AA0" w:rsidP="004F5AA0">
      <w:r>
        <w:t>Via spaltning ”deles” virksomheden i flere grene, så det bliver ”billigere” for næste generation at købe sig ind, da selskabet er blevet slanket.</w:t>
      </w:r>
    </w:p>
    <w:p w:rsidR="004F5AA0" w:rsidRDefault="004F5AA0" w:rsidP="004F5AA0">
      <w:r>
        <w:t>Ved at foretage aktieombytning og foretage stemme- og udbyttedifferentiering kan en ny aktionær blive medejer af virksomheden på en lempelig måde.</w:t>
      </w:r>
    </w:p>
    <w:p w:rsidR="004F5AA0" w:rsidRDefault="004F5AA0" w:rsidP="004F5AA0">
      <w:r>
        <w:t>Ved skattefri tilførsel af aktiver kan der ligeledes etableres holdingkonstruktion, hvo</w:t>
      </w:r>
      <w:r>
        <w:t>r</w:t>
      </w:r>
      <w:r>
        <w:t>ved de tilførte aktiver i et nyt selskab bevirker at driftsselskabet er slanket fra starten og derved lempeligt at købe sig ind i.</w:t>
      </w:r>
    </w:p>
    <w:p w:rsidR="004F5AA0" w:rsidRDefault="004F5AA0" w:rsidP="004F5AA0">
      <w:r>
        <w:t>Selskabsretligt er der flere muligheder for at kunne optage nye ejere eller generation</w:t>
      </w:r>
      <w:r>
        <w:t>s</w:t>
      </w:r>
      <w:r>
        <w:t xml:space="preserve">skifte med næste generation på lempeligere vilkår end som hvis der skal ske ejerskifte i det personlige regi </w:t>
      </w:r>
      <w:r w:rsidR="007376A7">
        <w:t xml:space="preserve">herunder </w:t>
      </w:r>
      <w:r>
        <w:t xml:space="preserve">interessentskabsformen </w:t>
      </w:r>
      <w:r w:rsidR="007376A7">
        <w:t>som er endnu mere</w:t>
      </w:r>
      <w:r>
        <w:t xml:space="preserve"> kompliceret at ændre ejerkredsen</w:t>
      </w:r>
      <w:r w:rsidR="007376A7">
        <w:t xml:space="preserve"> i</w:t>
      </w:r>
      <w:r>
        <w:t>.</w:t>
      </w:r>
    </w:p>
    <w:p w:rsidR="004F5AA0" w:rsidRDefault="004F5AA0" w:rsidP="004F5AA0"/>
    <w:p w:rsidR="00EB00B4" w:rsidRDefault="004F5AA0" w:rsidP="00D365F8">
      <w:r>
        <w:lastRenderedPageBreak/>
        <w:t>Selskabsretlige omstruktureringer kan for langt de fleste tilfælde</w:t>
      </w:r>
      <w:r w:rsidR="00327D5E">
        <w:t xml:space="preserve"> </w:t>
      </w:r>
      <w:r>
        <w:t xml:space="preserve">gennemføres uden tilladelse. Begrænsningerne ligger primært i begrænsning af udbyttereglerne, når disse er gennemført uden tilladelse. Dette taler igen for at der påbegyndes overvejelser om det kommende generationsskifte i </w:t>
      </w:r>
      <w:r w:rsidR="005A2694">
        <w:t>flere år før det skal være genne</w:t>
      </w:r>
      <w:r>
        <w:t>mført. Endvidere vil muligheden for at kunne sælge aktier/anparter skattefrit efter en 3 års ejertid, når di</w:t>
      </w:r>
      <w:r>
        <w:t>s</w:t>
      </w:r>
      <w:r>
        <w:t>se ejes af holdingselskab, tale for at omstruktureringen er sket tids nok til at kunne udnytte denne mulighed. Herved kan der opstå et pengetanksselskab, hvor der kan udloddes til ejeren personligt, når der er behov herfor. Ejeren har således sin egen pensionsopsparing, hvor der kan investeres i forskellige værdipapirer</w:t>
      </w:r>
      <w:r w:rsidR="00D97AC4">
        <w:t>.</w:t>
      </w:r>
    </w:p>
    <w:p w:rsidR="00E673B9" w:rsidRPr="005E2C30" w:rsidRDefault="00EB00B4" w:rsidP="00625ADA">
      <w:pPr>
        <w:pStyle w:val="Overskrift1"/>
        <w:rPr>
          <w:lang w:val="en-US"/>
        </w:rPr>
      </w:pPr>
      <w:r w:rsidRPr="0058109F">
        <w:rPr>
          <w:lang w:val="en-US"/>
        </w:rPr>
        <w:br w:type="page"/>
      </w:r>
      <w:bookmarkStart w:id="179" w:name="_Toc221546252"/>
      <w:r w:rsidR="00E673B9" w:rsidRPr="00D97AC4">
        <w:rPr>
          <w:lang w:val="en-US"/>
        </w:rPr>
        <w:lastRenderedPageBreak/>
        <w:t>6</w:t>
      </w:r>
      <w:r w:rsidR="009D23FF" w:rsidRPr="00D97AC4">
        <w:rPr>
          <w:lang w:val="en-US"/>
        </w:rPr>
        <w:t>.</w:t>
      </w:r>
      <w:r w:rsidR="00E673B9" w:rsidRPr="00D97AC4">
        <w:rPr>
          <w:lang w:val="en-US"/>
        </w:rPr>
        <w:t xml:space="preserve"> English Summary</w:t>
      </w:r>
      <w:r w:rsidR="005E2C30">
        <w:rPr>
          <w:lang w:val="en-US"/>
        </w:rPr>
        <w:t xml:space="preserve"> </w:t>
      </w:r>
      <w:r w:rsidR="005E2C30" w:rsidRPr="0041796C">
        <w:rPr>
          <w:rFonts w:asciiTheme="minorHAnsi" w:hAnsiTheme="minorHAnsi"/>
          <w:b w:val="0"/>
          <w:sz w:val="22"/>
          <w:szCs w:val="22"/>
          <w:lang w:val="en-US"/>
        </w:rPr>
        <w:t>(Pernille)</w:t>
      </w:r>
      <w:bookmarkEnd w:id="179"/>
    </w:p>
    <w:p w:rsidR="00D97AC4" w:rsidRDefault="00D97AC4" w:rsidP="00D97AC4">
      <w:pPr>
        <w:rPr>
          <w:lang w:val="en-US"/>
        </w:rPr>
      </w:pPr>
      <w:r>
        <w:rPr>
          <w:lang w:val="en-US"/>
        </w:rPr>
        <w:t>A large number of business owners face retirement in the near future.</w:t>
      </w:r>
    </w:p>
    <w:p w:rsidR="00D97AC4" w:rsidRDefault="00D97AC4" w:rsidP="00D97AC4">
      <w:pPr>
        <w:rPr>
          <w:lang w:val="en-US"/>
        </w:rPr>
      </w:pPr>
      <w:r>
        <w:rPr>
          <w:lang w:val="en-US"/>
        </w:rPr>
        <w:t>It is the challenges arising from generational changes and the many possible ways to overcome the obstacles that this extended essay deals with.</w:t>
      </w:r>
    </w:p>
    <w:p w:rsidR="00D97AC4" w:rsidRDefault="00D97AC4" w:rsidP="00D97AC4">
      <w:pPr>
        <w:rPr>
          <w:lang w:val="en-US"/>
        </w:rPr>
      </w:pPr>
      <w:r>
        <w:rPr>
          <w:lang w:val="en-US"/>
        </w:rPr>
        <w:t xml:space="preserve">There is an extended focus on businesses that have more than one owner and where activity lies in a partnership. </w:t>
      </w:r>
    </w:p>
    <w:p w:rsidR="00D97AC4" w:rsidRDefault="00D97AC4" w:rsidP="00D97AC4">
      <w:pPr>
        <w:rPr>
          <w:lang w:val="en-US"/>
        </w:rPr>
      </w:pPr>
      <w:r>
        <w:rPr>
          <w:lang w:val="en-US"/>
        </w:rPr>
        <w:t>In a generational change there are many considerations that have to be taken into a</w:t>
      </w:r>
      <w:r>
        <w:rPr>
          <w:lang w:val="en-US"/>
        </w:rPr>
        <w:t>c</w:t>
      </w:r>
      <w:r>
        <w:rPr>
          <w:lang w:val="en-US"/>
        </w:rPr>
        <w:t>count. Are the children capable of running a business? Are all the children interested in the business or do some of them have to be favored in another way? Is there an e</w:t>
      </w:r>
      <w:r>
        <w:rPr>
          <w:lang w:val="en-US"/>
        </w:rPr>
        <w:t>m</w:t>
      </w:r>
      <w:r>
        <w:rPr>
          <w:lang w:val="en-US"/>
        </w:rPr>
        <w:t>ployee who would like to take over? How much does the owner need financially out of the transaction to have a comfortable retirement? Is only one or all of the owners ready to retire? In this extended essay main focus is on the tax consequences.</w:t>
      </w:r>
    </w:p>
    <w:p w:rsidR="00D97AC4" w:rsidRDefault="00D97AC4" w:rsidP="00D97AC4">
      <w:pPr>
        <w:rPr>
          <w:lang w:val="en-US"/>
        </w:rPr>
      </w:pPr>
    </w:p>
    <w:p w:rsidR="00D97AC4" w:rsidRDefault="00D97AC4" w:rsidP="00D97AC4">
      <w:pPr>
        <w:rPr>
          <w:lang w:val="en-US"/>
        </w:rPr>
      </w:pPr>
      <w:r>
        <w:rPr>
          <w:lang w:val="en-US"/>
        </w:rPr>
        <w:t>A partnership can be handed on to the next generation in a taxed transaction. This is a large strain on the business, which ultimately will be financing the purchase price. If the transfer is planned early, it is possible for the next generation to save up in some advantageous tax schemes. The advantage in a taxed transaction is that the new ow</w:t>
      </w:r>
      <w:r>
        <w:rPr>
          <w:lang w:val="en-US"/>
        </w:rPr>
        <w:t>n</w:t>
      </w:r>
      <w:r>
        <w:rPr>
          <w:lang w:val="en-US"/>
        </w:rPr>
        <w:t xml:space="preserve">er will have a higher depreciation account and no latent tax. </w:t>
      </w:r>
    </w:p>
    <w:p w:rsidR="00D97AC4" w:rsidRDefault="00D97AC4" w:rsidP="00D97AC4">
      <w:pPr>
        <w:rPr>
          <w:lang w:val="en-US"/>
        </w:rPr>
      </w:pPr>
      <w:r>
        <w:rPr>
          <w:lang w:val="en-US"/>
        </w:rPr>
        <w:t>An alternative is a transfer with succession, where there is no taxation on the profit, and the new owner enters the former owner’s fiscal position instead. The value of the business or a part of it can be given as a gift to the next generation who only has to pay a smaller rate on the value if they are children or grandchildren of the owner. The va</w:t>
      </w:r>
      <w:r>
        <w:rPr>
          <w:lang w:val="en-US"/>
        </w:rPr>
        <w:t>l</w:t>
      </w:r>
      <w:r>
        <w:rPr>
          <w:lang w:val="en-US"/>
        </w:rPr>
        <w:t xml:space="preserve">ue of the gift is also reduced with a liability post, which compensates for the latent tax burden that transfers. Thereby, the new owner gets a cheaper start. If there also is a partial cash payment involved, the retiring owner will have to pay tax on it. </w:t>
      </w:r>
    </w:p>
    <w:p w:rsidR="00D97AC4" w:rsidRDefault="00D97AC4" w:rsidP="00D97AC4">
      <w:pPr>
        <w:rPr>
          <w:lang w:val="en-US"/>
        </w:rPr>
      </w:pPr>
      <w:r>
        <w:rPr>
          <w:lang w:val="en-US"/>
        </w:rPr>
        <w:t>An employee can also enter by succession, but does not have the advantages of recei</w:t>
      </w:r>
      <w:r>
        <w:rPr>
          <w:lang w:val="en-US"/>
        </w:rPr>
        <w:t>v</w:t>
      </w:r>
      <w:r>
        <w:rPr>
          <w:lang w:val="en-US"/>
        </w:rPr>
        <w:t xml:space="preserve">ing the business as a gift. Here the owner will receive a cash payment, though still a smaller payment to compensate for the transfer of the latent tax burden. To transfer </w:t>
      </w:r>
      <w:r>
        <w:rPr>
          <w:lang w:val="en-US"/>
        </w:rPr>
        <w:lastRenderedPageBreak/>
        <w:t>with succession as an employee, there are demands to the length and intensity of the engagement.</w:t>
      </w:r>
    </w:p>
    <w:p w:rsidR="00D97AC4" w:rsidRDefault="00D97AC4" w:rsidP="00D97AC4">
      <w:pPr>
        <w:rPr>
          <w:lang w:val="en-US"/>
        </w:rPr>
      </w:pPr>
      <w:r>
        <w:rPr>
          <w:lang w:val="en-US"/>
        </w:rPr>
        <w:t>When the retired owner receives a cash payment, he can reduce his personal tax by paying to a pension scheme.</w:t>
      </w:r>
    </w:p>
    <w:p w:rsidR="00D97AC4" w:rsidRDefault="00D97AC4" w:rsidP="00D97AC4">
      <w:pPr>
        <w:rPr>
          <w:lang w:val="en-US"/>
        </w:rPr>
      </w:pPr>
      <w:r>
        <w:rPr>
          <w:lang w:val="en-US"/>
        </w:rPr>
        <w:t>It is often easier to hand over the business if the activity is in a company. If the activity is in a partnership, it is more complex to have successive transaction, because, with each transaction, there has to be a calculation of the fiscally transferred part.</w:t>
      </w:r>
    </w:p>
    <w:p w:rsidR="00D97AC4" w:rsidRDefault="00D97AC4" w:rsidP="00D97AC4">
      <w:pPr>
        <w:rPr>
          <w:lang w:val="en-US"/>
        </w:rPr>
      </w:pPr>
    </w:p>
    <w:p w:rsidR="00D97AC4" w:rsidRDefault="00D97AC4" w:rsidP="00D97AC4">
      <w:pPr>
        <w:rPr>
          <w:lang w:val="en-US"/>
        </w:rPr>
      </w:pPr>
      <w:r>
        <w:rPr>
          <w:lang w:val="en-US"/>
        </w:rPr>
        <w:t>There are also more possibilities to control the pressure of the personal taxation when the activity is in a company and, furthermore, there are more opportunities for exte</w:t>
      </w:r>
      <w:r>
        <w:rPr>
          <w:lang w:val="en-US"/>
        </w:rPr>
        <w:t>r</w:t>
      </w:r>
      <w:r>
        <w:rPr>
          <w:lang w:val="en-US"/>
        </w:rPr>
        <w:t xml:space="preserve">nal financing in a company. </w:t>
      </w:r>
    </w:p>
    <w:p w:rsidR="00D97AC4" w:rsidRDefault="00D97AC4" w:rsidP="00D97AC4">
      <w:pPr>
        <w:rPr>
          <w:lang w:val="en-US"/>
        </w:rPr>
      </w:pPr>
      <w:r>
        <w:rPr>
          <w:lang w:val="en-US"/>
        </w:rPr>
        <w:t>A partnership can become a company in a taxed transaction or it can transfer with su</w:t>
      </w:r>
      <w:r>
        <w:rPr>
          <w:lang w:val="en-US"/>
        </w:rPr>
        <w:t>c</w:t>
      </w:r>
      <w:r>
        <w:rPr>
          <w:lang w:val="en-US"/>
        </w:rPr>
        <w:t xml:space="preserve">cession. In most cases the succession transfer is more suitable to avoid the realization tax the business would have to pay. The disadvantage is that the company enters the business’s fiscal situation and thereby a large latent tax obligation. For a partnership there are extended demands when succession transfer is carried out. The partners have to equalize the differences among them in their current account in the business and the latent tax burden. </w:t>
      </w:r>
    </w:p>
    <w:p w:rsidR="00D97AC4" w:rsidRDefault="00D97AC4" w:rsidP="00D97AC4">
      <w:pPr>
        <w:rPr>
          <w:lang w:val="en-US"/>
        </w:rPr>
      </w:pPr>
    </w:p>
    <w:p w:rsidR="00D97AC4" w:rsidRDefault="00D97AC4" w:rsidP="00D97AC4">
      <w:pPr>
        <w:rPr>
          <w:lang w:val="en-US"/>
        </w:rPr>
      </w:pPr>
      <w:r>
        <w:rPr>
          <w:lang w:val="en-US"/>
        </w:rPr>
        <w:t>When the activity is in a company, there are corresponding provisions for succession as mentioned above for partnerships. The succession is in the shares held by the comp</w:t>
      </w:r>
      <w:r>
        <w:rPr>
          <w:lang w:val="en-US"/>
        </w:rPr>
        <w:t>a</w:t>
      </w:r>
      <w:r>
        <w:rPr>
          <w:lang w:val="en-US"/>
        </w:rPr>
        <w:t>ny owner and each transfer, as a minimum, only has to be 1 % of the shares. A succe</w:t>
      </w:r>
      <w:r>
        <w:rPr>
          <w:lang w:val="en-US"/>
        </w:rPr>
        <w:t>s</w:t>
      </w:r>
      <w:r>
        <w:rPr>
          <w:lang w:val="en-US"/>
        </w:rPr>
        <w:t>sive transaction is advantageous to use the rate free amount for gifts one can give to one’s children each year. A successive transaction is also easier to finance for the next generation if the shares are not given as a gift. The value of the shares is calculated in a favorable way without intangible assets, when it is children or grandchildren, who are receiving them. If the shares are given as a gift, the value of the gift has to be treated the same way as described above. It is also possible for an employee to receive the shares with succession.</w:t>
      </w:r>
    </w:p>
    <w:p w:rsidR="00D97AC4" w:rsidRDefault="00D97AC4" w:rsidP="00D97AC4">
      <w:pPr>
        <w:rPr>
          <w:lang w:val="en-US"/>
        </w:rPr>
      </w:pPr>
      <w:r>
        <w:rPr>
          <w:lang w:val="en-US"/>
        </w:rPr>
        <w:lastRenderedPageBreak/>
        <w:t>Instead of succession the company can be turned over to the next generation through restructuring. There are different reconstruction models which can be done without tax and without permission from the tax authorities. For example a tax free share i</w:t>
      </w:r>
      <w:r>
        <w:rPr>
          <w:lang w:val="en-US"/>
        </w:rPr>
        <w:t>n</w:t>
      </w:r>
      <w:r>
        <w:rPr>
          <w:lang w:val="en-US"/>
        </w:rPr>
        <w:t>terchange will give a holding construction, and when the holding company has owned the shares in the company for 3 years, it can be sold tax free. Thereby, the retired owner has a holding company where he can draw the money continuously, when it is needed or when it is fiscally favorable. If there is a holding construction, dividend is tax free for the holding company. In that way, the company can be slimmed down and will be cheaper to buy. Fission is another tool, which can give more than one retired owner his own holding company, or it can be used to split up the activities in the company, thereby slimming down the different activities and making the company cheaper to buy.</w:t>
      </w:r>
    </w:p>
    <w:p w:rsidR="007A35E5" w:rsidRDefault="007A35E5" w:rsidP="00625ADA">
      <w:pPr>
        <w:pStyle w:val="Overskrift1"/>
      </w:pPr>
      <w:r w:rsidRPr="00D97AC4">
        <w:rPr>
          <w:lang w:val="en-US"/>
        </w:rPr>
        <w:br w:type="page"/>
      </w:r>
      <w:bookmarkStart w:id="180" w:name="_Toc221546253"/>
      <w:r w:rsidR="00E673B9">
        <w:lastRenderedPageBreak/>
        <w:t>7</w:t>
      </w:r>
      <w:r w:rsidR="009D23FF">
        <w:t>.</w:t>
      </w:r>
      <w:r w:rsidR="00D365F8">
        <w:t xml:space="preserve"> </w:t>
      </w:r>
      <w:r w:rsidRPr="0069601B">
        <w:t>Litteraturliste</w:t>
      </w:r>
      <w:bookmarkEnd w:id="180"/>
    </w:p>
    <w:p w:rsidR="007A35E5" w:rsidRPr="003063CD" w:rsidRDefault="00E673B9" w:rsidP="00337429">
      <w:pPr>
        <w:pStyle w:val="Overskrift2"/>
      </w:pPr>
      <w:bookmarkStart w:id="181" w:name="_Toc221546254"/>
      <w:r>
        <w:t>7</w:t>
      </w:r>
      <w:r w:rsidR="00337429">
        <w:t xml:space="preserve">.1. </w:t>
      </w:r>
      <w:r w:rsidR="007A35E5" w:rsidRPr="003063CD">
        <w:t>Faglitteratur</w:t>
      </w:r>
      <w:bookmarkEnd w:id="181"/>
    </w:p>
    <w:tbl>
      <w:tblPr>
        <w:tblW w:w="0" w:type="auto"/>
        <w:tblLook w:val="01E0"/>
      </w:tblPr>
      <w:tblGrid>
        <w:gridCol w:w="2686"/>
        <w:gridCol w:w="3083"/>
        <w:gridCol w:w="2951"/>
      </w:tblGrid>
      <w:tr w:rsidR="007A35E5" w:rsidRPr="00B720E6" w:rsidTr="00B720E6">
        <w:tc>
          <w:tcPr>
            <w:tcW w:w="3259" w:type="dxa"/>
            <w:tcBorders>
              <w:bottom w:val="single" w:sz="4" w:space="0" w:color="auto"/>
            </w:tcBorders>
          </w:tcPr>
          <w:p w:rsidR="007A35E5" w:rsidRPr="00B720E6" w:rsidRDefault="007A35E5" w:rsidP="00AF4FDF">
            <w:pPr>
              <w:rPr>
                <w:szCs w:val="20"/>
                <w:lang w:eastAsia="da-DK"/>
              </w:rPr>
            </w:pPr>
            <w:r w:rsidRPr="00B720E6">
              <w:rPr>
                <w:szCs w:val="20"/>
                <w:lang w:eastAsia="da-DK"/>
              </w:rPr>
              <w:t>Forfatter</w:t>
            </w:r>
          </w:p>
        </w:tc>
        <w:tc>
          <w:tcPr>
            <w:tcW w:w="3259" w:type="dxa"/>
            <w:tcBorders>
              <w:bottom w:val="single" w:sz="4" w:space="0" w:color="auto"/>
            </w:tcBorders>
          </w:tcPr>
          <w:p w:rsidR="007A35E5" w:rsidRPr="00B720E6" w:rsidRDefault="007A35E5" w:rsidP="00AF4FDF">
            <w:pPr>
              <w:rPr>
                <w:szCs w:val="20"/>
                <w:lang w:eastAsia="da-DK"/>
              </w:rPr>
            </w:pPr>
            <w:r w:rsidRPr="00B720E6">
              <w:rPr>
                <w:szCs w:val="20"/>
                <w:lang w:eastAsia="da-DK"/>
              </w:rPr>
              <w:t>Titel</w:t>
            </w:r>
          </w:p>
        </w:tc>
        <w:tc>
          <w:tcPr>
            <w:tcW w:w="3260" w:type="dxa"/>
            <w:tcBorders>
              <w:bottom w:val="single" w:sz="4" w:space="0" w:color="auto"/>
            </w:tcBorders>
          </w:tcPr>
          <w:p w:rsidR="007A35E5" w:rsidRPr="00B720E6" w:rsidRDefault="007A35E5" w:rsidP="00AF4FDF">
            <w:pPr>
              <w:rPr>
                <w:szCs w:val="20"/>
                <w:lang w:eastAsia="da-DK"/>
              </w:rPr>
            </w:pPr>
            <w:r w:rsidRPr="00B720E6">
              <w:rPr>
                <w:szCs w:val="20"/>
                <w:lang w:eastAsia="da-DK"/>
              </w:rPr>
              <w:t>Forlag og udgave</w:t>
            </w:r>
          </w:p>
        </w:tc>
      </w:tr>
      <w:tr w:rsidR="007A35E5" w:rsidRPr="00B720E6" w:rsidTr="00B720E6">
        <w:tc>
          <w:tcPr>
            <w:tcW w:w="3259"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Søren Halling-Overgaard &amp; Birgitte Sølvkær Ol</w:t>
            </w:r>
            <w:r w:rsidRPr="00B720E6">
              <w:rPr>
                <w:szCs w:val="20"/>
                <w:lang w:eastAsia="da-DK"/>
              </w:rPr>
              <w:t>e</w:t>
            </w:r>
            <w:r w:rsidRPr="00B720E6">
              <w:rPr>
                <w:szCs w:val="20"/>
                <w:lang w:eastAsia="da-DK"/>
              </w:rPr>
              <w:t>sen</w:t>
            </w:r>
          </w:p>
        </w:tc>
        <w:tc>
          <w:tcPr>
            <w:tcW w:w="3259" w:type="dxa"/>
            <w:tcBorders>
              <w:top w:val="single" w:sz="4" w:space="0" w:color="auto"/>
              <w:bottom w:val="single" w:sz="4" w:space="0" w:color="auto"/>
            </w:tcBorders>
          </w:tcPr>
          <w:p w:rsidR="007A35E5" w:rsidRPr="00B720E6" w:rsidRDefault="007A35E5" w:rsidP="00676CC7">
            <w:pPr>
              <w:jc w:val="left"/>
              <w:rPr>
                <w:szCs w:val="20"/>
                <w:lang w:eastAsia="da-DK"/>
              </w:rPr>
            </w:pPr>
            <w:r w:rsidRPr="00B720E6">
              <w:rPr>
                <w:szCs w:val="20"/>
                <w:lang w:eastAsia="da-DK"/>
              </w:rPr>
              <w:t>Generationsskifte, det ska</w:t>
            </w:r>
            <w:r w:rsidRPr="00B720E6">
              <w:rPr>
                <w:szCs w:val="20"/>
                <w:lang w:eastAsia="da-DK"/>
              </w:rPr>
              <w:t>t</w:t>
            </w:r>
            <w:r w:rsidRPr="00B720E6">
              <w:rPr>
                <w:szCs w:val="20"/>
                <w:lang w:eastAsia="da-DK"/>
              </w:rPr>
              <w:t>teretlige grundlag ved gen</w:t>
            </w:r>
            <w:r w:rsidRPr="00B720E6">
              <w:rPr>
                <w:szCs w:val="20"/>
                <w:lang w:eastAsia="da-DK"/>
              </w:rPr>
              <w:t>e</w:t>
            </w:r>
            <w:r w:rsidRPr="00B720E6">
              <w:rPr>
                <w:szCs w:val="20"/>
                <w:lang w:eastAsia="da-DK"/>
              </w:rPr>
              <w:t>rationsskifte og omstruktur</w:t>
            </w:r>
            <w:r w:rsidRPr="00B720E6">
              <w:rPr>
                <w:szCs w:val="20"/>
                <w:lang w:eastAsia="da-DK"/>
              </w:rPr>
              <w:t>e</w:t>
            </w:r>
            <w:r w:rsidRPr="00B720E6">
              <w:rPr>
                <w:szCs w:val="20"/>
                <w:lang w:eastAsia="da-DK"/>
              </w:rPr>
              <w:t>ring</w:t>
            </w:r>
          </w:p>
        </w:tc>
        <w:tc>
          <w:tcPr>
            <w:tcW w:w="3260"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Jurist- og Økonomforlaget</w:t>
            </w:r>
          </w:p>
          <w:p w:rsidR="007A35E5" w:rsidRPr="00B720E6" w:rsidRDefault="007A35E5" w:rsidP="00483A8A">
            <w:pPr>
              <w:jc w:val="left"/>
              <w:rPr>
                <w:szCs w:val="20"/>
                <w:lang w:eastAsia="da-DK"/>
              </w:rPr>
            </w:pPr>
            <w:r w:rsidRPr="00B720E6">
              <w:rPr>
                <w:szCs w:val="20"/>
                <w:lang w:eastAsia="da-DK"/>
              </w:rPr>
              <w:t>1. udgave 2002</w:t>
            </w:r>
          </w:p>
        </w:tc>
      </w:tr>
      <w:tr w:rsidR="007A35E5" w:rsidRPr="00B720E6" w:rsidTr="00B720E6">
        <w:tc>
          <w:tcPr>
            <w:tcW w:w="3259"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Liselotte Hedentoft Madsen</w:t>
            </w:r>
          </w:p>
        </w:tc>
        <w:tc>
          <w:tcPr>
            <w:tcW w:w="3259" w:type="dxa"/>
            <w:tcBorders>
              <w:top w:val="single" w:sz="4" w:space="0" w:color="auto"/>
              <w:bottom w:val="single" w:sz="4" w:space="0" w:color="auto"/>
            </w:tcBorders>
          </w:tcPr>
          <w:p w:rsidR="007A35E5" w:rsidRPr="00B720E6" w:rsidRDefault="007A35E5" w:rsidP="00676CC7">
            <w:pPr>
              <w:jc w:val="left"/>
              <w:rPr>
                <w:szCs w:val="20"/>
                <w:lang w:eastAsia="da-DK"/>
              </w:rPr>
            </w:pPr>
            <w:r w:rsidRPr="00B720E6">
              <w:rPr>
                <w:szCs w:val="20"/>
                <w:lang w:eastAsia="da-DK"/>
              </w:rPr>
              <w:t>Beskatning ved deltagelse i personselskaber</w:t>
            </w:r>
          </w:p>
        </w:tc>
        <w:tc>
          <w:tcPr>
            <w:tcW w:w="3260"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Jurist- og Økonomforlaget</w:t>
            </w:r>
          </w:p>
          <w:p w:rsidR="007A35E5" w:rsidRPr="00B720E6" w:rsidRDefault="007A35E5" w:rsidP="00483A8A">
            <w:pPr>
              <w:jc w:val="left"/>
              <w:rPr>
                <w:szCs w:val="20"/>
                <w:lang w:eastAsia="da-DK"/>
              </w:rPr>
            </w:pPr>
            <w:r w:rsidRPr="00B720E6">
              <w:rPr>
                <w:szCs w:val="20"/>
                <w:lang w:eastAsia="da-DK"/>
              </w:rPr>
              <w:t>1. udgave 2003</w:t>
            </w:r>
          </w:p>
        </w:tc>
      </w:tr>
      <w:tr w:rsidR="007A35E5" w:rsidRPr="00B720E6" w:rsidTr="00B720E6">
        <w:tc>
          <w:tcPr>
            <w:tcW w:w="3259"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Jan Nygaard</w:t>
            </w:r>
          </w:p>
          <w:p w:rsidR="007A35E5" w:rsidRPr="00B720E6" w:rsidRDefault="007A35E5" w:rsidP="00483A8A">
            <w:pPr>
              <w:jc w:val="left"/>
              <w:rPr>
                <w:szCs w:val="20"/>
                <w:lang w:eastAsia="da-DK"/>
              </w:rPr>
            </w:pPr>
            <w:r w:rsidRPr="00B720E6">
              <w:rPr>
                <w:szCs w:val="20"/>
                <w:lang w:eastAsia="da-DK"/>
              </w:rPr>
              <w:t>Lars Wøldike</w:t>
            </w:r>
          </w:p>
        </w:tc>
        <w:tc>
          <w:tcPr>
            <w:tcW w:w="3259" w:type="dxa"/>
            <w:tcBorders>
              <w:top w:val="single" w:sz="4" w:space="0" w:color="auto"/>
              <w:bottom w:val="single" w:sz="4" w:space="0" w:color="auto"/>
            </w:tcBorders>
          </w:tcPr>
          <w:p w:rsidR="007A35E5" w:rsidRPr="00B720E6" w:rsidRDefault="007A35E5" w:rsidP="00676CC7">
            <w:pPr>
              <w:jc w:val="left"/>
              <w:rPr>
                <w:szCs w:val="20"/>
                <w:lang w:eastAsia="da-DK"/>
              </w:rPr>
            </w:pPr>
            <w:r w:rsidRPr="00B720E6">
              <w:rPr>
                <w:szCs w:val="20"/>
                <w:lang w:eastAsia="da-DK"/>
              </w:rPr>
              <w:t>Skattefri virksomhedso</w:t>
            </w:r>
            <w:r w:rsidRPr="00B720E6">
              <w:rPr>
                <w:szCs w:val="20"/>
                <w:lang w:eastAsia="da-DK"/>
              </w:rPr>
              <w:t>m</w:t>
            </w:r>
            <w:r w:rsidRPr="00B720E6">
              <w:rPr>
                <w:szCs w:val="20"/>
                <w:lang w:eastAsia="da-DK"/>
              </w:rPr>
              <w:t>dannelse</w:t>
            </w:r>
          </w:p>
        </w:tc>
        <w:tc>
          <w:tcPr>
            <w:tcW w:w="3260"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 xml:space="preserve">Forlaget </w:t>
            </w:r>
            <w:r w:rsidR="007B6A8F" w:rsidRPr="00B720E6">
              <w:rPr>
                <w:szCs w:val="20"/>
                <w:lang w:eastAsia="da-DK"/>
              </w:rPr>
              <w:t>Thompson</w:t>
            </w:r>
            <w:r w:rsidRPr="00B720E6">
              <w:rPr>
                <w:szCs w:val="20"/>
                <w:lang w:eastAsia="da-DK"/>
              </w:rPr>
              <w:t xml:space="preserve"> </w:t>
            </w:r>
            <w:r>
              <w:rPr>
                <w:szCs w:val="20"/>
                <w:lang w:eastAsia="da-DK"/>
              </w:rPr>
              <w:t>A/S</w:t>
            </w:r>
          </w:p>
          <w:p w:rsidR="007A35E5" w:rsidRPr="00B720E6" w:rsidRDefault="007A35E5" w:rsidP="00483A8A">
            <w:pPr>
              <w:jc w:val="left"/>
              <w:rPr>
                <w:szCs w:val="20"/>
                <w:lang w:eastAsia="da-DK"/>
              </w:rPr>
            </w:pPr>
            <w:r w:rsidRPr="00B720E6">
              <w:rPr>
                <w:szCs w:val="20"/>
                <w:lang w:eastAsia="da-DK"/>
              </w:rPr>
              <w:t>2. udgave 2003</w:t>
            </w:r>
          </w:p>
        </w:tc>
      </w:tr>
      <w:tr w:rsidR="007A35E5" w:rsidRPr="00B720E6" w:rsidTr="00B720E6">
        <w:tc>
          <w:tcPr>
            <w:tcW w:w="3259"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Michael Serup</w:t>
            </w:r>
          </w:p>
        </w:tc>
        <w:tc>
          <w:tcPr>
            <w:tcW w:w="3259"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Generationsskifte</w:t>
            </w:r>
          </w:p>
          <w:p w:rsidR="007A35E5" w:rsidRPr="00B720E6" w:rsidRDefault="007A35E5" w:rsidP="00676CC7">
            <w:pPr>
              <w:jc w:val="left"/>
              <w:rPr>
                <w:szCs w:val="20"/>
                <w:lang w:eastAsia="da-DK"/>
              </w:rPr>
            </w:pPr>
            <w:r w:rsidRPr="00B720E6">
              <w:rPr>
                <w:szCs w:val="20"/>
                <w:lang w:eastAsia="da-DK"/>
              </w:rPr>
              <w:t>Omstrukturering</w:t>
            </w:r>
          </w:p>
        </w:tc>
        <w:tc>
          <w:tcPr>
            <w:tcW w:w="3260"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 xml:space="preserve">Forlaget </w:t>
            </w:r>
            <w:r w:rsidR="007B6A8F" w:rsidRPr="00B720E6">
              <w:rPr>
                <w:szCs w:val="20"/>
                <w:lang w:eastAsia="da-DK"/>
              </w:rPr>
              <w:t>Thompson</w:t>
            </w:r>
            <w:r>
              <w:rPr>
                <w:szCs w:val="20"/>
                <w:lang w:eastAsia="da-DK"/>
              </w:rPr>
              <w:t xml:space="preserve"> A/S</w:t>
            </w:r>
          </w:p>
          <w:p w:rsidR="007A35E5" w:rsidRPr="00B720E6" w:rsidRDefault="007A35E5" w:rsidP="00483A8A">
            <w:pPr>
              <w:jc w:val="left"/>
              <w:rPr>
                <w:szCs w:val="20"/>
                <w:lang w:eastAsia="da-DK"/>
              </w:rPr>
            </w:pPr>
            <w:r w:rsidRPr="00B720E6">
              <w:rPr>
                <w:szCs w:val="20"/>
                <w:lang w:eastAsia="da-DK"/>
              </w:rPr>
              <w:t>2. udgave 2004</w:t>
            </w:r>
          </w:p>
        </w:tc>
      </w:tr>
      <w:tr w:rsidR="007A35E5" w:rsidRPr="00B720E6" w:rsidTr="00B720E6">
        <w:tc>
          <w:tcPr>
            <w:tcW w:w="3259"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Aage Michelsen, Steen Askholt, Jane Bolander, John Engsig</w:t>
            </w:r>
          </w:p>
        </w:tc>
        <w:tc>
          <w:tcPr>
            <w:tcW w:w="3259" w:type="dxa"/>
            <w:tcBorders>
              <w:top w:val="single" w:sz="4" w:space="0" w:color="auto"/>
              <w:bottom w:val="single" w:sz="4" w:space="0" w:color="auto"/>
            </w:tcBorders>
          </w:tcPr>
          <w:p w:rsidR="007A35E5" w:rsidRPr="00B720E6" w:rsidRDefault="007A35E5" w:rsidP="00483A8A">
            <w:pPr>
              <w:jc w:val="left"/>
              <w:rPr>
                <w:szCs w:val="20"/>
                <w:lang w:eastAsia="da-DK"/>
              </w:rPr>
            </w:pPr>
            <w:r w:rsidRPr="00B720E6">
              <w:rPr>
                <w:szCs w:val="20"/>
                <w:lang w:eastAsia="da-DK"/>
              </w:rPr>
              <w:t>Lærebog om Indkomstskat</w:t>
            </w:r>
          </w:p>
        </w:tc>
        <w:tc>
          <w:tcPr>
            <w:tcW w:w="3260" w:type="dxa"/>
            <w:tcBorders>
              <w:top w:val="single" w:sz="4" w:space="0" w:color="auto"/>
              <w:bottom w:val="single" w:sz="4" w:space="0" w:color="auto"/>
            </w:tcBorders>
          </w:tcPr>
          <w:p w:rsidR="007A35E5" w:rsidRPr="00B720E6" w:rsidRDefault="007A35E5" w:rsidP="00676CC7">
            <w:pPr>
              <w:jc w:val="left"/>
              <w:rPr>
                <w:szCs w:val="20"/>
                <w:lang w:eastAsia="da-DK"/>
              </w:rPr>
            </w:pPr>
            <w:r w:rsidRPr="00B720E6">
              <w:rPr>
                <w:szCs w:val="20"/>
                <w:lang w:eastAsia="da-DK"/>
              </w:rPr>
              <w:t>Jurist- og Økonomiforbu</w:t>
            </w:r>
            <w:r w:rsidRPr="00B720E6">
              <w:rPr>
                <w:szCs w:val="20"/>
                <w:lang w:eastAsia="da-DK"/>
              </w:rPr>
              <w:t>n</w:t>
            </w:r>
            <w:r w:rsidRPr="00B720E6">
              <w:rPr>
                <w:szCs w:val="20"/>
                <w:lang w:eastAsia="da-DK"/>
              </w:rPr>
              <w:t>dets Forlag.</w:t>
            </w:r>
            <w:r w:rsidRPr="00B720E6">
              <w:rPr>
                <w:szCs w:val="20"/>
                <w:lang w:eastAsia="da-DK"/>
              </w:rPr>
              <w:br/>
              <w:t>12. udgave</w:t>
            </w:r>
          </w:p>
        </w:tc>
      </w:tr>
      <w:tr w:rsidR="007A35E5" w:rsidRPr="00B720E6" w:rsidTr="009B12EE">
        <w:tc>
          <w:tcPr>
            <w:tcW w:w="3259" w:type="dxa"/>
            <w:tcBorders>
              <w:top w:val="single" w:sz="4" w:space="0" w:color="auto"/>
              <w:bottom w:val="single" w:sz="4" w:space="0" w:color="auto"/>
            </w:tcBorders>
          </w:tcPr>
          <w:p w:rsidR="007A35E5" w:rsidRPr="00B720E6" w:rsidRDefault="007A35E5" w:rsidP="00483A8A">
            <w:pPr>
              <w:jc w:val="left"/>
              <w:rPr>
                <w:szCs w:val="20"/>
                <w:lang w:eastAsia="da-DK"/>
              </w:rPr>
            </w:pPr>
            <w:r>
              <w:rPr>
                <w:szCs w:val="20"/>
                <w:lang w:eastAsia="da-DK"/>
              </w:rPr>
              <w:t>Søren Friis Hansen, Jens Valdemar Krenchel</w:t>
            </w:r>
          </w:p>
        </w:tc>
        <w:tc>
          <w:tcPr>
            <w:tcW w:w="3259" w:type="dxa"/>
            <w:tcBorders>
              <w:top w:val="single" w:sz="4" w:space="0" w:color="auto"/>
              <w:bottom w:val="single" w:sz="4" w:space="0" w:color="auto"/>
            </w:tcBorders>
          </w:tcPr>
          <w:p w:rsidR="007A35E5" w:rsidRDefault="007A35E5" w:rsidP="00483A8A">
            <w:pPr>
              <w:jc w:val="left"/>
              <w:rPr>
                <w:szCs w:val="20"/>
                <w:lang w:eastAsia="da-DK"/>
              </w:rPr>
            </w:pPr>
            <w:r>
              <w:rPr>
                <w:szCs w:val="20"/>
                <w:lang w:eastAsia="da-DK"/>
              </w:rPr>
              <w:t>Dansk selskabsret 3</w:t>
            </w:r>
          </w:p>
          <w:p w:rsidR="007A35E5" w:rsidRPr="00B720E6" w:rsidRDefault="007A35E5" w:rsidP="00483A8A">
            <w:pPr>
              <w:jc w:val="left"/>
              <w:rPr>
                <w:szCs w:val="20"/>
                <w:lang w:eastAsia="da-DK"/>
              </w:rPr>
            </w:pPr>
            <w:r>
              <w:rPr>
                <w:szCs w:val="20"/>
                <w:lang w:eastAsia="da-DK"/>
              </w:rPr>
              <w:t>Interessentskaber</w:t>
            </w:r>
          </w:p>
        </w:tc>
        <w:tc>
          <w:tcPr>
            <w:tcW w:w="3260" w:type="dxa"/>
            <w:tcBorders>
              <w:top w:val="single" w:sz="4" w:space="0" w:color="auto"/>
              <w:bottom w:val="single" w:sz="4" w:space="0" w:color="auto"/>
            </w:tcBorders>
          </w:tcPr>
          <w:p w:rsidR="007A35E5" w:rsidRDefault="007A35E5" w:rsidP="00483A8A">
            <w:pPr>
              <w:jc w:val="left"/>
              <w:rPr>
                <w:szCs w:val="20"/>
                <w:lang w:eastAsia="da-DK"/>
              </w:rPr>
            </w:pPr>
            <w:r>
              <w:rPr>
                <w:szCs w:val="20"/>
                <w:lang w:eastAsia="da-DK"/>
              </w:rPr>
              <w:t xml:space="preserve">Forlaget </w:t>
            </w:r>
            <w:r w:rsidR="007B6A8F">
              <w:rPr>
                <w:szCs w:val="20"/>
                <w:lang w:eastAsia="da-DK"/>
              </w:rPr>
              <w:t>Thompson</w:t>
            </w:r>
            <w:r>
              <w:rPr>
                <w:szCs w:val="20"/>
                <w:lang w:eastAsia="da-DK"/>
              </w:rPr>
              <w:t xml:space="preserve"> A/S</w:t>
            </w:r>
          </w:p>
          <w:p w:rsidR="007A35E5" w:rsidRPr="00B720E6" w:rsidRDefault="007A35E5" w:rsidP="00676CC7">
            <w:pPr>
              <w:numPr>
                <w:ilvl w:val="0"/>
                <w:numId w:val="13"/>
              </w:numPr>
              <w:jc w:val="left"/>
              <w:rPr>
                <w:szCs w:val="20"/>
                <w:lang w:eastAsia="da-DK"/>
              </w:rPr>
            </w:pPr>
            <w:r>
              <w:rPr>
                <w:szCs w:val="20"/>
                <w:lang w:eastAsia="da-DK"/>
              </w:rPr>
              <w:t>udgave, 1. oplag</w:t>
            </w:r>
          </w:p>
        </w:tc>
      </w:tr>
      <w:tr w:rsidR="007A35E5" w:rsidRPr="00B720E6" w:rsidTr="009B12EE">
        <w:tc>
          <w:tcPr>
            <w:tcW w:w="3259" w:type="dxa"/>
            <w:tcBorders>
              <w:top w:val="single" w:sz="4" w:space="0" w:color="auto"/>
              <w:bottom w:val="single" w:sz="4" w:space="0" w:color="auto"/>
            </w:tcBorders>
          </w:tcPr>
          <w:p w:rsidR="007A35E5" w:rsidRDefault="007A35E5" w:rsidP="00483A8A">
            <w:pPr>
              <w:jc w:val="left"/>
              <w:rPr>
                <w:szCs w:val="20"/>
                <w:lang w:eastAsia="da-DK"/>
              </w:rPr>
            </w:pPr>
            <w:r>
              <w:rPr>
                <w:szCs w:val="20"/>
                <w:lang w:eastAsia="da-DK"/>
              </w:rPr>
              <w:t>Jane K. Bille</w:t>
            </w:r>
          </w:p>
        </w:tc>
        <w:tc>
          <w:tcPr>
            <w:tcW w:w="3259" w:type="dxa"/>
            <w:tcBorders>
              <w:top w:val="single" w:sz="4" w:space="0" w:color="auto"/>
              <w:bottom w:val="single" w:sz="4" w:space="0" w:color="auto"/>
            </w:tcBorders>
          </w:tcPr>
          <w:p w:rsidR="007A35E5" w:rsidRDefault="007A35E5" w:rsidP="00483A8A">
            <w:pPr>
              <w:jc w:val="left"/>
              <w:rPr>
                <w:szCs w:val="20"/>
                <w:lang w:eastAsia="da-DK"/>
              </w:rPr>
            </w:pPr>
            <w:r>
              <w:rPr>
                <w:szCs w:val="20"/>
                <w:lang w:eastAsia="da-DK"/>
              </w:rPr>
              <w:t>Skattemæssig succession –ved generationsskifte i l</w:t>
            </w:r>
            <w:r>
              <w:rPr>
                <w:szCs w:val="20"/>
                <w:lang w:eastAsia="da-DK"/>
              </w:rPr>
              <w:t>e</w:t>
            </w:r>
            <w:r>
              <w:rPr>
                <w:szCs w:val="20"/>
                <w:lang w:eastAsia="da-DK"/>
              </w:rPr>
              <w:t>vende live og ved død</w:t>
            </w:r>
          </w:p>
        </w:tc>
        <w:tc>
          <w:tcPr>
            <w:tcW w:w="3260" w:type="dxa"/>
            <w:tcBorders>
              <w:top w:val="single" w:sz="4" w:space="0" w:color="auto"/>
              <w:bottom w:val="single" w:sz="4" w:space="0" w:color="auto"/>
            </w:tcBorders>
          </w:tcPr>
          <w:p w:rsidR="007A35E5" w:rsidRDefault="007A35E5" w:rsidP="00483A8A">
            <w:pPr>
              <w:jc w:val="left"/>
              <w:rPr>
                <w:szCs w:val="20"/>
                <w:lang w:eastAsia="da-DK"/>
              </w:rPr>
            </w:pPr>
            <w:r>
              <w:rPr>
                <w:szCs w:val="20"/>
                <w:lang w:eastAsia="da-DK"/>
              </w:rPr>
              <w:t xml:space="preserve">Forlaget </w:t>
            </w:r>
            <w:r w:rsidR="007B6A8F">
              <w:rPr>
                <w:szCs w:val="20"/>
                <w:lang w:eastAsia="da-DK"/>
              </w:rPr>
              <w:t>Thompson</w:t>
            </w:r>
          </w:p>
          <w:p w:rsidR="007A35E5" w:rsidRDefault="007A35E5" w:rsidP="00483A8A">
            <w:pPr>
              <w:jc w:val="left"/>
              <w:rPr>
                <w:szCs w:val="20"/>
                <w:lang w:eastAsia="da-DK"/>
              </w:rPr>
            </w:pPr>
            <w:r>
              <w:rPr>
                <w:szCs w:val="20"/>
                <w:lang w:eastAsia="da-DK"/>
              </w:rPr>
              <w:t>1. udgave, 1. oplag</w:t>
            </w:r>
          </w:p>
        </w:tc>
      </w:tr>
      <w:tr w:rsidR="007A35E5" w:rsidRPr="00B720E6" w:rsidTr="00B720E6">
        <w:tc>
          <w:tcPr>
            <w:tcW w:w="3259" w:type="dxa"/>
            <w:tcBorders>
              <w:top w:val="single" w:sz="4" w:space="0" w:color="auto"/>
            </w:tcBorders>
          </w:tcPr>
          <w:p w:rsidR="007A35E5" w:rsidRDefault="007A35E5" w:rsidP="00483A8A">
            <w:pPr>
              <w:jc w:val="left"/>
              <w:rPr>
                <w:szCs w:val="20"/>
                <w:lang w:eastAsia="da-DK"/>
              </w:rPr>
            </w:pPr>
          </w:p>
        </w:tc>
        <w:tc>
          <w:tcPr>
            <w:tcW w:w="3259" w:type="dxa"/>
            <w:tcBorders>
              <w:top w:val="single" w:sz="4" w:space="0" w:color="auto"/>
            </w:tcBorders>
          </w:tcPr>
          <w:p w:rsidR="007A35E5" w:rsidRDefault="007A35E5" w:rsidP="00483A8A">
            <w:pPr>
              <w:jc w:val="left"/>
              <w:rPr>
                <w:szCs w:val="20"/>
                <w:lang w:eastAsia="da-DK"/>
              </w:rPr>
            </w:pPr>
          </w:p>
        </w:tc>
        <w:tc>
          <w:tcPr>
            <w:tcW w:w="3260" w:type="dxa"/>
            <w:tcBorders>
              <w:top w:val="single" w:sz="4" w:space="0" w:color="auto"/>
            </w:tcBorders>
          </w:tcPr>
          <w:p w:rsidR="007A35E5" w:rsidRDefault="007A35E5" w:rsidP="00483A8A">
            <w:pPr>
              <w:jc w:val="left"/>
              <w:rPr>
                <w:szCs w:val="20"/>
                <w:lang w:eastAsia="da-DK"/>
              </w:rPr>
            </w:pPr>
          </w:p>
        </w:tc>
      </w:tr>
    </w:tbl>
    <w:p w:rsidR="007A35E5" w:rsidRPr="003063CD" w:rsidRDefault="00676CC7" w:rsidP="00337429">
      <w:pPr>
        <w:pStyle w:val="Overskrift2"/>
      </w:pPr>
      <w:r>
        <w:br w:type="page"/>
      </w:r>
      <w:bookmarkStart w:id="182" w:name="_Toc221546255"/>
      <w:r w:rsidR="00E673B9">
        <w:lastRenderedPageBreak/>
        <w:t>7</w:t>
      </w:r>
      <w:r w:rsidR="00337429">
        <w:t xml:space="preserve">.2 </w:t>
      </w:r>
      <w:r w:rsidR="007A35E5" w:rsidRPr="003063CD">
        <w:t>Vejledninger</w:t>
      </w:r>
      <w:bookmarkEnd w:id="182"/>
    </w:p>
    <w:p w:rsidR="007A35E5" w:rsidRDefault="007A35E5" w:rsidP="00AF4FDF">
      <w:r>
        <w:t>Ligningsvejledning for Erhvervsdrivende 2008.</w:t>
      </w:r>
    </w:p>
    <w:p w:rsidR="007A35E5" w:rsidRDefault="007A35E5" w:rsidP="00AF4FDF">
      <w:r>
        <w:t>Ligningsvejledning, Almindelig del 2008</w:t>
      </w:r>
    </w:p>
    <w:p w:rsidR="007A35E5" w:rsidRDefault="007A35E5" w:rsidP="00AF4FDF">
      <w:r>
        <w:t>Ligningsvejledning for Selskaber og Aktionærer 2008</w:t>
      </w:r>
    </w:p>
    <w:p w:rsidR="007A35E5" w:rsidRDefault="007A35E5" w:rsidP="00AF4FDF"/>
    <w:p w:rsidR="007A35E5" w:rsidRDefault="00E673B9" w:rsidP="00337429">
      <w:pPr>
        <w:pStyle w:val="Overskrift2"/>
      </w:pPr>
      <w:bookmarkStart w:id="183" w:name="_Toc221546256"/>
      <w:r>
        <w:t>7</w:t>
      </w:r>
      <w:r w:rsidR="00337429">
        <w:t xml:space="preserve">.3 </w:t>
      </w:r>
      <w:r w:rsidR="007A35E5" w:rsidRPr="003063CD">
        <w:t>Artikler</w:t>
      </w:r>
      <w:bookmarkEnd w:id="183"/>
    </w:p>
    <w:p w:rsidR="007A35E5" w:rsidRDefault="007A35E5" w:rsidP="009742E3">
      <w:r>
        <w:t>Senior Tax Manager Karsten Gianelle, Deloitte: Pengetanksreglen ved aktieoverdrage</w:t>
      </w:r>
      <w:r>
        <w:t>l</w:t>
      </w:r>
      <w:r>
        <w:t>se med succession</w:t>
      </w:r>
    </w:p>
    <w:p w:rsidR="007A35E5" w:rsidRDefault="007A35E5" w:rsidP="00AF4FDF">
      <w:r>
        <w:t>Advokat Michael Serup, Partner i Advokatfirmaet Tommy V. Christiansen</w:t>
      </w:r>
      <w:r>
        <w:tab/>
        <w:t>Akti</w:t>
      </w:r>
      <w:r>
        <w:t>e</w:t>
      </w:r>
      <w:r>
        <w:t>overdragelse skattekursen (1), TfS 2005, 51.</w:t>
      </w:r>
    </w:p>
    <w:p w:rsidR="007A35E5" w:rsidRDefault="007A35E5" w:rsidP="009B12EE">
      <w:r>
        <w:t>”Generationsskifte fra en skattemæssig vinkel” af advokat, ph.d. Jane K. Bille, Tidsskrift for familie- og arveret 2007.</w:t>
      </w:r>
    </w:p>
    <w:p w:rsidR="007A35E5" w:rsidRDefault="007A35E5" w:rsidP="009B12EE">
      <w:r>
        <w:t xml:space="preserve">”Nye regler om skattefrie omstruktureringer og sambeskatning i forbindelse hermed” af Susanne Kjær, Tax partner KPMG, Revisions og Regnskabsvæsen 2007, </w:t>
      </w:r>
      <w:r w:rsidR="007B6A8F">
        <w:t>nr.</w:t>
      </w:r>
      <w:r>
        <w:t xml:space="preserve"> 06.</w:t>
      </w:r>
    </w:p>
    <w:p w:rsidR="007A35E5" w:rsidRDefault="007A35E5" w:rsidP="009B12EE">
      <w:r>
        <w:t>”Glidende generationsskifte ved vedtægtsændringer” af advokat, ph.d. Bent Ramskov, Tidsskrift for Skatter og Afgifter 2003.943.</w:t>
      </w:r>
    </w:p>
    <w:p w:rsidR="007A35E5" w:rsidRDefault="007A35E5" w:rsidP="009B12EE">
      <w:r>
        <w:t>”Skattefri omstrukturering af selskaber uden tilladelse – praksis” af Kim Wind Ande</w:t>
      </w:r>
      <w:r>
        <w:t>r</w:t>
      </w:r>
      <w:r>
        <w:t>sen, Deloitte. Skattepolitisk Oversigt 2008.221.</w:t>
      </w:r>
    </w:p>
    <w:p w:rsidR="007A35E5" w:rsidRDefault="007A35E5" w:rsidP="009B12EE">
      <w:r>
        <w:t>”Udvalgte afgørelser fra domstolene, Landsskatteretten, Skatteministeriet og Told- og Skattestyrelsen” af Ole Bjørn, SR-Skat 2003.174.</w:t>
      </w:r>
    </w:p>
    <w:p w:rsidR="007A35E5" w:rsidRDefault="007A35E5" w:rsidP="009B12EE">
      <w:r>
        <w:t>”Værdiansættelse af unoterede aktier ved overdragelse indenfor gaveafgiftskredsen” af Per Randrup Mikkelsen og Peter Koerver Schmidt. Revisions og Regnskabsvæsen 2008.11.</w:t>
      </w:r>
    </w:p>
    <w:p w:rsidR="007A35E5" w:rsidRPr="003063CD" w:rsidRDefault="0041796C" w:rsidP="0041796C">
      <w:pPr>
        <w:pStyle w:val="Overskrift2"/>
      </w:pPr>
      <w:r>
        <w:br w:type="page"/>
      </w:r>
      <w:bookmarkStart w:id="184" w:name="_Toc221546257"/>
      <w:r w:rsidR="00E673B9">
        <w:lastRenderedPageBreak/>
        <w:t>7</w:t>
      </w:r>
      <w:r w:rsidR="00337429">
        <w:t xml:space="preserve">.4 </w:t>
      </w:r>
      <w:r w:rsidR="007A35E5" w:rsidRPr="003063CD">
        <w:t>Hjemmesider</w:t>
      </w:r>
      <w:bookmarkEnd w:id="184"/>
    </w:p>
    <w:p w:rsidR="007A35E5" w:rsidRDefault="00012FAC" w:rsidP="00AF4FDF">
      <w:hyperlink r:id="rId23" w:history="1">
        <w:r w:rsidR="007A35E5" w:rsidRPr="00D35750">
          <w:rPr>
            <w:rStyle w:val="Hyperlink"/>
          </w:rPr>
          <w:t>www.skat.dk</w:t>
        </w:r>
      </w:hyperlink>
      <w:r w:rsidR="007A35E5">
        <w:t xml:space="preserve"> </w:t>
      </w:r>
    </w:p>
    <w:p w:rsidR="007A35E5" w:rsidRDefault="00012FAC" w:rsidP="00676A46">
      <w:hyperlink r:id="rId24" w:history="1">
        <w:r w:rsidR="007A35E5" w:rsidRPr="00626E6F">
          <w:rPr>
            <w:rStyle w:val="Hyperlink"/>
          </w:rPr>
          <w:t>www.retsinfo.dk</w:t>
        </w:r>
      </w:hyperlink>
    </w:p>
    <w:p w:rsidR="007A35E5" w:rsidRDefault="00012FAC" w:rsidP="00676A46">
      <w:hyperlink r:id="rId25" w:history="1">
        <w:r w:rsidR="007A35E5" w:rsidRPr="00626E6F">
          <w:rPr>
            <w:rStyle w:val="Hyperlink"/>
          </w:rPr>
          <w:t>www.skm.dk</w:t>
        </w:r>
      </w:hyperlink>
    </w:p>
    <w:p w:rsidR="007A35E5" w:rsidRDefault="00012FAC" w:rsidP="00676A46">
      <w:hyperlink r:id="rId26" w:history="1">
        <w:r w:rsidR="007A35E5" w:rsidRPr="00626E6F">
          <w:rPr>
            <w:rStyle w:val="Hyperlink"/>
          </w:rPr>
          <w:t>www.eogs.dk</w:t>
        </w:r>
      </w:hyperlink>
    </w:p>
    <w:p w:rsidR="007A35E5" w:rsidRPr="00426DD7" w:rsidRDefault="00E673B9" w:rsidP="00337429">
      <w:pPr>
        <w:pStyle w:val="Overskrift2"/>
      </w:pPr>
      <w:bookmarkStart w:id="185" w:name="_Toc221546258"/>
      <w:r>
        <w:t>7</w:t>
      </w:r>
      <w:r w:rsidR="00337429">
        <w:t xml:space="preserve">.5 </w:t>
      </w:r>
      <w:r w:rsidR="007A35E5">
        <w:t>Anvendte forkortelser</w:t>
      </w:r>
      <w:bookmarkEnd w:id="185"/>
    </w:p>
    <w:p w:rsidR="007A35E5" w:rsidRDefault="007A35E5" w:rsidP="00AF4FDF">
      <w:r>
        <w:t>ABL</w:t>
      </w:r>
      <w:r>
        <w:tab/>
        <w:t>Aktieavancebeskatningsloven</w:t>
      </w:r>
    </w:p>
    <w:p w:rsidR="007A35E5" w:rsidRDefault="007A35E5" w:rsidP="00AE28FA">
      <w:r>
        <w:t>AL</w:t>
      </w:r>
      <w:r>
        <w:tab/>
        <w:t>Afskrivningsloven</w:t>
      </w:r>
      <w:r w:rsidRPr="00AE28FA">
        <w:t xml:space="preserve"> </w:t>
      </w:r>
    </w:p>
    <w:p w:rsidR="007A35E5" w:rsidRDefault="007A35E5" w:rsidP="00AF4FDF">
      <w:r>
        <w:t>ASL</w:t>
      </w:r>
      <w:r>
        <w:tab/>
        <w:t>Aktieselskabsloven</w:t>
      </w:r>
    </w:p>
    <w:p w:rsidR="007A35E5" w:rsidRDefault="007A35E5" w:rsidP="00AF4FDF">
      <w:r>
        <w:t>BAL</w:t>
      </w:r>
      <w:r>
        <w:tab/>
        <w:t>Boafgiftsloven</w:t>
      </w:r>
    </w:p>
    <w:p w:rsidR="007A35E5" w:rsidRDefault="007A35E5" w:rsidP="00AE28FA">
      <w:r>
        <w:t>EBL</w:t>
      </w:r>
      <w:r>
        <w:tab/>
        <w:t>Ejendomsavancebeskatningsloven</w:t>
      </w:r>
      <w:r w:rsidRPr="00AE28FA">
        <w:t xml:space="preserve"> </w:t>
      </w:r>
    </w:p>
    <w:p w:rsidR="007A35E5" w:rsidRDefault="007A35E5" w:rsidP="00AE28FA">
      <w:r>
        <w:t>ETBL</w:t>
      </w:r>
      <w:r>
        <w:tab/>
        <w:t>Etableringskontoloven</w:t>
      </w:r>
    </w:p>
    <w:p w:rsidR="007A35E5" w:rsidRDefault="007A35E5" w:rsidP="00AF4FDF">
      <w:r>
        <w:t>FUSL</w:t>
      </w:r>
      <w:r>
        <w:tab/>
        <w:t>Fusionsskatteloven</w:t>
      </w:r>
    </w:p>
    <w:p w:rsidR="007A35E5" w:rsidRDefault="007A35E5" w:rsidP="00AF4FDF">
      <w:r>
        <w:t>KGL</w:t>
      </w:r>
      <w:r>
        <w:tab/>
        <w:t>Kursgevinstloven</w:t>
      </w:r>
    </w:p>
    <w:p w:rsidR="007A35E5" w:rsidRDefault="007A35E5" w:rsidP="00AF4FDF">
      <w:r>
        <w:t>KSL</w:t>
      </w:r>
      <w:r>
        <w:tab/>
        <w:t>Kildeskatteloven</w:t>
      </w:r>
    </w:p>
    <w:p w:rsidR="007A35E5" w:rsidRDefault="007A35E5" w:rsidP="00AF4FDF">
      <w:r>
        <w:t>LL</w:t>
      </w:r>
      <w:r>
        <w:tab/>
        <w:t>Ligningsloven</w:t>
      </w:r>
    </w:p>
    <w:p w:rsidR="007A35E5" w:rsidRDefault="007A35E5" w:rsidP="00AF4FDF">
      <w:r>
        <w:t>LV</w:t>
      </w:r>
      <w:r>
        <w:tab/>
        <w:t>Ligningsvejledningen</w:t>
      </w:r>
    </w:p>
    <w:p w:rsidR="007A35E5" w:rsidRDefault="007A35E5" w:rsidP="00AE28FA">
      <w:r>
        <w:t>PBL</w:t>
      </w:r>
      <w:r>
        <w:tab/>
        <w:t>Pensionsbeskatningsloven</w:t>
      </w:r>
      <w:r w:rsidRPr="00AE28FA">
        <w:t xml:space="preserve"> </w:t>
      </w:r>
    </w:p>
    <w:p w:rsidR="007A35E5" w:rsidRDefault="007A35E5" w:rsidP="00AF4FDF">
      <w:r>
        <w:t>SEL</w:t>
      </w:r>
      <w:r>
        <w:tab/>
        <w:t>Selskabsskatteloven</w:t>
      </w:r>
    </w:p>
    <w:p w:rsidR="007A35E5" w:rsidRDefault="007A35E5" w:rsidP="00AF4FDF">
      <w:r>
        <w:t>VSL</w:t>
      </w:r>
      <w:r>
        <w:tab/>
        <w:t>Virksomhedskatteloven</w:t>
      </w:r>
    </w:p>
    <w:p w:rsidR="007A35E5" w:rsidRDefault="007A35E5" w:rsidP="00AF4FDF"/>
    <w:p w:rsidR="007A35E5" w:rsidRDefault="007A35E5" w:rsidP="00625ADA">
      <w:pPr>
        <w:pStyle w:val="Overskrift1"/>
      </w:pPr>
      <w:r>
        <w:br w:type="page"/>
      </w:r>
      <w:bookmarkStart w:id="186" w:name="_Toc221546259"/>
      <w:r w:rsidR="005A2694">
        <w:lastRenderedPageBreak/>
        <w:t>Bilag 1</w:t>
      </w:r>
      <w:r>
        <w:t xml:space="preserve"> – Gennemgående case-virksomhed A&amp;B I/S</w:t>
      </w:r>
      <w:bookmarkEnd w:id="186"/>
    </w:p>
    <w:p w:rsidR="007A35E5" w:rsidRDefault="007A35E5" w:rsidP="00314D38">
      <w:r>
        <w:t>A&amp;B I/S drives af de to brødre A (55 år) og B (48 år), der sammen har drevet virkso</w:t>
      </w:r>
      <w:r>
        <w:t>m</w:t>
      </w:r>
      <w:r>
        <w:t xml:space="preserve">heden i </w:t>
      </w:r>
      <w:r w:rsidR="007B6A8F">
        <w:t>ca.</w:t>
      </w:r>
      <w:r>
        <w:t xml:space="preserve"> 20 år.</w:t>
      </w:r>
    </w:p>
    <w:p w:rsidR="007A35E5" w:rsidRDefault="007A35E5" w:rsidP="00314D38">
      <w:r>
        <w:t>Virksomheden drives dels fra egne lokaler i Aalborg og dels fra nogle lejede lokaler i Jylland (1999), Fyn (2002) og Sjælland (2005), hvor der er foretaget ombygning til brug for virksomheden. Virksomhedens aktivitet består i detailsalg af landbrugsrelaterede handelsvarer til såvel private forbrugere som andre landbrugsrelaterede erhvervsdr</w:t>
      </w:r>
      <w:r>
        <w:t>i</w:t>
      </w:r>
      <w:r>
        <w:t>vende. Virksomhedens hovedlager befinder sig primært i egne bygninger, mens der også er mindre varelagre i de tre filialer i Danmark.</w:t>
      </w:r>
    </w:p>
    <w:p w:rsidR="007A35E5" w:rsidRDefault="007A35E5" w:rsidP="00314D38"/>
    <w:p w:rsidR="007A35E5" w:rsidRDefault="007A35E5" w:rsidP="00314D38">
      <w:r>
        <w:t>Virksomheden har et solidt kundeunderlag og en stabil indtjening.. Der overvejes p.t. at etablere e-butik, så kunderne bestille varer via internettet. Endvidere er der overv</w:t>
      </w:r>
      <w:r>
        <w:t>e</w:t>
      </w:r>
      <w:r>
        <w:t>jelser om eventuel etablering af filialer i Sverige, da der allerede nu er mange kunder fra Sverige.</w:t>
      </w:r>
    </w:p>
    <w:p w:rsidR="007A35E5" w:rsidRDefault="007A35E5" w:rsidP="00314D38"/>
    <w:p w:rsidR="007A35E5" w:rsidRDefault="007A35E5" w:rsidP="00314D38">
      <w:r>
        <w:t>Virksomheden har 3-4 ansatte. A har en voksen datter C (30 år), der er ansat i virkso</w:t>
      </w:r>
      <w:r>
        <w:t>m</w:t>
      </w:r>
      <w:r>
        <w:t>heden. På sigt kunne datteren være et muligt emne til at overtage en del af virkso</w:t>
      </w:r>
      <w:r>
        <w:t>m</w:t>
      </w:r>
      <w:r>
        <w:t xml:space="preserve">heden. </w:t>
      </w:r>
    </w:p>
    <w:p w:rsidR="007A35E5" w:rsidRDefault="007A35E5" w:rsidP="00314D38">
      <w:r>
        <w:t>B har en voksen søn D (25 år), der ikke deltager i eller er interesseret i virksomhedens drift.</w:t>
      </w:r>
    </w:p>
    <w:p w:rsidR="007A35E5" w:rsidRDefault="007A35E5" w:rsidP="00314D38">
      <w:r>
        <w:t xml:space="preserve">Virksomheden har en salgsleder S (35 år), der har været ansat i hen ved 10 år og som ligeledes kunne være et emne til at drive virksomheden videre. </w:t>
      </w:r>
    </w:p>
    <w:p w:rsidR="007A35E5" w:rsidRDefault="007A35E5" w:rsidP="00314D38">
      <w:r>
        <w:t>Virksomhedens indehavere har også overvejet om der kunne være andre muligheder for at drive virksomheden videre med personer udefra, som altså ikke har været invo</w:t>
      </w:r>
      <w:r>
        <w:t>l</w:t>
      </w:r>
      <w:r>
        <w:t>veret i virksomhedens drift.</w:t>
      </w:r>
    </w:p>
    <w:p w:rsidR="007A35E5" w:rsidRDefault="007A35E5" w:rsidP="00314D38"/>
    <w:p w:rsidR="007A35E5" w:rsidRDefault="007A35E5" w:rsidP="00314D38">
      <w:r>
        <w:t>A og B ejer A&amp;B I/S med 50 % hver, hvilket fremgår at den indgåede interessentskab</w:t>
      </w:r>
      <w:r>
        <w:t>s</w:t>
      </w:r>
      <w:r>
        <w:t>kontrakt mellem dem.</w:t>
      </w:r>
    </w:p>
    <w:p w:rsidR="007A35E5" w:rsidRDefault="007A35E5" w:rsidP="00314D38">
      <w:r>
        <w:lastRenderedPageBreak/>
        <w:t>Nedenfor er vist de seneste 5 års regnskabstal samt udvalgte skattemæssige specifik</w:t>
      </w:r>
      <w:r>
        <w:t>a</w:t>
      </w:r>
      <w:r>
        <w:t>tioner for hver interessent.</w:t>
      </w:r>
    </w:p>
    <w:p w:rsidR="007A35E5" w:rsidRDefault="007A35E5" w:rsidP="00314D38"/>
    <w:tbl>
      <w:tblPr>
        <w:tblW w:w="9020" w:type="dxa"/>
        <w:tblInd w:w="55" w:type="dxa"/>
        <w:tblCellMar>
          <w:left w:w="70" w:type="dxa"/>
          <w:right w:w="70" w:type="dxa"/>
        </w:tblCellMar>
        <w:tblLook w:val="0000"/>
      </w:tblPr>
      <w:tblGrid>
        <w:gridCol w:w="3020"/>
        <w:gridCol w:w="1200"/>
        <w:gridCol w:w="1200"/>
        <w:gridCol w:w="1200"/>
        <w:gridCol w:w="1200"/>
        <w:gridCol w:w="1200"/>
      </w:tblGrid>
      <w:tr w:rsidR="007A35E5" w:rsidRPr="00314D38" w:rsidTr="00314D38">
        <w:trPr>
          <w:trHeight w:val="285"/>
        </w:trPr>
        <w:tc>
          <w:tcPr>
            <w:tcW w:w="3020" w:type="dxa"/>
            <w:tcBorders>
              <w:top w:val="nil"/>
              <w:left w:val="nil"/>
              <w:bottom w:val="nil"/>
              <w:right w:val="nil"/>
            </w:tcBorders>
            <w:noWrap/>
            <w:vAlign w:val="bottom"/>
          </w:tcPr>
          <w:p w:rsidR="007A35E5" w:rsidRPr="000D48F7" w:rsidRDefault="007A35E5" w:rsidP="00314D38">
            <w:pPr>
              <w:rPr>
                <w:rFonts w:eastAsia="MS UI Gothic" w:cs="Arial"/>
                <w:b/>
                <w:sz w:val="20"/>
                <w:szCs w:val="20"/>
                <w:lang w:eastAsia="da-DK"/>
              </w:rPr>
            </w:pPr>
            <w:r w:rsidRPr="000D48F7">
              <w:rPr>
                <w:rFonts w:eastAsia="MS UI Gothic" w:cs="Arial"/>
                <w:b/>
                <w:sz w:val="20"/>
                <w:szCs w:val="20"/>
                <w:lang w:eastAsia="da-DK"/>
              </w:rPr>
              <w:t>Resultatopgørelser</w:t>
            </w: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Beløb i t.DKK</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2007</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2006</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2005</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2004</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2003</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 xml:space="preserve">Omsætning </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22.000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21.800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20.250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16.000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15.000</w:t>
            </w: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Vareforbrug</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17.600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17.650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16.200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12.750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12.100</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Bruttoavance</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4.400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4.150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4.050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3.250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2.900</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Bruttoavance i pct.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19</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Lønninger mv.</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1.300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1.200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1.100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1.050</w:t>
            </w: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Kapacitetsomkostninger</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400</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Resultat før afskrivninger</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2.300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2.250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2.300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1.450</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Afskrivninger</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449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434</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481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394</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351</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Resultat af primær drift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1.851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1.816</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1.819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1.256</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1.099</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Renteindtægter</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45</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w:t>
            </w: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Renteomkostninger</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Årets resultat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1.601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1.561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1.559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991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829</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0D48F7">
              <w:rPr>
                <w:rFonts w:eastAsia="MS UI Gothic" w:cs="Arial"/>
                <w:b/>
                <w:sz w:val="20"/>
                <w:szCs w:val="20"/>
                <w:lang w:eastAsia="da-DK"/>
              </w:rPr>
              <w:t>Balance</w:t>
            </w:r>
            <w:r w:rsidRPr="00314D38">
              <w:rPr>
                <w:rFonts w:eastAsia="MS UI Gothic" w:cs="Arial"/>
                <w:sz w:val="20"/>
                <w:szCs w:val="20"/>
                <w:lang w:eastAsia="da-DK"/>
              </w:rPr>
              <w:t>r</w:t>
            </w: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Beløb i t.DKK</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2007</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2006</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2005</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2004</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2003</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Ejendom</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3.061</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3.208</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3.355</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3.003</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3.133</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E1BD4">
            <w:pPr>
              <w:ind w:firstLineChars="100" w:firstLine="200"/>
              <w:rPr>
                <w:rFonts w:eastAsia="MS UI Gothic" w:cs="Arial"/>
                <w:sz w:val="20"/>
                <w:szCs w:val="20"/>
                <w:lang w:eastAsia="da-DK"/>
              </w:rPr>
            </w:pPr>
            <w:r w:rsidRPr="00314D38">
              <w:rPr>
                <w:rFonts w:eastAsia="MS UI Gothic" w:cs="Arial"/>
                <w:sz w:val="20"/>
                <w:szCs w:val="20"/>
                <w:lang w:eastAsia="da-DK"/>
              </w:rPr>
              <w:t>ejd. værdi t.DKK 4.100</w:t>
            </w: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Indretning lejede lokaler</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780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960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1.140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620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730</w:t>
            </w: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lastRenderedPageBreak/>
              <w:t>Driftsmateriel og inventar</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429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357</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511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364</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Anlægsaktiver i alt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4.270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4.618</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4.852</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4.134</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4.227</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Varelager</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2.140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2.020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1.860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1.630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1.520</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Debitorer</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1.880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1.780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1.670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1.230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1.120</w:t>
            </w: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Likvide beholdninger</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45</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40</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Omsætningsaktiver i alt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4.070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3.840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3.575</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2.895</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2.680</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Aktiver i alt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8.340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8.458</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8.427</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7.029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6.907</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Kapitalkonto A</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1100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1187</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1224</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975</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962</w:t>
            </w: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Kapitalkonto B</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1261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1347</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1396</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1126</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1112</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Egenkapital i alt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2361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2534</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2620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2101</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2074</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Prioritetsgæld ejendom</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1.959</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2.124</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2.277</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2.068</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2.193</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E1BD4">
            <w:pPr>
              <w:ind w:firstLineChars="100" w:firstLine="200"/>
              <w:rPr>
                <w:rFonts w:eastAsia="MS UI Gothic" w:cs="Arial"/>
                <w:sz w:val="20"/>
                <w:szCs w:val="20"/>
                <w:lang w:eastAsia="da-DK"/>
              </w:rPr>
            </w:pPr>
            <w:r w:rsidRPr="00314D38">
              <w:rPr>
                <w:rFonts w:eastAsia="MS UI Gothic" w:cs="Arial"/>
                <w:sz w:val="20"/>
                <w:szCs w:val="20"/>
                <w:lang w:eastAsia="da-DK"/>
              </w:rPr>
              <w:t>kursværdi t.DKK 1.850</w:t>
            </w: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Driftskredit</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2.127</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1.483</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1.341</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1.094</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978</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Leverandører</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1.480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1.940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1.790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1.430</w:t>
            </w:r>
          </w:p>
        </w:tc>
        <w:tc>
          <w:tcPr>
            <w:tcW w:w="120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1.360</w:t>
            </w: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Anden gæld</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413</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377</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399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336</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302</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Gældsforpligtelser i alt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5.979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5.924</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5.807</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4.928</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4.833</w:t>
            </w:r>
          </w:p>
        </w:tc>
      </w:tr>
      <w:tr w:rsidR="007A35E5" w:rsidRPr="00314D38" w:rsidTr="00314D38">
        <w:trPr>
          <w:trHeight w:val="285"/>
        </w:trPr>
        <w:tc>
          <w:tcPr>
            <w:tcW w:w="302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20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020"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Passiver i alt</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8.340</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8.458</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8.427</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7.029</w:t>
            </w:r>
          </w:p>
        </w:tc>
        <w:tc>
          <w:tcPr>
            <w:tcW w:w="120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6.907</w:t>
            </w:r>
          </w:p>
        </w:tc>
      </w:tr>
    </w:tbl>
    <w:p w:rsidR="007A35E5" w:rsidRDefault="007A35E5" w:rsidP="00314D38"/>
    <w:p w:rsidR="007A35E5" w:rsidRDefault="007A35E5" w:rsidP="00314D38">
      <w:pPr>
        <w:rPr>
          <w:b/>
        </w:rPr>
      </w:pPr>
      <w:r w:rsidRPr="00FB2D46">
        <w:rPr>
          <w:b/>
        </w:rPr>
        <w:t>For A er der følgende skattemæssige saldoværdier ultimo 2007 mv.</w:t>
      </w:r>
    </w:p>
    <w:p w:rsidR="007A35E5" w:rsidRPr="00FB2D46" w:rsidRDefault="007A35E5" w:rsidP="00314D38">
      <w:pPr>
        <w:rPr>
          <w:b/>
        </w:rPr>
      </w:pPr>
    </w:p>
    <w:tbl>
      <w:tblPr>
        <w:tblW w:w="5000" w:type="pct"/>
        <w:tblCellMar>
          <w:left w:w="70" w:type="dxa"/>
          <w:right w:w="70" w:type="dxa"/>
        </w:tblCellMar>
        <w:tblLook w:val="0000"/>
      </w:tblPr>
      <w:tblGrid>
        <w:gridCol w:w="578"/>
        <w:gridCol w:w="1270"/>
        <w:gridCol w:w="1077"/>
        <w:gridCol w:w="1034"/>
        <w:gridCol w:w="937"/>
        <w:gridCol w:w="937"/>
        <w:gridCol w:w="937"/>
        <w:gridCol w:w="937"/>
        <w:gridCol w:w="937"/>
      </w:tblGrid>
      <w:tr w:rsidR="007A35E5" w:rsidRPr="00314D38" w:rsidTr="00314D38">
        <w:trPr>
          <w:trHeight w:val="285"/>
        </w:trPr>
        <w:tc>
          <w:tcPr>
            <w:tcW w:w="2289" w:type="pct"/>
            <w:gridSpan w:val="4"/>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Afskrivningsoversigt for erhvervsejendom</w:t>
            </w: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855"/>
        </w:trPr>
        <w:tc>
          <w:tcPr>
            <w:tcW w:w="3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År</w:t>
            </w:r>
          </w:p>
        </w:tc>
        <w:tc>
          <w:tcPr>
            <w:tcW w:w="7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Art</w:t>
            </w:r>
          </w:p>
        </w:tc>
        <w:tc>
          <w:tcPr>
            <w:tcW w:w="623"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Kostpris</w:t>
            </w:r>
          </w:p>
        </w:tc>
        <w:tc>
          <w:tcPr>
            <w:tcW w:w="597"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Straks-</w:t>
            </w:r>
            <w:r w:rsidRPr="00314D38">
              <w:rPr>
                <w:rFonts w:eastAsia="MS UI Gothic" w:cs="Arial"/>
                <w:sz w:val="20"/>
                <w:szCs w:val="20"/>
                <w:lang w:eastAsia="da-DK"/>
              </w:rPr>
              <w:br/>
              <w:t>fradrag</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nings</w:t>
            </w:r>
            <w:r w:rsidRPr="00314D38">
              <w:rPr>
                <w:rFonts w:eastAsia="MS UI Gothic" w:cs="Arial"/>
                <w:sz w:val="20"/>
                <w:szCs w:val="20"/>
                <w:lang w:eastAsia="da-DK"/>
              </w:rPr>
              <w:br/>
              <w:t>grundlag</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ninger</w:t>
            </w:r>
            <w:r w:rsidRPr="00314D38">
              <w:rPr>
                <w:rFonts w:eastAsia="MS UI Gothic" w:cs="Arial"/>
                <w:sz w:val="20"/>
                <w:szCs w:val="20"/>
                <w:lang w:eastAsia="da-DK"/>
              </w:rPr>
              <w:br/>
              <w:t>primo</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Årets afskriv-</w:t>
            </w:r>
            <w:r w:rsidRPr="00314D38">
              <w:rPr>
                <w:rFonts w:eastAsia="MS UI Gothic" w:cs="Arial"/>
                <w:sz w:val="20"/>
                <w:szCs w:val="20"/>
                <w:lang w:eastAsia="da-DK"/>
              </w:rPr>
              <w:br/>
              <w:t>ninger</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ninger</w:t>
            </w:r>
            <w:r w:rsidRPr="00314D38">
              <w:rPr>
                <w:rFonts w:eastAsia="MS UI Gothic" w:cs="Arial"/>
                <w:sz w:val="20"/>
                <w:szCs w:val="20"/>
                <w:lang w:eastAsia="da-DK"/>
              </w:rPr>
              <w:br/>
              <w:t xml:space="preserve"> i alt</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Ned-</w:t>
            </w:r>
            <w:r w:rsidRPr="00314D38">
              <w:rPr>
                <w:rFonts w:eastAsia="MS UI Gothic" w:cs="Arial"/>
                <w:sz w:val="20"/>
                <w:szCs w:val="20"/>
                <w:lang w:eastAsia="da-DK"/>
              </w:rPr>
              <w:br/>
              <w:t>skrevet værdi</w:t>
            </w: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623"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97"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lastRenderedPageBreak/>
              <w:t>1994</w:t>
            </w: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Grund</w:t>
            </w:r>
          </w:p>
        </w:tc>
        <w:tc>
          <w:tcPr>
            <w:tcW w:w="623"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c>
          <w:tcPr>
            <w:tcW w:w="597"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1994</w:t>
            </w: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Bygninger</w:t>
            </w:r>
          </w:p>
        </w:tc>
        <w:tc>
          <w:tcPr>
            <w:tcW w:w="623"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1.360</w:t>
            </w:r>
          </w:p>
        </w:tc>
        <w:tc>
          <w:tcPr>
            <w:tcW w:w="597"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1.360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884</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68</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952</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408</w:t>
            </w: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2000</w:t>
            </w: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Tilbygning</w:t>
            </w:r>
          </w:p>
        </w:tc>
        <w:tc>
          <w:tcPr>
            <w:tcW w:w="623"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600</w:t>
            </w:r>
          </w:p>
        </w:tc>
        <w:tc>
          <w:tcPr>
            <w:tcW w:w="597"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68</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532</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186</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26</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212</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320</w:t>
            </w:r>
          </w:p>
        </w:tc>
      </w:tr>
      <w:tr w:rsidR="007A35E5" w:rsidRPr="00314D38" w:rsidTr="00314D38">
        <w:trPr>
          <w:trHeight w:val="285"/>
        </w:trPr>
        <w:tc>
          <w:tcPr>
            <w:tcW w:w="3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2005</w:t>
            </w:r>
          </w:p>
        </w:tc>
        <w:tc>
          <w:tcPr>
            <w:tcW w:w="7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Ombygning</w:t>
            </w:r>
          </w:p>
        </w:tc>
        <w:tc>
          <w:tcPr>
            <w:tcW w:w="623"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597"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95</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155</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24</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131</w:t>
            </w: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623"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97"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I alt</w:t>
            </w:r>
          </w:p>
        </w:tc>
        <w:tc>
          <w:tcPr>
            <w:tcW w:w="7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 </w:t>
            </w:r>
          </w:p>
        </w:tc>
        <w:tc>
          <w:tcPr>
            <w:tcW w:w="623"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2.350</w:t>
            </w:r>
          </w:p>
        </w:tc>
        <w:tc>
          <w:tcPr>
            <w:tcW w:w="597"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163</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2.047</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1.086</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102</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1.188</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999</w:t>
            </w:r>
          </w:p>
        </w:tc>
      </w:tr>
    </w:tbl>
    <w:p w:rsidR="007A35E5" w:rsidRDefault="007A35E5" w:rsidP="00314D38"/>
    <w:tbl>
      <w:tblPr>
        <w:tblW w:w="9700" w:type="dxa"/>
        <w:tblInd w:w="55" w:type="dxa"/>
        <w:tblCellMar>
          <w:left w:w="70" w:type="dxa"/>
          <w:right w:w="70" w:type="dxa"/>
        </w:tblCellMar>
        <w:tblLook w:val="0000"/>
      </w:tblPr>
      <w:tblGrid>
        <w:gridCol w:w="988"/>
        <w:gridCol w:w="1632"/>
        <w:gridCol w:w="1180"/>
        <w:gridCol w:w="1180"/>
        <w:gridCol w:w="1180"/>
        <w:gridCol w:w="1180"/>
        <w:gridCol w:w="1180"/>
        <w:gridCol w:w="1180"/>
      </w:tblGrid>
      <w:tr w:rsidR="007A35E5" w:rsidRPr="00314D38" w:rsidTr="00314D38">
        <w:trPr>
          <w:trHeight w:val="285"/>
        </w:trPr>
        <w:tc>
          <w:tcPr>
            <w:tcW w:w="2620" w:type="dxa"/>
            <w:gridSpan w:val="2"/>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Indretning lejede lokaler</w:t>
            </w: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855"/>
        </w:trPr>
        <w:tc>
          <w:tcPr>
            <w:tcW w:w="988"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År</w:t>
            </w:r>
          </w:p>
        </w:tc>
        <w:tc>
          <w:tcPr>
            <w:tcW w:w="1632"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Art</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Kostpris</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nings</w:t>
            </w:r>
            <w:r w:rsidRPr="00314D38">
              <w:rPr>
                <w:rFonts w:eastAsia="MS UI Gothic" w:cs="Arial"/>
                <w:sz w:val="20"/>
                <w:szCs w:val="20"/>
                <w:lang w:eastAsia="da-DK"/>
              </w:rPr>
              <w:br/>
              <w:t>grundlag</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ninger</w:t>
            </w:r>
            <w:r w:rsidRPr="00314D38">
              <w:rPr>
                <w:rFonts w:eastAsia="MS UI Gothic" w:cs="Arial"/>
                <w:sz w:val="20"/>
                <w:szCs w:val="20"/>
                <w:lang w:eastAsia="da-DK"/>
              </w:rPr>
              <w:br/>
              <w:t>primo</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Årets a</w:t>
            </w:r>
            <w:r w:rsidRPr="00314D38">
              <w:rPr>
                <w:rFonts w:eastAsia="MS UI Gothic" w:cs="Arial"/>
                <w:sz w:val="20"/>
                <w:szCs w:val="20"/>
                <w:lang w:eastAsia="da-DK"/>
              </w:rPr>
              <w:t>f</w:t>
            </w:r>
            <w:r w:rsidRPr="00314D38">
              <w:rPr>
                <w:rFonts w:eastAsia="MS UI Gothic" w:cs="Arial"/>
                <w:sz w:val="20"/>
                <w:szCs w:val="20"/>
                <w:lang w:eastAsia="da-DK"/>
              </w:rPr>
              <w:t>skriv-</w:t>
            </w:r>
            <w:r w:rsidRPr="00314D38">
              <w:rPr>
                <w:rFonts w:eastAsia="MS UI Gothic" w:cs="Arial"/>
                <w:sz w:val="20"/>
                <w:szCs w:val="20"/>
                <w:lang w:eastAsia="da-DK"/>
              </w:rPr>
              <w:br/>
              <w:t>ninger</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ninger</w:t>
            </w:r>
            <w:r w:rsidRPr="00314D38">
              <w:rPr>
                <w:rFonts w:eastAsia="MS UI Gothic" w:cs="Arial"/>
                <w:sz w:val="20"/>
                <w:szCs w:val="20"/>
                <w:lang w:eastAsia="da-DK"/>
              </w:rPr>
              <w:br/>
              <w:t xml:space="preserve"> i alt</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Ned-</w:t>
            </w:r>
            <w:r w:rsidRPr="00314D38">
              <w:rPr>
                <w:rFonts w:eastAsia="MS UI Gothic" w:cs="Arial"/>
                <w:sz w:val="20"/>
                <w:szCs w:val="20"/>
                <w:lang w:eastAsia="da-DK"/>
              </w:rPr>
              <w:br/>
              <w:t>skrevet værdi</w:t>
            </w: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1999</w:t>
            </w: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Jylland</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2002</w:t>
            </w: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Fyn</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988"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2005</w:t>
            </w:r>
          </w:p>
        </w:tc>
        <w:tc>
          <w:tcPr>
            <w:tcW w:w="1632"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Sjælland</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988"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I alt</w:t>
            </w:r>
          </w:p>
        </w:tc>
        <w:tc>
          <w:tcPr>
            <w:tcW w:w="1632"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 </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900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900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690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760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r>
    </w:tbl>
    <w:p w:rsidR="007A35E5" w:rsidRDefault="007A35E5" w:rsidP="00314D38"/>
    <w:p w:rsidR="007A35E5" w:rsidRDefault="007B6A8F" w:rsidP="00314D38">
      <w:r>
        <w:t>Driftsmiddelsaldo udgør pr. 31.12.2007 t.</w:t>
      </w:r>
      <w:r w:rsidR="007A35E5">
        <w:t>DKK 231.</w:t>
      </w:r>
    </w:p>
    <w:p w:rsidR="007A35E5" w:rsidRDefault="007A35E5" w:rsidP="00314D38"/>
    <w:p w:rsidR="007A35E5" w:rsidRDefault="007B6A8F" w:rsidP="00314D38">
      <w:r>
        <w:t>Kapitalafkastgrundlaget pr. 31.12.2007 er t.</w:t>
      </w:r>
      <w:r w:rsidR="007A35E5">
        <w:t>DKK 1.820.</w:t>
      </w:r>
    </w:p>
    <w:p w:rsidR="007A35E5" w:rsidRDefault="007A35E5" w:rsidP="00314D38"/>
    <w:p w:rsidR="007A35E5" w:rsidRDefault="007A35E5" w:rsidP="00314D38">
      <w:r>
        <w:t>Indskudskonto ultimo 2007 er t.DKK 250.</w:t>
      </w:r>
    </w:p>
    <w:p w:rsidR="007A35E5" w:rsidRDefault="007A35E5" w:rsidP="00314D38"/>
    <w:p w:rsidR="007A35E5" w:rsidRDefault="007B6A8F" w:rsidP="00314D38">
      <w:r>
        <w:t>Konto for opsparet overskud udgør i alt pr. 31.12.2007 t.</w:t>
      </w:r>
      <w:r w:rsidR="007A35E5">
        <w:t>DKK 551.</w:t>
      </w:r>
    </w:p>
    <w:p w:rsidR="007A35E5" w:rsidRDefault="007A35E5" w:rsidP="00314D38"/>
    <w:p w:rsidR="007A35E5" w:rsidRPr="00FB2D46" w:rsidRDefault="007A35E5" w:rsidP="00314D38">
      <w:pPr>
        <w:rPr>
          <w:b/>
        </w:rPr>
      </w:pPr>
      <w:r w:rsidRPr="00FB2D46">
        <w:rPr>
          <w:b/>
        </w:rPr>
        <w:t>For B er der følgende skattemæssige saldoværdier ultimo 2007 mv.</w:t>
      </w:r>
    </w:p>
    <w:p w:rsidR="007A35E5" w:rsidRDefault="007A35E5" w:rsidP="00314D38"/>
    <w:tbl>
      <w:tblPr>
        <w:tblW w:w="5000" w:type="pct"/>
        <w:tblCellMar>
          <w:left w:w="70" w:type="dxa"/>
          <w:right w:w="70" w:type="dxa"/>
        </w:tblCellMar>
        <w:tblLook w:val="0000"/>
      </w:tblPr>
      <w:tblGrid>
        <w:gridCol w:w="578"/>
        <w:gridCol w:w="1270"/>
        <w:gridCol w:w="1077"/>
        <w:gridCol w:w="1034"/>
        <w:gridCol w:w="937"/>
        <w:gridCol w:w="937"/>
        <w:gridCol w:w="937"/>
        <w:gridCol w:w="937"/>
        <w:gridCol w:w="937"/>
      </w:tblGrid>
      <w:tr w:rsidR="007A35E5" w:rsidRPr="00314D38" w:rsidTr="00314D38">
        <w:trPr>
          <w:trHeight w:val="285"/>
        </w:trPr>
        <w:tc>
          <w:tcPr>
            <w:tcW w:w="2289" w:type="pct"/>
            <w:gridSpan w:val="4"/>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Afskrivningsoversigt for erhvervsejendom</w:t>
            </w: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855"/>
        </w:trPr>
        <w:tc>
          <w:tcPr>
            <w:tcW w:w="3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lastRenderedPageBreak/>
              <w:t>År</w:t>
            </w:r>
          </w:p>
        </w:tc>
        <w:tc>
          <w:tcPr>
            <w:tcW w:w="7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Art</w:t>
            </w:r>
          </w:p>
        </w:tc>
        <w:tc>
          <w:tcPr>
            <w:tcW w:w="623"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Kostpris</w:t>
            </w:r>
          </w:p>
        </w:tc>
        <w:tc>
          <w:tcPr>
            <w:tcW w:w="597"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Straks-</w:t>
            </w:r>
            <w:r w:rsidRPr="00314D38">
              <w:rPr>
                <w:rFonts w:eastAsia="MS UI Gothic" w:cs="Arial"/>
                <w:sz w:val="20"/>
                <w:szCs w:val="20"/>
                <w:lang w:eastAsia="da-DK"/>
              </w:rPr>
              <w:br/>
              <w:t>fradrag</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nings</w:t>
            </w:r>
            <w:r w:rsidRPr="00314D38">
              <w:rPr>
                <w:rFonts w:eastAsia="MS UI Gothic" w:cs="Arial"/>
                <w:sz w:val="20"/>
                <w:szCs w:val="20"/>
                <w:lang w:eastAsia="da-DK"/>
              </w:rPr>
              <w:br/>
              <w:t>grundlag</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ninger</w:t>
            </w:r>
            <w:r w:rsidRPr="00314D38">
              <w:rPr>
                <w:rFonts w:eastAsia="MS UI Gothic" w:cs="Arial"/>
                <w:sz w:val="20"/>
                <w:szCs w:val="20"/>
                <w:lang w:eastAsia="da-DK"/>
              </w:rPr>
              <w:br/>
              <w:t>primo</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Årets afskriv-</w:t>
            </w:r>
            <w:r w:rsidRPr="00314D38">
              <w:rPr>
                <w:rFonts w:eastAsia="MS UI Gothic" w:cs="Arial"/>
                <w:sz w:val="20"/>
                <w:szCs w:val="20"/>
                <w:lang w:eastAsia="da-DK"/>
              </w:rPr>
              <w:br/>
              <w:t>ninger</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ninger</w:t>
            </w:r>
            <w:r w:rsidRPr="00314D38">
              <w:rPr>
                <w:rFonts w:eastAsia="MS UI Gothic" w:cs="Arial"/>
                <w:sz w:val="20"/>
                <w:szCs w:val="20"/>
                <w:lang w:eastAsia="da-DK"/>
              </w:rPr>
              <w:br/>
              <w:t xml:space="preserve"> i alt</w:t>
            </w:r>
          </w:p>
        </w:tc>
        <w:tc>
          <w:tcPr>
            <w:tcW w:w="542" w:type="pct"/>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Ned-</w:t>
            </w:r>
            <w:r w:rsidRPr="00314D38">
              <w:rPr>
                <w:rFonts w:eastAsia="MS UI Gothic" w:cs="Arial"/>
                <w:sz w:val="20"/>
                <w:szCs w:val="20"/>
                <w:lang w:eastAsia="da-DK"/>
              </w:rPr>
              <w:br/>
              <w:t>skrevet værdi</w:t>
            </w: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623"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97"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1994</w:t>
            </w: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Grund</w:t>
            </w:r>
          </w:p>
        </w:tc>
        <w:tc>
          <w:tcPr>
            <w:tcW w:w="623"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c>
          <w:tcPr>
            <w:tcW w:w="597"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1994</w:t>
            </w: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Bygninger</w:t>
            </w:r>
          </w:p>
        </w:tc>
        <w:tc>
          <w:tcPr>
            <w:tcW w:w="623"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1.360</w:t>
            </w:r>
          </w:p>
        </w:tc>
        <w:tc>
          <w:tcPr>
            <w:tcW w:w="597"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1.360</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884</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68</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952</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408</w:t>
            </w: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2000</w:t>
            </w: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Tilbygning</w:t>
            </w:r>
          </w:p>
        </w:tc>
        <w:tc>
          <w:tcPr>
            <w:tcW w:w="623"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600</w:t>
            </w:r>
          </w:p>
        </w:tc>
        <w:tc>
          <w:tcPr>
            <w:tcW w:w="597"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68</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532</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186</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26</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212</w:t>
            </w:r>
          </w:p>
        </w:tc>
        <w:tc>
          <w:tcPr>
            <w:tcW w:w="542" w:type="pct"/>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320</w:t>
            </w:r>
          </w:p>
        </w:tc>
      </w:tr>
      <w:tr w:rsidR="007A35E5" w:rsidRPr="00314D38" w:rsidTr="00314D38">
        <w:trPr>
          <w:trHeight w:val="285"/>
        </w:trPr>
        <w:tc>
          <w:tcPr>
            <w:tcW w:w="3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2005</w:t>
            </w:r>
          </w:p>
        </w:tc>
        <w:tc>
          <w:tcPr>
            <w:tcW w:w="7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Ombygning</w:t>
            </w:r>
          </w:p>
        </w:tc>
        <w:tc>
          <w:tcPr>
            <w:tcW w:w="623"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597"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95</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155</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8</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24</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131</w:t>
            </w:r>
          </w:p>
        </w:tc>
      </w:tr>
      <w:tr w:rsidR="007A35E5" w:rsidRPr="00314D38" w:rsidTr="00314D38">
        <w:trPr>
          <w:trHeight w:val="285"/>
        </w:trPr>
        <w:tc>
          <w:tcPr>
            <w:tcW w:w="3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734"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623"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97"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542" w:type="pct"/>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3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I alt</w:t>
            </w:r>
          </w:p>
        </w:tc>
        <w:tc>
          <w:tcPr>
            <w:tcW w:w="734" w:type="pct"/>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 </w:t>
            </w:r>
          </w:p>
        </w:tc>
        <w:tc>
          <w:tcPr>
            <w:tcW w:w="623"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2.350</w:t>
            </w:r>
          </w:p>
        </w:tc>
        <w:tc>
          <w:tcPr>
            <w:tcW w:w="597"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163</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2.047</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1.086</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102</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1.188</w:t>
            </w:r>
          </w:p>
        </w:tc>
        <w:tc>
          <w:tcPr>
            <w:tcW w:w="542" w:type="pct"/>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999</w:t>
            </w:r>
          </w:p>
        </w:tc>
      </w:tr>
    </w:tbl>
    <w:p w:rsidR="007A35E5" w:rsidRDefault="007A35E5" w:rsidP="00314D38"/>
    <w:tbl>
      <w:tblPr>
        <w:tblW w:w="9700" w:type="dxa"/>
        <w:tblInd w:w="55" w:type="dxa"/>
        <w:tblCellMar>
          <w:left w:w="70" w:type="dxa"/>
          <w:right w:w="70" w:type="dxa"/>
        </w:tblCellMar>
        <w:tblLook w:val="0000"/>
      </w:tblPr>
      <w:tblGrid>
        <w:gridCol w:w="988"/>
        <w:gridCol w:w="1632"/>
        <w:gridCol w:w="1180"/>
        <w:gridCol w:w="1180"/>
        <w:gridCol w:w="1180"/>
        <w:gridCol w:w="1180"/>
        <w:gridCol w:w="1180"/>
        <w:gridCol w:w="1180"/>
      </w:tblGrid>
      <w:tr w:rsidR="007A35E5" w:rsidRPr="00314D38" w:rsidTr="00314D38">
        <w:trPr>
          <w:trHeight w:val="285"/>
        </w:trPr>
        <w:tc>
          <w:tcPr>
            <w:tcW w:w="2620" w:type="dxa"/>
            <w:gridSpan w:val="2"/>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Indretning lejede lokaler</w:t>
            </w: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855"/>
        </w:trPr>
        <w:tc>
          <w:tcPr>
            <w:tcW w:w="988"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År</w:t>
            </w:r>
          </w:p>
        </w:tc>
        <w:tc>
          <w:tcPr>
            <w:tcW w:w="1632"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Art</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Kostpris</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nings</w:t>
            </w:r>
            <w:r w:rsidRPr="00314D38">
              <w:rPr>
                <w:rFonts w:eastAsia="MS UI Gothic" w:cs="Arial"/>
                <w:sz w:val="20"/>
                <w:szCs w:val="20"/>
                <w:lang w:eastAsia="da-DK"/>
              </w:rPr>
              <w:br/>
              <w:t>grundlag</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ninger</w:t>
            </w:r>
            <w:r w:rsidRPr="00314D38">
              <w:rPr>
                <w:rFonts w:eastAsia="MS UI Gothic" w:cs="Arial"/>
                <w:sz w:val="20"/>
                <w:szCs w:val="20"/>
                <w:lang w:eastAsia="da-DK"/>
              </w:rPr>
              <w:br/>
              <w:t>primo</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Årets a</w:t>
            </w:r>
            <w:r w:rsidRPr="00314D38">
              <w:rPr>
                <w:rFonts w:eastAsia="MS UI Gothic" w:cs="Arial"/>
                <w:sz w:val="20"/>
                <w:szCs w:val="20"/>
                <w:lang w:eastAsia="da-DK"/>
              </w:rPr>
              <w:t>f</w:t>
            </w:r>
            <w:r w:rsidRPr="00314D38">
              <w:rPr>
                <w:rFonts w:eastAsia="MS UI Gothic" w:cs="Arial"/>
                <w:sz w:val="20"/>
                <w:szCs w:val="20"/>
                <w:lang w:eastAsia="da-DK"/>
              </w:rPr>
              <w:t>skriv-</w:t>
            </w:r>
            <w:r w:rsidRPr="00314D38">
              <w:rPr>
                <w:rFonts w:eastAsia="MS UI Gothic" w:cs="Arial"/>
                <w:sz w:val="20"/>
                <w:szCs w:val="20"/>
                <w:lang w:eastAsia="da-DK"/>
              </w:rPr>
              <w:br/>
              <w:t>ninger</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Afskriv-</w:t>
            </w:r>
            <w:r w:rsidRPr="00314D38">
              <w:rPr>
                <w:rFonts w:eastAsia="MS UI Gothic" w:cs="Arial"/>
                <w:sz w:val="20"/>
                <w:szCs w:val="20"/>
                <w:lang w:eastAsia="da-DK"/>
              </w:rPr>
              <w:br/>
              <w:t>ninger</w:t>
            </w:r>
            <w:r w:rsidRPr="00314D38">
              <w:rPr>
                <w:rFonts w:eastAsia="MS UI Gothic" w:cs="Arial"/>
                <w:sz w:val="20"/>
                <w:szCs w:val="20"/>
                <w:lang w:eastAsia="da-DK"/>
              </w:rPr>
              <w:br/>
              <w:t xml:space="preserve"> i alt</w:t>
            </w:r>
          </w:p>
        </w:tc>
        <w:tc>
          <w:tcPr>
            <w:tcW w:w="1180" w:type="dxa"/>
            <w:tcBorders>
              <w:top w:val="nil"/>
              <w:left w:val="nil"/>
              <w:bottom w:val="single" w:sz="4" w:space="0" w:color="auto"/>
              <w:right w:val="nil"/>
            </w:tcBorders>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Ned-</w:t>
            </w:r>
            <w:r w:rsidRPr="00314D38">
              <w:rPr>
                <w:rFonts w:eastAsia="MS UI Gothic" w:cs="Arial"/>
                <w:sz w:val="20"/>
                <w:szCs w:val="20"/>
                <w:lang w:eastAsia="da-DK"/>
              </w:rPr>
              <w:br/>
              <w:t>skrevet værdi</w:t>
            </w: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1999</w:t>
            </w: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Jylland</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250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2002</w:t>
            </w: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Fyn</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300</w:t>
            </w:r>
          </w:p>
        </w:tc>
        <w:tc>
          <w:tcPr>
            <w:tcW w:w="1180" w:type="dxa"/>
            <w:tcBorders>
              <w:top w:val="nil"/>
              <w:left w:val="nil"/>
              <w:bottom w:val="nil"/>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0</w:t>
            </w: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988"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2005</w:t>
            </w:r>
          </w:p>
        </w:tc>
        <w:tc>
          <w:tcPr>
            <w:tcW w:w="1632"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Sjælland</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350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210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r>
      <w:tr w:rsidR="007A35E5" w:rsidRPr="00314D38" w:rsidTr="00314D38">
        <w:trPr>
          <w:trHeight w:val="285"/>
        </w:trPr>
        <w:tc>
          <w:tcPr>
            <w:tcW w:w="988"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632"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c>
          <w:tcPr>
            <w:tcW w:w="1180" w:type="dxa"/>
            <w:tcBorders>
              <w:top w:val="nil"/>
              <w:left w:val="nil"/>
              <w:bottom w:val="nil"/>
              <w:right w:val="nil"/>
            </w:tcBorders>
            <w:noWrap/>
            <w:vAlign w:val="bottom"/>
          </w:tcPr>
          <w:p w:rsidR="007A35E5" w:rsidRPr="00314D38" w:rsidRDefault="007A35E5" w:rsidP="00314D38">
            <w:pPr>
              <w:rPr>
                <w:rFonts w:eastAsia="MS UI Gothic" w:cs="Arial"/>
                <w:sz w:val="20"/>
                <w:szCs w:val="20"/>
                <w:lang w:eastAsia="da-DK"/>
              </w:rPr>
            </w:pPr>
          </w:p>
        </w:tc>
      </w:tr>
      <w:tr w:rsidR="007A35E5" w:rsidRPr="00314D38" w:rsidTr="00314D38">
        <w:trPr>
          <w:trHeight w:val="285"/>
        </w:trPr>
        <w:tc>
          <w:tcPr>
            <w:tcW w:w="988"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I alt</w:t>
            </w:r>
          </w:p>
        </w:tc>
        <w:tc>
          <w:tcPr>
            <w:tcW w:w="1632" w:type="dxa"/>
            <w:tcBorders>
              <w:top w:val="nil"/>
              <w:left w:val="nil"/>
              <w:bottom w:val="single" w:sz="4" w:space="0" w:color="auto"/>
              <w:right w:val="nil"/>
            </w:tcBorders>
            <w:noWrap/>
            <w:vAlign w:val="bottom"/>
          </w:tcPr>
          <w:p w:rsidR="007A35E5" w:rsidRPr="00314D38" w:rsidRDefault="007A35E5" w:rsidP="00314D38">
            <w:pPr>
              <w:rPr>
                <w:rFonts w:eastAsia="MS UI Gothic" w:cs="Arial"/>
                <w:sz w:val="20"/>
                <w:szCs w:val="20"/>
                <w:lang w:eastAsia="da-DK"/>
              </w:rPr>
            </w:pPr>
            <w:r w:rsidRPr="00314D38">
              <w:rPr>
                <w:rFonts w:eastAsia="MS UI Gothic" w:cs="Arial"/>
                <w:sz w:val="20"/>
                <w:szCs w:val="20"/>
                <w:lang w:eastAsia="da-DK"/>
              </w:rPr>
              <w:t> </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900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900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690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760</w:t>
            </w:r>
          </w:p>
        </w:tc>
        <w:tc>
          <w:tcPr>
            <w:tcW w:w="1180" w:type="dxa"/>
            <w:tcBorders>
              <w:top w:val="nil"/>
              <w:left w:val="nil"/>
              <w:bottom w:val="single" w:sz="4" w:space="0" w:color="auto"/>
              <w:right w:val="nil"/>
            </w:tcBorders>
            <w:noWrap/>
            <w:vAlign w:val="bottom"/>
          </w:tcPr>
          <w:p w:rsidR="007A35E5" w:rsidRPr="00314D38" w:rsidRDefault="007A35E5" w:rsidP="00314D38">
            <w:pPr>
              <w:jc w:val="right"/>
              <w:rPr>
                <w:rFonts w:eastAsia="MS UI Gothic" w:cs="Arial"/>
                <w:sz w:val="20"/>
                <w:szCs w:val="20"/>
                <w:lang w:eastAsia="da-DK"/>
              </w:rPr>
            </w:pPr>
            <w:r w:rsidRPr="00314D38">
              <w:rPr>
                <w:rFonts w:eastAsia="MS UI Gothic" w:cs="Arial"/>
                <w:sz w:val="20"/>
                <w:szCs w:val="20"/>
                <w:lang w:eastAsia="da-DK"/>
              </w:rPr>
              <w:t>140</w:t>
            </w:r>
          </w:p>
        </w:tc>
      </w:tr>
    </w:tbl>
    <w:p w:rsidR="007A35E5" w:rsidRDefault="007A35E5" w:rsidP="00314D38"/>
    <w:p w:rsidR="007A35E5" w:rsidRDefault="007B6A8F" w:rsidP="00314D38">
      <w:r>
        <w:t>Driftsmiddelsaldo udgør pr. 31.12.2007 t.</w:t>
      </w:r>
      <w:r w:rsidR="007A35E5">
        <w:t>DKK 183.</w:t>
      </w:r>
    </w:p>
    <w:p w:rsidR="007A35E5" w:rsidRDefault="007A35E5" w:rsidP="00314D38"/>
    <w:p w:rsidR="007A35E5" w:rsidRDefault="007B6A8F" w:rsidP="00314D38">
      <w:r>
        <w:t>Kapitalafkastgrundlaget pr. 31.12.2007 er t.</w:t>
      </w:r>
      <w:r w:rsidR="007A35E5">
        <w:t>DKK 1.774.</w:t>
      </w:r>
    </w:p>
    <w:p w:rsidR="007A35E5" w:rsidRDefault="007A35E5" w:rsidP="00314D38"/>
    <w:p w:rsidR="007A35E5" w:rsidRDefault="007A35E5" w:rsidP="00314D38">
      <w:r>
        <w:t>Indskudskonto ultimo 2007 er t.DKK 200.</w:t>
      </w:r>
    </w:p>
    <w:p w:rsidR="007A35E5" w:rsidRDefault="007A35E5" w:rsidP="00314D38"/>
    <w:p w:rsidR="007A35E5" w:rsidRDefault="007B6A8F" w:rsidP="00314D38">
      <w:r>
        <w:t>Konto for opsparet overskud udgør i alt pr. 31.12.2007 t.</w:t>
      </w:r>
      <w:r w:rsidR="007A35E5">
        <w:t>DKK 410.</w:t>
      </w:r>
    </w:p>
    <w:p w:rsidR="007A35E5" w:rsidRDefault="007A35E5" w:rsidP="00314D38"/>
    <w:p w:rsidR="00B951CC" w:rsidRDefault="00B951CC" w:rsidP="00B951CC">
      <w:pPr>
        <w:pStyle w:val="Overskrift1"/>
      </w:pPr>
      <w:bookmarkStart w:id="187" w:name="_Ref219213526"/>
      <w:bookmarkStart w:id="188" w:name="_Toc221546260"/>
      <w:r>
        <w:lastRenderedPageBreak/>
        <w:t xml:space="preserve">Bilag 2 – </w:t>
      </w:r>
      <w:r w:rsidR="001E379B">
        <w:t>G</w:t>
      </w:r>
      <w:r>
        <w:t>oodwill fordelt på interessenter ved overdragelse af ideel andel</w:t>
      </w:r>
      <w:bookmarkEnd w:id="187"/>
      <w:bookmarkEnd w:id="188"/>
    </w:p>
    <w:tbl>
      <w:tblPr>
        <w:tblW w:w="5000" w:type="pct"/>
        <w:tblCellMar>
          <w:left w:w="70" w:type="dxa"/>
          <w:right w:w="70" w:type="dxa"/>
        </w:tblCellMar>
        <w:tblLook w:val="0000"/>
      </w:tblPr>
      <w:tblGrid>
        <w:gridCol w:w="4361"/>
        <w:gridCol w:w="963"/>
        <w:gridCol w:w="908"/>
        <w:gridCol w:w="894"/>
        <w:gridCol w:w="759"/>
        <w:gridCol w:w="759"/>
      </w:tblGrid>
      <w:tr w:rsidR="00B951CC" w:rsidRPr="0020594D" w:rsidTr="00BB4C4B">
        <w:trPr>
          <w:trHeight w:val="360"/>
        </w:trPr>
        <w:tc>
          <w:tcPr>
            <w:tcW w:w="3605" w:type="pct"/>
            <w:gridSpan w:val="3"/>
            <w:tcBorders>
              <w:top w:val="nil"/>
              <w:left w:val="nil"/>
              <w:bottom w:val="nil"/>
              <w:right w:val="nil"/>
            </w:tcBorders>
            <w:noWrap/>
            <w:vAlign w:val="bottom"/>
          </w:tcPr>
          <w:p w:rsidR="00B951CC" w:rsidRDefault="00B951CC" w:rsidP="00BB4C4B">
            <w:pPr>
              <w:rPr>
                <w:rFonts w:cs="Arial"/>
                <w:sz w:val="20"/>
                <w:szCs w:val="20"/>
                <w:lang w:eastAsia="da-DK"/>
              </w:rPr>
            </w:pPr>
          </w:p>
          <w:p w:rsidR="00B951CC" w:rsidRPr="0020594D" w:rsidRDefault="00B951CC" w:rsidP="00BB4C4B">
            <w:pPr>
              <w:rPr>
                <w:rFonts w:cs="Arial"/>
                <w:sz w:val="20"/>
                <w:szCs w:val="20"/>
                <w:lang w:eastAsia="da-DK"/>
              </w:rPr>
            </w:pPr>
            <w:r w:rsidRPr="0020594D">
              <w:rPr>
                <w:rFonts w:cs="Arial"/>
                <w:sz w:val="20"/>
                <w:szCs w:val="20"/>
                <w:lang w:eastAsia="da-DK"/>
              </w:rPr>
              <w:t>Beregning af goodwill jf</w:t>
            </w:r>
            <w:r>
              <w:rPr>
                <w:rFonts w:cs="Arial"/>
                <w:sz w:val="20"/>
                <w:szCs w:val="20"/>
                <w:lang w:eastAsia="da-DK"/>
              </w:rPr>
              <w:t>.</w:t>
            </w:r>
            <w:r w:rsidRPr="0020594D">
              <w:rPr>
                <w:rFonts w:cs="Arial"/>
                <w:sz w:val="20"/>
                <w:szCs w:val="20"/>
                <w:lang w:eastAsia="da-DK"/>
              </w:rPr>
              <w:t xml:space="preserve"> TSS-cirkulære 2000-10</w:t>
            </w:r>
          </w:p>
        </w:tc>
        <w:tc>
          <w:tcPr>
            <w:tcW w:w="51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bottom w:val="single" w:sz="4" w:space="0" w:color="auto"/>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Beløb i t.DKK</w:t>
            </w:r>
          </w:p>
        </w:tc>
        <w:tc>
          <w:tcPr>
            <w:tcW w:w="55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2005</w:t>
            </w:r>
          </w:p>
        </w:tc>
        <w:tc>
          <w:tcPr>
            <w:tcW w:w="525"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2006</w:t>
            </w:r>
          </w:p>
        </w:tc>
        <w:tc>
          <w:tcPr>
            <w:tcW w:w="51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2007</w:t>
            </w: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Regnskabsmæssigt resultat</w:t>
            </w: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1.559</w:t>
            </w: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1.561</w:t>
            </w: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1.601</w:t>
            </w: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Finansielle indtægter</w:t>
            </w:r>
          </w:p>
        </w:tc>
        <w:tc>
          <w:tcPr>
            <w:tcW w:w="557" w:type="pct"/>
            <w:tcBorders>
              <w:top w:val="nil"/>
              <w:left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-40</w:t>
            </w:r>
          </w:p>
        </w:tc>
        <w:tc>
          <w:tcPr>
            <w:tcW w:w="525" w:type="pct"/>
            <w:tcBorders>
              <w:top w:val="nil"/>
              <w:left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-45</w:t>
            </w:r>
          </w:p>
        </w:tc>
        <w:tc>
          <w:tcPr>
            <w:tcW w:w="517" w:type="pct"/>
            <w:tcBorders>
              <w:top w:val="nil"/>
              <w:left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-50</w:t>
            </w: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bottom w:val="single" w:sz="4" w:space="0" w:color="auto"/>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Finansielle omkostninger</w:t>
            </w:r>
          </w:p>
        </w:tc>
        <w:tc>
          <w:tcPr>
            <w:tcW w:w="55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300</w:t>
            </w:r>
          </w:p>
        </w:tc>
        <w:tc>
          <w:tcPr>
            <w:tcW w:w="525"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300</w:t>
            </w:r>
          </w:p>
        </w:tc>
        <w:tc>
          <w:tcPr>
            <w:tcW w:w="51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300</w:t>
            </w: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single" w:sz="4" w:space="0" w:color="auto"/>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single" w:sz="4" w:space="0" w:color="auto"/>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single" w:sz="4" w:space="0" w:color="auto"/>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single" w:sz="4" w:space="0" w:color="auto"/>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single" w:sz="4" w:space="0" w:color="auto"/>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Reguleret resultat</w:t>
            </w:r>
          </w:p>
        </w:tc>
        <w:tc>
          <w:tcPr>
            <w:tcW w:w="55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1.819</w:t>
            </w:r>
          </w:p>
        </w:tc>
        <w:tc>
          <w:tcPr>
            <w:tcW w:w="525"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1.816</w:t>
            </w:r>
          </w:p>
        </w:tc>
        <w:tc>
          <w:tcPr>
            <w:tcW w:w="51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1.851</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Vægtning</w:t>
            </w: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w:t>
            </w: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2</w:t>
            </w: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3</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Vægtet gennemsnitsindtjening</w:t>
            </w: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1.834</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single" w:sz="4" w:space="0" w:color="auto"/>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Udviklingstendens</w:t>
            </w:r>
          </w:p>
        </w:tc>
        <w:tc>
          <w:tcPr>
            <w:tcW w:w="55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 </w:t>
            </w:r>
          </w:p>
        </w:tc>
        <w:tc>
          <w:tcPr>
            <w:tcW w:w="525"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 </w:t>
            </w:r>
          </w:p>
        </w:tc>
        <w:tc>
          <w:tcPr>
            <w:tcW w:w="51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16</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b/>
                <w:sz w:val="20"/>
                <w:szCs w:val="20"/>
                <w:lang w:eastAsia="da-DK"/>
              </w:rPr>
            </w:pPr>
            <w:r w:rsidRPr="0020594D">
              <w:rPr>
                <w:rFonts w:cs="Arial"/>
                <w:b/>
                <w:sz w:val="20"/>
                <w:szCs w:val="20"/>
                <w:lang w:eastAsia="da-DK"/>
              </w:rPr>
              <w:t>A</w:t>
            </w:r>
          </w:p>
        </w:tc>
        <w:tc>
          <w:tcPr>
            <w:tcW w:w="439" w:type="pct"/>
            <w:tcBorders>
              <w:top w:val="nil"/>
              <w:left w:val="nil"/>
              <w:bottom w:val="nil"/>
              <w:right w:val="nil"/>
            </w:tcBorders>
            <w:noWrap/>
            <w:vAlign w:val="bottom"/>
          </w:tcPr>
          <w:p w:rsidR="00B951CC" w:rsidRPr="0020594D" w:rsidRDefault="00B951CC" w:rsidP="00BB4C4B">
            <w:pPr>
              <w:jc w:val="right"/>
              <w:rPr>
                <w:rFonts w:cs="Arial"/>
                <w:b/>
                <w:sz w:val="20"/>
                <w:szCs w:val="20"/>
                <w:lang w:eastAsia="da-DK"/>
              </w:rPr>
            </w:pPr>
            <w:r w:rsidRPr="0020594D">
              <w:rPr>
                <w:rFonts w:cs="Arial"/>
                <w:b/>
                <w:sz w:val="20"/>
                <w:szCs w:val="20"/>
                <w:lang w:eastAsia="da-DK"/>
              </w:rPr>
              <w:t>B</w:t>
            </w: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1.850</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925</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925</w:t>
            </w:r>
          </w:p>
        </w:tc>
      </w:tr>
      <w:tr w:rsidR="00B951CC" w:rsidRPr="0020594D" w:rsidTr="00BB4C4B">
        <w:trPr>
          <w:trHeight w:val="360"/>
        </w:trPr>
        <w:tc>
          <w:tcPr>
            <w:tcW w:w="3080" w:type="pct"/>
            <w:gridSpan w:val="2"/>
            <w:tcBorders>
              <w:top w:val="nil"/>
              <w:left w:val="nil"/>
              <w:bottom w:val="single" w:sz="4" w:space="0" w:color="auto"/>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Driftsherreløn, 50 % (min 250 - max 1.000)</w:t>
            </w:r>
          </w:p>
        </w:tc>
        <w:tc>
          <w:tcPr>
            <w:tcW w:w="525"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 </w:t>
            </w:r>
          </w:p>
        </w:tc>
        <w:tc>
          <w:tcPr>
            <w:tcW w:w="51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-925</w:t>
            </w:r>
          </w:p>
        </w:tc>
        <w:tc>
          <w:tcPr>
            <w:tcW w:w="439"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-463</w:t>
            </w:r>
          </w:p>
        </w:tc>
        <w:tc>
          <w:tcPr>
            <w:tcW w:w="439"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-463</w:t>
            </w: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925</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462</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462</w:t>
            </w:r>
          </w:p>
        </w:tc>
      </w:tr>
      <w:tr w:rsidR="00B951CC" w:rsidRPr="0020594D" w:rsidTr="00BB4C4B">
        <w:trPr>
          <w:trHeight w:val="360"/>
        </w:trPr>
        <w:tc>
          <w:tcPr>
            <w:tcW w:w="3080" w:type="pct"/>
            <w:gridSpan w:val="2"/>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Forrentning af virksomhedens aktiver</w:t>
            </w:r>
          </w:p>
        </w:tc>
        <w:tc>
          <w:tcPr>
            <w:tcW w:w="525"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bortset fra goodwill og likvider</w:t>
            </w:r>
          </w:p>
        </w:tc>
        <w:tc>
          <w:tcPr>
            <w:tcW w:w="55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kapitalafkastsats + 3 %</w:t>
            </w:r>
          </w:p>
        </w:tc>
        <w:tc>
          <w:tcPr>
            <w:tcW w:w="55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Aktiver i alt eks. likvider</w:t>
            </w: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8.290</w:t>
            </w: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single" w:sz="4" w:space="0" w:color="auto"/>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Rentesats</w:t>
            </w:r>
          </w:p>
        </w:tc>
        <w:tc>
          <w:tcPr>
            <w:tcW w:w="55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8</w:t>
            </w:r>
          </w:p>
        </w:tc>
        <w:tc>
          <w:tcPr>
            <w:tcW w:w="525"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w:t>
            </w:r>
          </w:p>
        </w:tc>
        <w:tc>
          <w:tcPr>
            <w:tcW w:w="517" w:type="pct"/>
            <w:tcBorders>
              <w:top w:val="nil"/>
              <w:left w:val="nil"/>
              <w:bottom w:val="single" w:sz="4" w:space="0" w:color="auto"/>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-663</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-332</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-332</w:t>
            </w: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Rest til forrentning af goodwill</w:t>
            </w: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262</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130</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130</w:t>
            </w: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Levetid</w:t>
            </w: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6</w:t>
            </w: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år</w:t>
            </w: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rentesats; kapitalafkastsats+8 %</w:t>
            </w: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13</w:t>
            </w: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w:t>
            </w: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r>
      <w:tr w:rsidR="00B951CC" w:rsidRPr="0020594D" w:rsidTr="00BB4C4B">
        <w:trPr>
          <w:trHeight w:val="360"/>
        </w:trPr>
        <w:tc>
          <w:tcPr>
            <w:tcW w:w="2523" w:type="pct"/>
            <w:tcBorders>
              <w:top w:val="nil"/>
              <w:left w:val="nil"/>
              <w:bottom w:val="nil"/>
              <w:right w:val="nil"/>
            </w:tcBorders>
            <w:noWrap/>
            <w:vAlign w:val="bottom"/>
          </w:tcPr>
          <w:p w:rsidR="00B951CC" w:rsidRPr="0020594D" w:rsidRDefault="00B951CC" w:rsidP="00BB4C4B">
            <w:pPr>
              <w:rPr>
                <w:rFonts w:cs="Arial"/>
                <w:sz w:val="20"/>
                <w:szCs w:val="20"/>
                <w:lang w:eastAsia="da-DK"/>
              </w:rPr>
            </w:pPr>
            <w:r w:rsidRPr="0020594D">
              <w:rPr>
                <w:rFonts w:cs="Arial"/>
                <w:sz w:val="20"/>
                <w:szCs w:val="20"/>
                <w:lang w:eastAsia="da-DK"/>
              </w:rPr>
              <w:t>Kapitaliseringsfaktor</w:t>
            </w:r>
          </w:p>
        </w:tc>
        <w:tc>
          <w:tcPr>
            <w:tcW w:w="55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p>
        </w:tc>
        <w:tc>
          <w:tcPr>
            <w:tcW w:w="525"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2,23</w:t>
            </w:r>
          </w:p>
        </w:tc>
        <w:tc>
          <w:tcPr>
            <w:tcW w:w="517"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584</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290</w:t>
            </w:r>
          </w:p>
        </w:tc>
        <w:tc>
          <w:tcPr>
            <w:tcW w:w="439" w:type="pct"/>
            <w:tcBorders>
              <w:top w:val="nil"/>
              <w:left w:val="nil"/>
              <w:bottom w:val="nil"/>
              <w:right w:val="nil"/>
            </w:tcBorders>
            <w:noWrap/>
            <w:vAlign w:val="bottom"/>
          </w:tcPr>
          <w:p w:rsidR="00B951CC" w:rsidRPr="0020594D" w:rsidRDefault="00B951CC" w:rsidP="00BB4C4B">
            <w:pPr>
              <w:jc w:val="right"/>
              <w:rPr>
                <w:rFonts w:cs="Arial"/>
                <w:sz w:val="20"/>
                <w:szCs w:val="20"/>
                <w:lang w:eastAsia="da-DK"/>
              </w:rPr>
            </w:pPr>
            <w:r w:rsidRPr="0020594D">
              <w:rPr>
                <w:rFonts w:cs="Arial"/>
                <w:sz w:val="20"/>
                <w:szCs w:val="20"/>
                <w:lang w:eastAsia="da-DK"/>
              </w:rPr>
              <w:t>290</w:t>
            </w:r>
          </w:p>
        </w:tc>
      </w:tr>
    </w:tbl>
    <w:p w:rsidR="00B951CC" w:rsidRDefault="00B951CC" w:rsidP="00314D38"/>
    <w:p w:rsidR="007A35E5" w:rsidRPr="002844F1" w:rsidRDefault="005A2694" w:rsidP="009C29AF">
      <w:pPr>
        <w:pStyle w:val="Overskrift1"/>
      </w:pPr>
      <w:bookmarkStart w:id="189" w:name="_Ref218748562"/>
      <w:bookmarkStart w:id="190" w:name="_Toc221546261"/>
      <w:r>
        <w:lastRenderedPageBreak/>
        <w:t xml:space="preserve">Bilag </w:t>
      </w:r>
      <w:r w:rsidR="00B951CC">
        <w:t>3</w:t>
      </w:r>
      <w:r w:rsidR="007A35E5">
        <w:t xml:space="preserve"> – Ejendomsavanceopgørelse ved beskattet overdragelse</w:t>
      </w:r>
      <w:bookmarkEnd w:id="189"/>
      <w:bookmarkEnd w:id="190"/>
    </w:p>
    <w:tbl>
      <w:tblPr>
        <w:tblW w:w="5000" w:type="pct"/>
        <w:tblCellMar>
          <w:left w:w="70" w:type="dxa"/>
          <w:right w:w="70" w:type="dxa"/>
        </w:tblCellMar>
        <w:tblLook w:val="0000"/>
      </w:tblPr>
      <w:tblGrid>
        <w:gridCol w:w="3999"/>
        <w:gridCol w:w="1549"/>
        <w:gridCol w:w="1549"/>
        <w:gridCol w:w="1547"/>
      </w:tblGrid>
      <w:tr w:rsidR="007A35E5" w:rsidRPr="009C29AF" w:rsidTr="009C29AF">
        <w:trPr>
          <w:trHeight w:val="315"/>
        </w:trPr>
        <w:tc>
          <w:tcPr>
            <w:tcW w:w="2313" w:type="pct"/>
            <w:tcBorders>
              <w:top w:val="nil"/>
              <w:left w:val="nil"/>
              <w:bottom w:val="nil"/>
              <w:right w:val="nil"/>
            </w:tcBorders>
            <w:noWrap/>
            <w:vAlign w:val="bottom"/>
          </w:tcPr>
          <w:p w:rsidR="007A35E5" w:rsidRPr="009C29AF" w:rsidRDefault="007B6A8F" w:rsidP="009C29AF">
            <w:pPr>
              <w:spacing w:line="240" w:lineRule="auto"/>
              <w:jc w:val="left"/>
              <w:rPr>
                <w:rFonts w:cs="Arial"/>
                <w:sz w:val="20"/>
                <w:szCs w:val="20"/>
                <w:lang w:eastAsia="da-DK"/>
              </w:rPr>
            </w:pPr>
            <w:r w:rsidRPr="009C29AF">
              <w:rPr>
                <w:rFonts w:cs="Arial"/>
                <w:sz w:val="20"/>
                <w:szCs w:val="20"/>
                <w:lang w:eastAsia="da-DK"/>
              </w:rPr>
              <w:t>Salgssum</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1.743</w:t>
            </w:r>
          </w:p>
        </w:tc>
      </w:tr>
      <w:tr w:rsidR="007A35E5" w:rsidRPr="009C29AF" w:rsidTr="009C29AF">
        <w:trPr>
          <w:trHeight w:val="315"/>
        </w:trPr>
        <w:tc>
          <w:tcPr>
            <w:tcW w:w="2313"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grund heraf</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75</w:t>
            </w: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Salgssum for bygning</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1.668</w:t>
            </w: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3209" w:type="pct"/>
            <w:gridSpan w:val="2"/>
            <w:tcBorders>
              <w:top w:val="nil"/>
              <w:left w:val="nil"/>
              <w:bottom w:val="nil"/>
              <w:right w:val="nil"/>
            </w:tcBorders>
            <w:noWrap/>
            <w:vAlign w:val="bottom"/>
          </w:tcPr>
          <w:p w:rsidR="007A35E5" w:rsidRPr="009C29AF" w:rsidRDefault="007B6A8F" w:rsidP="009C29AF">
            <w:pPr>
              <w:spacing w:line="240" w:lineRule="auto"/>
              <w:jc w:val="left"/>
              <w:rPr>
                <w:rFonts w:cs="Arial"/>
                <w:sz w:val="20"/>
                <w:szCs w:val="20"/>
                <w:lang w:eastAsia="da-DK"/>
              </w:rPr>
            </w:pPr>
            <w:r w:rsidRPr="009C29AF">
              <w:rPr>
                <w:rFonts w:cs="Arial"/>
                <w:sz w:val="20"/>
                <w:szCs w:val="20"/>
                <w:lang w:eastAsia="da-DK"/>
              </w:rPr>
              <w:t>Anskaffelsessum</w:t>
            </w:r>
            <w:r w:rsidR="007A35E5" w:rsidRPr="009C29AF">
              <w:rPr>
                <w:rFonts w:cs="Arial"/>
                <w:sz w:val="20"/>
                <w:szCs w:val="20"/>
                <w:lang w:eastAsia="da-DK"/>
              </w:rPr>
              <w:t xml:space="preserve"> for bygninger</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1994</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1360</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2000</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532</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2005</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155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2047</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Foretagne afskrivninger</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1188</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nedskreven værdi</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859</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4104" w:type="pct"/>
            <w:gridSpan w:val="3"/>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b/>
                <w:bCs/>
                <w:sz w:val="20"/>
                <w:szCs w:val="20"/>
                <w:lang w:eastAsia="da-DK"/>
              </w:rPr>
            </w:pPr>
            <w:r w:rsidRPr="009C29AF">
              <w:rPr>
                <w:rFonts w:cs="Arial"/>
                <w:b/>
                <w:bCs/>
                <w:sz w:val="20"/>
                <w:szCs w:val="20"/>
                <w:lang w:eastAsia="da-DK"/>
              </w:rPr>
              <w:t>Forskel = genvundne afskrivninger</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b/>
                <w:bCs/>
                <w:sz w:val="20"/>
                <w:szCs w:val="20"/>
                <w:lang w:eastAsia="da-DK"/>
              </w:rPr>
            </w:pPr>
            <w:r w:rsidRPr="009C29AF">
              <w:rPr>
                <w:rFonts w:cs="Arial"/>
                <w:b/>
                <w:bCs/>
                <w:sz w:val="20"/>
                <w:szCs w:val="20"/>
                <w:lang w:eastAsia="da-DK"/>
              </w:rPr>
              <w:t>809</w:t>
            </w:r>
          </w:p>
        </w:tc>
      </w:tr>
      <w:tr w:rsidR="007A35E5" w:rsidRPr="009C29AF" w:rsidTr="009C29AF">
        <w:trPr>
          <w:trHeight w:val="315"/>
        </w:trPr>
        <w:tc>
          <w:tcPr>
            <w:tcW w:w="2313"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b/>
                <w:bCs/>
                <w:sz w:val="20"/>
                <w:szCs w:val="20"/>
                <w:lang w:eastAsia="da-DK"/>
              </w:rPr>
            </w:pPr>
            <w:r w:rsidRPr="009C29AF">
              <w:rPr>
                <w:rFonts w:cs="Arial"/>
                <w:b/>
                <w:bCs/>
                <w:sz w:val="20"/>
                <w:szCs w:val="20"/>
                <w:lang w:eastAsia="da-DK"/>
              </w:rPr>
              <w:t xml:space="preserve">Til beskatning, </w:t>
            </w:r>
            <w:r w:rsidR="007B6A8F" w:rsidRPr="009C29AF">
              <w:rPr>
                <w:rFonts w:cs="Arial"/>
                <w:b/>
                <w:bCs/>
                <w:sz w:val="20"/>
                <w:szCs w:val="20"/>
                <w:lang w:eastAsia="da-DK"/>
              </w:rPr>
              <w:t>90 %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b/>
                <w:bCs/>
                <w:sz w:val="20"/>
                <w:szCs w:val="20"/>
                <w:lang w:eastAsia="da-DK"/>
              </w:rPr>
            </w:pPr>
            <w:r w:rsidRPr="009C29AF">
              <w:rPr>
                <w:rFonts w:cs="Arial"/>
                <w:b/>
                <w:bCs/>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b/>
                <w:bCs/>
                <w:sz w:val="20"/>
                <w:szCs w:val="20"/>
                <w:lang w:eastAsia="da-DK"/>
              </w:rPr>
            </w:pPr>
            <w:r w:rsidRPr="009C29AF">
              <w:rPr>
                <w:rFonts w:cs="Arial"/>
                <w:b/>
                <w:bCs/>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b/>
                <w:bCs/>
                <w:sz w:val="20"/>
                <w:szCs w:val="20"/>
                <w:lang w:eastAsia="da-DK"/>
              </w:rPr>
            </w:pPr>
            <w:r w:rsidRPr="009C29AF">
              <w:rPr>
                <w:rFonts w:cs="Arial"/>
                <w:b/>
                <w:bCs/>
                <w:sz w:val="20"/>
                <w:szCs w:val="20"/>
                <w:lang w:eastAsia="da-DK"/>
              </w:rPr>
              <w:t>728</w:t>
            </w:r>
          </w:p>
        </w:tc>
      </w:tr>
      <w:tr w:rsidR="007A35E5" w:rsidRPr="009C29AF" w:rsidTr="009C29AF">
        <w:trPr>
          <w:trHeight w:val="315"/>
        </w:trPr>
        <w:tc>
          <w:tcPr>
            <w:tcW w:w="3209" w:type="pct"/>
            <w:gridSpan w:val="2"/>
            <w:tcBorders>
              <w:top w:val="nil"/>
              <w:left w:val="nil"/>
              <w:bottom w:val="nil"/>
              <w:right w:val="nil"/>
            </w:tcBorders>
            <w:noWrap/>
            <w:vAlign w:val="bottom"/>
          </w:tcPr>
          <w:p w:rsidR="007A35E5" w:rsidRPr="009C29AF" w:rsidRDefault="007A35E5" w:rsidP="009C29AF">
            <w:pPr>
              <w:spacing w:line="240" w:lineRule="auto"/>
              <w:jc w:val="left"/>
              <w:rPr>
                <w:rFonts w:cs="Arial"/>
                <w:b/>
                <w:bCs/>
                <w:sz w:val="20"/>
                <w:szCs w:val="20"/>
                <w:lang w:eastAsia="da-DK"/>
              </w:rPr>
            </w:pPr>
            <w:r w:rsidRPr="009C29AF">
              <w:rPr>
                <w:rFonts w:cs="Arial"/>
                <w:b/>
                <w:bCs/>
                <w:sz w:val="20"/>
                <w:szCs w:val="20"/>
                <w:lang w:eastAsia="da-DK"/>
              </w:rPr>
              <w:t>Ej genvundne afskrivninger</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b/>
                <w:bCs/>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b/>
                <w:bCs/>
                <w:sz w:val="20"/>
                <w:szCs w:val="20"/>
                <w:lang w:eastAsia="da-DK"/>
              </w:rPr>
            </w:pPr>
            <w:r w:rsidRPr="009C29AF">
              <w:rPr>
                <w:rFonts w:cs="Arial"/>
                <w:b/>
                <w:bCs/>
                <w:sz w:val="20"/>
                <w:szCs w:val="20"/>
                <w:lang w:eastAsia="da-DK"/>
              </w:rPr>
              <w:t>380</w:t>
            </w: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b/>
                <w:bCs/>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b/>
                <w:bCs/>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b/>
                <w:bCs/>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b/>
                <w:bCs/>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Ejendomsavance</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EE706C" w:rsidP="009C29AF">
            <w:pPr>
              <w:spacing w:line="240" w:lineRule="auto"/>
              <w:jc w:val="left"/>
              <w:rPr>
                <w:rFonts w:cs="Arial"/>
                <w:sz w:val="20"/>
                <w:szCs w:val="20"/>
                <w:lang w:eastAsia="da-DK"/>
              </w:rPr>
            </w:pPr>
            <w:r w:rsidRPr="009C29AF">
              <w:rPr>
                <w:rFonts w:cs="Arial"/>
                <w:sz w:val="20"/>
                <w:szCs w:val="20"/>
                <w:lang w:eastAsia="da-DK"/>
              </w:rPr>
              <w:t>A</w:t>
            </w:r>
            <w:r w:rsidR="007A35E5" w:rsidRPr="009C29AF">
              <w:rPr>
                <w:rFonts w:cs="Arial"/>
                <w:sz w:val="20"/>
                <w:szCs w:val="20"/>
                <w:lang w:eastAsia="da-DK"/>
              </w:rPr>
              <w:t>nskaffelsessum</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1994</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1500</w:t>
            </w: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andel af 10.000-tillæg</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1995</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1996</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1997</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1998</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1999</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600</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2000</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2001</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2002</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2003</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2004</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250</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2005</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5</w:t>
            </w: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2006</w:t>
            </w: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900</w:t>
            </w: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3209" w:type="pct"/>
            <w:gridSpan w:val="2"/>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ej genvundne afskrivninger</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-380</w:t>
            </w: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3209" w:type="pct"/>
            <w:gridSpan w:val="2"/>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Reguleret anskaffelsessum</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2.021</w:t>
            </w: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2313"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Faktisk afståelsessum</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sz w:val="20"/>
                <w:szCs w:val="20"/>
                <w:lang w:eastAsia="da-DK"/>
              </w:rPr>
            </w:pPr>
            <w:r w:rsidRPr="009C29AF">
              <w:rPr>
                <w:rFonts w:cs="Arial"/>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sz w:val="20"/>
                <w:szCs w:val="20"/>
                <w:lang w:eastAsia="da-DK"/>
              </w:rPr>
            </w:pPr>
            <w:r w:rsidRPr="009C29AF">
              <w:rPr>
                <w:rFonts w:cs="Arial"/>
                <w:sz w:val="20"/>
                <w:szCs w:val="20"/>
                <w:lang w:eastAsia="da-DK"/>
              </w:rPr>
              <w:t>1.743</w:t>
            </w:r>
          </w:p>
        </w:tc>
      </w:tr>
      <w:tr w:rsidR="007A35E5" w:rsidRPr="009C29AF" w:rsidTr="009C29AF">
        <w:trPr>
          <w:trHeight w:val="315"/>
        </w:trPr>
        <w:tc>
          <w:tcPr>
            <w:tcW w:w="2313"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c>
          <w:tcPr>
            <w:tcW w:w="896" w:type="pct"/>
            <w:tcBorders>
              <w:top w:val="nil"/>
              <w:left w:val="nil"/>
              <w:bottom w:val="nil"/>
              <w:right w:val="nil"/>
            </w:tcBorders>
            <w:noWrap/>
            <w:vAlign w:val="bottom"/>
          </w:tcPr>
          <w:p w:rsidR="007A35E5" w:rsidRPr="009C29AF" w:rsidRDefault="007A35E5" w:rsidP="009C29AF">
            <w:pPr>
              <w:spacing w:line="240" w:lineRule="auto"/>
              <w:jc w:val="left"/>
              <w:rPr>
                <w:rFonts w:cs="Arial"/>
                <w:sz w:val="20"/>
                <w:szCs w:val="20"/>
                <w:lang w:eastAsia="da-DK"/>
              </w:rPr>
            </w:pPr>
          </w:p>
        </w:tc>
      </w:tr>
      <w:tr w:rsidR="007A35E5" w:rsidRPr="009C29AF" w:rsidTr="009C29AF">
        <w:trPr>
          <w:trHeight w:val="315"/>
        </w:trPr>
        <w:tc>
          <w:tcPr>
            <w:tcW w:w="3209" w:type="pct"/>
            <w:gridSpan w:val="2"/>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b/>
                <w:bCs/>
                <w:sz w:val="20"/>
                <w:szCs w:val="20"/>
                <w:lang w:eastAsia="da-DK"/>
              </w:rPr>
            </w:pPr>
            <w:r w:rsidRPr="009C29AF">
              <w:rPr>
                <w:rFonts w:cs="Arial"/>
                <w:b/>
                <w:bCs/>
                <w:sz w:val="20"/>
                <w:szCs w:val="20"/>
                <w:lang w:eastAsia="da-DK"/>
              </w:rPr>
              <w:t>Ejendomsavance (negativ)</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left"/>
              <w:rPr>
                <w:rFonts w:cs="Arial"/>
                <w:b/>
                <w:bCs/>
                <w:sz w:val="20"/>
                <w:szCs w:val="20"/>
                <w:lang w:eastAsia="da-DK"/>
              </w:rPr>
            </w:pPr>
            <w:r w:rsidRPr="009C29AF">
              <w:rPr>
                <w:rFonts w:cs="Arial"/>
                <w:b/>
                <w:bCs/>
                <w:sz w:val="20"/>
                <w:szCs w:val="20"/>
                <w:lang w:eastAsia="da-DK"/>
              </w:rPr>
              <w:t> </w:t>
            </w:r>
          </w:p>
        </w:tc>
        <w:tc>
          <w:tcPr>
            <w:tcW w:w="896" w:type="pct"/>
            <w:tcBorders>
              <w:top w:val="nil"/>
              <w:left w:val="nil"/>
              <w:bottom w:val="single" w:sz="4" w:space="0" w:color="auto"/>
              <w:right w:val="nil"/>
            </w:tcBorders>
            <w:noWrap/>
            <w:vAlign w:val="bottom"/>
          </w:tcPr>
          <w:p w:rsidR="007A35E5" w:rsidRPr="009C29AF" w:rsidRDefault="007A35E5" w:rsidP="009C29AF">
            <w:pPr>
              <w:spacing w:line="240" w:lineRule="auto"/>
              <w:jc w:val="right"/>
              <w:rPr>
                <w:rFonts w:cs="Arial"/>
                <w:b/>
                <w:bCs/>
                <w:sz w:val="20"/>
                <w:szCs w:val="20"/>
                <w:lang w:eastAsia="da-DK"/>
              </w:rPr>
            </w:pPr>
            <w:r w:rsidRPr="009C29AF">
              <w:rPr>
                <w:rFonts w:cs="Arial"/>
                <w:b/>
                <w:bCs/>
                <w:sz w:val="20"/>
                <w:szCs w:val="20"/>
                <w:lang w:eastAsia="da-DK"/>
              </w:rPr>
              <w:t>-278</w:t>
            </w:r>
          </w:p>
        </w:tc>
      </w:tr>
    </w:tbl>
    <w:p w:rsidR="007A35E5" w:rsidRDefault="007A35E5" w:rsidP="00AF4FDF"/>
    <w:p w:rsidR="007A35E5" w:rsidRDefault="005A2694" w:rsidP="0030648A">
      <w:pPr>
        <w:pStyle w:val="Overskrift1"/>
      </w:pPr>
      <w:bookmarkStart w:id="191" w:name="_Ref218748650"/>
      <w:bookmarkStart w:id="192" w:name="_Ref218748664"/>
      <w:bookmarkStart w:id="193" w:name="_Toc221546262"/>
      <w:r>
        <w:t xml:space="preserve">Bilag </w:t>
      </w:r>
      <w:r w:rsidR="00B951CC">
        <w:t>4</w:t>
      </w:r>
      <w:r w:rsidR="007A35E5">
        <w:t xml:space="preserve"> – Ejendomsavanceopgørelse ved optagelse af interessent</w:t>
      </w:r>
      <w:bookmarkEnd w:id="191"/>
      <w:bookmarkEnd w:id="192"/>
      <w:bookmarkEnd w:id="193"/>
    </w:p>
    <w:tbl>
      <w:tblPr>
        <w:tblW w:w="5000" w:type="pct"/>
        <w:tblCellMar>
          <w:left w:w="70" w:type="dxa"/>
          <w:right w:w="70" w:type="dxa"/>
        </w:tblCellMar>
        <w:tblLook w:val="0000"/>
      </w:tblPr>
      <w:tblGrid>
        <w:gridCol w:w="1173"/>
        <w:gridCol w:w="1172"/>
        <w:gridCol w:w="1172"/>
        <w:gridCol w:w="1172"/>
        <w:gridCol w:w="1172"/>
        <w:gridCol w:w="1172"/>
        <w:gridCol w:w="439"/>
        <w:gridCol w:w="1172"/>
      </w:tblGrid>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b/>
                <w:bCs/>
                <w:sz w:val="20"/>
                <w:szCs w:val="20"/>
                <w:lang w:eastAsia="da-DK"/>
              </w:rPr>
            </w:pPr>
            <w:r w:rsidRPr="00E0796A">
              <w:rPr>
                <w:rFonts w:cs="Arial"/>
                <w:b/>
                <w:bCs/>
                <w:sz w:val="20"/>
                <w:szCs w:val="20"/>
                <w:lang w:eastAsia="da-DK"/>
              </w:rPr>
              <w:t>A</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b/>
                <w:bCs/>
                <w:sz w:val="20"/>
                <w:szCs w:val="20"/>
                <w:lang w:eastAsia="da-DK"/>
              </w:rPr>
            </w:pPr>
            <w:r w:rsidRPr="00E0796A">
              <w:rPr>
                <w:rFonts w:cs="Arial"/>
                <w:b/>
                <w:bCs/>
                <w:sz w:val="20"/>
                <w:szCs w:val="20"/>
                <w:lang w:eastAsia="da-DK"/>
              </w:rPr>
              <w:t>B</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b/>
                <w:bCs/>
                <w:sz w:val="20"/>
                <w:szCs w:val="20"/>
                <w:lang w:eastAsia="da-DK"/>
              </w:rPr>
            </w:pPr>
            <w:r w:rsidRPr="00E0796A">
              <w:rPr>
                <w:rFonts w:cs="Arial"/>
                <w:b/>
                <w:bCs/>
                <w:sz w:val="20"/>
                <w:szCs w:val="20"/>
                <w:lang w:eastAsia="da-DK"/>
              </w:rPr>
              <w:t>I alt</w:t>
            </w:r>
          </w:p>
        </w:tc>
      </w:tr>
      <w:tr w:rsidR="007A35E5" w:rsidRPr="00E0796A" w:rsidTr="00E0796A">
        <w:trPr>
          <w:trHeight w:val="255"/>
        </w:trPr>
        <w:tc>
          <w:tcPr>
            <w:tcW w:w="2034" w:type="pct"/>
            <w:gridSpan w:val="3"/>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Opgørelse af anskaffelsessummer</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Kostpris</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2.350</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2.350</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4.700</w:t>
            </w:r>
          </w:p>
        </w:tc>
      </w:tr>
      <w:tr w:rsidR="007A35E5" w:rsidRPr="00E0796A" w:rsidTr="00E0796A">
        <w:trPr>
          <w:trHeight w:val="255"/>
        </w:trPr>
        <w:tc>
          <w:tcPr>
            <w:tcW w:w="1356" w:type="pct"/>
            <w:gridSpan w:val="2"/>
            <w:tcBorders>
              <w:top w:val="nil"/>
              <w:left w:val="nil"/>
              <w:bottom w:val="nil"/>
              <w:right w:val="nil"/>
            </w:tcBorders>
            <w:noWrap/>
            <w:vAlign w:val="bottom"/>
          </w:tcPr>
          <w:p w:rsidR="007A35E5" w:rsidRPr="00E0796A" w:rsidRDefault="00EE706C" w:rsidP="00E0796A">
            <w:pPr>
              <w:spacing w:line="240" w:lineRule="auto"/>
              <w:jc w:val="left"/>
              <w:rPr>
                <w:rFonts w:cs="Arial"/>
                <w:sz w:val="20"/>
                <w:szCs w:val="20"/>
                <w:lang w:eastAsia="da-DK"/>
              </w:rPr>
            </w:pPr>
            <w:r w:rsidRPr="00E0796A">
              <w:rPr>
                <w:rFonts w:cs="Arial"/>
                <w:sz w:val="20"/>
                <w:szCs w:val="20"/>
                <w:lang w:eastAsia="da-DK"/>
              </w:rPr>
              <w:t>S</w:t>
            </w:r>
            <w:r w:rsidR="007A35E5" w:rsidRPr="00E0796A">
              <w:rPr>
                <w:rFonts w:cs="Arial"/>
                <w:sz w:val="20"/>
                <w:szCs w:val="20"/>
                <w:lang w:eastAsia="da-DK"/>
              </w:rPr>
              <w:t>traksfradrag</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-163</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-163</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-326</w:t>
            </w:r>
          </w:p>
        </w:tc>
      </w:tr>
      <w:tr w:rsidR="007A35E5" w:rsidRPr="00E0796A" w:rsidTr="00E0796A">
        <w:trPr>
          <w:trHeight w:val="255"/>
        </w:trPr>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Grund</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-140</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-140</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-280</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2.047</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2.047</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4.094</w:t>
            </w:r>
          </w:p>
        </w:tc>
      </w:tr>
      <w:tr w:rsidR="007A35E5" w:rsidRPr="00E0796A" w:rsidTr="00E0796A">
        <w:trPr>
          <w:trHeight w:val="255"/>
        </w:trPr>
        <w:tc>
          <w:tcPr>
            <w:tcW w:w="2034" w:type="pct"/>
            <w:gridSpan w:val="3"/>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Foretagne afskrivninger</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-1.188</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-1.188</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-2.376</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1356" w:type="pct"/>
            <w:gridSpan w:val="2"/>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Nedskreven værdi</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859</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859</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1.718</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1356" w:type="pct"/>
            <w:gridSpan w:val="2"/>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Afståelsessum:</w:t>
            </w:r>
          </w:p>
        </w:tc>
        <w:tc>
          <w:tcPr>
            <w:tcW w:w="678" w:type="pct"/>
            <w:tcBorders>
              <w:top w:val="nil"/>
              <w:left w:val="nil"/>
              <w:bottom w:val="single" w:sz="4" w:space="0" w:color="auto"/>
              <w:right w:val="nil"/>
            </w:tcBorders>
            <w:noWrap/>
            <w:vAlign w:val="bottom"/>
          </w:tcPr>
          <w:p w:rsidR="007A35E5" w:rsidRPr="00E0796A" w:rsidRDefault="007B6A8F" w:rsidP="00E0796A">
            <w:pPr>
              <w:spacing w:line="240" w:lineRule="auto"/>
              <w:jc w:val="right"/>
              <w:rPr>
                <w:rFonts w:cs="Arial"/>
                <w:sz w:val="20"/>
                <w:szCs w:val="20"/>
                <w:lang w:eastAsia="da-DK"/>
              </w:rPr>
            </w:pPr>
            <w:r w:rsidRPr="00E0796A">
              <w:rPr>
                <w:rFonts w:cs="Arial"/>
                <w:sz w:val="20"/>
                <w:szCs w:val="20"/>
                <w:lang w:eastAsia="da-DK"/>
              </w:rPr>
              <w:t>100 %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1/3</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1356" w:type="pct"/>
            <w:gridSpan w:val="2"/>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Handelsværdi</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5.000</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1.667</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1356" w:type="pct"/>
            <w:gridSpan w:val="2"/>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Grund heraf</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150</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50</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b/>
                <w:bCs/>
                <w:sz w:val="20"/>
                <w:szCs w:val="20"/>
                <w:lang w:eastAsia="da-DK"/>
              </w:rPr>
            </w:pPr>
            <w:r w:rsidRPr="00E0796A">
              <w:rPr>
                <w:rFonts w:cs="Arial"/>
                <w:b/>
                <w:bCs/>
                <w:sz w:val="20"/>
                <w:szCs w:val="20"/>
                <w:lang w:eastAsia="da-DK"/>
              </w:rPr>
              <w:t>A</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b/>
                <w:bCs/>
                <w:sz w:val="20"/>
                <w:szCs w:val="20"/>
                <w:lang w:eastAsia="da-DK"/>
              </w:rPr>
            </w:pPr>
            <w:r w:rsidRPr="00E0796A">
              <w:rPr>
                <w:rFonts w:cs="Arial"/>
                <w:b/>
                <w:bCs/>
                <w:sz w:val="20"/>
                <w:szCs w:val="20"/>
                <w:lang w:eastAsia="da-DK"/>
              </w:rPr>
              <w:t>B</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b/>
                <w:bCs/>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b/>
                <w:bCs/>
                <w:sz w:val="20"/>
                <w:szCs w:val="20"/>
                <w:lang w:eastAsia="da-DK"/>
              </w:rPr>
            </w:pPr>
            <w:r w:rsidRPr="00E0796A">
              <w:rPr>
                <w:rFonts w:cs="Arial"/>
                <w:b/>
                <w:bCs/>
                <w:sz w:val="20"/>
                <w:szCs w:val="20"/>
                <w:lang w:eastAsia="da-DK"/>
              </w:rPr>
              <w:t>I alt</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Salgssum</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833</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833</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1.667</w:t>
            </w:r>
          </w:p>
        </w:tc>
      </w:tr>
      <w:tr w:rsidR="007A35E5" w:rsidRPr="00E0796A" w:rsidTr="00E0796A">
        <w:trPr>
          <w:trHeight w:val="255"/>
        </w:trPr>
        <w:tc>
          <w:tcPr>
            <w:tcW w:w="1356" w:type="pct"/>
            <w:gridSpan w:val="2"/>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Grund heraf</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25</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25</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50</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0</w:t>
            </w:r>
          </w:p>
        </w:tc>
      </w:tr>
      <w:tr w:rsidR="007A35E5" w:rsidRPr="00E0796A" w:rsidTr="00E0796A">
        <w:trPr>
          <w:trHeight w:val="255"/>
        </w:trPr>
        <w:tc>
          <w:tcPr>
            <w:tcW w:w="1356" w:type="pct"/>
            <w:gridSpan w:val="2"/>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Salgssum for bygning</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808</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808</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1.617</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2712" w:type="pct"/>
            <w:gridSpan w:val="4"/>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Anskaffelsessum for bygninger (1/3)</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682</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682</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1.365</w:t>
            </w:r>
          </w:p>
        </w:tc>
      </w:tr>
      <w:tr w:rsidR="007A35E5" w:rsidRPr="00E0796A" w:rsidTr="00E0796A">
        <w:trPr>
          <w:trHeight w:val="255"/>
        </w:trPr>
        <w:tc>
          <w:tcPr>
            <w:tcW w:w="2034" w:type="pct"/>
            <w:gridSpan w:val="3"/>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Foretagne afskrivninger (1/3)</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-396</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-396</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-792</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1356" w:type="pct"/>
            <w:gridSpan w:val="2"/>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Nedskreven værdi</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286</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286</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573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2034" w:type="pct"/>
            <w:gridSpan w:val="3"/>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Genvundne afskrivninger</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396</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396</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792</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2034" w:type="pct"/>
            <w:gridSpan w:val="3"/>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Ej genvundne afskrivninger</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0</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0</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0</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1356" w:type="pct"/>
            <w:gridSpan w:val="2"/>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Ejendomsavance</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2034" w:type="pct"/>
            <w:gridSpan w:val="3"/>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Anskaffelsessum, 1994 (1/3)</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500</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500</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1000</w:t>
            </w:r>
          </w:p>
        </w:tc>
      </w:tr>
      <w:tr w:rsidR="007A35E5" w:rsidRPr="00E0796A" w:rsidTr="00E0796A">
        <w:trPr>
          <w:trHeight w:val="255"/>
        </w:trPr>
        <w:tc>
          <w:tcPr>
            <w:tcW w:w="2034" w:type="pct"/>
            <w:gridSpan w:val="3"/>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xml:space="preserve">Andel </w:t>
            </w:r>
            <w:r w:rsidR="007B6A8F">
              <w:rPr>
                <w:rFonts w:cs="Arial"/>
                <w:sz w:val="20"/>
                <w:szCs w:val="20"/>
                <w:lang w:eastAsia="da-DK"/>
              </w:rPr>
              <w:t>t.D</w:t>
            </w:r>
            <w:r w:rsidR="007B6A8F" w:rsidRPr="00E0796A">
              <w:rPr>
                <w:rFonts w:cs="Arial"/>
                <w:sz w:val="20"/>
                <w:szCs w:val="20"/>
                <w:lang w:eastAsia="da-DK"/>
              </w:rPr>
              <w:t>KK-tillæg</w:t>
            </w:r>
            <w:r w:rsidRPr="00E0796A">
              <w:rPr>
                <w:rFonts w:cs="Arial"/>
                <w:sz w:val="20"/>
                <w:szCs w:val="20"/>
                <w:lang w:eastAsia="da-DK"/>
              </w:rPr>
              <w:t xml:space="preserve"> (1/3)</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1995</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1996</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1997</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1998</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1999</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2000</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(1200/3)</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400</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2001</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2002</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2003</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2004</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2005</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(500/3)</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83,5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83,5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167</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2006</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2007</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1,5</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800</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800</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1.600</w:t>
            </w:r>
          </w:p>
        </w:tc>
      </w:tr>
      <w:tr w:rsidR="007A35E5" w:rsidRPr="00E0796A" w:rsidTr="00E0796A">
        <w:trPr>
          <w:trHeight w:val="255"/>
        </w:trPr>
        <w:tc>
          <w:tcPr>
            <w:tcW w:w="2034" w:type="pct"/>
            <w:gridSpan w:val="3"/>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Ej genvundne afskrivninger</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0</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0</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0</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2034" w:type="pct"/>
            <w:gridSpan w:val="3"/>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Reguleret afståelsessum</w:t>
            </w: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800</w:t>
            </w: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800</w:t>
            </w: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1.600</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Salgssum</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833</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833</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1.667</w:t>
            </w:r>
          </w:p>
        </w:tc>
      </w:tr>
      <w:tr w:rsidR="007A35E5" w:rsidRPr="00E0796A" w:rsidTr="00E0796A">
        <w:trPr>
          <w:trHeight w:val="255"/>
        </w:trPr>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254"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c>
          <w:tcPr>
            <w:tcW w:w="678" w:type="pct"/>
            <w:tcBorders>
              <w:top w:val="nil"/>
              <w:left w:val="nil"/>
              <w:bottom w:val="nil"/>
              <w:right w:val="nil"/>
            </w:tcBorders>
            <w:noWrap/>
            <w:vAlign w:val="bottom"/>
          </w:tcPr>
          <w:p w:rsidR="007A35E5" w:rsidRPr="00E0796A" w:rsidRDefault="007A35E5" w:rsidP="00E0796A">
            <w:pPr>
              <w:spacing w:line="240" w:lineRule="auto"/>
              <w:jc w:val="left"/>
              <w:rPr>
                <w:rFonts w:cs="Arial"/>
                <w:sz w:val="20"/>
                <w:szCs w:val="20"/>
                <w:lang w:eastAsia="da-DK"/>
              </w:rPr>
            </w:pPr>
          </w:p>
        </w:tc>
      </w:tr>
      <w:tr w:rsidR="007A35E5" w:rsidRPr="00E0796A" w:rsidTr="00E0796A">
        <w:trPr>
          <w:trHeight w:val="255"/>
        </w:trPr>
        <w:tc>
          <w:tcPr>
            <w:tcW w:w="1356" w:type="pct"/>
            <w:gridSpan w:val="2"/>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Ejendomsavance</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33</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33</w:t>
            </w:r>
          </w:p>
        </w:tc>
        <w:tc>
          <w:tcPr>
            <w:tcW w:w="254" w:type="pct"/>
            <w:tcBorders>
              <w:top w:val="nil"/>
              <w:left w:val="nil"/>
              <w:bottom w:val="single" w:sz="4" w:space="0" w:color="auto"/>
              <w:right w:val="nil"/>
            </w:tcBorders>
            <w:noWrap/>
            <w:vAlign w:val="bottom"/>
          </w:tcPr>
          <w:p w:rsidR="007A35E5" w:rsidRPr="00E0796A" w:rsidRDefault="007A35E5" w:rsidP="00E0796A">
            <w:pPr>
              <w:spacing w:line="240" w:lineRule="auto"/>
              <w:jc w:val="left"/>
              <w:rPr>
                <w:rFonts w:cs="Arial"/>
                <w:sz w:val="20"/>
                <w:szCs w:val="20"/>
                <w:lang w:eastAsia="da-DK"/>
              </w:rPr>
            </w:pPr>
            <w:r w:rsidRPr="00E0796A">
              <w:rPr>
                <w:rFonts w:cs="Arial"/>
                <w:sz w:val="20"/>
                <w:szCs w:val="20"/>
                <w:lang w:eastAsia="da-DK"/>
              </w:rPr>
              <w:t> </w:t>
            </w:r>
          </w:p>
        </w:tc>
        <w:tc>
          <w:tcPr>
            <w:tcW w:w="678" w:type="pct"/>
            <w:tcBorders>
              <w:top w:val="nil"/>
              <w:left w:val="nil"/>
              <w:bottom w:val="single" w:sz="4" w:space="0" w:color="auto"/>
              <w:right w:val="nil"/>
            </w:tcBorders>
            <w:noWrap/>
            <w:vAlign w:val="bottom"/>
          </w:tcPr>
          <w:p w:rsidR="007A35E5" w:rsidRPr="00E0796A" w:rsidRDefault="007A35E5" w:rsidP="00E0796A">
            <w:pPr>
              <w:spacing w:line="240" w:lineRule="auto"/>
              <w:jc w:val="right"/>
              <w:rPr>
                <w:rFonts w:cs="Arial"/>
                <w:sz w:val="20"/>
                <w:szCs w:val="20"/>
                <w:lang w:eastAsia="da-DK"/>
              </w:rPr>
            </w:pPr>
            <w:r w:rsidRPr="00E0796A">
              <w:rPr>
                <w:rFonts w:cs="Arial"/>
                <w:sz w:val="20"/>
                <w:szCs w:val="20"/>
                <w:lang w:eastAsia="da-DK"/>
              </w:rPr>
              <w:t>67</w:t>
            </w:r>
          </w:p>
        </w:tc>
      </w:tr>
    </w:tbl>
    <w:p w:rsidR="007A35E5" w:rsidRDefault="007A35E5" w:rsidP="00AF4FDF"/>
    <w:p w:rsidR="007A35E5" w:rsidRDefault="00B951CC" w:rsidP="00DF0A09">
      <w:pPr>
        <w:pStyle w:val="Overskrift1"/>
      </w:pPr>
      <w:bookmarkStart w:id="194" w:name="_Ref218748722"/>
      <w:bookmarkStart w:id="195" w:name="_Toc221546263"/>
      <w:r>
        <w:t>Bilag 5</w:t>
      </w:r>
      <w:r w:rsidR="007A35E5">
        <w:t xml:space="preserve"> – Beregning af passivposter ved succession</w:t>
      </w:r>
      <w:bookmarkEnd w:id="194"/>
      <w:bookmarkEnd w:id="195"/>
    </w:p>
    <w:tbl>
      <w:tblPr>
        <w:tblW w:w="5000" w:type="pct"/>
        <w:tblCellMar>
          <w:left w:w="70" w:type="dxa"/>
          <w:right w:w="70" w:type="dxa"/>
        </w:tblCellMar>
        <w:tblLook w:val="0000"/>
      </w:tblPr>
      <w:tblGrid>
        <w:gridCol w:w="1867"/>
        <w:gridCol w:w="1217"/>
        <w:gridCol w:w="1390"/>
        <w:gridCol w:w="1390"/>
        <w:gridCol w:w="1390"/>
        <w:gridCol w:w="1390"/>
      </w:tblGrid>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opsparet overskud</w:t>
            </w:r>
          </w:p>
        </w:tc>
        <w:tc>
          <w:tcPr>
            <w:tcW w:w="7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saldo</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passiv-post %</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Passivpost</w:t>
            </w: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beløb i t.DKK</w:t>
            </w:r>
          </w:p>
        </w:tc>
        <w:tc>
          <w:tcPr>
            <w:tcW w:w="7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34</w:t>
            </w:r>
            <w:r w:rsidR="007B6A8F">
              <w:rPr>
                <w:rFonts w:cs="Arial"/>
                <w:sz w:val="20"/>
                <w:szCs w:val="20"/>
                <w:lang w:eastAsia="da-DK"/>
              </w:rPr>
              <w:t xml:space="preserve"> </w:t>
            </w:r>
            <w:r w:rsidRPr="00DF0A09">
              <w:rPr>
                <w:rFonts w:cs="Arial"/>
                <w:sz w:val="20"/>
                <w:szCs w:val="20"/>
                <w:lang w:eastAsia="da-DK"/>
              </w:rPr>
              <w:t>%</w:t>
            </w:r>
          </w:p>
        </w:tc>
        <w:tc>
          <w:tcPr>
            <w:tcW w:w="7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69</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12,0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8,28</w:t>
            </w: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32</w:t>
            </w:r>
            <w:r w:rsidR="007B6A8F">
              <w:rPr>
                <w:rFonts w:cs="Arial"/>
                <w:sz w:val="20"/>
                <w:szCs w:val="20"/>
                <w:lang w:eastAsia="da-DK"/>
              </w:rPr>
              <w:t xml:space="preserve"> </w:t>
            </w:r>
            <w:r w:rsidRPr="00DF0A09">
              <w:rPr>
                <w:rFonts w:cs="Arial"/>
                <w:sz w:val="20"/>
                <w:szCs w:val="20"/>
                <w:lang w:eastAsia="da-DK"/>
              </w:rPr>
              <w:t>%</w:t>
            </w:r>
          </w:p>
        </w:tc>
        <w:tc>
          <w:tcPr>
            <w:tcW w:w="7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170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13,5</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22,95</w:t>
            </w: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30</w:t>
            </w:r>
            <w:r w:rsidR="007B6A8F">
              <w:rPr>
                <w:rFonts w:cs="Arial"/>
                <w:sz w:val="20"/>
                <w:szCs w:val="20"/>
                <w:lang w:eastAsia="da-DK"/>
              </w:rPr>
              <w:t xml:space="preserve"> </w:t>
            </w:r>
            <w:r w:rsidRPr="00DF0A09">
              <w:rPr>
                <w:rFonts w:cs="Arial"/>
                <w:sz w:val="20"/>
                <w:szCs w:val="20"/>
                <w:lang w:eastAsia="da-DK"/>
              </w:rPr>
              <w:t>%</w:t>
            </w:r>
          </w:p>
        </w:tc>
        <w:tc>
          <w:tcPr>
            <w:tcW w:w="7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105</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15,0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15,75</w:t>
            </w: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single" w:sz="4" w:space="0" w:color="auto"/>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28</w:t>
            </w:r>
            <w:r w:rsidR="007B6A8F">
              <w:rPr>
                <w:rFonts w:cs="Arial"/>
                <w:sz w:val="20"/>
                <w:szCs w:val="20"/>
                <w:lang w:eastAsia="da-DK"/>
              </w:rPr>
              <w:t xml:space="preserve"> </w:t>
            </w:r>
            <w:r w:rsidRPr="00DF0A09">
              <w:rPr>
                <w:rFonts w:cs="Arial"/>
                <w:sz w:val="20"/>
                <w:szCs w:val="20"/>
                <w:lang w:eastAsia="da-DK"/>
              </w:rPr>
              <w:t>%</w:t>
            </w:r>
          </w:p>
        </w:tc>
        <w:tc>
          <w:tcPr>
            <w:tcW w:w="7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207</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16,5</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34,16</w:t>
            </w: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7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single" w:sz="4" w:space="0" w:color="auto"/>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I alt</w:t>
            </w:r>
          </w:p>
        </w:tc>
        <w:tc>
          <w:tcPr>
            <w:tcW w:w="7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551</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 </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81</w:t>
            </w: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7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7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ascii="Arial" w:hAnsi="Arial"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7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skattemæssig</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Overdragel-</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Passiv-post</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Passiv-</w:t>
            </w:r>
          </w:p>
        </w:tc>
      </w:tr>
      <w:tr w:rsidR="007A35E5" w:rsidRPr="00DF0A09" w:rsidTr="00DF0A09">
        <w:trPr>
          <w:trHeight w:val="255"/>
        </w:trPr>
        <w:tc>
          <w:tcPr>
            <w:tcW w:w="1080" w:type="pct"/>
            <w:tcBorders>
              <w:top w:val="nil"/>
              <w:left w:val="nil"/>
              <w:bottom w:val="single" w:sz="4" w:space="0" w:color="auto"/>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Beløb i t.DKK</w:t>
            </w:r>
          </w:p>
        </w:tc>
        <w:tc>
          <w:tcPr>
            <w:tcW w:w="704" w:type="pct"/>
            <w:tcBorders>
              <w:top w:val="nil"/>
              <w:left w:val="nil"/>
              <w:bottom w:val="single" w:sz="4" w:space="0" w:color="auto"/>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 </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værdi</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sessum</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post</w:t>
            </w: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7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r>
      <w:tr w:rsidR="007A35E5" w:rsidRPr="00DF0A09" w:rsidTr="00DF0A09">
        <w:trPr>
          <w:trHeight w:val="255"/>
        </w:trPr>
        <w:tc>
          <w:tcPr>
            <w:tcW w:w="1080"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Goodwill</w:t>
            </w:r>
          </w:p>
        </w:tc>
        <w:tc>
          <w:tcPr>
            <w:tcW w:w="704" w:type="pct"/>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290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30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87</w:t>
            </w:r>
          </w:p>
        </w:tc>
      </w:tr>
      <w:tr w:rsidR="007A35E5" w:rsidRPr="00DF0A09" w:rsidTr="00DF0A09">
        <w:trPr>
          <w:trHeight w:val="255"/>
        </w:trPr>
        <w:tc>
          <w:tcPr>
            <w:tcW w:w="1784" w:type="pct"/>
            <w:gridSpan w:val="2"/>
            <w:tcBorders>
              <w:top w:val="nil"/>
              <w:left w:val="nil"/>
              <w:bottom w:val="nil"/>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Indretning lejede lokaler</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140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450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30</w:t>
            </w:r>
          </w:p>
        </w:tc>
        <w:tc>
          <w:tcPr>
            <w:tcW w:w="804" w:type="pct"/>
            <w:tcBorders>
              <w:top w:val="nil"/>
              <w:left w:val="nil"/>
              <w:bottom w:val="nil"/>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93</w:t>
            </w:r>
          </w:p>
        </w:tc>
      </w:tr>
      <w:tr w:rsidR="007A35E5" w:rsidRPr="00DF0A09" w:rsidTr="00DF0A09">
        <w:trPr>
          <w:trHeight w:val="255"/>
        </w:trPr>
        <w:tc>
          <w:tcPr>
            <w:tcW w:w="1784" w:type="pct"/>
            <w:gridSpan w:val="2"/>
            <w:tcBorders>
              <w:top w:val="nil"/>
              <w:left w:val="nil"/>
              <w:bottom w:val="single" w:sz="4" w:space="0" w:color="auto"/>
              <w:right w:val="nil"/>
            </w:tcBorders>
            <w:noWrap/>
            <w:vAlign w:val="bottom"/>
          </w:tcPr>
          <w:p w:rsidR="007A35E5" w:rsidRPr="00DF0A09" w:rsidRDefault="007A35E5" w:rsidP="00DF0A09">
            <w:pPr>
              <w:spacing w:line="240" w:lineRule="auto"/>
              <w:jc w:val="left"/>
              <w:rPr>
                <w:rFonts w:cs="Arial"/>
                <w:sz w:val="20"/>
                <w:szCs w:val="20"/>
                <w:lang w:eastAsia="da-DK"/>
              </w:rPr>
            </w:pPr>
            <w:r w:rsidRPr="00DF0A09">
              <w:rPr>
                <w:rFonts w:cs="Arial"/>
                <w:sz w:val="20"/>
                <w:szCs w:val="20"/>
                <w:lang w:eastAsia="da-DK"/>
              </w:rPr>
              <w:t>Driftsmateriel og inventar (</w:t>
            </w:r>
            <w:r w:rsidR="007B6A8F" w:rsidRPr="00DF0A09">
              <w:rPr>
                <w:rFonts w:cs="Arial"/>
                <w:sz w:val="20"/>
                <w:szCs w:val="20"/>
                <w:lang w:eastAsia="da-DK"/>
              </w:rPr>
              <w:t>90 %</w:t>
            </w:r>
            <w:r w:rsidRPr="00DF0A09">
              <w:rPr>
                <w:rFonts w:cs="Arial"/>
                <w:sz w:val="20"/>
                <w:szCs w:val="20"/>
                <w:lang w:eastAsia="da-DK"/>
              </w:rPr>
              <w:t>)</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231</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300</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30</w:t>
            </w:r>
          </w:p>
        </w:tc>
        <w:tc>
          <w:tcPr>
            <w:tcW w:w="804" w:type="pct"/>
            <w:tcBorders>
              <w:top w:val="nil"/>
              <w:left w:val="nil"/>
              <w:bottom w:val="single" w:sz="4" w:space="0" w:color="auto"/>
              <w:right w:val="nil"/>
            </w:tcBorders>
            <w:noWrap/>
            <w:vAlign w:val="bottom"/>
          </w:tcPr>
          <w:p w:rsidR="007A35E5" w:rsidRPr="00DF0A09" w:rsidRDefault="007A35E5" w:rsidP="00DF0A09">
            <w:pPr>
              <w:spacing w:line="240" w:lineRule="auto"/>
              <w:jc w:val="right"/>
              <w:rPr>
                <w:rFonts w:cs="Arial"/>
                <w:sz w:val="20"/>
                <w:szCs w:val="20"/>
                <w:lang w:eastAsia="da-DK"/>
              </w:rPr>
            </w:pPr>
            <w:r w:rsidRPr="00DF0A09">
              <w:rPr>
                <w:rFonts w:cs="Arial"/>
                <w:sz w:val="20"/>
                <w:szCs w:val="20"/>
                <w:lang w:eastAsia="da-DK"/>
              </w:rPr>
              <w:t>19</w:t>
            </w:r>
          </w:p>
        </w:tc>
      </w:tr>
    </w:tbl>
    <w:p w:rsidR="0041796C" w:rsidRDefault="0041796C" w:rsidP="00AF4FDF"/>
    <w:p w:rsidR="000A1807" w:rsidRDefault="0041796C" w:rsidP="0041796C">
      <w:pPr>
        <w:pStyle w:val="Overskrift1"/>
      </w:pPr>
      <w:r>
        <w:br w:type="page"/>
      </w:r>
      <w:bookmarkStart w:id="196" w:name="_Ref219214696"/>
      <w:bookmarkStart w:id="197" w:name="_Toc221546264"/>
      <w:r w:rsidR="00EE706C">
        <w:lastRenderedPageBreak/>
        <w:t xml:space="preserve">Bilag </w:t>
      </w:r>
      <w:r w:rsidR="00B951CC">
        <w:t>6</w:t>
      </w:r>
      <w:r w:rsidR="00EE706C">
        <w:t xml:space="preserve"> – Goodwill beregning</w:t>
      </w:r>
      <w:bookmarkEnd w:id="196"/>
      <w:bookmarkEnd w:id="197"/>
    </w:p>
    <w:tbl>
      <w:tblPr>
        <w:tblW w:w="9480" w:type="dxa"/>
        <w:tblInd w:w="55" w:type="dxa"/>
        <w:tblCellMar>
          <w:left w:w="70" w:type="dxa"/>
          <w:right w:w="70" w:type="dxa"/>
        </w:tblCellMar>
        <w:tblLook w:val="04A0"/>
      </w:tblPr>
      <w:tblGrid>
        <w:gridCol w:w="3675"/>
        <w:gridCol w:w="853"/>
        <w:gridCol w:w="951"/>
        <w:gridCol w:w="223"/>
        <w:gridCol w:w="853"/>
        <w:gridCol w:w="951"/>
        <w:gridCol w:w="146"/>
        <w:gridCol w:w="853"/>
        <w:gridCol w:w="1052"/>
      </w:tblGrid>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b/>
                <w:bCs/>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Beregning til værdiansættelse af goodwill</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727" w:type="dxa"/>
            <w:gridSpan w:val="2"/>
            <w:tcBorders>
              <w:top w:val="nil"/>
              <w:left w:val="nil"/>
              <w:bottom w:val="nil"/>
              <w:right w:val="nil"/>
            </w:tcBorders>
            <w:shd w:val="clear" w:color="auto" w:fill="auto"/>
            <w:noWrap/>
            <w:vAlign w:val="bottom"/>
            <w:hideMark/>
          </w:tcPr>
          <w:p w:rsidR="00EE706C" w:rsidRPr="00EE706C" w:rsidRDefault="00EE706C" w:rsidP="00EE706C">
            <w:pPr>
              <w:spacing w:line="240" w:lineRule="auto"/>
              <w:jc w:val="center"/>
              <w:rPr>
                <w:rFonts w:eastAsia="Times New Roman"/>
                <w:b/>
                <w:bCs/>
                <w:sz w:val="20"/>
                <w:szCs w:val="20"/>
                <w:lang w:eastAsia="da-DK"/>
              </w:rPr>
            </w:pPr>
            <w:r w:rsidRPr="00EE706C">
              <w:rPr>
                <w:rFonts w:eastAsia="Times New Roman"/>
                <w:b/>
                <w:bCs/>
                <w:sz w:val="20"/>
                <w:szCs w:val="20"/>
                <w:lang w:eastAsia="da-DK"/>
              </w:rPr>
              <w:t>3. sidste år</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center"/>
              <w:rPr>
                <w:rFonts w:eastAsia="Times New Roman"/>
                <w:b/>
                <w:bCs/>
                <w:sz w:val="20"/>
                <w:szCs w:val="20"/>
                <w:lang w:eastAsia="da-DK"/>
              </w:rPr>
            </w:pPr>
          </w:p>
        </w:tc>
        <w:tc>
          <w:tcPr>
            <w:tcW w:w="1804" w:type="dxa"/>
            <w:gridSpan w:val="2"/>
            <w:tcBorders>
              <w:top w:val="nil"/>
              <w:left w:val="nil"/>
              <w:bottom w:val="nil"/>
              <w:right w:val="nil"/>
            </w:tcBorders>
            <w:shd w:val="clear" w:color="auto" w:fill="auto"/>
            <w:noWrap/>
            <w:vAlign w:val="bottom"/>
            <w:hideMark/>
          </w:tcPr>
          <w:p w:rsidR="00EE706C" w:rsidRPr="00EE706C" w:rsidRDefault="00EE706C" w:rsidP="00EE706C">
            <w:pPr>
              <w:spacing w:line="240" w:lineRule="auto"/>
              <w:jc w:val="center"/>
              <w:rPr>
                <w:rFonts w:eastAsia="Times New Roman"/>
                <w:b/>
                <w:bCs/>
                <w:sz w:val="20"/>
                <w:szCs w:val="20"/>
                <w:lang w:eastAsia="da-DK"/>
              </w:rPr>
            </w:pPr>
            <w:r w:rsidRPr="00EE706C">
              <w:rPr>
                <w:rFonts w:eastAsia="Times New Roman"/>
                <w:b/>
                <w:bCs/>
                <w:sz w:val="20"/>
                <w:szCs w:val="20"/>
                <w:lang w:eastAsia="da-DK"/>
              </w:rPr>
              <w:t>2. sidste år</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center"/>
              <w:rPr>
                <w:rFonts w:eastAsia="Times New Roman"/>
                <w:b/>
                <w:bCs/>
                <w:sz w:val="20"/>
                <w:szCs w:val="20"/>
                <w:lang w:eastAsia="da-DK"/>
              </w:rPr>
            </w:pPr>
          </w:p>
        </w:tc>
        <w:tc>
          <w:tcPr>
            <w:tcW w:w="1905" w:type="dxa"/>
            <w:gridSpan w:val="2"/>
            <w:tcBorders>
              <w:top w:val="nil"/>
              <w:left w:val="nil"/>
              <w:bottom w:val="nil"/>
              <w:right w:val="nil"/>
            </w:tcBorders>
            <w:shd w:val="clear" w:color="auto" w:fill="auto"/>
            <w:noWrap/>
            <w:vAlign w:val="bottom"/>
            <w:hideMark/>
          </w:tcPr>
          <w:p w:rsidR="00EE706C" w:rsidRPr="00EE706C" w:rsidRDefault="00EE706C" w:rsidP="00EE706C">
            <w:pPr>
              <w:spacing w:line="240" w:lineRule="auto"/>
              <w:jc w:val="center"/>
              <w:rPr>
                <w:rFonts w:eastAsia="Times New Roman"/>
                <w:b/>
                <w:bCs/>
                <w:sz w:val="20"/>
                <w:szCs w:val="20"/>
                <w:lang w:eastAsia="da-DK"/>
              </w:rPr>
            </w:pPr>
            <w:r w:rsidRPr="00EE706C">
              <w:rPr>
                <w:rFonts w:eastAsia="Times New Roman"/>
                <w:b/>
                <w:bCs/>
                <w:sz w:val="20"/>
                <w:szCs w:val="20"/>
                <w:lang w:eastAsia="da-DK"/>
              </w:rPr>
              <w:t>Sidste år</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r w:rsidRPr="00EE706C">
              <w:rPr>
                <w:rFonts w:eastAsia="Times New Roman"/>
                <w:sz w:val="20"/>
                <w:szCs w:val="20"/>
                <w:lang w:eastAsia="da-DK"/>
              </w:rPr>
              <w:t>debet</w:t>
            </w:r>
          </w:p>
        </w:tc>
        <w:tc>
          <w:tcPr>
            <w:tcW w:w="874"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r w:rsidRPr="00EE706C">
              <w:rPr>
                <w:rFonts w:eastAsia="Times New Roman"/>
                <w:sz w:val="20"/>
                <w:szCs w:val="20"/>
                <w:lang w:eastAsia="da-DK"/>
              </w:rPr>
              <w:t>kredit</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p>
        </w:tc>
        <w:tc>
          <w:tcPr>
            <w:tcW w:w="853"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r w:rsidRPr="00EE706C">
              <w:rPr>
                <w:rFonts w:eastAsia="Times New Roman"/>
                <w:sz w:val="20"/>
                <w:szCs w:val="20"/>
                <w:lang w:eastAsia="da-DK"/>
              </w:rPr>
              <w:t>debet</w:t>
            </w:r>
          </w:p>
        </w:tc>
        <w:tc>
          <w:tcPr>
            <w:tcW w:w="951"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r w:rsidRPr="00EE706C">
              <w:rPr>
                <w:rFonts w:eastAsia="Times New Roman"/>
                <w:sz w:val="20"/>
                <w:szCs w:val="20"/>
                <w:lang w:eastAsia="da-DK"/>
              </w:rPr>
              <w:t>kredit</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p>
        </w:tc>
        <w:tc>
          <w:tcPr>
            <w:tcW w:w="853"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r w:rsidRPr="00EE706C">
              <w:rPr>
                <w:rFonts w:eastAsia="Times New Roman"/>
                <w:sz w:val="20"/>
                <w:szCs w:val="20"/>
                <w:lang w:eastAsia="da-DK"/>
              </w:rPr>
              <w:t>debet</w:t>
            </w:r>
          </w:p>
        </w:tc>
        <w:tc>
          <w:tcPr>
            <w:tcW w:w="1052"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r w:rsidRPr="00EE706C">
              <w:rPr>
                <w:rFonts w:eastAsia="Times New Roman"/>
                <w:sz w:val="20"/>
                <w:szCs w:val="20"/>
                <w:lang w:eastAsia="da-DK"/>
              </w:rPr>
              <w:t>kredit</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Resultat</w:t>
            </w: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1.559.000</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1.561.000</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1.601.000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u w:val="single"/>
                <w:lang w:eastAsia="da-DK"/>
              </w:rPr>
            </w:pPr>
            <w:r w:rsidRPr="00EE706C">
              <w:rPr>
                <w:rFonts w:eastAsia="Times New Roman"/>
                <w:sz w:val="20"/>
                <w:szCs w:val="20"/>
                <w:u w:val="single"/>
                <w:lang w:eastAsia="da-DK"/>
              </w:rPr>
              <w:t>Reguleringer:</w:t>
            </w: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Finansielle indtægter</w:t>
            </w: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40.000</w:t>
            </w: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45.000</w:t>
            </w: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50.000</w:t>
            </w: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Finansielle udgifter</w:t>
            </w: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300.000</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300.000</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300.000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single" w:sz="4" w:space="0" w:color="auto"/>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 </w:t>
            </w: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40.000</w:t>
            </w:r>
          </w:p>
        </w:tc>
        <w:tc>
          <w:tcPr>
            <w:tcW w:w="874" w:type="dxa"/>
            <w:tcBorders>
              <w:top w:val="single" w:sz="4" w:space="0" w:color="auto"/>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1.859.000</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45.000</w:t>
            </w:r>
          </w:p>
        </w:tc>
        <w:tc>
          <w:tcPr>
            <w:tcW w:w="951" w:type="dxa"/>
            <w:tcBorders>
              <w:top w:val="single" w:sz="4" w:space="0" w:color="auto"/>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1.861.000</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50.000</w:t>
            </w:r>
          </w:p>
        </w:tc>
        <w:tc>
          <w:tcPr>
            <w:tcW w:w="1052" w:type="dxa"/>
            <w:tcBorders>
              <w:top w:val="single" w:sz="4" w:space="0" w:color="auto"/>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1.901.000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Resultat</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1.819.000</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1.816.000</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1.851.000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Vægtning</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2</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3</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1.819.000</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3.632.000</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5.553.000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11.004.000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Vægtet reguleret resultat (divideret med 6)</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1.834.000</w:t>
            </w:r>
          </w:p>
        </w:tc>
      </w:tr>
      <w:tr w:rsidR="00EE706C" w:rsidRPr="00EE706C" w:rsidTr="00EE706C">
        <w:trPr>
          <w:trHeight w:val="313"/>
        </w:trPr>
        <w:tc>
          <w:tcPr>
            <w:tcW w:w="4528" w:type="dxa"/>
            <w:gridSpan w:val="2"/>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Udviklingstendens = ( resultat sidste år - resultat 3. sidste år)/2</w:t>
            </w: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16.000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1.850.000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Driftsherreløn 50% (min. 250.000 og maks 1 mio.)</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-925.000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925.000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Forretning af aktiver</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aktiver:</w:t>
            </w: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8.290.000</w:t>
            </w: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rente:</w:t>
            </w: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8</w:t>
            </w: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-663.200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Rest til forrentning af goodwill</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261.800</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r w:rsidRPr="00EE706C">
              <w:rPr>
                <w:rFonts w:eastAsia="Times New Roman"/>
                <w:sz w:val="20"/>
                <w:szCs w:val="20"/>
                <w:lang w:eastAsia="da-DK"/>
              </w:rPr>
              <w:t>Kapitaliseringsfaktor</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center"/>
              <w:rPr>
                <w:rFonts w:eastAsia="Times New Roman"/>
                <w:sz w:val="20"/>
                <w:szCs w:val="20"/>
                <w:lang w:eastAsia="da-DK"/>
              </w:rPr>
            </w:pPr>
            <w:r w:rsidRPr="00EE706C">
              <w:rPr>
                <w:rFonts w:eastAsia="Times New Roman"/>
                <w:sz w:val="20"/>
                <w:szCs w:val="20"/>
                <w:lang w:eastAsia="da-DK"/>
              </w:rPr>
              <w:t>2,23</w:t>
            </w:r>
          </w:p>
        </w:tc>
        <w:tc>
          <w:tcPr>
            <w:tcW w:w="1052" w:type="dxa"/>
            <w:tcBorders>
              <w:top w:val="nil"/>
              <w:left w:val="nil"/>
              <w:bottom w:val="single" w:sz="4"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sz w:val="20"/>
                <w:szCs w:val="20"/>
                <w:lang w:eastAsia="da-DK"/>
              </w:rPr>
            </w:pPr>
            <w:r w:rsidRPr="00EE706C">
              <w:rPr>
                <w:rFonts w:eastAsia="Times New Roman"/>
                <w:sz w:val="20"/>
                <w:szCs w:val="20"/>
                <w:lang w:eastAsia="da-DK"/>
              </w:rPr>
              <w:t>584.891</w:t>
            </w: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r>
      <w:tr w:rsidR="00EE706C" w:rsidRPr="00EE706C" w:rsidTr="00EE706C">
        <w:trPr>
          <w:trHeight w:val="328"/>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b/>
                <w:bCs/>
                <w:sz w:val="20"/>
                <w:szCs w:val="20"/>
                <w:lang w:eastAsia="da-DK"/>
              </w:rPr>
            </w:pPr>
            <w:r w:rsidRPr="00EE706C">
              <w:rPr>
                <w:rFonts w:eastAsia="Times New Roman"/>
                <w:b/>
                <w:bCs/>
                <w:sz w:val="20"/>
                <w:szCs w:val="20"/>
                <w:lang w:eastAsia="da-DK"/>
              </w:rPr>
              <w:t>Den beregnede goodwill</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double" w:sz="6" w:space="0" w:color="auto"/>
              <w:right w:val="nil"/>
            </w:tcBorders>
            <w:shd w:val="clear" w:color="auto" w:fill="auto"/>
            <w:noWrap/>
            <w:vAlign w:val="bottom"/>
            <w:hideMark/>
          </w:tcPr>
          <w:p w:rsidR="00EE706C" w:rsidRPr="00EE706C" w:rsidRDefault="00EE706C" w:rsidP="00EE706C">
            <w:pPr>
              <w:spacing w:line="240" w:lineRule="auto"/>
              <w:jc w:val="right"/>
              <w:rPr>
                <w:rFonts w:eastAsia="Times New Roman"/>
                <w:b/>
                <w:bCs/>
                <w:sz w:val="20"/>
                <w:szCs w:val="20"/>
                <w:lang w:eastAsia="da-DK"/>
              </w:rPr>
            </w:pPr>
            <w:r w:rsidRPr="00EE706C">
              <w:rPr>
                <w:rFonts w:eastAsia="Times New Roman"/>
                <w:b/>
                <w:bCs/>
                <w:sz w:val="20"/>
                <w:szCs w:val="20"/>
                <w:lang w:eastAsia="da-DK"/>
              </w:rPr>
              <w:t>584.891</w:t>
            </w:r>
          </w:p>
        </w:tc>
      </w:tr>
      <w:tr w:rsidR="00EE706C" w:rsidRPr="00EE706C" w:rsidTr="00EE706C">
        <w:trPr>
          <w:trHeight w:val="328"/>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r>
      <w:tr w:rsidR="00EE706C" w:rsidRPr="00EE706C" w:rsidTr="00EE706C">
        <w:trPr>
          <w:trHeight w:val="313"/>
        </w:trPr>
        <w:tc>
          <w:tcPr>
            <w:tcW w:w="3675"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b/>
                <w:bCs/>
                <w:sz w:val="20"/>
                <w:szCs w:val="20"/>
                <w:lang w:eastAsia="da-DK"/>
              </w:rPr>
            </w:pPr>
            <w:r w:rsidRPr="00EE706C">
              <w:rPr>
                <w:rFonts w:eastAsia="Times New Roman"/>
                <w:b/>
                <w:bCs/>
                <w:sz w:val="20"/>
                <w:szCs w:val="20"/>
                <w:lang w:eastAsia="da-DK"/>
              </w:rPr>
              <w:t>Afrundes til</w:t>
            </w: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74"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22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951"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46"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853"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left"/>
              <w:rPr>
                <w:rFonts w:eastAsia="Times New Roman"/>
                <w:sz w:val="20"/>
                <w:szCs w:val="20"/>
                <w:lang w:eastAsia="da-DK"/>
              </w:rPr>
            </w:pPr>
          </w:p>
        </w:tc>
        <w:tc>
          <w:tcPr>
            <w:tcW w:w="1052" w:type="dxa"/>
            <w:tcBorders>
              <w:top w:val="nil"/>
              <w:left w:val="nil"/>
              <w:bottom w:val="nil"/>
              <w:right w:val="nil"/>
            </w:tcBorders>
            <w:shd w:val="clear" w:color="auto" w:fill="auto"/>
            <w:noWrap/>
            <w:vAlign w:val="bottom"/>
            <w:hideMark/>
          </w:tcPr>
          <w:p w:rsidR="00EE706C" w:rsidRPr="00EE706C" w:rsidRDefault="00EE706C" w:rsidP="00EE706C">
            <w:pPr>
              <w:spacing w:line="240" w:lineRule="auto"/>
              <w:jc w:val="right"/>
              <w:rPr>
                <w:rFonts w:eastAsia="Times New Roman"/>
                <w:b/>
                <w:bCs/>
                <w:sz w:val="20"/>
                <w:szCs w:val="20"/>
                <w:lang w:eastAsia="da-DK"/>
              </w:rPr>
            </w:pPr>
            <w:r w:rsidRPr="00EE706C">
              <w:rPr>
                <w:rFonts w:eastAsia="Times New Roman"/>
                <w:b/>
                <w:bCs/>
                <w:sz w:val="20"/>
                <w:szCs w:val="20"/>
                <w:lang w:eastAsia="da-DK"/>
              </w:rPr>
              <w:t>580.000</w:t>
            </w:r>
          </w:p>
        </w:tc>
      </w:tr>
    </w:tbl>
    <w:p w:rsidR="00EE706C" w:rsidRDefault="00EE706C" w:rsidP="00EE706C"/>
    <w:p w:rsidR="000837AF" w:rsidRDefault="000837AF" w:rsidP="000837AF">
      <w:pPr>
        <w:pStyle w:val="Overskrift1"/>
      </w:pPr>
      <w:bookmarkStart w:id="198" w:name="_Ref219215077"/>
      <w:bookmarkStart w:id="199" w:name="_Toc221546265"/>
      <w:r>
        <w:t xml:space="preserve">Bilag </w:t>
      </w:r>
      <w:r w:rsidR="00B951CC">
        <w:t>7</w:t>
      </w:r>
      <w:r>
        <w:t xml:space="preserve"> – Beregning af skattepligtig formue</w:t>
      </w:r>
      <w:bookmarkEnd w:id="198"/>
      <w:bookmarkEnd w:id="199"/>
    </w:p>
    <w:p w:rsidR="000837AF" w:rsidRPr="000837AF" w:rsidRDefault="000837AF" w:rsidP="000837AF"/>
    <w:tbl>
      <w:tblPr>
        <w:tblW w:w="7610" w:type="dxa"/>
        <w:tblInd w:w="55" w:type="dxa"/>
        <w:tblCellMar>
          <w:left w:w="70" w:type="dxa"/>
          <w:right w:w="70" w:type="dxa"/>
        </w:tblCellMar>
        <w:tblLook w:val="04A0"/>
      </w:tblPr>
      <w:tblGrid>
        <w:gridCol w:w="3559"/>
        <w:gridCol w:w="1559"/>
        <w:gridCol w:w="1418"/>
        <w:gridCol w:w="1074"/>
      </w:tblGrid>
      <w:tr w:rsidR="000837AF" w:rsidRPr="000837AF" w:rsidTr="000837AF">
        <w:trPr>
          <w:trHeight w:val="255"/>
        </w:trPr>
        <w:tc>
          <w:tcPr>
            <w:tcW w:w="3559"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left"/>
              <w:rPr>
                <w:rFonts w:ascii="Arial" w:eastAsia="Times New Roman" w:hAnsi="Arial" w:cs="Arial"/>
                <w:b/>
                <w:bCs/>
                <w:sz w:val="20"/>
                <w:szCs w:val="20"/>
                <w:lang w:eastAsia="da-DK"/>
              </w:rPr>
            </w:pPr>
            <w:r w:rsidRPr="000837AF">
              <w:rPr>
                <w:rFonts w:ascii="Arial" w:eastAsia="Times New Roman" w:hAnsi="Arial" w:cs="Arial"/>
                <w:b/>
                <w:bCs/>
                <w:sz w:val="20"/>
                <w:szCs w:val="20"/>
                <w:lang w:eastAsia="da-DK"/>
              </w:rPr>
              <w:t>Skattepligtig formue 31.03.2008</w:t>
            </w:r>
          </w:p>
        </w:tc>
        <w:tc>
          <w:tcPr>
            <w:tcW w:w="1559"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u w:val="single"/>
                <w:lang w:eastAsia="da-DK"/>
              </w:rPr>
            </w:pPr>
          </w:p>
        </w:tc>
        <w:tc>
          <w:tcPr>
            <w:tcW w:w="1418"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u w:val="single"/>
                <w:lang w:eastAsia="da-DK"/>
              </w:rPr>
            </w:pPr>
          </w:p>
        </w:tc>
        <w:tc>
          <w:tcPr>
            <w:tcW w:w="1074"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b/>
                <w:bCs/>
                <w:sz w:val="20"/>
                <w:szCs w:val="20"/>
                <w:lang w:eastAsia="da-DK"/>
              </w:rPr>
            </w:pPr>
          </w:p>
        </w:tc>
      </w:tr>
      <w:tr w:rsidR="000837AF" w:rsidRPr="000837AF" w:rsidTr="000837AF">
        <w:trPr>
          <w:trHeight w:val="255"/>
        </w:trPr>
        <w:tc>
          <w:tcPr>
            <w:tcW w:w="3559" w:type="dxa"/>
            <w:tcBorders>
              <w:top w:val="nil"/>
              <w:left w:val="nil"/>
              <w:bottom w:val="nil"/>
              <w:right w:val="nil"/>
            </w:tcBorders>
            <w:shd w:val="clear" w:color="auto" w:fill="auto"/>
            <w:noWrap/>
            <w:vAlign w:val="bottom"/>
            <w:hideMark/>
          </w:tcPr>
          <w:p w:rsidR="000837AF" w:rsidRDefault="000837AF" w:rsidP="000837AF">
            <w:pPr>
              <w:spacing w:line="240" w:lineRule="auto"/>
              <w:jc w:val="left"/>
              <w:rPr>
                <w:rFonts w:ascii="Arial" w:eastAsia="Times New Roman" w:hAnsi="Arial" w:cs="Arial"/>
                <w:sz w:val="20"/>
                <w:szCs w:val="20"/>
                <w:lang w:eastAsia="da-DK"/>
              </w:rPr>
            </w:pPr>
          </w:p>
          <w:p w:rsidR="000837AF" w:rsidRPr="000837AF" w:rsidRDefault="000837AF" w:rsidP="000837AF">
            <w:pPr>
              <w:spacing w:line="240" w:lineRule="auto"/>
              <w:jc w:val="left"/>
              <w:rPr>
                <w:rFonts w:ascii="Arial" w:eastAsia="Times New Roman" w:hAnsi="Arial" w:cs="Arial"/>
                <w:sz w:val="20"/>
                <w:szCs w:val="20"/>
                <w:lang w:eastAsia="da-DK"/>
              </w:rPr>
            </w:pPr>
            <w:r w:rsidRPr="000837AF">
              <w:rPr>
                <w:rFonts w:ascii="Arial" w:eastAsia="Times New Roman" w:hAnsi="Arial" w:cs="Arial"/>
                <w:sz w:val="20"/>
                <w:szCs w:val="20"/>
                <w:lang w:eastAsia="da-DK"/>
              </w:rPr>
              <w:t>Egenkapital</w:t>
            </w:r>
          </w:p>
        </w:tc>
        <w:tc>
          <w:tcPr>
            <w:tcW w:w="1559"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u w:val="single"/>
                <w:lang w:eastAsia="da-DK"/>
              </w:rPr>
            </w:pPr>
          </w:p>
        </w:tc>
        <w:tc>
          <w:tcPr>
            <w:tcW w:w="1418"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u w:val="single"/>
                <w:lang w:eastAsia="da-DK"/>
              </w:rPr>
            </w:pPr>
          </w:p>
        </w:tc>
        <w:tc>
          <w:tcPr>
            <w:tcW w:w="1074"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1.500.000</w:t>
            </w:r>
          </w:p>
        </w:tc>
      </w:tr>
      <w:tr w:rsidR="000837AF" w:rsidRPr="000837AF" w:rsidTr="000837AF">
        <w:trPr>
          <w:trHeight w:val="255"/>
        </w:trPr>
        <w:tc>
          <w:tcPr>
            <w:tcW w:w="3559"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left"/>
              <w:rPr>
                <w:rFonts w:ascii="Arial" w:eastAsia="Times New Roman" w:hAnsi="Arial" w:cs="Arial"/>
                <w:sz w:val="20"/>
                <w:szCs w:val="20"/>
                <w:lang w:eastAsia="da-DK"/>
              </w:rPr>
            </w:pPr>
            <w:r w:rsidRPr="000837AF">
              <w:rPr>
                <w:rFonts w:ascii="Arial" w:eastAsia="Times New Roman" w:hAnsi="Arial" w:cs="Arial"/>
                <w:sz w:val="20"/>
                <w:szCs w:val="20"/>
                <w:lang w:eastAsia="da-DK"/>
              </w:rPr>
              <w:t>Hensættelser</w:t>
            </w:r>
          </w:p>
        </w:tc>
        <w:tc>
          <w:tcPr>
            <w:tcW w:w="1559"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u w:val="single"/>
                <w:lang w:eastAsia="da-DK"/>
              </w:rPr>
            </w:pPr>
          </w:p>
        </w:tc>
        <w:tc>
          <w:tcPr>
            <w:tcW w:w="1418"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u w:val="single"/>
                <w:lang w:eastAsia="da-DK"/>
              </w:rPr>
            </w:pPr>
          </w:p>
        </w:tc>
        <w:tc>
          <w:tcPr>
            <w:tcW w:w="1074"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74.431</w:t>
            </w:r>
          </w:p>
        </w:tc>
      </w:tr>
      <w:tr w:rsidR="000837AF" w:rsidRPr="000837AF" w:rsidTr="000837AF">
        <w:trPr>
          <w:trHeight w:val="255"/>
        </w:trPr>
        <w:tc>
          <w:tcPr>
            <w:tcW w:w="3559"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left"/>
              <w:rPr>
                <w:rFonts w:ascii="Arial" w:eastAsia="Times New Roman" w:hAnsi="Arial" w:cs="Arial"/>
                <w:sz w:val="20"/>
                <w:szCs w:val="20"/>
                <w:lang w:eastAsia="da-DK"/>
              </w:rPr>
            </w:pPr>
          </w:p>
        </w:tc>
        <w:tc>
          <w:tcPr>
            <w:tcW w:w="1559"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u w:val="single"/>
                <w:lang w:eastAsia="da-DK"/>
              </w:rPr>
            </w:pPr>
          </w:p>
        </w:tc>
        <w:tc>
          <w:tcPr>
            <w:tcW w:w="1418"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u w:val="single"/>
                <w:lang w:eastAsia="da-DK"/>
              </w:rPr>
            </w:pPr>
          </w:p>
        </w:tc>
        <w:tc>
          <w:tcPr>
            <w:tcW w:w="1074"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lang w:eastAsia="da-DK"/>
              </w:rPr>
            </w:pPr>
          </w:p>
        </w:tc>
      </w:tr>
      <w:tr w:rsidR="000837AF" w:rsidRPr="000837AF" w:rsidTr="000837AF">
        <w:trPr>
          <w:trHeight w:val="255"/>
        </w:trPr>
        <w:tc>
          <w:tcPr>
            <w:tcW w:w="3559"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left"/>
              <w:rPr>
                <w:rFonts w:ascii="Arial" w:eastAsia="Times New Roman" w:hAnsi="Arial" w:cs="Arial"/>
                <w:sz w:val="20"/>
                <w:szCs w:val="20"/>
                <w:lang w:eastAsia="da-DK"/>
              </w:rPr>
            </w:pPr>
          </w:p>
        </w:tc>
        <w:tc>
          <w:tcPr>
            <w:tcW w:w="1559" w:type="dxa"/>
            <w:tcBorders>
              <w:top w:val="nil"/>
              <w:left w:val="nil"/>
              <w:bottom w:val="nil"/>
              <w:right w:val="nil"/>
            </w:tcBorders>
            <w:shd w:val="clear" w:color="auto" w:fill="auto"/>
            <w:noWrap/>
            <w:vAlign w:val="bottom"/>
            <w:hideMark/>
          </w:tcPr>
          <w:p w:rsidR="000837AF" w:rsidRPr="000837AF" w:rsidRDefault="000837AF" w:rsidP="007F0CCB">
            <w:pPr>
              <w:spacing w:line="240" w:lineRule="auto"/>
              <w:jc w:val="right"/>
              <w:rPr>
                <w:rFonts w:ascii="Arial" w:eastAsia="Times New Roman" w:hAnsi="Arial" w:cs="Arial"/>
                <w:b/>
                <w:bCs/>
                <w:sz w:val="20"/>
                <w:szCs w:val="20"/>
                <w:lang w:eastAsia="da-DK"/>
              </w:rPr>
            </w:pPr>
            <w:r w:rsidRPr="000837AF">
              <w:rPr>
                <w:rFonts w:ascii="Arial" w:eastAsia="Times New Roman" w:hAnsi="Arial" w:cs="Arial"/>
                <w:b/>
                <w:bCs/>
                <w:sz w:val="20"/>
                <w:szCs w:val="20"/>
                <w:lang w:eastAsia="da-DK"/>
              </w:rPr>
              <w:t>regnskab</w:t>
            </w:r>
          </w:p>
        </w:tc>
        <w:tc>
          <w:tcPr>
            <w:tcW w:w="1418" w:type="dxa"/>
            <w:tcBorders>
              <w:top w:val="nil"/>
              <w:left w:val="nil"/>
              <w:bottom w:val="nil"/>
              <w:right w:val="nil"/>
            </w:tcBorders>
            <w:shd w:val="clear" w:color="auto" w:fill="auto"/>
            <w:noWrap/>
            <w:vAlign w:val="bottom"/>
            <w:hideMark/>
          </w:tcPr>
          <w:p w:rsidR="000837AF" w:rsidRPr="000837AF" w:rsidRDefault="000837AF" w:rsidP="007F0CCB">
            <w:pPr>
              <w:spacing w:line="240" w:lineRule="auto"/>
              <w:jc w:val="right"/>
              <w:rPr>
                <w:rFonts w:ascii="Arial" w:eastAsia="Times New Roman" w:hAnsi="Arial" w:cs="Arial"/>
                <w:b/>
                <w:bCs/>
                <w:sz w:val="20"/>
                <w:szCs w:val="20"/>
                <w:lang w:eastAsia="da-DK"/>
              </w:rPr>
            </w:pPr>
            <w:r w:rsidRPr="000837AF">
              <w:rPr>
                <w:rFonts w:ascii="Arial" w:eastAsia="Times New Roman" w:hAnsi="Arial" w:cs="Arial"/>
                <w:b/>
                <w:bCs/>
                <w:sz w:val="20"/>
                <w:szCs w:val="20"/>
                <w:lang w:eastAsia="da-DK"/>
              </w:rPr>
              <w:t>skat</w:t>
            </w:r>
          </w:p>
        </w:tc>
        <w:tc>
          <w:tcPr>
            <w:tcW w:w="1074" w:type="dxa"/>
            <w:tcBorders>
              <w:top w:val="nil"/>
              <w:left w:val="nil"/>
              <w:bottom w:val="nil"/>
              <w:right w:val="nil"/>
            </w:tcBorders>
            <w:shd w:val="clear" w:color="auto" w:fill="auto"/>
            <w:noWrap/>
            <w:vAlign w:val="bottom"/>
            <w:hideMark/>
          </w:tcPr>
          <w:p w:rsidR="000837AF" w:rsidRPr="000837AF" w:rsidRDefault="000837AF" w:rsidP="000837AF">
            <w:pPr>
              <w:spacing w:line="240" w:lineRule="auto"/>
              <w:jc w:val="right"/>
              <w:rPr>
                <w:rFonts w:ascii="Arial" w:eastAsia="Times New Roman" w:hAnsi="Arial" w:cs="Arial"/>
                <w:sz w:val="20"/>
                <w:szCs w:val="20"/>
                <w:lang w:eastAsia="da-DK"/>
              </w:rPr>
            </w:pP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7F0CCB" w:rsidRDefault="007F0CCB" w:rsidP="007F0CCB">
            <w:pPr>
              <w:spacing w:line="240" w:lineRule="auto"/>
              <w:jc w:val="left"/>
              <w:rPr>
                <w:rFonts w:ascii="Arial" w:eastAsia="Times New Roman" w:hAnsi="Arial" w:cs="Arial"/>
                <w:b/>
                <w:sz w:val="20"/>
                <w:szCs w:val="20"/>
                <w:lang w:eastAsia="da-DK"/>
              </w:rPr>
            </w:pPr>
          </w:p>
          <w:p w:rsidR="007F0CCB" w:rsidRPr="007F0CCB" w:rsidRDefault="007F0CCB" w:rsidP="007F0CCB">
            <w:pPr>
              <w:spacing w:line="240" w:lineRule="auto"/>
              <w:jc w:val="left"/>
              <w:rPr>
                <w:rFonts w:ascii="Arial" w:eastAsia="Times New Roman" w:hAnsi="Arial" w:cs="Arial"/>
                <w:b/>
                <w:sz w:val="20"/>
                <w:szCs w:val="20"/>
                <w:lang w:eastAsia="da-DK"/>
              </w:rPr>
            </w:pPr>
            <w:r w:rsidRPr="007F0CCB">
              <w:rPr>
                <w:rFonts w:ascii="Arial" w:eastAsia="Times New Roman" w:hAnsi="Arial" w:cs="Arial"/>
                <w:b/>
                <w:sz w:val="20"/>
                <w:szCs w:val="20"/>
                <w:lang w:eastAsia="da-DK"/>
              </w:rPr>
              <w:t>Anlægsaktiver</w:t>
            </w:r>
          </w:p>
        </w:tc>
        <w:tc>
          <w:tcPr>
            <w:tcW w:w="1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418"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074"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left"/>
              <w:rPr>
                <w:rFonts w:ascii="Arial" w:eastAsia="Times New Roman" w:hAnsi="Arial" w:cs="Arial"/>
                <w:sz w:val="20"/>
                <w:szCs w:val="20"/>
                <w:lang w:eastAsia="da-DK"/>
              </w:rPr>
            </w:pPr>
            <w:r w:rsidRPr="000837AF">
              <w:rPr>
                <w:rFonts w:ascii="Arial" w:eastAsia="Times New Roman" w:hAnsi="Arial" w:cs="Arial"/>
                <w:sz w:val="20"/>
                <w:szCs w:val="20"/>
                <w:lang w:eastAsia="da-DK"/>
              </w:rPr>
              <w:t xml:space="preserve">Produktionsanlæg og maskiner </w:t>
            </w:r>
          </w:p>
        </w:tc>
        <w:tc>
          <w:tcPr>
            <w:tcW w:w="1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411.804</w:t>
            </w:r>
          </w:p>
        </w:tc>
        <w:tc>
          <w:tcPr>
            <w:tcW w:w="1418"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459.175</w:t>
            </w:r>
          </w:p>
        </w:tc>
        <w:tc>
          <w:tcPr>
            <w:tcW w:w="1074"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left"/>
              <w:rPr>
                <w:rFonts w:ascii="Arial" w:eastAsia="Times New Roman" w:hAnsi="Arial" w:cs="Arial"/>
                <w:sz w:val="20"/>
                <w:szCs w:val="20"/>
                <w:lang w:eastAsia="da-DK"/>
              </w:rPr>
            </w:pPr>
            <w:r w:rsidRPr="000837AF">
              <w:rPr>
                <w:rFonts w:ascii="Arial" w:eastAsia="Times New Roman" w:hAnsi="Arial" w:cs="Arial"/>
                <w:sz w:val="20"/>
                <w:szCs w:val="20"/>
                <w:lang w:eastAsia="da-DK"/>
              </w:rPr>
              <w:t>Grunde og bygninger (ejd. vurdering)</w:t>
            </w:r>
          </w:p>
        </w:tc>
        <w:tc>
          <w:tcPr>
            <w:tcW w:w="1559" w:type="dxa"/>
            <w:tcBorders>
              <w:top w:val="nil"/>
              <w:left w:val="nil"/>
              <w:bottom w:val="single" w:sz="4" w:space="0" w:color="auto"/>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2.174.986</w:t>
            </w:r>
          </w:p>
        </w:tc>
        <w:tc>
          <w:tcPr>
            <w:tcW w:w="1418" w:type="dxa"/>
            <w:tcBorders>
              <w:top w:val="nil"/>
              <w:left w:val="nil"/>
              <w:bottom w:val="single" w:sz="4" w:space="0" w:color="auto"/>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1.800.000</w:t>
            </w:r>
          </w:p>
        </w:tc>
        <w:tc>
          <w:tcPr>
            <w:tcW w:w="1074" w:type="dxa"/>
            <w:tcBorders>
              <w:top w:val="nil"/>
              <w:left w:val="nil"/>
              <w:bottom w:val="single" w:sz="4" w:space="0" w:color="auto"/>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 </w:t>
            </w: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left"/>
              <w:rPr>
                <w:rFonts w:ascii="Arial" w:eastAsia="Times New Roman" w:hAnsi="Arial" w:cs="Arial"/>
                <w:sz w:val="20"/>
                <w:szCs w:val="20"/>
                <w:lang w:eastAsia="da-DK"/>
              </w:rPr>
            </w:pPr>
          </w:p>
        </w:tc>
        <w:tc>
          <w:tcPr>
            <w:tcW w:w="1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2.586.790</w:t>
            </w:r>
          </w:p>
        </w:tc>
        <w:tc>
          <w:tcPr>
            <w:tcW w:w="1418"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2.259.175</w:t>
            </w:r>
          </w:p>
        </w:tc>
        <w:tc>
          <w:tcPr>
            <w:tcW w:w="1074"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-327.615</w:t>
            </w: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7F0CCB" w:rsidRDefault="007F0CCB" w:rsidP="000837AF">
            <w:pPr>
              <w:spacing w:line="240" w:lineRule="auto"/>
              <w:jc w:val="left"/>
              <w:rPr>
                <w:rFonts w:ascii="Arial" w:eastAsia="Times New Roman" w:hAnsi="Arial" w:cs="Arial"/>
                <w:b/>
                <w:sz w:val="20"/>
                <w:szCs w:val="20"/>
                <w:lang w:eastAsia="da-DK"/>
              </w:rPr>
            </w:pPr>
            <w:r>
              <w:rPr>
                <w:rFonts w:ascii="Arial" w:eastAsia="Times New Roman" w:hAnsi="Arial" w:cs="Arial"/>
                <w:b/>
                <w:sz w:val="20"/>
                <w:szCs w:val="20"/>
                <w:lang w:eastAsia="da-DK"/>
              </w:rPr>
              <w:t>Øvrige</w:t>
            </w:r>
          </w:p>
        </w:tc>
        <w:tc>
          <w:tcPr>
            <w:tcW w:w="1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418"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074"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left"/>
              <w:rPr>
                <w:rFonts w:ascii="Arial" w:eastAsia="Times New Roman" w:hAnsi="Arial" w:cs="Arial"/>
                <w:sz w:val="20"/>
                <w:szCs w:val="20"/>
                <w:lang w:eastAsia="da-DK"/>
              </w:rPr>
            </w:pPr>
            <w:r w:rsidRPr="000837AF">
              <w:rPr>
                <w:rFonts w:ascii="Arial" w:eastAsia="Times New Roman" w:hAnsi="Arial" w:cs="Arial"/>
                <w:sz w:val="20"/>
                <w:szCs w:val="20"/>
                <w:lang w:eastAsia="da-DK"/>
              </w:rPr>
              <w:t>Avance igangværende arbejder</w:t>
            </w:r>
          </w:p>
        </w:tc>
        <w:tc>
          <w:tcPr>
            <w:tcW w:w="1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444.666</w:t>
            </w:r>
          </w:p>
        </w:tc>
        <w:tc>
          <w:tcPr>
            <w:tcW w:w="1418"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074"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-444.666</w:t>
            </w: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left"/>
              <w:rPr>
                <w:rFonts w:ascii="Arial" w:eastAsia="Times New Roman" w:hAnsi="Arial" w:cs="Arial"/>
                <w:sz w:val="20"/>
                <w:szCs w:val="20"/>
                <w:lang w:eastAsia="da-DK"/>
              </w:rPr>
            </w:pPr>
            <w:r w:rsidRPr="000837AF">
              <w:rPr>
                <w:rFonts w:ascii="Arial" w:eastAsia="Times New Roman" w:hAnsi="Arial" w:cs="Arial"/>
                <w:sz w:val="20"/>
                <w:szCs w:val="20"/>
                <w:lang w:eastAsia="da-DK"/>
              </w:rPr>
              <w:t>Udbytte</w:t>
            </w:r>
          </w:p>
        </w:tc>
        <w:tc>
          <w:tcPr>
            <w:tcW w:w="1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-1.753.128</w:t>
            </w:r>
          </w:p>
        </w:tc>
        <w:tc>
          <w:tcPr>
            <w:tcW w:w="1418"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0</w:t>
            </w:r>
          </w:p>
        </w:tc>
        <w:tc>
          <w:tcPr>
            <w:tcW w:w="1074" w:type="dxa"/>
            <w:tcBorders>
              <w:top w:val="nil"/>
              <w:left w:val="nil"/>
              <w:bottom w:val="single" w:sz="4" w:space="0" w:color="auto"/>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r w:rsidRPr="000837AF">
              <w:rPr>
                <w:rFonts w:ascii="Arial" w:eastAsia="Times New Roman" w:hAnsi="Arial" w:cs="Arial"/>
                <w:sz w:val="20"/>
                <w:szCs w:val="20"/>
                <w:lang w:eastAsia="da-DK"/>
              </w:rPr>
              <w:t>1.753.128</w:t>
            </w: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left"/>
              <w:rPr>
                <w:rFonts w:ascii="Arial" w:eastAsia="Times New Roman" w:hAnsi="Arial" w:cs="Arial"/>
                <w:sz w:val="20"/>
                <w:szCs w:val="20"/>
                <w:lang w:eastAsia="da-DK"/>
              </w:rPr>
            </w:pPr>
          </w:p>
        </w:tc>
        <w:tc>
          <w:tcPr>
            <w:tcW w:w="1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418"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074"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r>
      <w:tr w:rsidR="007F0CCB" w:rsidRPr="000837AF" w:rsidTr="000837AF">
        <w:trPr>
          <w:trHeight w:val="255"/>
        </w:trPr>
        <w:tc>
          <w:tcPr>
            <w:tcW w:w="3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left"/>
              <w:rPr>
                <w:rFonts w:ascii="Arial" w:eastAsia="Times New Roman" w:hAnsi="Arial" w:cs="Arial"/>
                <w:b/>
                <w:bCs/>
                <w:sz w:val="20"/>
                <w:szCs w:val="20"/>
                <w:lang w:eastAsia="da-DK"/>
              </w:rPr>
            </w:pPr>
            <w:r w:rsidRPr="000837AF">
              <w:rPr>
                <w:rFonts w:ascii="Arial" w:eastAsia="Times New Roman" w:hAnsi="Arial" w:cs="Arial"/>
                <w:b/>
                <w:bCs/>
                <w:sz w:val="20"/>
                <w:szCs w:val="20"/>
                <w:lang w:eastAsia="da-DK"/>
              </w:rPr>
              <w:t>Skattepligtig formue</w:t>
            </w:r>
          </w:p>
        </w:tc>
        <w:tc>
          <w:tcPr>
            <w:tcW w:w="1559"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418"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sz w:val="20"/>
                <w:szCs w:val="20"/>
                <w:lang w:eastAsia="da-DK"/>
              </w:rPr>
            </w:pPr>
          </w:p>
        </w:tc>
        <w:tc>
          <w:tcPr>
            <w:tcW w:w="1074" w:type="dxa"/>
            <w:tcBorders>
              <w:top w:val="nil"/>
              <w:left w:val="nil"/>
              <w:bottom w:val="nil"/>
              <w:right w:val="nil"/>
            </w:tcBorders>
            <w:shd w:val="clear" w:color="auto" w:fill="auto"/>
            <w:noWrap/>
            <w:vAlign w:val="bottom"/>
            <w:hideMark/>
          </w:tcPr>
          <w:p w:rsidR="007F0CCB" w:rsidRPr="000837AF" w:rsidRDefault="007F0CCB" w:rsidP="000837AF">
            <w:pPr>
              <w:spacing w:line="240" w:lineRule="auto"/>
              <w:jc w:val="right"/>
              <w:rPr>
                <w:rFonts w:ascii="Arial" w:eastAsia="Times New Roman" w:hAnsi="Arial" w:cs="Arial"/>
                <w:b/>
                <w:bCs/>
                <w:sz w:val="20"/>
                <w:szCs w:val="20"/>
                <w:lang w:eastAsia="da-DK"/>
              </w:rPr>
            </w:pPr>
            <w:r w:rsidRPr="000837AF">
              <w:rPr>
                <w:rFonts w:ascii="Arial" w:eastAsia="Times New Roman" w:hAnsi="Arial" w:cs="Arial"/>
                <w:b/>
                <w:bCs/>
                <w:sz w:val="20"/>
                <w:szCs w:val="20"/>
                <w:lang w:eastAsia="da-DK"/>
              </w:rPr>
              <w:t>2.555.278</w:t>
            </w:r>
          </w:p>
        </w:tc>
      </w:tr>
    </w:tbl>
    <w:p w:rsidR="000837AF" w:rsidRPr="00EE706C" w:rsidRDefault="000837AF" w:rsidP="00EE706C"/>
    <w:sectPr w:rsidR="000837AF" w:rsidRPr="00EE706C" w:rsidSect="00974F32">
      <w:headerReference w:type="default" r:id="rId27"/>
      <w:footerReference w:type="default" r:id="rId28"/>
      <w:pgSz w:w="11906" w:h="16838" w:code="9"/>
      <w:pgMar w:top="1701" w:right="1701"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F6" w:rsidRDefault="009B58F6" w:rsidP="00BB5B2C">
      <w:r>
        <w:separator/>
      </w:r>
    </w:p>
  </w:endnote>
  <w:endnote w:type="continuationSeparator" w:id="1">
    <w:p w:rsidR="009B58F6" w:rsidRDefault="009B58F6" w:rsidP="00BB5B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UI Gothic">
    <w:altName w:val="Arial Unicode MS"/>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1F3" w:rsidRDefault="006911F3">
    <w:pPr>
      <w:pStyle w:val="Sidefod"/>
      <w:jc w:val="right"/>
    </w:pPr>
    <w:fldSimple w:instr=" PAGE   \* MERGEFORMAT ">
      <w:r w:rsidR="0058109F">
        <w:rPr>
          <w:noProof/>
        </w:rPr>
        <w:t>23</w:t>
      </w:r>
    </w:fldSimple>
  </w:p>
  <w:p w:rsidR="006911F3" w:rsidRDefault="006911F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F6" w:rsidRDefault="009B58F6" w:rsidP="00BB5B2C">
      <w:r>
        <w:separator/>
      </w:r>
    </w:p>
  </w:footnote>
  <w:footnote w:type="continuationSeparator" w:id="1">
    <w:p w:rsidR="009B58F6" w:rsidRDefault="009B58F6" w:rsidP="00BB5B2C">
      <w:r>
        <w:continuationSeparator/>
      </w:r>
    </w:p>
  </w:footnote>
  <w:footnote w:id="2">
    <w:p w:rsidR="006911F3" w:rsidRDefault="006911F3">
      <w:pPr>
        <w:pStyle w:val="Fodnotetekst"/>
      </w:pPr>
      <w:r>
        <w:rPr>
          <w:rStyle w:val="Fodnotehenvisning"/>
        </w:rPr>
        <w:footnoteRef/>
      </w:r>
      <w:r>
        <w:t xml:space="preserve"> I betænkning nr. 1374, august 1999, afsnit. 2.3 anføres det at op mod 100.000 virksomheder skal gen</w:t>
      </w:r>
      <w:r>
        <w:t>e</w:t>
      </w:r>
      <w:r>
        <w:t>rationsskiftes indenfor de kommende 10 år. Problemet med de statistiske oplysninger, der blev anvendt til betænkningen var at der blev taget udgangspunkt i virksomheder, hvor ejeren var over 50 år og det derfor antoges at der var et potentielt generationsskifte (afsnit 2.3.4 i samme betænkning), men det samme statistiske materiale viste at der var mange selvstændigt erhvervsdrivende over 65 år og inde</w:t>
      </w:r>
      <w:r>
        <w:t>n</w:t>
      </w:r>
      <w:r>
        <w:t>for industri- og engrosvirksomhed synes der at være tendens til lav firmaomsætning og netop her er den relative andel af virksomhedsejere over 50 år større end for andre brancher.</w:t>
      </w:r>
    </w:p>
  </w:footnote>
  <w:footnote w:id="3">
    <w:p w:rsidR="006911F3" w:rsidRDefault="006911F3">
      <w:pPr>
        <w:pStyle w:val="Fodnotetekst"/>
      </w:pPr>
      <w:r>
        <w:rPr>
          <w:rStyle w:val="Fodnotehenvisning"/>
        </w:rPr>
        <w:footnoteRef/>
      </w:r>
      <w:r>
        <w:t xml:space="preserve"> A.P. Møller har i en alder af 95 år endnu ikke helt sluppet grebet om sin koncern; uden at have dybere kendskab til bagtankerne, ser det ud til at Mærsk har haft meget svært ved at finde den rette person inden for familien til at drive livsværket videre og måske haft svært ved at erkende at han er nødt til at overlade ledelsen til andre.</w:t>
      </w:r>
    </w:p>
  </w:footnote>
  <w:footnote w:id="4">
    <w:p w:rsidR="006911F3" w:rsidRDefault="006911F3" w:rsidP="00FD6EA4">
      <w:pPr>
        <w:pStyle w:val="Fodnotetekst"/>
      </w:pPr>
      <w:r>
        <w:rPr>
          <w:rStyle w:val="Fodnotehenvisning"/>
        </w:rPr>
        <w:footnoteRef/>
      </w:r>
      <w:r>
        <w:t xml:space="preserve"> Michael Serup; Generationsskifte, side 31 – relevante hensyn ved generationsskifte.</w:t>
      </w:r>
    </w:p>
  </w:footnote>
  <w:footnote w:id="5">
    <w:p w:rsidR="006911F3" w:rsidRDefault="006911F3">
      <w:pPr>
        <w:pStyle w:val="Fodnotetekst"/>
      </w:pPr>
      <w:r>
        <w:rPr>
          <w:rStyle w:val="Fodnotehenvisning"/>
        </w:rPr>
        <w:footnoteRef/>
      </w:r>
      <w:r>
        <w:t xml:space="preserve"> Cirkulære nr. 129 af 4. juli 1994</w:t>
      </w:r>
    </w:p>
  </w:footnote>
  <w:footnote w:id="6">
    <w:p w:rsidR="006911F3" w:rsidRDefault="006911F3">
      <w:pPr>
        <w:pStyle w:val="Fodnotetekst"/>
      </w:pPr>
      <w:r>
        <w:rPr>
          <w:rStyle w:val="Fodnotehenvisning"/>
        </w:rPr>
        <w:footnoteRef/>
      </w:r>
      <w:r>
        <w:t xml:space="preserve"> Bille, Jane K: Skattemæssig succession ved generationsskifte i levende live og ved død s. 144</w:t>
      </w:r>
    </w:p>
  </w:footnote>
  <w:footnote w:id="7">
    <w:p w:rsidR="006911F3" w:rsidRDefault="006911F3" w:rsidP="00DD5131">
      <w:pPr>
        <w:pStyle w:val="Fodnotetekst"/>
      </w:pPr>
      <w:r>
        <w:rPr>
          <w:rStyle w:val="Fodnotehenvisning"/>
        </w:rPr>
        <w:footnoteRef/>
      </w:r>
      <w:r>
        <w:t xml:space="preserve"> KSL § 26 A og KSL § 26 B</w:t>
      </w:r>
    </w:p>
  </w:footnote>
  <w:footnote w:id="8">
    <w:p w:rsidR="006911F3" w:rsidRDefault="006911F3" w:rsidP="00DD5131">
      <w:pPr>
        <w:pStyle w:val="Fodnotetekst"/>
      </w:pPr>
      <w:r>
        <w:rPr>
          <w:rStyle w:val="Fodnotehenvisning"/>
        </w:rPr>
        <w:footnoteRef/>
      </w:r>
      <w:r>
        <w:t xml:space="preserve"> KSL § 33 C og ABL § 34</w:t>
      </w:r>
    </w:p>
  </w:footnote>
  <w:footnote w:id="9">
    <w:p w:rsidR="006911F3" w:rsidRDefault="006911F3" w:rsidP="00DD5131">
      <w:pPr>
        <w:pStyle w:val="Fodnotetekst"/>
      </w:pPr>
      <w:r>
        <w:rPr>
          <w:rStyle w:val="Fodnotehenvisning"/>
        </w:rPr>
        <w:footnoteRef/>
      </w:r>
      <w:r>
        <w:t xml:space="preserve"> KSL § 33 C og ABL § 35</w:t>
      </w:r>
    </w:p>
  </w:footnote>
  <w:footnote w:id="10">
    <w:p w:rsidR="006911F3" w:rsidRDefault="006911F3" w:rsidP="00DD5131">
      <w:pPr>
        <w:pStyle w:val="Fodnotetekst"/>
      </w:pPr>
      <w:r>
        <w:rPr>
          <w:rStyle w:val="Fodnotehenvisning"/>
        </w:rPr>
        <w:footnoteRef/>
      </w:r>
      <w:r>
        <w:t xml:space="preserve"> DSKL § 20 og § 59</w:t>
      </w:r>
    </w:p>
  </w:footnote>
  <w:footnote w:id="11">
    <w:p w:rsidR="006911F3" w:rsidRDefault="006911F3" w:rsidP="00DD5131">
      <w:pPr>
        <w:pStyle w:val="Fodnotetekst"/>
      </w:pPr>
      <w:r>
        <w:rPr>
          <w:rStyle w:val="Fodnotehenvisning"/>
        </w:rPr>
        <w:footnoteRef/>
      </w:r>
      <w:r>
        <w:t xml:space="preserve"> Lov om skattefri virksomhedsomdannelse - VOL</w:t>
      </w:r>
    </w:p>
  </w:footnote>
  <w:footnote w:id="12">
    <w:p w:rsidR="006911F3" w:rsidRDefault="006911F3" w:rsidP="00DD5131">
      <w:pPr>
        <w:pStyle w:val="Fodnotetekst"/>
      </w:pPr>
      <w:r>
        <w:rPr>
          <w:rStyle w:val="Fodnotehenvisning"/>
        </w:rPr>
        <w:footnoteRef/>
      </w:r>
      <w:r>
        <w:t xml:space="preserve"> FUSL - fusionsskatteloven</w:t>
      </w:r>
    </w:p>
  </w:footnote>
  <w:footnote w:id="13">
    <w:p w:rsidR="006911F3" w:rsidRDefault="006911F3" w:rsidP="00DD5131">
      <w:pPr>
        <w:pStyle w:val="Fodnotetekst"/>
      </w:pPr>
      <w:r>
        <w:rPr>
          <w:rStyle w:val="Fodnotehenvisning"/>
        </w:rPr>
        <w:footnoteRef/>
      </w:r>
      <w:r>
        <w:t xml:space="preserve"> ABL § 36 og FUSL § 9 og § 11</w:t>
      </w:r>
    </w:p>
  </w:footnote>
  <w:footnote w:id="14">
    <w:p w:rsidR="006911F3" w:rsidRDefault="006911F3">
      <w:pPr>
        <w:pStyle w:val="Fodnotetekst"/>
      </w:pPr>
      <w:r>
        <w:rPr>
          <w:rStyle w:val="Fodnotehenvisning"/>
        </w:rPr>
        <w:footnoteRef/>
      </w:r>
      <w:r>
        <w:t xml:space="preserve"> Bestemmelsen har senere fået andet paragrafnummer i ABL</w:t>
      </w:r>
    </w:p>
  </w:footnote>
  <w:footnote w:id="15">
    <w:p w:rsidR="006911F3" w:rsidRDefault="006911F3">
      <w:pPr>
        <w:pStyle w:val="Fodnotetekst"/>
      </w:pPr>
      <w:r>
        <w:rPr>
          <w:rStyle w:val="Fodnotehenvisning"/>
        </w:rPr>
        <w:footnoteRef/>
      </w:r>
      <w:r>
        <w:t xml:space="preserve"> </w:t>
      </w:r>
      <w:r w:rsidRPr="007A32DF">
        <w:t>LFB 1988-01-20 nr</w:t>
      </w:r>
      <w:r>
        <w:t>.</w:t>
      </w:r>
      <w:r w:rsidRPr="007A32DF">
        <w:t xml:space="preserve"> 116 Ændring af forskellige skattelove (Skattereformen)</w:t>
      </w:r>
    </w:p>
  </w:footnote>
  <w:footnote w:id="16">
    <w:p w:rsidR="006911F3" w:rsidRDefault="006911F3">
      <w:pPr>
        <w:pStyle w:val="Fodnotetekst"/>
      </w:pPr>
      <w:r>
        <w:rPr>
          <w:rStyle w:val="Fodnotehenvisning"/>
        </w:rPr>
        <w:footnoteRef/>
      </w:r>
      <w:r>
        <w:t xml:space="preserve"> </w:t>
      </w:r>
      <w:r w:rsidRPr="00BC28DA">
        <w:rPr>
          <w:rStyle w:val="Strk"/>
          <w:b w:val="0"/>
        </w:rPr>
        <w:t>Generationsskiftet i erhvervslivet - betænkning nr. 1374, august 1999</w:t>
      </w:r>
      <w:r>
        <w:rPr>
          <w:rStyle w:val="Strk"/>
          <w:b w:val="0"/>
        </w:rPr>
        <w:t xml:space="preserve"> afsnit 2.3.1</w:t>
      </w:r>
    </w:p>
  </w:footnote>
  <w:footnote w:id="17">
    <w:p w:rsidR="006911F3" w:rsidRDefault="006911F3" w:rsidP="007A32DF">
      <w:r>
        <w:rPr>
          <w:rStyle w:val="Fodnotehenvisning"/>
        </w:rPr>
        <w:footnoteRef/>
      </w:r>
      <w:r>
        <w:t xml:space="preserve"> </w:t>
      </w:r>
      <w:r w:rsidRPr="007A32DF">
        <w:rPr>
          <w:sz w:val="20"/>
          <w:szCs w:val="20"/>
        </w:rPr>
        <w:t>LFF 1998-12-17 nr</w:t>
      </w:r>
      <w:r>
        <w:rPr>
          <w:sz w:val="20"/>
          <w:szCs w:val="20"/>
        </w:rPr>
        <w:t>.</w:t>
      </w:r>
      <w:r w:rsidRPr="007A32DF">
        <w:rPr>
          <w:sz w:val="20"/>
          <w:szCs w:val="20"/>
        </w:rPr>
        <w:t xml:space="preserve"> 147 Ændring af lov om skattefri virksomhedsomdannelse, virksomhedsskatteloven og fusionsskatteloven</w:t>
      </w:r>
    </w:p>
  </w:footnote>
  <w:footnote w:id="18">
    <w:p w:rsidR="006911F3" w:rsidRDefault="006911F3">
      <w:pPr>
        <w:pStyle w:val="Fodnotetekst"/>
      </w:pPr>
      <w:r>
        <w:rPr>
          <w:rStyle w:val="Fodnotehenvisning"/>
        </w:rPr>
        <w:footnoteRef/>
      </w:r>
      <w:r>
        <w:t xml:space="preserve"> Bille, Jane K: Skattemæssig succession ved generationsskifte i levende live og ved død s. 24</w:t>
      </w:r>
    </w:p>
  </w:footnote>
  <w:footnote w:id="19">
    <w:p w:rsidR="006911F3" w:rsidRDefault="006911F3">
      <w:pPr>
        <w:pStyle w:val="Fodnotetekst"/>
      </w:pPr>
      <w:r>
        <w:rPr>
          <w:rStyle w:val="Fodnotehenvisning"/>
        </w:rPr>
        <w:footnoteRef/>
      </w:r>
      <w:r>
        <w:t xml:space="preserve"> Halling-Overgaard, Søren og Olesen, Birgitte Sølvkær: Generationsskifte s. 3</w:t>
      </w:r>
    </w:p>
  </w:footnote>
  <w:footnote w:id="20">
    <w:p w:rsidR="006911F3" w:rsidRDefault="006911F3">
      <w:pPr>
        <w:pStyle w:val="Fodnotetekst"/>
      </w:pPr>
      <w:r>
        <w:rPr>
          <w:rStyle w:val="Fodnotehenvisning"/>
        </w:rPr>
        <w:footnoteRef/>
      </w:r>
      <w:r>
        <w:t xml:space="preserve"> Serup, Michael: Generationsskifte s. 31-36</w:t>
      </w:r>
    </w:p>
  </w:footnote>
  <w:footnote w:id="21">
    <w:p w:rsidR="006911F3" w:rsidRDefault="006911F3">
      <w:pPr>
        <w:pStyle w:val="Fodnotetekst"/>
      </w:pPr>
      <w:r>
        <w:rPr>
          <w:rStyle w:val="Fodnotehenvisning"/>
        </w:rPr>
        <w:footnoteRef/>
      </w:r>
      <w:r>
        <w:t xml:space="preserve"> 651 af 15/6 2006. Lov om visse erhvervsdrivende virksomheder</w:t>
      </w:r>
    </w:p>
  </w:footnote>
  <w:footnote w:id="22">
    <w:p w:rsidR="006911F3" w:rsidRDefault="006911F3">
      <w:pPr>
        <w:pStyle w:val="Fodnotetekst"/>
      </w:pPr>
      <w:r>
        <w:rPr>
          <w:rStyle w:val="Fodnotehenvisning"/>
        </w:rPr>
        <w:footnoteRef/>
      </w:r>
      <w:r>
        <w:t xml:space="preserve"> Søren Friis Hansen, Jens Valdemar Krenchel: Dansk selskabsret 3, Interessentskaber s. 54</w:t>
      </w:r>
    </w:p>
  </w:footnote>
  <w:footnote w:id="23">
    <w:p w:rsidR="006911F3" w:rsidRDefault="006911F3" w:rsidP="005C54A2">
      <w:pPr>
        <w:pStyle w:val="Fodnotetekst"/>
      </w:pPr>
      <w:r>
        <w:rPr>
          <w:rStyle w:val="Fodnotehenvisning"/>
        </w:rPr>
        <w:footnoteRef/>
      </w:r>
      <w:r>
        <w:t xml:space="preserve"> Liselotte Hedetoft Madsen: Beskatning ved deltagelse i personselskaber s. </w:t>
      </w:r>
    </w:p>
  </w:footnote>
  <w:footnote w:id="24">
    <w:p w:rsidR="006911F3" w:rsidRDefault="006911F3">
      <w:pPr>
        <w:pStyle w:val="Fodnotetekst"/>
      </w:pPr>
      <w:r>
        <w:rPr>
          <w:rStyle w:val="Fodnotehenvisning"/>
        </w:rPr>
        <w:footnoteRef/>
      </w:r>
      <w:r>
        <w:t xml:space="preserve"> Jane K. Bille: Skattemæssig succession ved generationsskifte i levende live og død s. 152</w:t>
      </w:r>
    </w:p>
  </w:footnote>
  <w:footnote w:id="25">
    <w:p w:rsidR="006911F3" w:rsidRDefault="006911F3" w:rsidP="009A40FB">
      <w:pPr>
        <w:pStyle w:val="Fodnotetekst"/>
      </w:pPr>
      <w:r>
        <w:rPr>
          <w:rStyle w:val="Fodnotehenvisning"/>
        </w:rPr>
        <w:footnoteRef/>
      </w:r>
      <w:r>
        <w:t xml:space="preserve"> Søren Friis Hansen, Jens Valdemar Krenchel: Dansk selskabsret 3, Interessentskaber s. 212</w:t>
      </w:r>
    </w:p>
  </w:footnote>
  <w:footnote w:id="26">
    <w:p w:rsidR="006911F3" w:rsidRDefault="006911F3" w:rsidP="002E595A">
      <w:pPr>
        <w:pStyle w:val="Fodnotetekst"/>
      </w:pPr>
      <w:r>
        <w:rPr>
          <w:rStyle w:val="Fodnotehenvisning"/>
        </w:rPr>
        <w:footnoteRef/>
      </w:r>
      <w:r>
        <w:t xml:space="preserve"> Liselotte Hedetoft Madsen: Beskatning ved deltagelse i personselskaber</w:t>
      </w:r>
    </w:p>
  </w:footnote>
  <w:footnote w:id="27">
    <w:p w:rsidR="006911F3" w:rsidRDefault="006911F3" w:rsidP="00C27D1F">
      <w:pPr>
        <w:pStyle w:val="Fodnotetekst"/>
      </w:pPr>
      <w:r>
        <w:rPr>
          <w:rStyle w:val="Fodnotehenvisning"/>
        </w:rPr>
        <w:footnoteRef/>
      </w:r>
      <w:r>
        <w:t xml:space="preserve"> Søren Friis Hansen, Jens Valdemar Krenchel: Dansk selskabsret 3, Interessentskaber s. 647-648</w:t>
      </w:r>
    </w:p>
  </w:footnote>
  <w:footnote w:id="28">
    <w:p w:rsidR="006911F3" w:rsidRDefault="006911F3">
      <w:pPr>
        <w:pStyle w:val="Fodnotetekst"/>
      </w:pPr>
      <w:r>
        <w:rPr>
          <w:rStyle w:val="Fodnotehenvisning"/>
        </w:rPr>
        <w:footnoteRef/>
      </w:r>
      <w:r>
        <w:t xml:space="preserve"> </w:t>
      </w:r>
      <w:r w:rsidRPr="006C2E86">
        <w:t>Aage Michelsen, Steen Askholt, Jane Bolander, J</w:t>
      </w:r>
      <w:r>
        <w:t>ohn Engsig: Lærebog om indkomstskat s. 978</w:t>
      </w:r>
    </w:p>
  </w:footnote>
  <w:footnote w:id="29">
    <w:p w:rsidR="006911F3" w:rsidRDefault="006911F3" w:rsidP="00962824">
      <w:pPr>
        <w:pStyle w:val="Fodnotetekst"/>
      </w:pPr>
      <w:r>
        <w:rPr>
          <w:rStyle w:val="Fodnotehenvisning"/>
        </w:rPr>
        <w:footnoteRef/>
      </w:r>
      <w:r w:rsidRPr="006C2E86">
        <w:t xml:space="preserve"> Aage Michelsen, Steen Askholt, Jane Bolander, J</w:t>
      </w:r>
      <w:r>
        <w:t>ohn Engsig: Lærebog om indkomstskat s. 977-978</w:t>
      </w:r>
    </w:p>
  </w:footnote>
  <w:footnote w:id="30">
    <w:p w:rsidR="006911F3" w:rsidRDefault="006911F3" w:rsidP="00CD56BE">
      <w:pPr>
        <w:pStyle w:val="Fodnotetekst"/>
      </w:pPr>
      <w:r>
        <w:rPr>
          <w:rStyle w:val="Fodnotehenvisning"/>
        </w:rPr>
        <w:footnoteRef/>
      </w:r>
      <w:r>
        <w:t xml:space="preserve"> </w:t>
      </w:r>
      <w:r w:rsidRPr="006C2E86">
        <w:t>Aage Michelsen, Steen Askholt, Jane Bolander, J</w:t>
      </w:r>
      <w:r>
        <w:t>ohn Engsig: Lærebog om indkomstskat s. 978</w:t>
      </w:r>
    </w:p>
  </w:footnote>
  <w:footnote w:id="31">
    <w:p w:rsidR="006911F3" w:rsidRDefault="006911F3" w:rsidP="007C4F35">
      <w:pPr>
        <w:pStyle w:val="Fodnotetekst"/>
      </w:pPr>
      <w:r>
        <w:rPr>
          <w:rStyle w:val="Fodnotehenvisning"/>
        </w:rPr>
        <w:footnoteRef/>
      </w:r>
      <w:r>
        <w:t xml:space="preserve"> Liselotte Hedetoft Madsen: Beskatning ved deltagelse i personselskaber</w:t>
      </w:r>
    </w:p>
  </w:footnote>
  <w:footnote w:id="32">
    <w:p w:rsidR="006911F3" w:rsidRDefault="006911F3" w:rsidP="00B6315A">
      <w:pPr>
        <w:pStyle w:val="Fodnotetekst"/>
      </w:pPr>
      <w:r>
        <w:rPr>
          <w:rStyle w:val="Fodnotehenvisning"/>
        </w:rPr>
        <w:footnoteRef/>
      </w:r>
      <w:r w:rsidRPr="00A87A96">
        <w:t xml:space="preserve"> LV E.1.6</w:t>
      </w:r>
    </w:p>
  </w:footnote>
  <w:footnote w:id="33">
    <w:p w:rsidR="006911F3" w:rsidRDefault="006911F3">
      <w:pPr>
        <w:pStyle w:val="Fodnotetekst"/>
      </w:pPr>
      <w:r>
        <w:rPr>
          <w:rStyle w:val="Fodnotehenvisning"/>
        </w:rPr>
        <w:footnoteRef/>
      </w:r>
      <w:r>
        <w:t xml:space="preserve"> </w:t>
      </w:r>
      <w:r w:rsidRPr="006C2E86">
        <w:t>Aage Michelsen, Steen Askholt, Jane Bolander, J</w:t>
      </w:r>
      <w:r>
        <w:t>ohn Engsig: Lærebog om indkomstskat s. 974</w:t>
      </w:r>
    </w:p>
  </w:footnote>
  <w:footnote w:id="34">
    <w:p w:rsidR="006911F3" w:rsidRDefault="006911F3">
      <w:pPr>
        <w:pStyle w:val="Fodnotetekst"/>
      </w:pPr>
      <w:r>
        <w:rPr>
          <w:rStyle w:val="Fodnotehenvisning"/>
        </w:rPr>
        <w:footnoteRef/>
      </w:r>
      <w:r w:rsidRPr="00A87A96">
        <w:t xml:space="preserve"> LV E.1.6</w:t>
      </w:r>
    </w:p>
  </w:footnote>
  <w:footnote w:id="35">
    <w:p w:rsidR="006911F3" w:rsidRDefault="006911F3" w:rsidP="000B4E51">
      <w:pPr>
        <w:pStyle w:val="Fodnotetekst"/>
      </w:pPr>
      <w:r>
        <w:rPr>
          <w:rStyle w:val="Fodnotehenvisning"/>
        </w:rPr>
        <w:footnoteRef/>
      </w:r>
      <w:r>
        <w:t xml:space="preserve"> Jf. LV E.I..1.2 ”Hvornår er der afstået?”</w:t>
      </w:r>
    </w:p>
  </w:footnote>
  <w:footnote w:id="36">
    <w:p w:rsidR="006911F3" w:rsidRDefault="006911F3" w:rsidP="000B4E51">
      <w:pPr>
        <w:pStyle w:val="Fodnotetekst"/>
      </w:pPr>
      <w:r>
        <w:rPr>
          <w:rStyle w:val="Fodnotehenvisning"/>
        </w:rPr>
        <w:footnoteRef/>
      </w:r>
      <w:r>
        <w:t xml:space="preserve"> LL § 2, stk. 1 – definition af nærtstående parter; samt endvidere jf. BAL § 22 stk. 1; personkreds der er omfattet af reglerne om gaveafgift.</w:t>
      </w:r>
    </w:p>
  </w:footnote>
  <w:footnote w:id="37">
    <w:p w:rsidR="006911F3" w:rsidRDefault="006911F3" w:rsidP="000B4E51">
      <w:pPr>
        <w:pStyle w:val="Fodnotetekst"/>
      </w:pPr>
      <w:r>
        <w:rPr>
          <w:rStyle w:val="Fodnotehenvisning"/>
        </w:rPr>
        <w:footnoteRef/>
      </w:r>
      <w:r>
        <w:t xml:space="preserve"> Jf. LL § 2, stk. 1.</w:t>
      </w:r>
    </w:p>
  </w:footnote>
  <w:footnote w:id="38">
    <w:p w:rsidR="006911F3" w:rsidRDefault="006911F3" w:rsidP="000B4E51">
      <w:pPr>
        <w:pStyle w:val="Fodnotetekst"/>
      </w:pPr>
      <w:r>
        <w:rPr>
          <w:rStyle w:val="Fodnotehenvisning"/>
        </w:rPr>
        <w:footnoteRef/>
      </w:r>
      <w:r>
        <w:t xml:space="preserve"> Jf. AL § 45, stk. 3 – er den samlede kontantomregnede salgssum samt fordelingen på aktiver underlagt skatteforvaltningens prøvelse. Hvis der korrigeres er dette bindende for køber og sælger.</w:t>
      </w:r>
    </w:p>
  </w:footnote>
  <w:footnote w:id="39">
    <w:p w:rsidR="006911F3" w:rsidRDefault="006911F3" w:rsidP="000B4E51">
      <w:pPr>
        <w:pStyle w:val="Fodnotetekst"/>
      </w:pPr>
      <w:r w:rsidRPr="005A0E09">
        <w:rPr>
          <w:rStyle w:val="Fodnotehenvisning"/>
        </w:rPr>
        <w:footnoteRef/>
      </w:r>
      <w:r w:rsidRPr="005A0E09">
        <w:rPr>
          <w:rStyle w:val="Fodnotehenvisning"/>
        </w:rPr>
        <w:t xml:space="preserve"> </w:t>
      </w:r>
      <w:r>
        <w:t xml:space="preserve">Også benævnt TSS-cirkulære 2000-10 </w:t>
      </w:r>
    </w:p>
  </w:footnote>
  <w:footnote w:id="40">
    <w:p w:rsidR="006911F3" w:rsidRDefault="006911F3" w:rsidP="000B4E51">
      <w:pPr>
        <w:pStyle w:val="Fodnotetekst"/>
      </w:pPr>
      <w:r>
        <w:rPr>
          <w:rStyle w:val="Fodnotehenvisning"/>
        </w:rPr>
        <w:footnoteRef/>
      </w:r>
      <w:r>
        <w:t xml:space="preserve"> Jf. LV E.I.4.1.1.3: virksomhedens kundekreds og indtjening skal begrunde eksistensen af goodwill – endvidere jf. TfS 1992.431.VLD; Hvor en svineproducent overdrog aktiviteten til et anpartsselskab; fandt landsretten at der ikke var tilknyttet goodwill til virksomheden; da indtjeningen i det væsentligste skete ved afsætning til et slagteri.</w:t>
      </w:r>
    </w:p>
  </w:footnote>
  <w:footnote w:id="41">
    <w:p w:rsidR="006911F3" w:rsidRDefault="006911F3" w:rsidP="000B4E51">
      <w:pPr>
        <w:pStyle w:val="Fodnotetekst"/>
      </w:pPr>
      <w:r>
        <w:rPr>
          <w:rStyle w:val="Fodnotehenvisning"/>
        </w:rPr>
        <w:footnoteRef/>
      </w:r>
      <w:r>
        <w:t xml:space="preserve"> November 2008, hvor der er en generel afmatning i samfundet med deraf følgende konkurser, der er flere pengeinstitutter, der har måttet opgive – senest EBH-bank.</w:t>
      </w:r>
    </w:p>
  </w:footnote>
  <w:footnote w:id="42">
    <w:p w:rsidR="006911F3" w:rsidRDefault="006911F3" w:rsidP="000B4E51">
      <w:pPr>
        <w:pStyle w:val="Fodnotetekst"/>
      </w:pPr>
      <w:r>
        <w:rPr>
          <w:rStyle w:val="Fodnotehenvisning"/>
        </w:rPr>
        <w:footnoteRef/>
      </w:r>
      <w:r>
        <w:t xml:space="preserve"> Reglen blev indført i 1999.</w:t>
      </w:r>
    </w:p>
  </w:footnote>
  <w:footnote w:id="43">
    <w:p w:rsidR="006911F3" w:rsidRDefault="006911F3" w:rsidP="000B4E51">
      <w:pPr>
        <w:pStyle w:val="Fodnotetekst"/>
      </w:pPr>
      <w:r>
        <w:rPr>
          <w:rStyle w:val="Fodnotehenvisning"/>
        </w:rPr>
        <w:footnoteRef/>
      </w:r>
      <w:r>
        <w:t xml:space="preserve"> LL § 12B, stk. 4</w:t>
      </w:r>
    </w:p>
  </w:footnote>
  <w:footnote w:id="44">
    <w:p w:rsidR="006911F3" w:rsidRPr="003E1BD4" w:rsidRDefault="006911F3" w:rsidP="000B4E51">
      <w:pPr>
        <w:pStyle w:val="Fodnotetekst"/>
        <w:rPr>
          <w:lang w:val="en-US"/>
        </w:rPr>
      </w:pPr>
      <w:r>
        <w:rPr>
          <w:rStyle w:val="Fodnotehenvisning"/>
        </w:rPr>
        <w:footnoteRef/>
      </w:r>
      <w:r w:rsidRPr="00FD6EA4">
        <w:rPr>
          <w:lang w:val="en-US"/>
        </w:rPr>
        <w:t xml:space="preserve"> LL § 12B, stk. 4</w:t>
      </w:r>
    </w:p>
  </w:footnote>
  <w:footnote w:id="45">
    <w:p w:rsidR="006911F3" w:rsidRPr="003E1BD4" w:rsidRDefault="006911F3" w:rsidP="000B4E51">
      <w:pPr>
        <w:pStyle w:val="Fodnotetekst"/>
        <w:rPr>
          <w:lang w:val="en-US"/>
        </w:rPr>
      </w:pPr>
      <w:r>
        <w:rPr>
          <w:rStyle w:val="Fodnotehenvisning"/>
        </w:rPr>
        <w:footnoteRef/>
      </w:r>
      <w:r w:rsidRPr="00FD6EA4">
        <w:rPr>
          <w:lang w:val="en-US"/>
        </w:rPr>
        <w:t xml:space="preserve"> Jf.</w:t>
      </w:r>
      <w:r>
        <w:rPr>
          <w:lang w:val="en-US"/>
        </w:rPr>
        <w:t xml:space="preserve"> </w:t>
      </w:r>
      <w:r w:rsidRPr="00FD6EA4">
        <w:rPr>
          <w:lang w:val="en-US"/>
        </w:rPr>
        <w:t>LL § 12 B, stk</w:t>
      </w:r>
      <w:r>
        <w:rPr>
          <w:lang w:val="en-US"/>
        </w:rPr>
        <w:t>.</w:t>
      </w:r>
      <w:r w:rsidRPr="00FD6EA4">
        <w:rPr>
          <w:lang w:val="en-US"/>
        </w:rPr>
        <w:t xml:space="preserve"> 5</w:t>
      </w:r>
    </w:p>
  </w:footnote>
  <w:footnote w:id="46">
    <w:p w:rsidR="006911F3" w:rsidRDefault="006911F3" w:rsidP="007235DB">
      <w:pPr>
        <w:pStyle w:val="Fodnotetekst"/>
      </w:pPr>
      <w:r>
        <w:rPr>
          <w:rStyle w:val="Fodnotehenvisning"/>
        </w:rPr>
        <w:footnoteRef/>
      </w:r>
      <w:r>
        <w:t xml:space="preserve"> Gaveafgiftskredsen består bl.a. af jf. BAL § 22, stk. 1, litra a – f, følgende personer; afkom i lige linje, forældre, personer, der har haft fælles bopæl i de sidste 2 år, plejebørn, stedforældre og bedsteforæ</w:t>
      </w:r>
      <w:r>
        <w:t>l</w:t>
      </w:r>
      <w:r>
        <w:t>dre.</w:t>
      </w:r>
    </w:p>
  </w:footnote>
  <w:footnote w:id="47">
    <w:p w:rsidR="006911F3" w:rsidRDefault="006911F3">
      <w:pPr>
        <w:pStyle w:val="Fodnotetekst"/>
      </w:pPr>
      <w:r>
        <w:rPr>
          <w:rStyle w:val="Fodnotehenvisning"/>
        </w:rPr>
        <w:footnoteRef/>
      </w:r>
      <w:r>
        <w:t xml:space="preserve"> Jf. LV S.F.2.3.2 – tidligere kunne der henvises til TSS 2000-05.</w:t>
      </w:r>
    </w:p>
  </w:footnote>
  <w:footnote w:id="48">
    <w:p w:rsidR="006911F3" w:rsidRDefault="006911F3" w:rsidP="007235DB">
      <w:pPr>
        <w:pStyle w:val="Fodnotetekst"/>
      </w:pPr>
      <w:r>
        <w:rPr>
          <w:rStyle w:val="Fodnotehenvisning"/>
        </w:rPr>
        <w:footnoteRef/>
      </w:r>
      <w:r>
        <w:t xml:space="preserve"> AL § 9, stk. 4</w:t>
      </w:r>
    </w:p>
  </w:footnote>
  <w:footnote w:id="49">
    <w:p w:rsidR="006911F3" w:rsidRDefault="006911F3" w:rsidP="007235DB">
      <w:pPr>
        <w:pStyle w:val="Fodnotetekst"/>
      </w:pPr>
      <w:r>
        <w:rPr>
          <w:rStyle w:val="Fodnotehenvisning"/>
        </w:rPr>
        <w:footnoteRef/>
      </w:r>
      <w:r>
        <w:t xml:space="preserve"> Jf. Michael Serup; Generationsskifte – omstrukturering, side 262 øverst</w:t>
      </w:r>
    </w:p>
  </w:footnote>
  <w:footnote w:id="50">
    <w:p w:rsidR="006911F3" w:rsidRDefault="006911F3" w:rsidP="007235DB">
      <w:pPr>
        <w:pStyle w:val="Fodnotetekst"/>
      </w:pPr>
      <w:r>
        <w:rPr>
          <w:rStyle w:val="Fodnotehenvisning"/>
        </w:rPr>
        <w:footnoteRef/>
      </w:r>
      <w:r>
        <w:t xml:space="preserve"> Jf.KGL § 12 stk. 1 og KGL § 1, stk. 1.</w:t>
      </w:r>
    </w:p>
  </w:footnote>
  <w:footnote w:id="51">
    <w:p w:rsidR="006911F3" w:rsidRDefault="006911F3" w:rsidP="007235DB">
      <w:pPr>
        <w:pStyle w:val="Fodnotetekst"/>
      </w:pPr>
      <w:r>
        <w:rPr>
          <w:rStyle w:val="Fodnotehenvisning"/>
        </w:rPr>
        <w:footnoteRef/>
      </w:r>
      <w:r>
        <w:t xml:space="preserve"> Jf. VSL § 15, stk. 1.</w:t>
      </w:r>
    </w:p>
  </w:footnote>
  <w:footnote w:id="52">
    <w:p w:rsidR="006911F3" w:rsidRDefault="006911F3" w:rsidP="007235DB">
      <w:pPr>
        <w:pStyle w:val="Fodnotetekst"/>
      </w:pPr>
      <w:r>
        <w:rPr>
          <w:rStyle w:val="Fodnotehenvisning"/>
        </w:rPr>
        <w:footnoteRef/>
      </w:r>
      <w:r>
        <w:t xml:space="preserve"> Jf. VSL § 15, stk. 2.</w:t>
      </w:r>
    </w:p>
  </w:footnote>
  <w:footnote w:id="53">
    <w:p w:rsidR="006911F3" w:rsidRDefault="006911F3" w:rsidP="007235DB">
      <w:pPr>
        <w:pStyle w:val="Fodnotetekst"/>
      </w:pPr>
      <w:r>
        <w:rPr>
          <w:rStyle w:val="Fodnotehenvisning"/>
        </w:rPr>
        <w:footnoteRef/>
      </w:r>
      <w:r>
        <w:t xml:space="preserve"> JF VSL § 15, stk. 3.</w:t>
      </w:r>
    </w:p>
  </w:footnote>
  <w:footnote w:id="54">
    <w:p w:rsidR="006911F3" w:rsidRDefault="006911F3" w:rsidP="007235DB">
      <w:pPr>
        <w:pStyle w:val="Fodnotetekst"/>
      </w:pPr>
      <w:r>
        <w:rPr>
          <w:rStyle w:val="Fodnotehenvisning"/>
        </w:rPr>
        <w:footnoteRef/>
      </w:r>
      <w:r>
        <w:t xml:space="preserve"> Jf. LVA.B.7.1.6 – er der ikke hjemmel til at foretage kapitalisering af den løbende rentefordel og b</w:t>
      </w:r>
      <w:r>
        <w:t>e</w:t>
      </w:r>
      <w:r>
        <w:t>regne gaveafgift heraf, når der er tale om lån indenfor gaveafgiftskredsen. Et anfordringslån medfører ikke indkomstskattepligt eller gaveafgiftspligt hos låntageren.</w:t>
      </w:r>
    </w:p>
  </w:footnote>
  <w:footnote w:id="55">
    <w:p w:rsidR="006911F3" w:rsidRDefault="006911F3">
      <w:pPr>
        <w:pStyle w:val="Fodnotetekst"/>
      </w:pPr>
      <w:r>
        <w:rPr>
          <w:rStyle w:val="Fodnotehenvisning"/>
        </w:rPr>
        <w:footnoteRef/>
      </w:r>
      <w:r>
        <w:t xml:space="preserve"> Jf. LV S.F.2.3.2 for handel mellem interesseforbundne parter– tidligere kunne der altid handles til TSS 200-05, hvilket ville sige til seneste ejendomsvurdering.</w:t>
      </w:r>
    </w:p>
  </w:footnote>
  <w:footnote w:id="56">
    <w:p w:rsidR="006911F3" w:rsidRPr="00E80B8B" w:rsidRDefault="006911F3" w:rsidP="00A71657">
      <w:pPr>
        <w:pStyle w:val="Fodnotetekst"/>
      </w:pPr>
      <w:r>
        <w:rPr>
          <w:rStyle w:val="Fodnotehenvisning"/>
        </w:rPr>
        <w:footnoteRef/>
      </w:r>
      <w:r w:rsidRPr="00E80B8B">
        <w:t xml:space="preserve"> PBL § 18, stk. 5</w:t>
      </w:r>
    </w:p>
  </w:footnote>
  <w:footnote w:id="57">
    <w:p w:rsidR="006911F3" w:rsidRDefault="006911F3" w:rsidP="00A71657">
      <w:pPr>
        <w:pStyle w:val="Fodnotetekst"/>
      </w:pPr>
      <w:r>
        <w:rPr>
          <w:rStyle w:val="Fodnotehenvisning"/>
        </w:rPr>
        <w:footnoteRef/>
      </w:r>
      <w:r w:rsidRPr="003E1BD4">
        <w:t xml:space="preserve"> Jf. PBL § 15A</w:t>
      </w:r>
    </w:p>
  </w:footnote>
  <w:footnote w:id="58">
    <w:p w:rsidR="006911F3" w:rsidRDefault="006911F3">
      <w:pPr>
        <w:pStyle w:val="Fodnotetekst"/>
      </w:pPr>
      <w:r>
        <w:rPr>
          <w:rStyle w:val="Fodnotehenvisning"/>
        </w:rPr>
        <w:footnoteRef/>
      </w:r>
      <w:r>
        <w:t xml:space="preserve"> Jf afsnit </w:t>
      </w:r>
      <w:r>
        <w:fldChar w:fldCharType="begin"/>
      </w:r>
      <w:r>
        <w:instrText xml:space="preserve"> REF _Ref218750321 \h </w:instrText>
      </w:r>
      <w:r>
        <w:fldChar w:fldCharType="separate"/>
      </w:r>
      <w:r w:rsidR="000F066D">
        <w:t>3.1.6.1</w:t>
      </w:r>
      <w:r w:rsidR="000F066D" w:rsidRPr="00AF2D39">
        <w:t xml:space="preserve"> </w:t>
      </w:r>
      <w:r w:rsidR="000F066D">
        <w:t>Overdragelse ved køb af ideel andel, skattemæssige konsekve</w:t>
      </w:r>
      <w:r w:rsidR="000F066D">
        <w:t>n</w:t>
      </w:r>
      <w:r w:rsidR="000F066D">
        <w:t>ser herved</w:t>
      </w:r>
      <w:r>
        <w:fldChar w:fldCharType="end"/>
      </w:r>
    </w:p>
  </w:footnote>
  <w:footnote w:id="59">
    <w:p w:rsidR="006911F3" w:rsidRDefault="006911F3" w:rsidP="00A71657">
      <w:pPr>
        <w:pStyle w:val="Fodnotetekst"/>
      </w:pPr>
      <w:r>
        <w:rPr>
          <w:rStyle w:val="Fodnotehenvisning"/>
        </w:rPr>
        <w:footnoteRef/>
      </w:r>
      <w:r>
        <w:t xml:space="preserve"> Bille, Jane K.: Generationsskifte fra en skattemæssig vinkel. T:FA 2007, s. 62-66</w:t>
      </w:r>
    </w:p>
  </w:footnote>
  <w:footnote w:id="60">
    <w:p w:rsidR="006911F3" w:rsidRDefault="006911F3" w:rsidP="00A71657">
      <w:pPr>
        <w:pStyle w:val="Fodnotetekst"/>
      </w:pPr>
      <w:r>
        <w:rPr>
          <w:rStyle w:val="Fodnotehenvisning"/>
        </w:rPr>
        <w:footnoteRef/>
      </w:r>
      <w:r>
        <w:t xml:space="preserve"> Jf. ETBL § 1, stk. 2 – indskudsåret går fra 16. maj i indkomståret til og med den nærmest efterfølgende 15. maj.</w:t>
      </w:r>
    </w:p>
  </w:footnote>
  <w:footnote w:id="61">
    <w:p w:rsidR="006911F3" w:rsidRDefault="006911F3" w:rsidP="00A71657">
      <w:pPr>
        <w:pStyle w:val="Fodnotetekst"/>
      </w:pPr>
      <w:r>
        <w:rPr>
          <w:rStyle w:val="Fodnotehenvisning"/>
        </w:rPr>
        <w:footnoteRef/>
      </w:r>
      <w:r>
        <w:t xml:space="preserve"> Hvis fradragene er foretaget fra 2002 og frem</w:t>
      </w:r>
    </w:p>
  </w:footnote>
  <w:footnote w:id="62">
    <w:p w:rsidR="006911F3" w:rsidRDefault="006911F3" w:rsidP="00A71657">
      <w:pPr>
        <w:pStyle w:val="Fodnotetekst"/>
      </w:pPr>
      <w:r>
        <w:rPr>
          <w:rStyle w:val="Fodnotehenvisning"/>
        </w:rPr>
        <w:footnoteRef/>
      </w:r>
      <w:r>
        <w:t xml:space="preserve"> Aage Michelsen, Steen Askholt, Jane Bolander, John Engsig: Lærebog om indkomstskat s. 365-370</w:t>
      </w:r>
    </w:p>
  </w:footnote>
  <w:footnote w:id="63">
    <w:p w:rsidR="006911F3" w:rsidRDefault="006911F3">
      <w:pPr>
        <w:pStyle w:val="Fodnotetekst"/>
      </w:pPr>
      <w:r>
        <w:rPr>
          <w:rStyle w:val="Fodnotehenvisning"/>
        </w:rPr>
        <w:footnoteRef/>
      </w:r>
      <w:r>
        <w:t xml:space="preserve"> Lov nr. 396 af 6/6 2002</w:t>
      </w:r>
    </w:p>
  </w:footnote>
  <w:footnote w:id="64">
    <w:p w:rsidR="006911F3" w:rsidRDefault="006911F3" w:rsidP="00A71657">
      <w:pPr>
        <w:pStyle w:val="Fodnotetekst"/>
      </w:pPr>
      <w:r>
        <w:rPr>
          <w:rStyle w:val="Fodnotehenvisning"/>
        </w:rPr>
        <w:footnoteRef/>
      </w:r>
      <w:r>
        <w:t xml:space="preserve"> KSL § 33, stk. 11</w:t>
      </w:r>
    </w:p>
  </w:footnote>
  <w:footnote w:id="65">
    <w:p w:rsidR="006911F3" w:rsidRDefault="006911F3" w:rsidP="00A71657">
      <w:pPr>
        <w:pStyle w:val="Fodnotetekst"/>
      </w:pPr>
      <w:r>
        <w:rPr>
          <w:rStyle w:val="Fodnotehenvisning"/>
        </w:rPr>
        <w:footnoteRef/>
      </w:r>
      <w:r>
        <w:t xml:space="preserve"> Andel af virksomhed defineres bredere med vedtagelsen af lov nr. 532, hvorefter, der kan succederes i en hel virksomhed, en ideel andel, eller en andel af virksomheden, der ikke er en ideel andel.</w:t>
      </w:r>
    </w:p>
  </w:footnote>
  <w:footnote w:id="66">
    <w:p w:rsidR="006911F3" w:rsidRDefault="006911F3" w:rsidP="00A71657">
      <w:pPr>
        <w:pStyle w:val="Fodnotetekst"/>
      </w:pPr>
      <w:r>
        <w:rPr>
          <w:rStyle w:val="Fodnotehenvisning"/>
        </w:rPr>
        <w:footnoteRef/>
      </w:r>
      <w:r>
        <w:t xml:space="preserve"> Ændres med virkning fra 01.01.09 ved lov nr. 532 af 17. juni 2008, hvorefter der kan succederes i ejendommes avancer, hvor den erhvervsmæssige andel udgør mindre end 50 %. Det vil sige at der altid vil kunne succederes i den del af ejendommen, der efter almindelige skatteregler anses for at være a</w:t>
      </w:r>
      <w:r>
        <w:t>n</w:t>
      </w:r>
      <w:r>
        <w:t>vendt erhvervsmæssigt, hvilket er gældende både i levende live og ved død.</w:t>
      </w:r>
    </w:p>
  </w:footnote>
  <w:footnote w:id="67">
    <w:p w:rsidR="006911F3" w:rsidRDefault="006911F3" w:rsidP="00A71657">
      <w:pPr>
        <w:pStyle w:val="Fodnotetekst"/>
      </w:pPr>
      <w:r>
        <w:rPr>
          <w:rStyle w:val="Fodnotehenvisning"/>
        </w:rPr>
        <w:footnoteRef/>
      </w:r>
      <w:r>
        <w:t xml:space="preserve"> LV E.I.7</w:t>
      </w:r>
    </w:p>
  </w:footnote>
  <w:footnote w:id="68">
    <w:p w:rsidR="006911F3" w:rsidRDefault="006911F3" w:rsidP="00A71657">
      <w:pPr>
        <w:pStyle w:val="Fodnotetekst"/>
      </w:pPr>
      <w:r>
        <w:rPr>
          <w:rStyle w:val="Fodnotehenvisning"/>
        </w:rPr>
        <w:footnoteRef/>
      </w:r>
      <w:r>
        <w:t xml:space="preserve"> KSL § 33, stk. 2</w:t>
      </w:r>
    </w:p>
  </w:footnote>
  <w:footnote w:id="69">
    <w:p w:rsidR="006911F3" w:rsidRDefault="006911F3" w:rsidP="00A71657">
      <w:pPr>
        <w:pStyle w:val="Fodnotetekst"/>
      </w:pPr>
      <w:r>
        <w:rPr>
          <w:rStyle w:val="Fodnotehenvisning"/>
        </w:rPr>
        <w:footnoteRef/>
      </w:r>
      <w:r>
        <w:t xml:space="preserve"> Jf. BAL § 23.</w:t>
      </w:r>
    </w:p>
  </w:footnote>
  <w:footnote w:id="70">
    <w:p w:rsidR="006911F3" w:rsidRDefault="006911F3" w:rsidP="00A71657">
      <w:pPr>
        <w:pStyle w:val="Fodnotetekst"/>
      </w:pPr>
      <w:r>
        <w:rPr>
          <w:rStyle w:val="Fodnotehenvisning"/>
        </w:rPr>
        <w:footnoteRef/>
      </w:r>
      <w:r>
        <w:t xml:space="preserve"> Jf. LV. A.b.7.2 – for gaver mellem personer i boafgiftskredsen – jf. BAL § 22</w:t>
      </w:r>
    </w:p>
  </w:footnote>
  <w:footnote w:id="71">
    <w:p w:rsidR="006911F3" w:rsidRDefault="006911F3" w:rsidP="00832A15">
      <w:pPr>
        <w:pStyle w:val="Fodnotetekst"/>
      </w:pPr>
      <w:r>
        <w:rPr>
          <w:rStyle w:val="Fodnotehenvisning"/>
        </w:rPr>
        <w:footnoteRef/>
      </w:r>
      <w:r>
        <w:t xml:space="preserve"> Søren Friis Hansen og Jens Valdemar Krenchel: Dansk selskabsret 3, Interessentskaber s. 791</w:t>
      </w:r>
    </w:p>
  </w:footnote>
  <w:footnote w:id="72">
    <w:p w:rsidR="006911F3" w:rsidRDefault="006911F3">
      <w:pPr>
        <w:pStyle w:val="Fodnotetekst"/>
      </w:pPr>
      <w:r>
        <w:rPr>
          <w:rStyle w:val="Fodnotehenvisning"/>
        </w:rPr>
        <w:footnoteRef/>
      </w:r>
      <w:r>
        <w:t xml:space="preserve"> </w:t>
      </w:r>
      <w:r w:rsidRPr="006C2E86">
        <w:t>Aage Michelsen, Steen Askholt, Jane Bolander, J</w:t>
      </w:r>
      <w:r>
        <w:t>ohn Engsig: Lærebog om indkomstskat s. 783</w:t>
      </w:r>
    </w:p>
  </w:footnote>
  <w:footnote w:id="73">
    <w:p w:rsidR="006911F3" w:rsidRDefault="006911F3">
      <w:pPr>
        <w:pStyle w:val="Fodnotetekst"/>
      </w:pPr>
      <w:r>
        <w:rPr>
          <w:rStyle w:val="Fodnotehenvisning"/>
        </w:rPr>
        <w:footnoteRef/>
      </w:r>
      <w:r>
        <w:t xml:space="preserve"> Søren Friis Hansen og Jens Valdemar Krenchel: Dansk selskabsret 3, Interessentskaber s. 792</w:t>
      </w:r>
    </w:p>
  </w:footnote>
  <w:footnote w:id="74">
    <w:p w:rsidR="006911F3" w:rsidRDefault="006911F3" w:rsidP="00832A15">
      <w:pPr>
        <w:pStyle w:val="Fodnotetekst"/>
      </w:pPr>
      <w:r>
        <w:rPr>
          <w:rStyle w:val="Fodnotehenvisning"/>
        </w:rPr>
        <w:footnoteRef/>
      </w:r>
      <w:r>
        <w:t xml:space="preserve"> Aktieselskabsloven § 6a, 6b, 6c samt 33</w:t>
      </w:r>
    </w:p>
  </w:footnote>
  <w:footnote w:id="75">
    <w:p w:rsidR="006911F3" w:rsidRDefault="006911F3" w:rsidP="00577934">
      <w:pPr>
        <w:pStyle w:val="Fodnotetekst"/>
      </w:pPr>
      <w:r>
        <w:rPr>
          <w:rStyle w:val="Fodnotehenvisning"/>
        </w:rPr>
        <w:footnoteRef/>
      </w:r>
      <w:r w:rsidRPr="00A87A96">
        <w:t xml:space="preserve"> LV E.H.1.4 </w:t>
      </w:r>
    </w:p>
  </w:footnote>
  <w:footnote w:id="76">
    <w:p w:rsidR="006911F3" w:rsidRDefault="006911F3">
      <w:pPr>
        <w:pStyle w:val="Fodnotetekst"/>
      </w:pPr>
      <w:r>
        <w:rPr>
          <w:rStyle w:val="Fodnotehenvisning"/>
        </w:rPr>
        <w:footnoteRef/>
      </w:r>
      <w:r>
        <w:t xml:space="preserve"> </w:t>
      </w:r>
      <w:r w:rsidRPr="006C2E86">
        <w:t>Aage Michelsen, Steen Askholt, Jane Bolander, J</w:t>
      </w:r>
      <w:r>
        <w:t>ohn Engsig: Lærebog om indkomstskat s. 789</w:t>
      </w:r>
    </w:p>
  </w:footnote>
  <w:footnote w:id="77">
    <w:p w:rsidR="006911F3" w:rsidRDefault="006911F3" w:rsidP="00DB6A86">
      <w:pPr>
        <w:pStyle w:val="Fodnotetekst"/>
      </w:pPr>
      <w:r>
        <w:rPr>
          <w:rStyle w:val="Fodnotehenvisning"/>
        </w:rPr>
        <w:footnoteRef/>
      </w:r>
      <w:r w:rsidRPr="00577934">
        <w:t xml:space="preserve"> </w:t>
      </w:r>
      <w:r w:rsidRPr="006C2E86">
        <w:t>Aage Michelsen, Steen Askholt, Jane Bolander, J</w:t>
      </w:r>
      <w:r>
        <w:t>ohn Engsig: Lærebog om indkomstskat s. 784-785</w:t>
      </w:r>
    </w:p>
  </w:footnote>
  <w:footnote w:id="78">
    <w:p w:rsidR="006911F3" w:rsidRDefault="006911F3" w:rsidP="00577934">
      <w:pPr>
        <w:pStyle w:val="Fodnotetekst"/>
      </w:pPr>
      <w:r>
        <w:rPr>
          <w:rStyle w:val="Fodnotehenvisning"/>
        </w:rPr>
        <w:footnoteRef/>
      </w:r>
      <w:r w:rsidRPr="00A87A96">
        <w:t xml:space="preserve"> LV E.H.1.4 </w:t>
      </w:r>
    </w:p>
  </w:footnote>
  <w:footnote w:id="79">
    <w:p w:rsidR="006911F3" w:rsidRDefault="006911F3">
      <w:pPr>
        <w:pStyle w:val="Fodnotetekst"/>
      </w:pPr>
      <w:r>
        <w:rPr>
          <w:rStyle w:val="Fodnotehenvisning"/>
        </w:rPr>
        <w:footnoteRef/>
      </w:r>
      <w:r>
        <w:t xml:space="preserve"> </w:t>
      </w:r>
      <w:r w:rsidRPr="006C2E86">
        <w:t>Aage Michelsen, Steen Askholt, Jane Bolander, J</w:t>
      </w:r>
      <w:r>
        <w:t>ohn Engsig: Lærebog om indkomstskat s. 784-785</w:t>
      </w:r>
    </w:p>
  </w:footnote>
  <w:footnote w:id="80">
    <w:p w:rsidR="006911F3" w:rsidRDefault="006911F3">
      <w:pPr>
        <w:pStyle w:val="Fodnotetekst"/>
      </w:pPr>
      <w:r>
        <w:rPr>
          <w:rStyle w:val="Fodnotehenvisning"/>
        </w:rPr>
        <w:footnoteRef/>
      </w:r>
      <w:r>
        <w:t xml:space="preserve"> </w:t>
      </w:r>
      <w:r w:rsidRPr="006C2E86">
        <w:t>Aage Michelsen, Steen Askholt, Jane Bolander, J</w:t>
      </w:r>
      <w:r>
        <w:t>ohn Engsig: Lærebog om indkomstskat s. 790</w:t>
      </w:r>
    </w:p>
  </w:footnote>
  <w:footnote w:id="81">
    <w:p w:rsidR="006911F3" w:rsidRDefault="006911F3">
      <w:pPr>
        <w:pStyle w:val="Fodnotetekst"/>
      </w:pPr>
      <w:r>
        <w:rPr>
          <w:rStyle w:val="Fodnotehenvisning"/>
        </w:rPr>
        <w:footnoteRef/>
      </w:r>
      <w:r>
        <w:t xml:space="preserve"> Søren Halling-Overgaard, Birgitte Sølvkær Olsen: Generationsskifte s. 70-71</w:t>
      </w:r>
    </w:p>
  </w:footnote>
  <w:footnote w:id="82">
    <w:p w:rsidR="006911F3" w:rsidRDefault="006911F3">
      <w:pPr>
        <w:pStyle w:val="Fodnotetekst"/>
      </w:pPr>
      <w:r>
        <w:rPr>
          <w:rStyle w:val="Fodnotehenvisning"/>
        </w:rPr>
        <w:footnoteRef/>
      </w:r>
      <w:r>
        <w:t xml:space="preserve"> L.V E.H.2.7</w:t>
      </w:r>
    </w:p>
  </w:footnote>
  <w:footnote w:id="83">
    <w:p w:rsidR="006911F3" w:rsidRDefault="006911F3">
      <w:pPr>
        <w:pStyle w:val="Fodnotetekst"/>
      </w:pPr>
      <w:r>
        <w:rPr>
          <w:rStyle w:val="Fodnotehenvisning"/>
        </w:rPr>
        <w:footnoteRef/>
      </w:r>
      <w:r>
        <w:t xml:space="preserve"> L.V.E.H.2.1.2</w:t>
      </w:r>
    </w:p>
  </w:footnote>
  <w:footnote w:id="84">
    <w:p w:rsidR="006911F3" w:rsidRDefault="006911F3">
      <w:pPr>
        <w:pStyle w:val="Fodnotetekst"/>
      </w:pPr>
      <w:r>
        <w:rPr>
          <w:rStyle w:val="Fodnotehenvisning"/>
        </w:rPr>
        <w:footnoteRef/>
      </w:r>
      <w:r>
        <w:t xml:space="preserve"> L.V.E.H.2.1.3</w:t>
      </w:r>
    </w:p>
  </w:footnote>
  <w:footnote w:id="85">
    <w:p w:rsidR="006911F3" w:rsidRDefault="006911F3">
      <w:pPr>
        <w:pStyle w:val="Fodnotetekst"/>
      </w:pPr>
      <w:r>
        <w:rPr>
          <w:rStyle w:val="Fodnotehenvisning"/>
        </w:rPr>
        <w:footnoteRef/>
      </w:r>
      <w:r>
        <w:t xml:space="preserve"> L.V.E.H.2.1.5</w:t>
      </w:r>
    </w:p>
  </w:footnote>
  <w:footnote w:id="86">
    <w:p w:rsidR="006911F3" w:rsidRDefault="006911F3">
      <w:pPr>
        <w:pStyle w:val="Fodnotetekst"/>
      </w:pPr>
      <w:r>
        <w:rPr>
          <w:rStyle w:val="Fodnotehenvisning"/>
        </w:rPr>
        <w:footnoteRef/>
      </w:r>
      <w:r>
        <w:t xml:space="preserve"> L.V.E.H.2.1.6</w:t>
      </w:r>
    </w:p>
  </w:footnote>
  <w:footnote w:id="87">
    <w:p w:rsidR="006911F3" w:rsidRDefault="006911F3">
      <w:pPr>
        <w:pStyle w:val="Fodnotetekst"/>
      </w:pPr>
      <w:r>
        <w:rPr>
          <w:rStyle w:val="Fodnotehenvisning"/>
        </w:rPr>
        <w:footnoteRef/>
      </w:r>
      <w:r w:rsidRPr="00D23890">
        <w:t xml:space="preserve"> Michael Serup: Generationsskifte </w:t>
      </w:r>
      <w:r>
        <w:t>– omstrukturering s. 537-539</w:t>
      </w:r>
    </w:p>
  </w:footnote>
  <w:footnote w:id="88">
    <w:p w:rsidR="006911F3" w:rsidRDefault="006911F3">
      <w:pPr>
        <w:pStyle w:val="Fodnotetekst"/>
      </w:pPr>
      <w:r>
        <w:rPr>
          <w:rStyle w:val="Fodnotehenvisning"/>
        </w:rPr>
        <w:footnoteRef/>
      </w:r>
      <w:r>
        <w:t xml:space="preserve"> </w:t>
      </w:r>
      <w:r w:rsidRPr="00D23890">
        <w:t xml:space="preserve">Michael Serup: Generationsskifte </w:t>
      </w:r>
      <w:r>
        <w:t>– omstrukturering s. 539-541</w:t>
      </w:r>
    </w:p>
  </w:footnote>
  <w:footnote w:id="89">
    <w:p w:rsidR="006911F3" w:rsidRDefault="006911F3" w:rsidP="00F77626">
      <w:pPr>
        <w:pStyle w:val="Fodnotetekst"/>
      </w:pPr>
      <w:r>
        <w:rPr>
          <w:rStyle w:val="Fodnotehenvisning"/>
        </w:rPr>
        <w:footnoteRef/>
      </w:r>
      <w:r>
        <w:t xml:space="preserve"> Søren Halling-Overgaard, Birgitte Sølvkær Olsen: Generationsskifte s. 73</w:t>
      </w:r>
    </w:p>
  </w:footnote>
  <w:footnote w:id="90">
    <w:p w:rsidR="006911F3" w:rsidRDefault="006911F3">
      <w:pPr>
        <w:pStyle w:val="Fodnotetekst"/>
      </w:pPr>
      <w:r>
        <w:rPr>
          <w:rStyle w:val="Fodnotehenvisning"/>
        </w:rPr>
        <w:footnoteRef/>
      </w:r>
      <w:r>
        <w:t xml:space="preserve"> L.V.E.H.2.1.8</w:t>
      </w:r>
    </w:p>
  </w:footnote>
  <w:footnote w:id="91">
    <w:p w:rsidR="006911F3" w:rsidRDefault="006911F3">
      <w:pPr>
        <w:pStyle w:val="Fodnotetekst"/>
      </w:pPr>
      <w:r>
        <w:rPr>
          <w:rStyle w:val="Fodnotehenvisning"/>
        </w:rPr>
        <w:footnoteRef/>
      </w:r>
      <w:r>
        <w:t xml:space="preserve"> LV E.H.2.1</w:t>
      </w:r>
    </w:p>
  </w:footnote>
  <w:footnote w:id="92">
    <w:p w:rsidR="006911F3" w:rsidRDefault="006911F3">
      <w:pPr>
        <w:pStyle w:val="Fodnotetekst"/>
      </w:pPr>
      <w:r>
        <w:rPr>
          <w:rStyle w:val="Fodnotehenvisning"/>
        </w:rPr>
        <w:footnoteRef/>
      </w:r>
      <w:r>
        <w:t xml:space="preserve"> Fremover ændret til 1 % af aktie/anpartskapitalen. Indført ved lov nr. 532 af 17. juni 2008, gældende fra 1.1.2009</w:t>
      </w:r>
    </w:p>
  </w:footnote>
  <w:footnote w:id="93">
    <w:p w:rsidR="006911F3" w:rsidRDefault="006911F3">
      <w:pPr>
        <w:pStyle w:val="Fodnotetekst"/>
      </w:pPr>
      <w:r>
        <w:rPr>
          <w:rStyle w:val="Fodnotehenvisning"/>
        </w:rPr>
        <w:footnoteRef/>
      </w:r>
      <w:r>
        <w:t xml:space="preserve"> Halling-Overgaard, Søren og Olesen, Birgitte Sølvkær: Generationsskifte s. 36-37</w:t>
      </w:r>
    </w:p>
  </w:footnote>
  <w:footnote w:id="94">
    <w:p w:rsidR="006911F3" w:rsidRDefault="006911F3">
      <w:pPr>
        <w:pStyle w:val="Fodnotetekst"/>
      </w:pPr>
      <w:r>
        <w:rPr>
          <w:rStyle w:val="Fodnotehenvisning"/>
        </w:rPr>
        <w:footnoteRef/>
      </w:r>
      <w:r>
        <w:t xml:space="preserve"> Fremover ændret til 5 indkomstår. Indført ved lov nr. 532 af 17. juni 2008, gældende fra 1.1.2009</w:t>
      </w:r>
    </w:p>
  </w:footnote>
  <w:footnote w:id="95">
    <w:p w:rsidR="006911F3" w:rsidRDefault="006911F3">
      <w:pPr>
        <w:pStyle w:val="Fodnotetekst"/>
      </w:pPr>
      <w:r>
        <w:rPr>
          <w:rStyle w:val="Fodnotehenvisning"/>
        </w:rPr>
        <w:footnoteRef/>
      </w:r>
      <w:r>
        <w:t xml:space="preserve"> LV S.G.17.1</w:t>
      </w:r>
    </w:p>
  </w:footnote>
  <w:footnote w:id="96">
    <w:p w:rsidR="006911F3" w:rsidRDefault="006911F3">
      <w:pPr>
        <w:pStyle w:val="Fodnotetekst"/>
      </w:pPr>
      <w:r>
        <w:rPr>
          <w:rStyle w:val="Fodnotehenvisning"/>
        </w:rPr>
        <w:footnoteRef/>
      </w:r>
      <w:r>
        <w:t xml:space="preserve"> Andele i andelsbeskattede andelsforeninger omfattet af SEL § 1, stk. 1, nr. 3</w:t>
      </w:r>
    </w:p>
  </w:footnote>
  <w:footnote w:id="97">
    <w:p w:rsidR="006911F3" w:rsidRDefault="006911F3">
      <w:pPr>
        <w:pStyle w:val="Fodnotetekst"/>
      </w:pPr>
      <w:r>
        <w:rPr>
          <w:rStyle w:val="Fodnotehenvisning"/>
        </w:rPr>
        <w:footnoteRef/>
      </w:r>
      <w:r>
        <w:t xml:space="preserve"> Gianelli, Karsten, Pengetanksreglen ved aktieoverdragelse, SR/SKAT 2/2007</w:t>
      </w:r>
    </w:p>
  </w:footnote>
  <w:footnote w:id="98">
    <w:p w:rsidR="006911F3" w:rsidRDefault="006911F3">
      <w:pPr>
        <w:pStyle w:val="Fodnotetekst"/>
      </w:pPr>
      <w:r>
        <w:rPr>
          <w:rStyle w:val="Fodnotehenvisning"/>
        </w:rPr>
        <w:footnoteRef/>
      </w:r>
      <w:r>
        <w:t xml:space="preserve"> Gianelli, Karsten, Pengetanksreglen ved aktieoverdragelse, SR/SKAT 2/2007</w:t>
      </w:r>
    </w:p>
  </w:footnote>
  <w:footnote w:id="99">
    <w:p w:rsidR="006911F3" w:rsidRDefault="006911F3">
      <w:pPr>
        <w:pStyle w:val="Fodnotetekst"/>
      </w:pPr>
      <w:r>
        <w:rPr>
          <w:rStyle w:val="Fodnotehenvisning"/>
        </w:rPr>
        <w:footnoteRef/>
      </w:r>
      <w:r>
        <w:t xml:space="preserve"> Halling-Overgaard, Søren og Olesen, Birgitte Sølvkær: Generationsskifte s. 40-41</w:t>
      </w:r>
    </w:p>
  </w:footnote>
  <w:footnote w:id="100">
    <w:p w:rsidR="006911F3" w:rsidRDefault="006911F3">
      <w:pPr>
        <w:pStyle w:val="Fodnotetekst"/>
      </w:pPr>
      <w:r>
        <w:rPr>
          <w:rStyle w:val="Fodnotehenvisning"/>
        </w:rPr>
        <w:footnoteRef/>
      </w:r>
      <w:r>
        <w:t xml:space="preserve"> Serup, Michael: Generationsskifte s. 340</w:t>
      </w:r>
    </w:p>
  </w:footnote>
  <w:footnote w:id="101">
    <w:p w:rsidR="006911F3" w:rsidRDefault="006911F3">
      <w:pPr>
        <w:pStyle w:val="Fodnotetekst"/>
      </w:pPr>
      <w:r>
        <w:rPr>
          <w:rStyle w:val="Fodnotehenvisning"/>
        </w:rPr>
        <w:footnoteRef/>
      </w:r>
      <w:r>
        <w:t xml:space="preserve"> </w:t>
      </w:r>
      <w:r w:rsidRPr="002A7A59">
        <w:t>SKM2004.104.LRSKATLR</w:t>
      </w:r>
      <w:r>
        <w:t xml:space="preserve"> hvor det blev afgjort at der var valgfrihed i mellem de to metoder</w:t>
      </w:r>
    </w:p>
  </w:footnote>
  <w:footnote w:id="102">
    <w:p w:rsidR="006911F3" w:rsidRDefault="006911F3">
      <w:pPr>
        <w:pStyle w:val="Fodnotetekst"/>
      </w:pPr>
      <w:r>
        <w:rPr>
          <w:rStyle w:val="Fodnotehenvisning"/>
        </w:rPr>
        <w:footnoteRef/>
      </w:r>
      <w:r>
        <w:t xml:space="preserve"> Michael Serup argumenterer for i TfS, 2005 ”Aktieoverdragelse skattekursen (1)”, at man kan værd</w:t>
      </w:r>
      <w:r>
        <w:t>i</w:t>
      </w:r>
      <w:r>
        <w:t>ansætte til kurs 100 uanset, hvordan selskabet er stiftet, og dermed at selskabet kan have haft en bet</w:t>
      </w:r>
      <w:r>
        <w:t>y</w:t>
      </w:r>
      <w:r>
        <w:t>delig aktivitet tidligere. Det er dog langt fra de øvrige regler vedrørende skattekursberegningen, der tager udgangspunkt i den skattemæssige indre værdi og indtjeningsevne.</w:t>
      </w:r>
    </w:p>
  </w:footnote>
  <w:footnote w:id="103">
    <w:p w:rsidR="006911F3" w:rsidRDefault="006911F3" w:rsidP="00793E35">
      <w:pPr>
        <w:pStyle w:val="Fodnotetekst"/>
      </w:pPr>
      <w:r>
        <w:rPr>
          <w:rStyle w:val="Fodnotehenvisning"/>
        </w:rPr>
        <w:footnoteRef/>
      </w:r>
      <w:r>
        <w:t xml:space="preserve"> Serup, Michael: Generationsskifte s. 341-342</w:t>
      </w:r>
    </w:p>
  </w:footnote>
  <w:footnote w:id="104">
    <w:p w:rsidR="006911F3" w:rsidRDefault="006911F3">
      <w:pPr>
        <w:pStyle w:val="Fodnotetekst"/>
      </w:pPr>
      <w:r>
        <w:rPr>
          <w:rStyle w:val="Fodnotehenvisning"/>
        </w:rPr>
        <w:footnoteRef/>
      </w:r>
      <w:r>
        <w:t xml:space="preserve"> Serup, Michael: Aktieoverdragelse skattekursen, TfS 2005, 51</w:t>
      </w:r>
    </w:p>
  </w:footnote>
  <w:footnote w:id="105">
    <w:p w:rsidR="006911F3" w:rsidRDefault="006911F3" w:rsidP="00480514">
      <w:pPr>
        <w:pStyle w:val="Fodnotetekst"/>
      </w:pPr>
      <w:r>
        <w:rPr>
          <w:rStyle w:val="Fodnotehenvisning"/>
        </w:rPr>
        <w:footnoteRef/>
      </w:r>
      <w:r>
        <w:t xml:space="preserve"> Bille, Jane K.: Generationsskifte fra en skattemæssig vinkel. Tidsskrift for familie og arveret 2007, s. 62-66</w:t>
      </w:r>
    </w:p>
  </w:footnote>
  <w:footnote w:id="106">
    <w:p w:rsidR="006911F3" w:rsidRDefault="006911F3">
      <w:pPr>
        <w:pStyle w:val="Fodnotetekst"/>
      </w:pPr>
      <w:r>
        <w:rPr>
          <w:rStyle w:val="Fodnotehenvisning"/>
        </w:rPr>
        <w:footnoteRef/>
      </w:r>
      <w:r>
        <w:t xml:space="preserve"> Nærmeste familie defineret som personkredsen i boafgiftsloven § 22</w:t>
      </w:r>
    </w:p>
  </w:footnote>
  <w:footnote w:id="107">
    <w:p w:rsidR="006911F3" w:rsidRDefault="006911F3">
      <w:pPr>
        <w:pStyle w:val="Fodnotetekst"/>
      </w:pPr>
      <w:r>
        <w:rPr>
          <w:rStyle w:val="Fodnotehenvisning"/>
        </w:rPr>
        <w:footnoteRef/>
      </w:r>
      <w:r>
        <w:t xml:space="preserve"> Serup, Michael; Generationsskifte s. 562-572</w:t>
      </w:r>
    </w:p>
  </w:footnote>
  <w:footnote w:id="108">
    <w:p w:rsidR="006911F3" w:rsidRDefault="006911F3">
      <w:pPr>
        <w:pStyle w:val="Fodnotetekst"/>
      </w:pPr>
      <w:r>
        <w:rPr>
          <w:rStyle w:val="Fodnotehenvisning"/>
        </w:rPr>
        <w:footnoteRef/>
      </w:r>
      <w:r>
        <w:t xml:space="preserve"> Kjær, Susanne; Nye regler om skattefrie omstruktureringer og sambeskatning i forbindelse hermed, R&amp;R.2007.06.0014 s. 1-12</w:t>
      </w:r>
    </w:p>
  </w:footnote>
  <w:footnote w:id="109">
    <w:p w:rsidR="006911F3" w:rsidRDefault="006911F3">
      <w:pPr>
        <w:pStyle w:val="Fodnotetekst"/>
      </w:pPr>
      <w:r>
        <w:rPr>
          <w:rStyle w:val="Fodnotehenvisning"/>
        </w:rPr>
        <w:footnoteRef/>
      </w:r>
      <w:r>
        <w:t xml:space="preserve"> Serup, Michael; Generationsskifte s. 572-586</w:t>
      </w:r>
    </w:p>
  </w:footnote>
  <w:footnote w:id="110">
    <w:p w:rsidR="006911F3" w:rsidRDefault="006911F3">
      <w:pPr>
        <w:pStyle w:val="Fodnotetekst"/>
      </w:pPr>
      <w:r>
        <w:rPr>
          <w:rStyle w:val="Fodnotehenvisning"/>
        </w:rPr>
        <w:footnoteRef/>
      </w:r>
      <w:r>
        <w:t xml:space="preserve"> Kjær, Susanne; Nye regler om skattefrie omstruktureringer og sambeskatning i forbindelse hermed, R&amp;R.2007.06.0014 s. 1-12</w:t>
      </w:r>
    </w:p>
  </w:footnote>
  <w:footnote w:id="111">
    <w:p w:rsidR="006911F3" w:rsidRDefault="006911F3">
      <w:pPr>
        <w:pStyle w:val="Fodnotetekst"/>
      </w:pPr>
      <w:r>
        <w:rPr>
          <w:rStyle w:val="Fodnotehenvisning"/>
        </w:rPr>
        <w:footnoteRef/>
      </w:r>
      <w:r>
        <w:t xml:space="preserve"> Kjær, Susanne; Nye regler om skattefrie omstruktureringer og sambeskatning i forbindelse hermed, R&amp;R.2007.06.0014 s. 1-12</w:t>
      </w:r>
    </w:p>
  </w:footnote>
  <w:footnote w:id="112">
    <w:p w:rsidR="006911F3" w:rsidRDefault="006911F3">
      <w:pPr>
        <w:pStyle w:val="Fodnotetekst"/>
      </w:pPr>
      <w:r>
        <w:rPr>
          <w:rStyle w:val="Fodnotehenvisning"/>
        </w:rPr>
        <w:footnoteRef/>
      </w:r>
      <w:r>
        <w:t xml:space="preserve"> LV S.D.3</w:t>
      </w:r>
    </w:p>
  </w:footnote>
  <w:footnote w:id="113">
    <w:p w:rsidR="006911F3" w:rsidRDefault="006911F3" w:rsidP="00676A46">
      <w:pPr>
        <w:pStyle w:val="Fodnotetekst"/>
      </w:pPr>
      <w:r>
        <w:rPr>
          <w:rStyle w:val="Fodnotehenvisning"/>
        </w:rPr>
        <w:footnoteRef/>
      </w:r>
      <w:r w:rsidRPr="00FB172C">
        <w:t xml:space="preserve"> Jf. LV S.D.1</w:t>
      </w:r>
    </w:p>
  </w:footnote>
  <w:footnote w:id="114">
    <w:p w:rsidR="006911F3" w:rsidRPr="003E1BD4" w:rsidRDefault="006911F3" w:rsidP="00676A46">
      <w:pPr>
        <w:pStyle w:val="Fodnotetekst"/>
        <w:rPr>
          <w:lang w:val="en-US"/>
        </w:rPr>
      </w:pPr>
      <w:r>
        <w:rPr>
          <w:rStyle w:val="Fodnotehenvisning"/>
        </w:rPr>
        <w:footnoteRef/>
      </w:r>
      <w:r w:rsidRPr="00676A46">
        <w:rPr>
          <w:lang w:val="en-US"/>
        </w:rPr>
        <w:t xml:space="preserve"> J. SEL § 8A, stk. 1</w:t>
      </w:r>
    </w:p>
  </w:footnote>
  <w:footnote w:id="115">
    <w:p w:rsidR="006911F3" w:rsidRPr="003E1BD4" w:rsidRDefault="006911F3" w:rsidP="00676A46">
      <w:pPr>
        <w:pStyle w:val="Fodnotetekst"/>
        <w:rPr>
          <w:lang w:val="en-US"/>
        </w:rPr>
      </w:pPr>
      <w:r>
        <w:rPr>
          <w:rStyle w:val="Fodnotehenvisning"/>
        </w:rPr>
        <w:footnoteRef/>
      </w:r>
      <w:r w:rsidRPr="00FB172C">
        <w:rPr>
          <w:lang w:val="en-US"/>
        </w:rPr>
        <w:t xml:space="preserve"> Jf. LV S.D.1</w:t>
      </w:r>
    </w:p>
  </w:footnote>
  <w:footnote w:id="116">
    <w:p w:rsidR="006911F3" w:rsidRDefault="006911F3" w:rsidP="00676A46">
      <w:pPr>
        <w:pStyle w:val="Fodnotetekst"/>
      </w:pPr>
      <w:r>
        <w:rPr>
          <w:rStyle w:val="Fodnotehenvisning"/>
        </w:rPr>
        <w:footnoteRef/>
      </w:r>
      <w:r>
        <w:t xml:space="preserve"> Skattefri fusion uden tilladelse blev indført ved lov nr. 343 af 18. april 2007.</w:t>
      </w:r>
    </w:p>
  </w:footnote>
  <w:footnote w:id="117">
    <w:p w:rsidR="006911F3" w:rsidRPr="00995E3B" w:rsidRDefault="006911F3">
      <w:pPr>
        <w:pStyle w:val="Fodnotetekst"/>
        <w:rPr>
          <w:lang w:val="en-US"/>
        </w:rPr>
      </w:pPr>
      <w:r>
        <w:rPr>
          <w:rStyle w:val="Fodnotehenvisning"/>
        </w:rPr>
        <w:footnoteRef/>
      </w:r>
      <w:r w:rsidRPr="00995E3B">
        <w:rPr>
          <w:lang w:val="en-US"/>
        </w:rPr>
        <w:t xml:space="preserve"> jf. ASL § 134b</w:t>
      </w:r>
    </w:p>
  </w:footnote>
  <w:footnote w:id="118">
    <w:p w:rsidR="006911F3" w:rsidRPr="00995E3B" w:rsidRDefault="006911F3" w:rsidP="00995E3B">
      <w:pPr>
        <w:pStyle w:val="Fodnotetekst"/>
        <w:rPr>
          <w:lang w:val="en-US"/>
        </w:rPr>
      </w:pPr>
      <w:r>
        <w:rPr>
          <w:rStyle w:val="Fodnotehenvisning"/>
        </w:rPr>
        <w:footnoteRef/>
      </w:r>
      <w:r w:rsidRPr="00995E3B">
        <w:rPr>
          <w:lang w:val="en-US"/>
        </w:rPr>
        <w:t xml:space="preserve"> </w:t>
      </w:r>
      <w:r>
        <w:rPr>
          <w:lang w:val="en-US"/>
        </w:rPr>
        <w:t>jf. ASL § 134d</w:t>
      </w:r>
    </w:p>
  </w:footnote>
  <w:footnote w:id="119">
    <w:p w:rsidR="006911F3" w:rsidRPr="003E1BD4" w:rsidRDefault="006911F3" w:rsidP="00676A46">
      <w:pPr>
        <w:pStyle w:val="Fodnotetekst"/>
        <w:rPr>
          <w:lang w:val="en-US"/>
        </w:rPr>
      </w:pPr>
      <w:r>
        <w:rPr>
          <w:rStyle w:val="Fodnotehenvisning"/>
        </w:rPr>
        <w:footnoteRef/>
      </w:r>
      <w:r w:rsidRPr="00C712CD">
        <w:rPr>
          <w:lang w:val="en-GB"/>
        </w:rPr>
        <w:t xml:space="preserve"> Jf. FUSL § 6, stk. 4</w:t>
      </w:r>
    </w:p>
  </w:footnote>
  <w:footnote w:id="120">
    <w:p w:rsidR="006911F3" w:rsidRPr="003E1BD4" w:rsidRDefault="006911F3" w:rsidP="00676A46">
      <w:pPr>
        <w:pStyle w:val="Fodnotetekst"/>
        <w:rPr>
          <w:lang w:val="en-US"/>
        </w:rPr>
      </w:pPr>
      <w:r>
        <w:rPr>
          <w:rStyle w:val="Fodnotehenvisning"/>
        </w:rPr>
        <w:footnoteRef/>
      </w:r>
      <w:r w:rsidRPr="00C712CD">
        <w:rPr>
          <w:lang w:val="en-GB"/>
        </w:rPr>
        <w:t xml:space="preserve"> Jf. FUSL § 7, stk. </w:t>
      </w:r>
      <w:r>
        <w:rPr>
          <w:lang w:val="en-GB"/>
        </w:rPr>
        <w:t>1</w:t>
      </w:r>
    </w:p>
  </w:footnote>
  <w:footnote w:id="121">
    <w:p w:rsidR="006911F3" w:rsidRPr="003E1BD4" w:rsidRDefault="006911F3" w:rsidP="00676A46">
      <w:pPr>
        <w:pStyle w:val="Fodnotetekst"/>
        <w:rPr>
          <w:lang w:val="en-US"/>
        </w:rPr>
      </w:pPr>
      <w:r>
        <w:rPr>
          <w:rStyle w:val="Fodnotehenvisning"/>
        </w:rPr>
        <w:footnoteRef/>
      </w:r>
      <w:r w:rsidRPr="006B563F">
        <w:rPr>
          <w:lang w:val="en-US"/>
        </w:rPr>
        <w:t xml:space="preserve"> Jf. FUSL § 7, stk. 2</w:t>
      </w:r>
    </w:p>
  </w:footnote>
  <w:footnote w:id="122">
    <w:p w:rsidR="006911F3" w:rsidRPr="00625ADA" w:rsidRDefault="006911F3">
      <w:pPr>
        <w:pStyle w:val="Fodnotetekst"/>
        <w:rPr>
          <w:lang w:val="en-US"/>
        </w:rPr>
      </w:pPr>
      <w:r>
        <w:rPr>
          <w:rStyle w:val="Fodnotehenvisning"/>
        </w:rPr>
        <w:footnoteRef/>
      </w:r>
      <w:r w:rsidRPr="00625ADA">
        <w:rPr>
          <w:lang w:val="en-US"/>
        </w:rPr>
        <w:t xml:space="preserve"> jf. FUSL § 8</w:t>
      </w:r>
    </w:p>
  </w:footnote>
  <w:footnote w:id="123">
    <w:p w:rsidR="006911F3" w:rsidRPr="00625ADA" w:rsidRDefault="006911F3" w:rsidP="00676A46">
      <w:pPr>
        <w:pStyle w:val="Fodnotetekst"/>
      </w:pPr>
      <w:r>
        <w:rPr>
          <w:rStyle w:val="Fodnotehenvisning"/>
        </w:rPr>
        <w:footnoteRef/>
      </w:r>
      <w:r w:rsidRPr="00625ADA">
        <w:t xml:space="preserve"> Jf. FUSL § 9.</w:t>
      </w:r>
    </w:p>
  </w:footnote>
  <w:footnote w:id="124">
    <w:p w:rsidR="006911F3" w:rsidRPr="00296D20" w:rsidRDefault="006911F3">
      <w:pPr>
        <w:pStyle w:val="Fodnotetekst"/>
      </w:pPr>
      <w:r>
        <w:rPr>
          <w:rStyle w:val="Fodnotehenvisning"/>
        </w:rPr>
        <w:footnoteRef/>
      </w:r>
      <w:r w:rsidRPr="00296D20">
        <w:t xml:space="preserve"> Kravet om indsendelse af do</w:t>
      </w:r>
      <w:r>
        <w:t>k</w:t>
      </w:r>
      <w:r w:rsidRPr="00296D20">
        <w:t xml:space="preserve">umenter er </w:t>
      </w:r>
      <w:r>
        <w:t xml:space="preserve">dog nu </w:t>
      </w:r>
      <w:r w:rsidRPr="00296D20">
        <w:t>ophævet ved lov nr.</w:t>
      </w:r>
      <w:r>
        <w:t xml:space="preserve"> 527 af 17.06.08</w:t>
      </w:r>
    </w:p>
  </w:footnote>
  <w:footnote w:id="125">
    <w:p w:rsidR="006911F3" w:rsidRPr="003E1BD4" w:rsidRDefault="006911F3">
      <w:pPr>
        <w:pStyle w:val="Fodnotetekst"/>
        <w:rPr>
          <w:lang w:val="en-US"/>
        </w:rPr>
      </w:pPr>
      <w:r>
        <w:rPr>
          <w:rStyle w:val="Fodnotehenvisning"/>
        </w:rPr>
        <w:footnoteRef/>
      </w:r>
      <w:r w:rsidRPr="00B11F98">
        <w:rPr>
          <w:lang w:val="en-GB"/>
        </w:rPr>
        <w:t xml:space="preserve"> Jf. FUSL § 15A, stk. 2, 3. pkt.</w:t>
      </w:r>
    </w:p>
  </w:footnote>
  <w:footnote w:id="126">
    <w:p w:rsidR="006911F3" w:rsidRDefault="006911F3" w:rsidP="00676A46">
      <w:pPr>
        <w:pStyle w:val="Fodnotetekst"/>
      </w:pPr>
      <w:r>
        <w:rPr>
          <w:rStyle w:val="Fodnotehenvisning"/>
        </w:rPr>
        <w:footnoteRef/>
      </w:r>
      <w:r>
        <w:t xml:space="preserve"> Det blev muligt at gennemføre spaltning uden tilladelse ved lov nr. 343 af 18. april 2007</w:t>
      </w:r>
    </w:p>
  </w:footnote>
  <w:footnote w:id="127">
    <w:p w:rsidR="006911F3" w:rsidRPr="003E1BD4" w:rsidRDefault="006911F3" w:rsidP="00676A46">
      <w:pPr>
        <w:pStyle w:val="Fodnotetekst"/>
        <w:rPr>
          <w:lang w:val="en-US"/>
        </w:rPr>
      </w:pPr>
      <w:r>
        <w:rPr>
          <w:rStyle w:val="Fodnotehenvisning"/>
        </w:rPr>
        <w:footnoteRef/>
      </w:r>
      <w:r w:rsidRPr="00676A46">
        <w:rPr>
          <w:lang w:val="en-US"/>
        </w:rPr>
        <w:t xml:space="preserve"> Jf. FUSL §15b, stk. 7</w:t>
      </w:r>
    </w:p>
  </w:footnote>
  <w:footnote w:id="128">
    <w:p w:rsidR="006911F3" w:rsidRPr="003E1BD4" w:rsidRDefault="006911F3" w:rsidP="00676A46">
      <w:pPr>
        <w:pStyle w:val="Fodnotetekst"/>
        <w:rPr>
          <w:lang w:val="en-US"/>
        </w:rPr>
      </w:pPr>
      <w:r>
        <w:rPr>
          <w:rStyle w:val="Fodnotehenvisning"/>
        </w:rPr>
        <w:footnoteRef/>
      </w:r>
      <w:r w:rsidRPr="00676A46">
        <w:rPr>
          <w:lang w:val="en-US"/>
        </w:rPr>
        <w:t xml:space="preserve"> Jf. FUSL § 15b, stk</w:t>
      </w:r>
      <w:r>
        <w:rPr>
          <w:lang w:val="en-US"/>
        </w:rPr>
        <w:t>.</w:t>
      </w:r>
      <w:r w:rsidRPr="00676A46">
        <w:rPr>
          <w:lang w:val="en-US"/>
        </w:rPr>
        <w:t xml:space="preserve"> 8</w:t>
      </w:r>
    </w:p>
  </w:footnote>
  <w:footnote w:id="129">
    <w:p w:rsidR="006911F3" w:rsidRDefault="006911F3" w:rsidP="00CF6B2F">
      <w:pPr>
        <w:pStyle w:val="Fodnotetekst"/>
      </w:pPr>
      <w:r>
        <w:rPr>
          <w:rStyle w:val="Fodnotehenvisning"/>
        </w:rPr>
        <w:footnoteRef/>
      </w:r>
      <w:r>
        <w:t xml:space="preserve"> Jf. LV S.G.2.3.1.2 – første afsnit</w:t>
      </w:r>
    </w:p>
  </w:footnote>
  <w:footnote w:id="130">
    <w:p w:rsidR="006911F3" w:rsidRDefault="006911F3" w:rsidP="00CF6B2F">
      <w:pPr>
        <w:pStyle w:val="Fodnotetekst"/>
      </w:pPr>
      <w:r>
        <w:rPr>
          <w:rStyle w:val="Fodnotehenvisning"/>
        </w:rPr>
        <w:footnoteRef/>
      </w:r>
      <w:r>
        <w:t xml:space="preserve"> SR-SKAT.2003.174 kommentar til SKM 2003.66, hvor der via vedtægtsændringer skete forlodsudbytte til de eksisterende aktionærer.</w:t>
      </w:r>
    </w:p>
  </w:footnote>
  <w:footnote w:id="131">
    <w:p w:rsidR="006911F3" w:rsidRDefault="006911F3" w:rsidP="00CF6B2F">
      <w:pPr>
        <w:pStyle w:val="Fodnotetekst"/>
      </w:pPr>
      <w:r>
        <w:rPr>
          <w:rStyle w:val="Fodnotehenvisning"/>
        </w:rPr>
        <w:footnoteRef/>
      </w:r>
      <w:r>
        <w:t xml:space="preserve"> Jf. TfS 2003.943 – artikel om glidende generationsskifte.</w:t>
      </w:r>
    </w:p>
  </w:footnote>
  <w:footnote w:id="132">
    <w:p w:rsidR="006911F3" w:rsidRDefault="006911F3" w:rsidP="00CF6B2F">
      <w:pPr>
        <w:pStyle w:val="Fodnotetekst"/>
      </w:pPr>
      <w:r>
        <w:rPr>
          <w:rStyle w:val="Fodnotehenvisning"/>
        </w:rPr>
        <w:footnoteRef/>
      </w:r>
      <w:r>
        <w:t xml:space="preserve"> Hvorved der opstår holdingselskabskontruktion</w:t>
      </w:r>
    </w:p>
  </w:footnote>
  <w:footnote w:id="133">
    <w:p w:rsidR="006911F3" w:rsidRDefault="006911F3" w:rsidP="00CF6B2F">
      <w:pPr>
        <w:pStyle w:val="Fodnotetekst"/>
      </w:pPr>
      <w:r>
        <w:rPr>
          <w:rStyle w:val="Fodnotehenvisning"/>
        </w:rPr>
        <w:footnoteRef/>
      </w:r>
      <w:r>
        <w:t xml:space="preserve"> Hvilket igen kræver at der har været den fornødne ejertid af selskabet jf. tidligere afsnit, eller altern</w:t>
      </w:r>
      <w:r>
        <w:t>a</w:t>
      </w:r>
      <w:r>
        <w:t>tivt at der er sket aktieombytning med tilladelse.</w:t>
      </w:r>
    </w:p>
  </w:footnote>
  <w:footnote w:id="134">
    <w:p w:rsidR="006911F3" w:rsidRDefault="006911F3" w:rsidP="00CF6B2F">
      <w:pPr>
        <w:pStyle w:val="Fodnotetekst"/>
      </w:pPr>
      <w:r>
        <w:rPr>
          <w:rStyle w:val="Fodnotehenvisning"/>
        </w:rPr>
        <w:footnoteRef/>
      </w:r>
      <w:r>
        <w:t xml:space="preserve"> TfS 2003.943 samt i øvrigt jf. LV S.G.2.3.1.2 – 11. afsnit</w:t>
      </w:r>
    </w:p>
  </w:footnote>
  <w:footnote w:id="135">
    <w:p w:rsidR="006911F3" w:rsidRDefault="006911F3" w:rsidP="00CF6B2F">
      <w:pPr>
        <w:pStyle w:val="Fodnotetekst"/>
      </w:pPr>
      <w:r>
        <w:rPr>
          <w:rStyle w:val="Fodnotehenvisning"/>
        </w:rPr>
        <w:footnoteRef/>
      </w:r>
      <w:r>
        <w:t xml:space="preserve"> Jf. artikel i R&amp;R 2007.06 ”nye regler om skattefrie omstruktureringer og sambeskatning i forbindelse hermed</w:t>
      </w:r>
    </w:p>
  </w:footnote>
  <w:footnote w:id="136">
    <w:p w:rsidR="006911F3" w:rsidRDefault="006911F3" w:rsidP="00CF6B2F">
      <w:pPr>
        <w:pStyle w:val="Fodnotetekst"/>
      </w:pPr>
      <w:r>
        <w:rPr>
          <w:rStyle w:val="Fodnotehenvisning"/>
        </w:rPr>
        <w:footnoteRef/>
      </w:r>
      <w:r>
        <w:t xml:space="preserve"> Jf. Michael Serup; Generationsskifte Omstrukturering, side 606.</w:t>
      </w:r>
    </w:p>
  </w:footnote>
  <w:footnote w:id="137">
    <w:p w:rsidR="006911F3" w:rsidRDefault="006911F3">
      <w:pPr>
        <w:pStyle w:val="Fodnotetekst"/>
      </w:pPr>
      <w:r>
        <w:rPr>
          <w:rStyle w:val="Fodnotehenvisning"/>
        </w:rPr>
        <w:footnoteRef/>
      </w:r>
      <w:r>
        <w:t xml:space="preserve"> Jf. LV S.C.1.2.4.2 – salg af aktier til udstedende selskab</w:t>
      </w:r>
    </w:p>
  </w:footnote>
  <w:footnote w:id="138">
    <w:p w:rsidR="006911F3" w:rsidRDefault="006911F3">
      <w:pPr>
        <w:pStyle w:val="Fodnotetekst"/>
      </w:pPr>
      <w:r>
        <w:rPr>
          <w:rStyle w:val="Fodnotehenvisning"/>
        </w:rPr>
        <w:footnoteRef/>
      </w:r>
      <w:r>
        <w:t xml:space="preserve"> Jf. LV S.D.3.6.3 – anskaffelsestidspunkt og anskaffelsessum for modtagne aktier/anparter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1F3" w:rsidRDefault="006911F3">
    <w:pPr>
      <w:pStyle w:val="Sidehoved"/>
    </w:pPr>
  </w:p>
  <w:tbl>
    <w:tblPr>
      <w:tblW w:w="0" w:type="auto"/>
      <w:tblLook w:val="04A0"/>
    </w:tblPr>
    <w:tblGrid>
      <w:gridCol w:w="4322"/>
      <w:gridCol w:w="4322"/>
    </w:tblGrid>
    <w:tr w:rsidR="006911F3" w:rsidRPr="00974F32" w:rsidTr="00C565FB">
      <w:trPr>
        <w:trHeight w:val="258"/>
      </w:trPr>
      <w:tc>
        <w:tcPr>
          <w:tcW w:w="4322" w:type="dxa"/>
          <w:tcBorders>
            <w:bottom w:val="single" w:sz="4" w:space="0" w:color="auto"/>
          </w:tcBorders>
        </w:tcPr>
        <w:p w:rsidR="006911F3" w:rsidRPr="00974F32" w:rsidRDefault="006911F3" w:rsidP="00C565FB">
          <w:pPr>
            <w:rPr>
              <w:rFonts w:ascii="Times New Roman" w:eastAsia="Times New Roman" w:hAnsi="Times New Roman"/>
              <w:sz w:val="20"/>
              <w:szCs w:val="20"/>
            </w:rPr>
          </w:pPr>
        </w:p>
        <w:p w:rsidR="006911F3" w:rsidRPr="00974F32" w:rsidRDefault="006911F3" w:rsidP="00C565FB">
          <w:pPr>
            <w:rPr>
              <w:rFonts w:ascii="Times New Roman" w:eastAsia="Times New Roman" w:hAnsi="Times New Roman"/>
              <w:sz w:val="20"/>
              <w:szCs w:val="20"/>
            </w:rPr>
          </w:pPr>
          <w:r w:rsidRPr="00974F32">
            <w:rPr>
              <w:rFonts w:ascii="Times New Roman" w:eastAsia="Times New Roman" w:hAnsi="Times New Roman"/>
              <w:sz w:val="20"/>
              <w:szCs w:val="20"/>
            </w:rPr>
            <w:t>Generationsskifte i interessentskaber</w:t>
          </w:r>
        </w:p>
      </w:tc>
      <w:tc>
        <w:tcPr>
          <w:tcW w:w="4322" w:type="dxa"/>
          <w:tcBorders>
            <w:bottom w:val="single" w:sz="4" w:space="0" w:color="auto"/>
          </w:tcBorders>
        </w:tcPr>
        <w:p w:rsidR="006911F3" w:rsidRPr="00974F32" w:rsidRDefault="006911F3" w:rsidP="00C565FB">
          <w:pPr>
            <w:jc w:val="right"/>
            <w:rPr>
              <w:rFonts w:ascii="Times New Roman" w:eastAsia="Times New Roman" w:hAnsi="Times New Roman"/>
              <w:sz w:val="20"/>
              <w:szCs w:val="20"/>
            </w:rPr>
          </w:pPr>
          <w:r w:rsidRPr="00974F32">
            <w:rPr>
              <w:rFonts w:ascii="Times New Roman" w:eastAsia="Times New Roman" w:hAnsi="Times New Roman"/>
              <w:sz w:val="20"/>
              <w:szCs w:val="20"/>
            </w:rPr>
            <w:t>Pernille Miller</w:t>
          </w:r>
        </w:p>
        <w:p w:rsidR="006911F3" w:rsidRPr="00974F32" w:rsidRDefault="006911F3" w:rsidP="00C565FB">
          <w:pPr>
            <w:jc w:val="right"/>
            <w:rPr>
              <w:rFonts w:ascii="Times New Roman" w:eastAsia="Times New Roman" w:hAnsi="Times New Roman"/>
              <w:sz w:val="20"/>
              <w:szCs w:val="20"/>
            </w:rPr>
          </w:pPr>
          <w:r w:rsidRPr="00974F32">
            <w:rPr>
              <w:rFonts w:ascii="Times New Roman" w:eastAsia="Times New Roman" w:hAnsi="Times New Roman"/>
              <w:sz w:val="20"/>
              <w:szCs w:val="20"/>
            </w:rPr>
            <w:t>Jane Holm Jensen</w:t>
          </w:r>
        </w:p>
      </w:tc>
    </w:tr>
  </w:tbl>
  <w:p w:rsidR="006911F3" w:rsidRDefault="006911F3" w:rsidP="00C565F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F3F"/>
    <w:multiLevelType w:val="hybridMultilevel"/>
    <w:tmpl w:val="4CA0F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6D4CC1"/>
    <w:multiLevelType w:val="hybridMultilevel"/>
    <w:tmpl w:val="238295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A0E49EF"/>
    <w:multiLevelType w:val="hybridMultilevel"/>
    <w:tmpl w:val="3BA477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AFF392D"/>
    <w:multiLevelType w:val="hybridMultilevel"/>
    <w:tmpl w:val="505065D4"/>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nsid w:val="320E0B05"/>
    <w:multiLevelType w:val="hybridMultilevel"/>
    <w:tmpl w:val="A7F6F6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5C74DA2"/>
    <w:multiLevelType w:val="hybridMultilevel"/>
    <w:tmpl w:val="E5B25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D820F4"/>
    <w:multiLevelType w:val="hybridMultilevel"/>
    <w:tmpl w:val="EF5672C4"/>
    <w:lvl w:ilvl="0" w:tplc="C94E3822">
      <w:numFmt w:val="bullet"/>
      <w:lvlText w:val="-"/>
      <w:lvlJc w:val="left"/>
      <w:pPr>
        <w:tabs>
          <w:tab w:val="num" w:pos="720"/>
        </w:tabs>
        <w:ind w:left="720" w:hanging="360"/>
      </w:pPr>
      <w:rPr>
        <w:rFonts w:ascii="Calibri" w:eastAsia="Times New Roman" w:hAnsi="Calibri"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B4846D8"/>
    <w:multiLevelType w:val="hybridMultilevel"/>
    <w:tmpl w:val="0EF42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BF37047"/>
    <w:multiLevelType w:val="hybridMultilevel"/>
    <w:tmpl w:val="BBE82E3E"/>
    <w:lvl w:ilvl="0" w:tplc="0406000F">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9">
    <w:nsid w:val="4E5601B4"/>
    <w:multiLevelType w:val="hybridMultilevel"/>
    <w:tmpl w:val="00F06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EF14599"/>
    <w:multiLevelType w:val="hybridMultilevel"/>
    <w:tmpl w:val="66229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0E5149B"/>
    <w:multiLevelType w:val="hybridMultilevel"/>
    <w:tmpl w:val="F652486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nsid w:val="5B84327C"/>
    <w:multiLevelType w:val="hybridMultilevel"/>
    <w:tmpl w:val="EAD6D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CD52A51"/>
    <w:multiLevelType w:val="hybridMultilevel"/>
    <w:tmpl w:val="FFCA6BF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62453191"/>
    <w:multiLevelType w:val="hybridMultilevel"/>
    <w:tmpl w:val="AAFAC652"/>
    <w:lvl w:ilvl="0" w:tplc="E8F4A006">
      <w:numFmt w:val="bullet"/>
      <w:lvlText w:val="-"/>
      <w:lvlJc w:val="left"/>
      <w:pPr>
        <w:tabs>
          <w:tab w:val="num" w:pos="720"/>
        </w:tabs>
        <w:ind w:left="720" w:hanging="360"/>
      </w:pPr>
      <w:rPr>
        <w:rFonts w:ascii="Calibri" w:eastAsia="Times New Roman" w:hAnsi="Calibri"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643F1E36"/>
    <w:multiLevelType w:val="hybridMultilevel"/>
    <w:tmpl w:val="85E079C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nsid w:val="67405A3C"/>
    <w:multiLevelType w:val="hybridMultilevel"/>
    <w:tmpl w:val="D382CC3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0"/>
  </w:num>
  <w:num w:numId="3">
    <w:abstractNumId w:val="9"/>
  </w:num>
  <w:num w:numId="4">
    <w:abstractNumId w:val="12"/>
  </w:num>
  <w:num w:numId="5">
    <w:abstractNumId w:val="7"/>
  </w:num>
  <w:num w:numId="6">
    <w:abstractNumId w:val="0"/>
  </w:num>
  <w:num w:numId="7">
    <w:abstractNumId w:val="3"/>
  </w:num>
  <w:num w:numId="8">
    <w:abstractNumId w:val="2"/>
  </w:num>
  <w:num w:numId="9">
    <w:abstractNumId w:val="11"/>
  </w:num>
  <w:num w:numId="10">
    <w:abstractNumId w:val="16"/>
  </w:num>
  <w:num w:numId="11">
    <w:abstractNumId w:val="1"/>
  </w:num>
  <w:num w:numId="12">
    <w:abstractNumId w:val="4"/>
  </w:num>
  <w:num w:numId="13">
    <w:abstractNumId w:val="8"/>
  </w:num>
  <w:num w:numId="14">
    <w:abstractNumId w:val="14"/>
  </w:num>
  <w:num w:numId="15">
    <w:abstractNumId w:val="6"/>
  </w:num>
  <w:num w:numId="16">
    <w:abstractNumId w:val="13"/>
  </w:num>
  <w:num w:numId="1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1304"/>
  <w:autoHyphenation/>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38B"/>
    <w:rsid w:val="000062AE"/>
    <w:rsid w:val="000071A9"/>
    <w:rsid w:val="0000766B"/>
    <w:rsid w:val="00011FA2"/>
    <w:rsid w:val="0001202B"/>
    <w:rsid w:val="00012FAC"/>
    <w:rsid w:val="000176D4"/>
    <w:rsid w:val="00020F4B"/>
    <w:rsid w:val="00031F09"/>
    <w:rsid w:val="000331B7"/>
    <w:rsid w:val="000355A9"/>
    <w:rsid w:val="00035611"/>
    <w:rsid w:val="000426E8"/>
    <w:rsid w:val="000529EE"/>
    <w:rsid w:val="000550F2"/>
    <w:rsid w:val="000555D8"/>
    <w:rsid w:val="000555F7"/>
    <w:rsid w:val="00055C29"/>
    <w:rsid w:val="0005787E"/>
    <w:rsid w:val="000602CE"/>
    <w:rsid w:val="000606D9"/>
    <w:rsid w:val="0006183C"/>
    <w:rsid w:val="0006425B"/>
    <w:rsid w:val="00067653"/>
    <w:rsid w:val="0007367E"/>
    <w:rsid w:val="0007506A"/>
    <w:rsid w:val="000755C6"/>
    <w:rsid w:val="00080E24"/>
    <w:rsid w:val="00081BCC"/>
    <w:rsid w:val="00082B60"/>
    <w:rsid w:val="000837AF"/>
    <w:rsid w:val="00086301"/>
    <w:rsid w:val="000977B5"/>
    <w:rsid w:val="000A1807"/>
    <w:rsid w:val="000A1F52"/>
    <w:rsid w:val="000A3903"/>
    <w:rsid w:val="000A3C14"/>
    <w:rsid w:val="000A7278"/>
    <w:rsid w:val="000B012B"/>
    <w:rsid w:val="000B20B4"/>
    <w:rsid w:val="000B2DF3"/>
    <w:rsid w:val="000B4E51"/>
    <w:rsid w:val="000B53E4"/>
    <w:rsid w:val="000C2057"/>
    <w:rsid w:val="000C65DF"/>
    <w:rsid w:val="000D22A7"/>
    <w:rsid w:val="000D48F7"/>
    <w:rsid w:val="000D69E2"/>
    <w:rsid w:val="000E2365"/>
    <w:rsid w:val="000E35CF"/>
    <w:rsid w:val="000E3876"/>
    <w:rsid w:val="000E4343"/>
    <w:rsid w:val="000E4CDE"/>
    <w:rsid w:val="000E6502"/>
    <w:rsid w:val="000F066D"/>
    <w:rsid w:val="000F19E3"/>
    <w:rsid w:val="000F36EF"/>
    <w:rsid w:val="000F6B41"/>
    <w:rsid w:val="0010307F"/>
    <w:rsid w:val="00112714"/>
    <w:rsid w:val="0011688E"/>
    <w:rsid w:val="00117C44"/>
    <w:rsid w:val="00127DBC"/>
    <w:rsid w:val="001327C7"/>
    <w:rsid w:val="00133CEB"/>
    <w:rsid w:val="00141FE2"/>
    <w:rsid w:val="001428D4"/>
    <w:rsid w:val="001500D0"/>
    <w:rsid w:val="0015127C"/>
    <w:rsid w:val="00156BE6"/>
    <w:rsid w:val="00162745"/>
    <w:rsid w:val="00166C64"/>
    <w:rsid w:val="00166E20"/>
    <w:rsid w:val="00172472"/>
    <w:rsid w:val="00177812"/>
    <w:rsid w:val="001829EC"/>
    <w:rsid w:val="00183015"/>
    <w:rsid w:val="00187D19"/>
    <w:rsid w:val="00190FDF"/>
    <w:rsid w:val="00193025"/>
    <w:rsid w:val="00193EDE"/>
    <w:rsid w:val="00195546"/>
    <w:rsid w:val="001A18D6"/>
    <w:rsid w:val="001B1F27"/>
    <w:rsid w:val="001B289D"/>
    <w:rsid w:val="001C3154"/>
    <w:rsid w:val="001C7D78"/>
    <w:rsid w:val="001D73A7"/>
    <w:rsid w:val="001E08E7"/>
    <w:rsid w:val="001E2251"/>
    <w:rsid w:val="001E379B"/>
    <w:rsid w:val="001E474F"/>
    <w:rsid w:val="001F0703"/>
    <w:rsid w:val="001F2E41"/>
    <w:rsid w:val="001F3319"/>
    <w:rsid w:val="001F34DF"/>
    <w:rsid w:val="001F3E63"/>
    <w:rsid w:val="001F41AF"/>
    <w:rsid w:val="001F4A93"/>
    <w:rsid w:val="0020594D"/>
    <w:rsid w:val="002061C3"/>
    <w:rsid w:val="002237D4"/>
    <w:rsid w:val="00224A9D"/>
    <w:rsid w:val="00225A78"/>
    <w:rsid w:val="00235CC3"/>
    <w:rsid w:val="00235E46"/>
    <w:rsid w:val="002378C7"/>
    <w:rsid w:val="00237CA9"/>
    <w:rsid w:val="00251C1F"/>
    <w:rsid w:val="00254862"/>
    <w:rsid w:val="00255A8A"/>
    <w:rsid w:val="0025707D"/>
    <w:rsid w:val="00264089"/>
    <w:rsid w:val="00266D92"/>
    <w:rsid w:val="00270C4A"/>
    <w:rsid w:val="002816CD"/>
    <w:rsid w:val="00283318"/>
    <w:rsid w:val="002844F1"/>
    <w:rsid w:val="00284C2D"/>
    <w:rsid w:val="002861EF"/>
    <w:rsid w:val="002931CF"/>
    <w:rsid w:val="00293600"/>
    <w:rsid w:val="00296D20"/>
    <w:rsid w:val="002A14EB"/>
    <w:rsid w:val="002A77EA"/>
    <w:rsid w:val="002A781A"/>
    <w:rsid w:val="002A7A59"/>
    <w:rsid w:val="002A7FBD"/>
    <w:rsid w:val="002B05F4"/>
    <w:rsid w:val="002B1497"/>
    <w:rsid w:val="002B5FE2"/>
    <w:rsid w:val="002B5FE5"/>
    <w:rsid w:val="002C0F6A"/>
    <w:rsid w:val="002C3F6D"/>
    <w:rsid w:val="002C52FD"/>
    <w:rsid w:val="002D27B5"/>
    <w:rsid w:val="002D6707"/>
    <w:rsid w:val="002D7778"/>
    <w:rsid w:val="002E4CEE"/>
    <w:rsid w:val="002E595A"/>
    <w:rsid w:val="002E74E1"/>
    <w:rsid w:val="002E7FB3"/>
    <w:rsid w:val="002F0358"/>
    <w:rsid w:val="002F0FFE"/>
    <w:rsid w:val="002F1219"/>
    <w:rsid w:val="002F24EE"/>
    <w:rsid w:val="002F426B"/>
    <w:rsid w:val="002F4E41"/>
    <w:rsid w:val="002F512B"/>
    <w:rsid w:val="002F69F4"/>
    <w:rsid w:val="00301740"/>
    <w:rsid w:val="00301B92"/>
    <w:rsid w:val="003034B4"/>
    <w:rsid w:val="0030370C"/>
    <w:rsid w:val="003057CE"/>
    <w:rsid w:val="003063CD"/>
    <w:rsid w:val="0030648A"/>
    <w:rsid w:val="00310E2B"/>
    <w:rsid w:val="00312092"/>
    <w:rsid w:val="00313500"/>
    <w:rsid w:val="00314CE3"/>
    <w:rsid w:val="00314D38"/>
    <w:rsid w:val="003169D6"/>
    <w:rsid w:val="00316CDD"/>
    <w:rsid w:val="00317026"/>
    <w:rsid w:val="0032099C"/>
    <w:rsid w:val="00323512"/>
    <w:rsid w:val="00323529"/>
    <w:rsid w:val="00327D5E"/>
    <w:rsid w:val="00335FAD"/>
    <w:rsid w:val="00337429"/>
    <w:rsid w:val="00350FC0"/>
    <w:rsid w:val="00351650"/>
    <w:rsid w:val="00355CBD"/>
    <w:rsid w:val="00356074"/>
    <w:rsid w:val="00360E62"/>
    <w:rsid w:val="0036130D"/>
    <w:rsid w:val="0036331B"/>
    <w:rsid w:val="00364F63"/>
    <w:rsid w:val="0037080B"/>
    <w:rsid w:val="00371BAB"/>
    <w:rsid w:val="00372548"/>
    <w:rsid w:val="003732F3"/>
    <w:rsid w:val="00375CC7"/>
    <w:rsid w:val="003829FB"/>
    <w:rsid w:val="003A4F3D"/>
    <w:rsid w:val="003A50A5"/>
    <w:rsid w:val="003A686C"/>
    <w:rsid w:val="003B1FDB"/>
    <w:rsid w:val="003B310E"/>
    <w:rsid w:val="003B4912"/>
    <w:rsid w:val="003B7737"/>
    <w:rsid w:val="003C0814"/>
    <w:rsid w:val="003C5E2F"/>
    <w:rsid w:val="003C6E22"/>
    <w:rsid w:val="003D066A"/>
    <w:rsid w:val="003D16BD"/>
    <w:rsid w:val="003D26A3"/>
    <w:rsid w:val="003D3ECA"/>
    <w:rsid w:val="003D7459"/>
    <w:rsid w:val="003E0B35"/>
    <w:rsid w:val="003E1BD4"/>
    <w:rsid w:val="003E44AF"/>
    <w:rsid w:val="003E7293"/>
    <w:rsid w:val="003F321F"/>
    <w:rsid w:val="003F3B2E"/>
    <w:rsid w:val="00400045"/>
    <w:rsid w:val="00402585"/>
    <w:rsid w:val="0040304B"/>
    <w:rsid w:val="00405EC9"/>
    <w:rsid w:val="0040769B"/>
    <w:rsid w:val="00410650"/>
    <w:rsid w:val="0041566B"/>
    <w:rsid w:val="00416005"/>
    <w:rsid w:val="0041796C"/>
    <w:rsid w:val="004231F7"/>
    <w:rsid w:val="004249B2"/>
    <w:rsid w:val="00425B4B"/>
    <w:rsid w:val="00426DD7"/>
    <w:rsid w:val="00426FE3"/>
    <w:rsid w:val="0043508F"/>
    <w:rsid w:val="00437E9A"/>
    <w:rsid w:val="00442C3B"/>
    <w:rsid w:val="004434F3"/>
    <w:rsid w:val="00455860"/>
    <w:rsid w:val="00461277"/>
    <w:rsid w:val="004614A1"/>
    <w:rsid w:val="00464F3C"/>
    <w:rsid w:val="00467EA3"/>
    <w:rsid w:val="00472689"/>
    <w:rsid w:val="00472A58"/>
    <w:rsid w:val="00477D53"/>
    <w:rsid w:val="00480514"/>
    <w:rsid w:val="00483A8A"/>
    <w:rsid w:val="00484D4D"/>
    <w:rsid w:val="004876C5"/>
    <w:rsid w:val="00487AFE"/>
    <w:rsid w:val="00494EF4"/>
    <w:rsid w:val="00496080"/>
    <w:rsid w:val="00496D1F"/>
    <w:rsid w:val="004A2CD9"/>
    <w:rsid w:val="004A58A2"/>
    <w:rsid w:val="004A5B0E"/>
    <w:rsid w:val="004B65E0"/>
    <w:rsid w:val="004C7653"/>
    <w:rsid w:val="004D0182"/>
    <w:rsid w:val="004D43AC"/>
    <w:rsid w:val="004D5719"/>
    <w:rsid w:val="004E0717"/>
    <w:rsid w:val="004E6A6E"/>
    <w:rsid w:val="004F080C"/>
    <w:rsid w:val="004F17FE"/>
    <w:rsid w:val="004F1C54"/>
    <w:rsid w:val="004F5AA0"/>
    <w:rsid w:val="004F6945"/>
    <w:rsid w:val="005026D7"/>
    <w:rsid w:val="00503D9F"/>
    <w:rsid w:val="00506578"/>
    <w:rsid w:val="00510D1D"/>
    <w:rsid w:val="00510F65"/>
    <w:rsid w:val="0051262F"/>
    <w:rsid w:val="00523BE6"/>
    <w:rsid w:val="0053026E"/>
    <w:rsid w:val="005315C5"/>
    <w:rsid w:val="00534E2E"/>
    <w:rsid w:val="00535E0B"/>
    <w:rsid w:val="00541451"/>
    <w:rsid w:val="00543386"/>
    <w:rsid w:val="0054510D"/>
    <w:rsid w:val="005565BA"/>
    <w:rsid w:val="00562620"/>
    <w:rsid w:val="00566023"/>
    <w:rsid w:val="005743DE"/>
    <w:rsid w:val="00577934"/>
    <w:rsid w:val="0058109F"/>
    <w:rsid w:val="0059688E"/>
    <w:rsid w:val="005971FE"/>
    <w:rsid w:val="005A06FC"/>
    <w:rsid w:val="005A0E09"/>
    <w:rsid w:val="005A2694"/>
    <w:rsid w:val="005A3000"/>
    <w:rsid w:val="005A4274"/>
    <w:rsid w:val="005A5E3E"/>
    <w:rsid w:val="005A68C4"/>
    <w:rsid w:val="005B44C3"/>
    <w:rsid w:val="005B6CCB"/>
    <w:rsid w:val="005C07FF"/>
    <w:rsid w:val="005C17BD"/>
    <w:rsid w:val="005C2175"/>
    <w:rsid w:val="005C42EF"/>
    <w:rsid w:val="005C528C"/>
    <w:rsid w:val="005C54A2"/>
    <w:rsid w:val="005C575D"/>
    <w:rsid w:val="005D337C"/>
    <w:rsid w:val="005D3896"/>
    <w:rsid w:val="005D41DC"/>
    <w:rsid w:val="005D51D1"/>
    <w:rsid w:val="005D6840"/>
    <w:rsid w:val="005D6D84"/>
    <w:rsid w:val="005E2C30"/>
    <w:rsid w:val="005E6C63"/>
    <w:rsid w:val="006004E6"/>
    <w:rsid w:val="00600841"/>
    <w:rsid w:val="00610DD7"/>
    <w:rsid w:val="00611FF4"/>
    <w:rsid w:val="00613F0F"/>
    <w:rsid w:val="00613FF3"/>
    <w:rsid w:val="00614B4C"/>
    <w:rsid w:val="00617795"/>
    <w:rsid w:val="00617CE3"/>
    <w:rsid w:val="00620896"/>
    <w:rsid w:val="0062185A"/>
    <w:rsid w:val="00625ADA"/>
    <w:rsid w:val="00626E6F"/>
    <w:rsid w:val="00627158"/>
    <w:rsid w:val="00631399"/>
    <w:rsid w:val="006319B9"/>
    <w:rsid w:val="006329C4"/>
    <w:rsid w:val="006410AF"/>
    <w:rsid w:val="006414D2"/>
    <w:rsid w:val="0064392D"/>
    <w:rsid w:val="00651EEC"/>
    <w:rsid w:val="0065786E"/>
    <w:rsid w:val="00660B44"/>
    <w:rsid w:val="00660DE1"/>
    <w:rsid w:val="00664CE2"/>
    <w:rsid w:val="00666840"/>
    <w:rsid w:val="00672269"/>
    <w:rsid w:val="00673D13"/>
    <w:rsid w:val="00674758"/>
    <w:rsid w:val="00675A40"/>
    <w:rsid w:val="00676A46"/>
    <w:rsid w:val="00676CC7"/>
    <w:rsid w:val="00677ED2"/>
    <w:rsid w:val="00680292"/>
    <w:rsid w:val="00684E0E"/>
    <w:rsid w:val="00690869"/>
    <w:rsid w:val="00690ECA"/>
    <w:rsid w:val="006911F3"/>
    <w:rsid w:val="006912F0"/>
    <w:rsid w:val="00694C7B"/>
    <w:rsid w:val="0069601B"/>
    <w:rsid w:val="006A1E10"/>
    <w:rsid w:val="006A30D3"/>
    <w:rsid w:val="006A3652"/>
    <w:rsid w:val="006A4C45"/>
    <w:rsid w:val="006B00C0"/>
    <w:rsid w:val="006B28D0"/>
    <w:rsid w:val="006B3CFD"/>
    <w:rsid w:val="006B3EDA"/>
    <w:rsid w:val="006B563F"/>
    <w:rsid w:val="006C0472"/>
    <w:rsid w:val="006C2E86"/>
    <w:rsid w:val="006C31D0"/>
    <w:rsid w:val="006C471F"/>
    <w:rsid w:val="006C7DC1"/>
    <w:rsid w:val="006D08EA"/>
    <w:rsid w:val="006E4404"/>
    <w:rsid w:val="006E77EF"/>
    <w:rsid w:val="006F04F6"/>
    <w:rsid w:val="006F144D"/>
    <w:rsid w:val="006F58CB"/>
    <w:rsid w:val="006F7166"/>
    <w:rsid w:val="006F7712"/>
    <w:rsid w:val="00702CB7"/>
    <w:rsid w:val="00704A8F"/>
    <w:rsid w:val="007066F3"/>
    <w:rsid w:val="00721654"/>
    <w:rsid w:val="00721DE7"/>
    <w:rsid w:val="00722252"/>
    <w:rsid w:val="007226E9"/>
    <w:rsid w:val="007235DB"/>
    <w:rsid w:val="007241D6"/>
    <w:rsid w:val="00725818"/>
    <w:rsid w:val="007263C8"/>
    <w:rsid w:val="00734C47"/>
    <w:rsid w:val="007376A7"/>
    <w:rsid w:val="007403A0"/>
    <w:rsid w:val="0075666E"/>
    <w:rsid w:val="0076575F"/>
    <w:rsid w:val="00765CDA"/>
    <w:rsid w:val="0078054D"/>
    <w:rsid w:val="00786217"/>
    <w:rsid w:val="00786C5D"/>
    <w:rsid w:val="00792EF7"/>
    <w:rsid w:val="007934DF"/>
    <w:rsid w:val="00793E35"/>
    <w:rsid w:val="007945B1"/>
    <w:rsid w:val="007945CF"/>
    <w:rsid w:val="00794920"/>
    <w:rsid w:val="007A32DF"/>
    <w:rsid w:val="007A35E5"/>
    <w:rsid w:val="007A41A8"/>
    <w:rsid w:val="007A76AE"/>
    <w:rsid w:val="007B6A8F"/>
    <w:rsid w:val="007C3E61"/>
    <w:rsid w:val="007C4F35"/>
    <w:rsid w:val="007C5FBD"/>
    <w:rsid w:val="007D317D"/>
    <w:rsid w:val="007D40A4"/>
    <w:rsid w:val="007D4313"/>
    <w:rsid w:val="007D4627"/>
    <w:rsid w:val="007E4404"/>
    <w:rsid w:val="007F0CCB"/>
    <w:rsid w:val="007F157B"/>
    <w:rsid w:val="007F465D"/>
    <w:rsid w:val="007F5B9A"/>
    <w:rsid w:val="00804194"/>
    <w:rsid w:val="00806D66"/>
    <w:rsid w:val="00806E26"/>
    <w:rsid w:val="008110CB"/>
    <w:rsid w:val="00821328"/>
    <w:rsid w:val="00825F46"/>
    <w:rsid w:val="00827DFC"/>
    <w:rsid w:val="00831732"/>
    <w:rsid w:val="00832A15"/>
    <w:rsid w:val="00833645"/>
    <w:rsid w:val="00833A8D"/>
    <w:rsid w:val="0083728B"/>
    <w:rsid w:val="008469C0"/>
    <w:rsid w:val="00847684"/>
    <w:rsid w:val="00850536"/>
    <w:rsid w:val="00851BE0"/>
    <w:rsid w:val="00860409"/>
    <w:rsid w:val="00861081"/>
    <w:rsid w:val="00863E5C"/>
    <w:rsid w:val="00874DB8"/>
    <w:rsid w:val="00881162"/>
    <w:rsid w:val="00882CB1"/>
    <w:rsid w:val="0088613C"/>
    <w:rsid w:val="008901CD"/>
    <w:rsid w:val="008919A2"/>
    <w:rsid w:val="00894E96"/>
    <w:rsid w:val="008B17A2"/>
    <w:rsid w:val="008B3561"/>
    <w:rsid w:val="008B606F"/>
    <w:rsid w:val="008B627B"/>
    <w:rsid w:val="008C024F"/>
    <w:rsid w:val="008C18A1"/>
    <w:rsid w:val="008C297C"/>
    <w:rsid w:val="008C4353"/>
    <w:rsid w:val="008C58DD"/>
    <w:rsid w:val="008C68A3"/>
    <w:rsid w:val="008D27A3"/>
    <w:rsid w:val="008E2F9E"/>
    <w:rsid w:val="008E3F7A"/>
    <w:rsid w:val="008E438B"/>
    <w:rsid w:val="008E5C44"/>
    <w:rsid w:val="008E6DCE"/>
    <w:rsid w:val="009031DF"/>
    <w:rsid w:val="00904FAC"/>
    <w:rsid w:val="00906789"/>
    <w:rsid w:val="009077F2"/>
    <w:rsid w:val="00910EE3"/>
    <w:rsid w:val="00916DAF"/>
    <w:rsid w:val="0092589D"/>
    <w:rsid w:val="00931E8C"/>
    <w:rsid w:val="00934433"/>
    <w:rsid w:val="00935D05"/>
    <w:rsid w:val="00940A78"/>
    <w:rsid w:val="009417BB"/>
    <w:rsid w:val="00941B7C"/>
    <w:rsid w:val="00942673"/>
    <w:rsid w:val="009432AA"/>
    <w:rsid w:val="00943801"/>
    <w:rsid w:val="00945E6D"/>
    <w:rsid w:val="00951117"/>
    <w:rsid w:val="00952F56"/>
    <w:rsid w:val="0095349C"/>
    <w:rsid w:val="00955D53"/>
    <w:rsid w:val="00961BAE"/>
    <w:rsid w:val="00962755"/>
    <w:rsid w:val="00962824"/>
    <w:rsid w:val="00962A03"/>
    <w:rsid w:val="00964AF3"/>
    <w:rsid w:val="00973B21"/>
    <w:rsid w:val="009742E3"/>
    <w:rsid w:val="00974F32"/>
    <w:rsid w:val="00975C44"/>
    <w:rsid w:val="0097720A"/>
    <w:rsid w:val="00977584"/>
    <w:rsid w:val="00980134"/>
    <w:rsid w:val="00980FDD"/>
    <w:rsid w:val="009842F7"/>
    <w:rsid w:val="009872D1"/>
    <w:rsid w:val="00993100"/>
    <w:rsid w:val="009951FA"/>
    <w:rsid w:val="00995E3B"/>
    <w:rsid w:val="009A40FB"/>
    <w:rsid w:val="009A73A5"/>
    <w:rsid w:val="009B12EE"/>
    <w:rsid w:val="009B1CA6"/>
    <w:rsid w:val="009B36C0"/>
    <w:rsid w:val="009B58F6"/>
    <w:rsid w:val="009B5F70"/>
    <w:rsid w:val="009B60C8"/>
    <w:rsid w:val="009C29AF"/>
    <w:rsid w:val="009C2BFD"/>
    <w:rsid w:val="009C3992"/>
    <w:rsid w:val="009C5578"/>
    <w:rsid w:val="009D1BD7"/>
    <w:rsid w:val="009D23FF"/>
    <w:rsid w:val="009D31F0"/>
    <w:rsid w:val="009D3CF9"/>
    <w:rsid w:val="009D45A7"/>
    <w:rsid w:val="009D6CA9"/>
    <w:rsid w:val="009E2D2D"/>
    <w:rsid w:val="009E3DD5"/>
    <w:rsid w:val="009E5008"/>
    <w:rsid w:val="009E7B56"/>
    <w:rsid w:val="009F7454"/>
    <w:rsid w:val="00A007F6"/>
    <w:rsid w:val="00A01493"/>
    <w:rsid w:val="00A03B8D"/>
    <w:rsid w:val="00A04368"/>
    <w:rsid w:val="00A06CCC"/>
    <w:rsid w:val="00A114BC"/>
    <w:rsid w:val="00A14A1C"/>
    <w:rsid w:val="00A31F1A"/>
    <w:rsid w:val="00A40E29"/>
    <w:rsid w:val="00A411B7"/>
    <w:rsid w:val="00A42E59"/>
    <w:rsid w:val="00A43691"/>
    <w:rsid w:val="00A45FA1"/>
    <w:rsid w:val="00A45FB6"/>
    <w:rsid w:val="00A5166A"/>
    <w:rsid w:val="00A605A8"/>
    <w:rsid w:val="00A61F25"/>
    <w:rsid w:val="00A65778"/>
    <w:rsid w:val="00A66645"/>
    <w:rsid w:val="00A71657"/>
    <w:rsid w:val="00A7361F"/>
    <w:rsid w:val="00A74C6A"/>
    <w:rsid w:val="00A800C4"/>
    <w:rsid w:val="00A80F32"/>
    <w:rsid w:val="00A8373D"/>
    <w:rsid w:val="00A84C6E"/>
    <w:rsid w:val="00A85DA1"/>
    <w:rsid w:val="00A87A96"/>
    <w:rsid w:val="00A9159A"/>
    <w:rsid w:val="00A974A6"/>
    <w:rsid w:val="00AA37F2"/>
    <w:rsid w:val="00AA415C"/>
    <w:rsid w:val="00AA799F"/>
    <w:rsid w:val="00AA7D6E"/>
    <w:rsid w:val="00AB2BA5"/>
    <w:rsid w:val="00AC09E0"/>
    <w:rsid w:val="00AC20EA"/>
    <w:rsid w:val="00AC40AB"/>
    <w:rsid w:val="00AC4E70"/>
    <w:rsid w:val="00AC5A1A"/>
    <w:rsid w:val="00AD4B2A"/>
    <w:rsid w:val="00AD5F81"/>
    <w:rsid w:val="00AD65DE"/>
    <w:rsid w:val="00AE0E6B"/>
    <w:rsid w:val="00AE134B"/>
    <w:rsid w:val="00AE28FA"/>
    <w:rsid w:val="00AF0293"/>
    <w:rsid w:val="00AF039D"/>
    <w:rsid w:val="00AF2D39"/>
    <w:rsid w:val="00AF3774"/>
    <w:rsid w:val="00AF4FDF"/>
    <w:rsid w:val="00AF531B"/>
    <w:rsid w:val="00AF5526"/>
    <w:rsid w:val="00B02FAE"/>
    <w:rsid w:val="00B041F4"/>
    <w:rsid w:val="00B0472D"/>
    <w:rsid w:val="00B06759"/>
    <w:rsid w:val="00B11F98"/>
    <w:rsid w:val="00B15FD8"/>
    <w:rsid w:val="00B24149"/>
    <w:rsid w:val="00B24EE7"/>
    <w:rsid w:val="00B2620A"/>
    <w:rsid w:val="00B26CB4"/>
    <w:rsid w:val="00B31269"/>
    <w:rsid w:val="00B3239C"/>
    <w:rsid w:val="00B34334"/>
    <w:rsid w:val="00B35E28"/>
    <w:rsid w:val="00B439B3"/>
    <w:rsid w:val="00B45C80"/>
    <w:rsid w:val="00B46F42"/>
    <w:rsid w:val="00B50258"/>
    <w:rsid w:val="00B51B47"/>
    <w:rsid w:val="00B52012"/>
    <w:rsid w:val="00B52426"/>
    <w:rsid w:val="00B5514C"/>
    <w:rsid w:val="00B6315A"/>
    <w:rsid w:val="00B640BA"/>
    <w:rsid w:val="00B720E6"/>
    <w:rsid w:val="00B74441"/>
    <w:rsid w:val="00B76AB0"/>
    <w:rsid w:val="00B77BD0"/>
    <w:rsid w:val="00B86774"/>
    <w:rsid w:val="00B87914"/>
    <w:rsid w:val="00B951CC"/>
    <w:rsid w:val="00B957E6"/>
    <w:rsid w:val="00BA204C"/>
    <w:rsid w:val="00BA3AF8"/>
    <w:rsid w:val="00BA5E96"/>
    <w:rsid w:val="00BA5ED8"/>
    <w:rsid w:val="00BB218C"/>
    <w:rsid w:val="00BB4C4B"/>
    <w:rsid w:val="00BB5B2C"/>
    <w:rsid w:val="00BB726B"/>
    <w:rsid w:val="00BC0605"/>
    <w:rsid w:val="00BC28DA"/>
    <w:rsid w:val="00BC5A62"/>
    <w:rsid w:val="00BC6C0F"/>
    <w:rsid w:val="00BC7822"/>
    <w:rsid w:val="00BD3057"/>
    <w:rsid w:val="00BD485A"/>
    <w:rsid w:val="00BE3CA2"/>
    <w:rsid w:val="00BE45AE"/>
    <w:rsid w:val="00BF3E6A"/>
    <w:rsid w:val="00C02AEF"/>
    <w:rsid w:val="00C176FB"/>
    <w:rsid w:val="00C179A1"/>
    <w:rsid w:val="00C20116"/>
    <w:rsid w:val="00C238B7"/>
    <w:rsid w:val="00C243F4"/>
    <w:rsid w:val="00C27D1F"/>
    <w:rsid w:val="00C30840"/>
    <w:rsid w:val="00C32CFC"/>
    <w:rsid w:val="00C47610"/>
    <w:rsid w:val="00C4778B"/>
    <w:rsid w:val="00C51B93"/>
    <w:rsid w:val="00C53714"/>
    <w:rsid w:val="00C5439D"/>
    <w:rsid w:val="00C55C02"/>
    <w:rsid w:val="00C55F57"/>
    <w:rsid w:val="00C565FB"/>
    <w:rsid w:val="00C6692B"/>
    <w:rsid w:val="00C712CD"/>
    <w:rsid w:val="00C76D06"/>
    <w:rsid w:val="00C81B82"/>
    <w:rsid w:val="00C81CF7"/>
    <w:rsid w:val="00C943E9"/>
    <w:rsid w:val="00C96DF3"/>
    <w:rsid w:val="00CA697D"/>
    <w:rsid w:val="00CB04D2"/>
    <w:rsid w:val="00CB4C35"/>
    <w:rsid w:val="00CB5266"/>
    <w:rsid w:val="00CB6284"/>
    <w:rsid w:val="00CB71AB"/>
    <w:rsid w:val="00CB73D3"/>
    <w:rsid w:val="00CB7957"/>
    <w:rsid w:val="00CC3C15"/>
    <w:rsid w:val="00CC3C7D"/>
    <w:rsid w:val="00CC5E96"/>
    <w:rsid w:val="00CC7D31"/>
    <w:rsid w:val="00CD1244"/>
    <w:rsid w:val="00CD3BE5"/>
    <w:rsid w:val="00CD56BE"/>
    <w:rsid w:val="00CD6C19"/>
    <w:rsid w:val="00CE10B5"/>
    <w:rsid w:val="00CE44B6"/>
    <w:rsid w:val="00CE5752"/>
    <w:rsid w:val="00CE5A56"/>
    <w:rsid w:val="00CF3EDA"/>
    <w:rsid w:val="00CF4639"/>
    <w:rsid w:val="00CF6B2F"/>
    <w:rsid w:val="00CF6FB4"/>
    <w:rsid w:val="00CF79DF"/>
    <w:rsid w:val="00D03270"/>
    <w:rsid w:val="00D05C75"/>
    <w:rsid w:val="00D07DC1"/>
    <w:rsid w:val="00D07FD8"/>
    <w:rsid w:val="00D11071"/>
    <w:rsid w:val="00D11735"/>
    <w:rsid w:val="00D143D5"/>
    <w:rsid w:val="00D17942"/>
    <w:rsid w:val="00D230CD"/>
    <w:rsid w:val="00D23446"/>
    <w:rsid w:val="00D236A0"/>
    <w:rsid w:val="00D23890"/>
    <w:rsid w:val="00D24B8D"/>
    <w:rsid w:val="00D2505D"/>
    <w:rsid w:val="00D335A7"/>
    <w:rsid w:val="00D33FA4"/>
    <w:rsid w:val="00D34604"/>
    <w:rsid w:val="00D355F3"/>
    <w:rsid w:val="00D35750"/>
    <w:rsid w:val="00D365F8"/>
    <w:rsid w:val="00D423F8"/>
    <w:rsid w:val="00D44473"/>
    <w:rsid w:val="00D457AA"/>
    <w:rsid w:val="00D47B29"/>
    <w:rsid w:val="00D53364"/>
    <w:rsid w:val="00D54D48"/>
    <w:rsid w:val="00D606AB"/>
    <w:rsid w:val="00D61657"/>
    <w:rsid w:val="00D6637B"/>
    <w:rsid w:val="00D75069"/>
    <w:rsid w:val="00D75A46"/>
    <w:rsid w:val="00D75CFE"/>
    <w:rsid w:val="00D76AA3"/>
    <w:rsid w:val="00D772C2"/>
    <w:rsid w:val="00D93548"/>
    <w:rsid w:val="00D97AC4"/>
    <w:rsid w:val="00DA051C"/>
    <w:rsid w:val="00DA62F5"/>
    <w:rsid w:val="00DA73F1"/>
    <w:rsid w:val="00DB0F81"/>
    <w:rsid w:val="00DB2CA5"/>
    <w:rsid w:val="00DB2D4D"/>
    <w:rsid w:val="00DB6A86"/>
    <w:rsid w:val="00DC3B5E"/>
    <w:rsid w:val="00DD075B"/>
    <w:rsid w:val="00DD3848"/>
    <w:rsid w:val="00DD5131"/>
    <w:rsid w:val="00DE690D"/>
    <w:rsid w:val="00DF0736"/>
    <w:rsid w:val="00DF09E7"/>
    <w:rsid w:val="00DF0A09"/>
    <w:rsid w:val="00DF226D"/>
    <w:rsid w:val="00DF66D5"/>
    <w:rsid w:val="00DF6853"/>
    <w:rsid w:val="00E046DD"/>
    <w:rsid w:val="00E0796A"/>
    <w:rsid w:val="00E10EC1"/>
    <w:rsid w:val="00E13293"/>
    <w:rsid w:val="00E136D5"/>
    <w:rsid w:val="00E17575"/>
    <w:rsid w:val="00E17839"/>
    <w:rsid w:val="00E2256F"/>
    <w:rsid w:val="00E231FA"/>
    <w:rsid w:val="00E408AD"/>
    <w:rsid w:val="00E47EA5"/>
    <w:rsid w:val="00E6199A"/>
    <w:rsid w:val="00E673B9"/>
    <w:rsid w:val="00E732C5"/>
    <w:rsid w:val="00E736EB"/>
    <w:rsid w:val="00E73F57"/>
    <w:rsid w:val="00E75844"/>
    <w:rsid w:val="00E77F74"/>
    <w:rsid w:val="00E80B8B"/>
    <w:rsid w:val="00E8136A"/>
    <w:rsid w:val="00E82873"/>
    <w:rsid w:val="00E82D78"/>
    <w:rsid w:val="00E8360A"/>
    <w:rsid w:val="00E84532"/>
    <w:rsid w:val="00E8508B"/>
    <w:rsid w:val="00E87137"/>
    <w:rsid w:val="00EA3871"/>
    <w:rsid w:val="00EA4885"/>
    <w:rsid w:val="00EA691E"/>
    <w:rsid w:val="00EA7075"/>
    <w:rsid w:val="00EA7AB6"/>
    <w:rsid w:val="00EB00B4"/>
    <w:rsid w:val="00EB3346"/>
    <w:rsid w:val="00EB6226"/>
    <w:rsid w:val="00ED129F"/>
    <w:rsid w:val="00ED1759"/>
    <w:rsid w:val="00ED4B9F"/>
    <w:rsid w:val="00ED4C98"/>
    <w:rsid w:val="00ED673F"/>
    <w:rsid w:val="00ED6DA8"/>
    <w:rsid w:val="00EE042E"/>
    <w:rsid w:val="00EE2A58"/>
    <w:rsid w:val="00EE2E74"/>
    <w:rsid w:val="00EE3D9F"/>
    <w:rsid w:val="00EE58D7"/>
    <w:rsid w:val="00EE6021"/>
    <w:rsid w:val="00EE706C"/>
    <w:rsid w:val="00EE79CA"/>
    <w:rsid w:val="00EF31F4"/>
    <w:rsid w:val="00EF4B92"/>
    <w:rsid w:val="00EF5C85"/>
    <w:rsid w:val="00F022DA"/>
    <w:rsid w:val="00F07C2B"/>
    <w:rsid w:val="00F10BB3"/>
    <w:rsid w:val="00F14760"/>
    <w:rsid w:val="00F17BC8"/>
    <w:rsid w:val="00F24832"/>
    <w:rsid w:val="00F2672E"/>
    <w:rsid w:val="00F27758"/>
    <w:rsid w:val="00F27BB9"/>
    <w:rsid w:val="00F43C78"/>
    <w:rsid w:val="00F46029"/>
    <w:rsid w:val="00F62E6A"/>
    <w:rsid w:val="00F634D1"/>
    <w:rsid w:val="00F71B57"/>
    <w:rsid w:val="00F750C5"/>
    <w:rsid w:val="00F755EB"/>
    <w:rsid w:val="00F76879"/>
    <w:rsid w:val="00F77626"/>
    <w:rsid w:val="00F77F91"/>
    <w:rsid w:val="00F8198F"/>
    <w:rsid w:val="00F83EBA"/>
    <w:rsid w:val="00F87262"/>
    <w:rsid w:val="00F90357"/>
    <w:rsid w:val="00F9721E"/>
    <w:rsid w:val="00FA3C59"/>
    <w:rsid w:val="00FB01D5"/>
    <w:rsid w:val="00FB0ADE"/>
    <w:rsid w:val="00FB0BCA"/>
    <w:rsid w:val="00FB172C"/>
    <w:rsid w:val="00FB2D46"/>
    <w:rsid w:val="00FB5435"/>
    <w:rsid w:val="00FD51C3"/>
    <w:rsid w:val="00FD6EA4"/>
    <w:rsid w:val="00FE26F7"/>
    <w:rsid w:val="00FE343A"/>
    <w:rsid w:val="00FE783A"/>
    <w:rsid w:val="00FE7DE5"/>
    <w:rsid w:val="00FF3437"/>
    <w:rsid w:val="00FF42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4639"/>
    <w:pPr>
      <w:spacing w:line="360" w:lineRule="auto"/>
      <w:jc w:val="both"/>
    </w:pPr>
    <w:rPr>
      <w:sz w:val="24"/>
      <w:szCs w:val="22"/>
      <w:lang w:eastAsia="en-US"/>
    </w:rPr>
  </w:style>
  <w:style w:type="paragraph" w:styleId="Overskrift1">
    <w:name w:val="heading 1"/>
    <w:basedOn w:val="Normal"/>
    <w:next w:val="Normal"/>
    <w:link w:val="Overskrift1Tegn"/>
    <w:uiPriority w:val="99"/>
    <w:qFormat/>
    <w:rsid w:val="00BF3E6A"/>
    <w:pPr>
      <w:keepNext/>
      <w:keepLines/>
      <w:spacing w:before="480"/>
      <w:outlineLvl w:val="0"/>
    </w:pPr>
    <w:rPr>
      <w:rFonts w:ascii="Cambria" w:eastAsia="Times New Roman" w:hAnsi="Cambria"/>
      <w:b/>
      <w:bCs/>
      <w:sz w:val="28"/>
      <w:szCs w:val="28"/>
    </w:rPr>
  </w:style>
  <w:style w:type="paragraph" w:styleId="Overskrift2">
    <w:name w:val="heading 2"/>
    <w:basedOn w:val="Normal"/>
    <w:next w:val="Normal"/>
    <w:link w:val="Overskrift2Tegn"/>
    <w:uiPriority w:val="99"/>
    <w:qFormat/>
    <w:rsid w:val="00BF3E6A"/>
    <w:pPr>
      <w:keepNext/>
      <w:keepLines/>
      <w:spacing w:before="200"/>
      <w:outlineLvl w:val="1"/>
    </w:pPr>
    <w:rPr>
      <w:rFonts w:ascii="Cambria" w:eastAsia="Times New Roman" w:hAnsi="Cambria"/>
      <w:b/>
      <w:bCs/>
      <w:sz w:val="26"/>
      <w:szCs w:val="26"/>
    </w:rPr>
  </w:style>
  <w:style w:type="paragraph" w:styleId="Overskrift3">
    <w:name w:val="heading 3"/>
    <w:basedOn w:val="Normal"/>
    <w:next w:val="Normal"/>
    <w:link w:val="Overskrift3Tegn"/>
    <w:uiPriority w:val="99"/>
    <w:qFormat/>
    <w:rsid w:val="009432AA"/>
    <w:pPr>
      <w:keepNext/>
      <w:spacing w:before="240" w:after="60"/>
      <w:jc w:val="left"/>
      <w:outlineLvl w:val="2"/>
    </w:pPr>
    <w:rPr>
      <w:rFonts w:ascii="Arial" w:eastAsia="Times New Roman" w:hAnsi="Arial" w:cs="Arial"/>
      <w:b/>
      <w:bCs/>
      <w:sz w:val="26"/>
      <w:szCs w:val="26"/>
    </w:rPr>
  </w:style>
  <w:style w:type="paragraph" w:styleId="Overskrift4">
    <w:name w:val="heading 4"/>
    <w:basedOn w:val="Normal"/>
    <w:next w:val="Normal"/>
    <w:link w:val="Overskrift4Tegn"/>
    <w:unhideWhenUsed/>
    <w:qFormat/>
    <w:rsid w:val="006A1E10"/>
    <w:pPr>
      <w:keepNext/>
      <w:spacing w:before="240" w:after="60"/>
      <w:outlineLvl w:val="3"/>
    </w:pPr>
    <w:rPr>
      <w:rFonts w:eastAsia="Times New Roman"/>
      <w:b/>
      <w:bCs/>
      <w:sz w:val="28"/>
      <w:szCs w:val="28"/>
    </w:rPr>
  </w:style>
  <w:style w:type="paragraph" w:styleId="Overskrift5">
    <w:name w:val="heading 5"/>
    <w:basedOn w:val="Normal"/>
    <w:next w:val="Normal"/>
    <w:link w:val="Overskrift5Tegn"/>
    <w:unhideWhenUsed/>
    <w:qFormat/>
    <w:rsid w:val="00AF2D39"/>
    <w:pPr>
      <w:spacing w:before="240" w:after="60"/>
      <w:outlineLvl w:val="4"/>
    </w:pPr>
    <w:rPr>
      <w:rFonts w:eastAsia="Times New Roman"/>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F3E6A"/>
    <w:rPr>
      <w:rFonts w:ascii="Cambria" w:hAnsi="Cambria" w:cs="Times New Roman"/>
      <w:b/>
      <w:bCs/>
      <w:sz w:val="28"/>
      <w:szCs w:val="28"/>
    </w:rPr>
  </w:style>
  <w:style w:type="character" w:customStyle="1" w:styleId="Overskrift2Tegn">
    <w:name w:val="Overskrift 2 Tegn"/>
    <w:basedOn w:val="Standardskrifttypeiafsnit"/>
    <w:link w:val="Overskrift2"/>
    <w:uiPriority w:val="99"/>
    <w:locked/>
    <w:rsid w:val="00BF3E6A"/>
    <w:rPr>
      <w:rFonts w:ascii="Cambria" w:hAnsi="Cambria" w:cs="Times New Roman"/>
      <w:b/>
      <w:bCs/>
      <w:sz w:val="26"/>
      <w:szCs w:val="26"/>
    </w:rPr>
  </w:style>
  <w:style w:type="character" w:customStyle="1" w:styleId="Overskrift3Tegn">
    <w:name w:val="Overskrift 3 Tegn"/>
    <w:basedOn w:val="Standardskrifttypeiafsnit"/>
    <w:link w:val="Overskrift3"/>
    <w:uiPriority w:val="99"/>
    <w:locked/>
    <w:rsid w:val="009432AA"/>
    <w:rPr>
      <w:rFonts w:ascii="Arial" w:eastAsia="Times New Roman" w:hAnsi="Arial" w:cs="Arial"/>
      <w:b/>
      <w:bCs/>
      <w:sz w:val="26"/>
      <w:szCs w:val="26"/>
      <w:lang w:eastAsia="en-US"/>
    </w:rPr>
  </w:style>
  <w:style w:type="character" w:styleId="Strk">
    <w:name w:val="Strong"/>
    <w:basedOn w:val="Standardskrifttypeiafsnit"/>
    <w:uiPriority w:val="99"/>
    <w:qFormat/>
    <w:rsid w:val="008E438B"/>
    <w:rPr>
      <w:rFonts w:cs="Times New Roman"/>
      <w:b/>
      <w:bCs/>
    </w:rPr>
  </w:style>
  <w:style w:type="paragraph" w:styleId="NormalWeb">
    <w:name w:val="Normal (Web)"/>
    <w:basedOn w:val="Normal"/>
    <w:uiPriority w:val="99"/>
    <w:rsid w:val="0015127C"/>
    <w:pPr>
      <w:spacing w:before="100" w:beforeAutospacing="1" w:after="100" w:afterAutospacing="1"/>
    </w:pPr>
    <w:rPr>
      <w:rFonts w:eastAsia="Times New Roman"/>
      <w:szCs w:val="24"/>
      <w:lang w:eastAsia="da-DK"/>
    </w:rPr>
  </w:style>
  <w:style w:type="paragraph" w:styleId="Fodnotetekst">
    <w:name w:val="footnote text"/>
    <w:basedOn w:val="Normal"/>
    <w:link w:val="FodnotetekstTegn"/>
    <w:uiPriority w:val="99"/>
    <w:semiHidden/>
    <w:rsid w:val="00BB5B2C"/>
    <w:rPr>
      <w:sz w:val="20"/>
      <w:szCs w:val="20"/>
    </w:rPr>
  </w:style>
  <w:style w:type="character" w:customStyle="1" w:styleId="FodnotetekstTegn">
    <w:name w:val="Fodnotetekst Tegn"/>
    <w:basedOn w:val="Standardskrifttypeiafsnit"/>
    <w:link w:val="Fodnotetekst"/>
    <w:uiPriority w:val="99"/>
    <w:semiHidden/>
    <w:locked/>
    <w:rsid w:val="00BB5B2C"/>
    <w:rPr>
      <w:rFonts w:ascii="Times New Roman" w:hAnsi="Times New Roman" w:cs="Times New Roman"/>
      <w:sz w:val="20"/>
      <w:szCs w:val="20"/>
    </w:rPr>
  </w:style>
  <w:style w:type="character" w:styleId="Fodnotehenvisning">
    <w:name w:val="footnote reference"/>
    <w:basedOn w:val="Standardskrifttypeiafsnit"/>
    <w:uiPriority w:val="99"/>
    <w:semiHidden/>
    <w:rsid w:val="00BB5B2C"/>
    <w:rPr>
      <w:rFonts w:cs="Times New Roman"/>
      <w:vertAlign w:val="superscript"/>
    </w:rPr>
  </w:style>
  <w:style w:type="paragraph" w:styleId="Overskrift">
    <w:name w:val="TOC Heading"/>
    <w:basedOn w:val="Overskrift1"/>
    <w:next w:val="Normal"/>
    <w:uiPriority w:val="99"/>
    <w:qFormat/>
    <w:rsid w:val="00BF3E6A"/>
    <w:pPr>
      <w:spacing w:line="276" w:lineRule="auto"/>
      <w:outlineLvl w:val="9"/>
    </w:pPr>
  </w:style>
  <w:style w:type="paragraph" w:styleId="Markeringsbobletekst">
    <w:name w:val="Balloon Text"/>
    <w:basedOn w:val="Normal"/>
    <w:link w:val="MarkeringsbobletekstTegn"/>
    <w:uiPriority w:val="99"/>
    <w:semiHidden/>
    <w:rsid w:val="00BF3E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F3E6A"/>
    <w:rPr>
      <w:rFonts w:ascii="Tahoma" w:hAnsi="Tahoma" w:cs="Tahoma"/>
      <w:sz w:val="16"/>
      <w:szCs w:val="16"/>
    </w:rPr>
  </w:style>
  <w:style w:type="paragraph" w:styleId="Indholdsfortegnelse2">
    <w:name w:val="toc 2"/>
    <w:basedOn w:val="Normal"/>
    <w:next w:val="Normal"/>
    <w:autoRedefine/>
    <w:uiPriority w:val="39"/>
    <w:rsid w:val="00BF3E6A"/>
    <w:pPr>
      <w:spacing w:after="100"/>
      <w:ind w:left="240"/>
    </w:pPr>
  </w:style>
  <w:style w:type="character" w:styleId="Hyperlink">
    <w:name w:val="Hyperlink"/>
    <w:basedOn w:val="Standardskrifttypeiafsnit"/>
    <w:uiPriority w:val="99"/>
    <w:rsid w:val="00BF3E6A"/>
    <w:rPr>
      <w:rFonts w:cs="Times New Roman"/>
      <w:color w:val="0000FF"/>
      <w:u w:val="single"/>
    </w:rPr>
  </w:style>
  <w:style w:type="paragraph" w:styleId="Sidehoved">
    <w:name w:val="header"/>
    <w:basedOn w:val="Normal"/>
    <w:link w:val="SidehovedTegn"/>
    <w:uiPriority w:val="99"/>
    <w:rsid w:val="000E4CDE"/>
    <w:pPr>
      <w:tabs>
        <w:tab w:val="center" w:pos="4819"/>
        <w:tab w:val="right" w:pos="9638"/>
      </w:tabs>
    </w:pPr>
  </w:style>
  <w:style w:type="character" w:customStyle="1" w:styleId="SidehovedTegn">
    <w:name w:val="Sidehoved Tegn"/>
    <w:basedOn w:val="Standardskrifttypeiafsnit"/>
    <w:link w:val="Sidehoved"/>
    <w:uiPriority w:val="99"/>
    <w:locked/>
    <w:rsid w:val="000E4CDE"/>
    <w:rPr>
      <w:rFonts w:ascii="Times New Roman" w:hAnsi="Times New Roman" w:cs="Times New Roman"/>
      <w:sz w:val="24"/>
    </w:rPr>
  </w:style>
  <w:style w:type="paragraph" w:styleId="Sidefod">
    <w:name w:val="footer"/>
    <w:basedOn w:val="Normal"/>
    <w:link w:val="SidefodTegn"/>
    <w:uiPriority w:val="99"/>
    <w:rsid w:val="000E4CDE"/>
    <w:pPr>
      <w:tabs>
        <w:tab w:val="center" w:pos="4819"/>
        <w:tab w:val="right" w:pos="9638"/>
      </w:tabs>
    </w:pPr>
  </w:style>
  <w:style w:type="character" w:customStyle="1" w:styleId="SidefodTegn">
    <w:name w:val="Sidefod Tegn"/>
    <w:basedOn w:val="Standardskrifttypeiafsnit"/>
    <w:link w:val="Sidefod"/>
    <w:uiPriority w:val="99"/>
    <w:locked/>
    <w:rsid w:val="000E4CDE"/>
    <w:rPr>
      <w:rFonts w:ascii="Times New Roman" w:hAnsi="Times New Roman" w:cs="Times New Roman"/>
      <w:sz w:val="24"/>
    </w:rPr>
  </w:style>
  <w:style w:type="paragraph" w:styleId="Indholdsfortegnelse1">
    <w:name w:val="toc 1"/>
    <w:basedOn w:val="Normal"/>
    <w:next w:val="Normal"/>
    <w:autoRedefine/>
    <w:uiPriority w:val="39"/>
    <w:rsid w:val="00E17839"/>
    <w:pPr>
      <w:spacing w:after="100"/>
    </w:pPr>
  </w:style>
  <w:style w:type="paragraph" w:styleId="Listeafsnit">
    <w:name w:val="List Paragraph"/>
    <w:basedOn w:val="Normal"/>
    <w:uiPriority w:val="99"/>
    <w:qFormat/>
    <w:rsid w:val="004F080C"/>
    <w:pPr>
      <w:ind w:left="720"/>
      <w:contextualSpacing/>
    </w:pPr>
  </w:style>
  <w:style w:type="character" w:styleId="Sidetal">
    <w:name w:val="page number"/>
    <w:basedOn w:val="Standardskrifttypeiafsnit"/>
    <w:uiPriority w:val="99"/>
    <w:rsid w:val="00CB04D2"/>
    <w:rPr>
      <w:rFonts w:cs="Times New Roman"/>
    </w:rPr>
  </w:style>
  <w:style w:type="character" w:customStyle="1" w:styleId="hilight1">
    <w:name w:val="hilight1"/>
    <w:basedOn w:val="Standardskrifttypeiafsnit"/>
    <w:uiPriority w:val="99"/>
    <w:rsid w:val="00CB04D2"/>
    <w:rPr>
      <w:rFonts w:cs="Times New Roman"/>
      <w:shd w:val="clear" w:color="auto" w:fill="FFBB00"/>
    </w:rPr>
  </w:style>
  <w:style w:type="table" w:styleId="Tabel-Gitter">
    <w:name w:val="Table Grid"/>
    <w:basedOn w:val="Tabel-Normal"/>
    <w:uiPriority w:val="99"/>
    <w:rsid w:val="00833A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3">
    <w:name w:val="toc 3"/>
    <w:basedOn w:val="Normal"/>
    <w:next w:val="Normal"/>
    <w:autoRedefine/>
    <w:uiPriority w:val="39"/>
    <w:rsid w:val="00833A8D"/>
    <w:pPr>
      <w:spacing w:after="100"/>
      <w:ind w:left="480"/>
    </w:pPr>
  </w:style>
  <w:style w:type="paragraph" w:customStyle="1" w:styleId="Listeafsnit1">
    <w:name w:val="Listeafsnit1"/>
    <w:basedOn w:val="Normal"/>
    <w:uiPriority w:val="99"/>
    <w:rsid w:val="00FD6EA4"/>
    <w:pPr>
      <w:ind w:left="720"/>
      <w:contextualSpacing/>
    </w:pPr>
    <w:rPr>
      <w:rFonts w:eastAsia="Times New Roman"/>
    </w:rPr>
  </w:style>
  <w:style w:type="character" w:customStyle="1" w:styleId="hovedresume1">
    <w:name w:val="hovedresume1"/>
    <w:basedOn w:val="Standardskrifttypeiafsnit"/>
    <w:rsid w:val="00A85DA1"/>
    <w:rPr>
      <w:rFonts w:ascii="Verdana" w:hAnsi="Verdana" w:cs="Times New Roman"/>
      <w:color w:val="000000"/>
      <w:sz w:val="17"/>
      <w:szCs w:val="17"/>
    </w:rPr>
  </w:style>
  <w:style w:type="character" w:customStyle="1" w:styleId="hord1">
    <w:name w:val="hord1"/>
    <w:basedOn w:val="Standardskrifttypeiafsnit"/>
    <w:rsid w:val="00A85DA1"/>
    <w:rPr>
      <w:rFonts w:cs="Times New Roman"/>
      <w:shd w:val="clear" w:color="auto" w:fill="C0C0C0"/>
    </w:rPr>
  </w:style>
  <w:style w:type="character" w:customStyle="1" w:styleId="presid1">
    <w:name w:val="presid1"/>
    <w:basedOn w:val="Standardskrifttypeiafsnit"/>
    <w:rsid w:val="00A85DA1"/>
    <w:rPr>
      <w:rFonts w:ascii="Verdana" w:hAnsi="Verdana" w:cs="Times New Roman"/>
      <w:b/>
      <w:bCs/>
      <w:color w:val="000000"/>
      <w:sz w:val="17"/>
      <w:szCs w:val="17"/>
    </w:rPr>
  </w:style>
  <w:style w:type="character" w:customStyle="1" w:styleId="empty">
    <w:name w:val="empty"/>
    <w:basedOn w:val="Standardskrifttypeiafsnit"/>
    <w:uiPriority w:val="99"/>
    <w:rsid w:val="007A32DF"/>
    <w:rPr>
      <w:rFonts w:cs="Times New Roman"/>
    </w:rPr>
  </w:style>
  <w:style w:type="character" w:customStyle="1" w:styleId="overskrift10">
    <w:name w:val="overskrift1"/>
    <w:basedOn w:val="Standardskrifttypeiafsnit"/>
    <w:uiPriority w:val="99"/>
    <w:rsid w:val="007A32DF"/>
    <w:rPr>
      <w:rFonts w:ascii="Verdana" w:hAnsi="Verdana" w:cs="Times New Roman"/>
      <w:b/>
      <w:bCs/>
      <w:color w:val="FF9900"/>
      <w:sz w:val="23"/>
      <w:szCs w:val="23"/>
    </w:rPr>
  </w:style>
  <w:style w:type="character" w:styleId="BesgtHyperlink">
    <w:name w:val="FollowedHyperlink"/>
    <w:basedOn w:val="Standardskrifttypeiafsnit"/>
    <w:uiPriority w:val="99"/>
    <w:semiHidden/>
    <w:rsid w:val="00F77626"/>
    <w:rPr>
      <w:rFonts w:cs="Times New Roman"/>
      <w:color w:val="800080"/>
      <w:u w:val="single"/>
    </w:rPr>
  </w:style>
  <w:style w:type="paragraph" w:styleId="z-Nederstiformularen">
    <w:name w:val="HTML Bottom of Form"/>
    <w:basedOn w:val="Normal"/>
    <w:next w:val="Normal"/>
    <w:link w:val="z-NederstiformularenTegn"/>
    <w:hidden/>
    <w:uiPriority w:val="99"/>
    <w:rsid w:val="00172472"/>
    <w:pPr>
      <w:pBdr>
        <w:top w:val="single" w:sz="6" w:space="1" w:color="auto"/>
      </w:pBdr>
      <w:spacing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locked/>
    <w:rsid w:val="00172472"/>
    <w:rPr>
      <w:rFonts w:ascii="Arial" w:hAnsi="Arial" w:cs="Arial"/>
      <w:vanish/>
      <w:sz w:val="16"/>
      <w:szCs w:val="16"/>
      <w:lang w:eastAsia="da-DK"/>
    </w:rPr>
  </w:style>
  <w:style w:type="paragraph" w:styleId="z-verstiformularen">
    <w:name w:val="HTML Top of Form"/>
    <w:basedOn w:val="Normal"/>
    <w:next w:val="Normal"/>
    <w:link w:val="z-verstiformularenTegn"/>
    <w:hidden/>
    <w:uiPriority w:val="99"/>
    <w:semiHidden/>
    <w:rsid w:val="00405EC9"/>
    <w:pPr>
      <w:pBdr>
        <w:bottom w:val="single" w:sz="6" w:space="1" w:color="auto"/>
      </w:pBdr>
      <w:spacing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locked/>
    <w:rsid w:val="00405EC9"/>
    <w:rPr>
      <w:rFonts w:ascii="Arial" w:hAnsi="Arial" w:cs="Arial"/>
      <w:vanish/>
      <w:sz w:val="16"/>
      <w:szCs w:val="16"/>
      <w:lang w:eastAsia="da-DK"/>
    </w:rPr>
  </w:style>
  <w:style w:type="character" w:customStyle="1" w:styleId="dokref1">
    <w:name w:val="dokref1"/>
    <w:basedOn w:val="Standardskrifttypeiafsnit"/>
    <w:uiPriority w:val="99"/>
    <w:rsid w:val="000A1F52"/>
    <w:rPr>
      <w:rFonts w:cs="Times New Roman"/>
    </w:rPr>
  </w:style>
  <w:style w:type="character" w:styleId="Kommentarhenvisning">
    <w:name w:val="annotation reference"/>
    <w:basedOn w:val="Standardskrifttypeiafsnit"/>
    <w:uiPriority w:val="99"/>
    <w:semiHidden/>
    <w:rsid w:val="00ED4C98"/>
    <w:rPr>
      <w:rFonts w:cs="Times New Roman"/>
      <w:sz w:val="16"/>
      <w:szCs w:val="16"/>
    </w:rPr>
  </w:style>
  <w:style w:type="paragraph" w:styleId="Kommentartekst">
    <w:name w:val="annotation text"/>
    <w:basedOn w:val="Normal"/>
    <w:link w:val="KommentartekstTegn"/>
    <w:uiPriority w:val="99"/>
    <w:semiHidden/>
    <w:rsid w:val="00ED4C98"/>
    <w:rPr>
      <w:sz w:val="20"/>
      <w:szCs w:val="20"/>
    </w:rPr>
  </w:style>
  <w:style w:type="character" w:customStyle="1" w:styleId="KommentartekstTegn">
    <w:name w:val="Kommentartekst Tegn"/>
    <w:basedOn w:val="Standardskrifttypeiafsnit"/>
    <w:link w:val="Kommentartekst"/>
    <w:uiPriority w:val="99"/>
    <w:semiHidden/>
    <w:locked/>
    <w:rsid w:val="0064392D"/>
    <w:rPr>
      <w:rFonts w:cs="Times New Roman"/>
      <w:sz w:val="20"/>
      <w:szCs w:val="20"/>
      <w:lang w:eastAsia="en-US"/>
    </w:rPr>
  </w:style>
  <w:style w:type="paragraph" w:styleId="Kommentaremne">
    <w:name w:val="annotation subject"/>
    <w:basedOn w:val="Kommentartekst"/>
    <w:next w:val="Kommentartekst"/>
    <w:link w:val="KommentaremneTegn"/>
    <w:uiPriority w:val="99"/>
    <w:semiHidden/>
    <w:rsid w:val="00ED4C98"/>
    <w:rPr>
      <w:b/>
      <w:bCs/>
    </w:rPr>
  </w:style>
  <w:style w:type="character" w:customStyle="1" w:styleId="KommentaremneTegn">
    <w:name w:val="Kommentaremne Tegn"/>
    <w:basedOn w:val="KommentartekstTegn"/>
    <w:link w:val="Kommentaremne"/>
    <w:uiPriority w:val="99"/>
    <w:semiHidden/>
    <w:locked/>
    <w:rsid w:val="0064392D"/>
    <w:rPr>
      <w:b/>
      <w:bCs/>
    </w:rPr>
  </w:style>
  <w:style w:type="character" w:customStyle="1" w:styleId="Overskrift4Tegn">
    <w:name w:val="Overskrift 4 Tegn"/>
    <w:basedOn w:val="Standardskrifttypeiafsnit"/>
    <w:link w:val="Overskrift4"/>
    <w:rsid w:val="006A1E10"/>
    <w:rPr>
      <w:rFonts w:ascii="Calibri" w:eastAsia="Times New Roman" w:hAnsi="Calibri" w:cs="Times New Roman"/>
      <w:b/>
      <w:bCs/>
      <w:sz w:val="28"/>
      <w:szCs w:val="28"/>
      <w:lang w:eastAsia="en-US"/>
    </w:rPr>
  </w:style>
  <w:style w:type="character" w:customStyle="1" w:styleId="Overskrift5Tegn">
    <w:name w:val="Overskrift 5 Tegn"/>
    <w:basedOn w:val="Standardskrifttypeiafsnit"/>
    <w:link w:val="Overskrift5"/>
    <w:rsid w:val="00AF2D39"/>
    <w:rPr>
      <w:rFonts w:ascii="Calibri" w:eastAsia="Times New Roman" w:hAnsi="Calibri" w:cs="Times New Roman"/>
      <w:b/>
      <w:bCs/>
      <w:i/>
      <w:iCs/>
      <w:sz w:val="26"/>
      <w:szCs w:val="26"/>
      <w:lang w:eastAsia="en-US"/>
    </w:rPr>
  </w:style>
  <w:style w:type="paragraph" w:styleId="Billedtekst">
    <w:name w:val="caption"/>
    <w:basedOn w:val="Normal"/>
    <w:next w:val="Normal"/>
    <w:uiPriority w:val="35"/>
    <w:unhideWhenUsed/>
    <w:qFormat/>
    <w:rsid w:val="00A007F6"/>
    <w:rPr>
      <w:b/>
      <w:bCs/>
      <w:sz w:val="20"/>
      <w:szCs w:val="20"/>
    </w:rPr>
  </w:style>
  <w:style w:type="paragraph" w:styleId="Listeoverfigurer">
    <w:name w:val="table of figures"/>
    <w:basedOn w:val="Normal"/>
    <w:next w:val="Normal"/>
    <w:uiPriority w:val="99"/>
    <w:unhideWhenUsed/>
    <w:locked/>
    <w:rsid w:val="00337429"/>
  </w:style>
  <w:style w:type="paragraph" w:styleId="Indholdsfortegnelse4">
    <w:name w:val="toc 4"/>
    <w:basedOn w:val="Normal"/>
    <w:next w:val="Normal"/>
    <w:autoRedefine/>
    <w:uiPriority w:val="39"/>
    <w:rsid w:val="00EF4B92"/>
    <w:pPr>
      <w:ind w:left="720"/>
    </w:pPr>
  </w:style>
  <w:style w:type="paragraph" w:styleId="Indholdsfortegnelse5">
    <w:name w:val="toc 5"/>
    <w:basedOn w:val="Normal"/>
    <w:next w:val="Normal"/>
    <w:autoRedefine/>
    <w:uiPriority w:val="39"/>
    <w:rsid w:val="00EF4B92"/>
    <w:pPr>
      <w:ind w:left="960"/>
    </w:pPr>
  </w:style>
  <w:style w:type="character" w:customStyle="1" w:styleId="stykke1">
    <w:name w:val="stykke1"/>
    <w:basedOn w:val="Standardskrifttypeiafsnit"/>
    <w:rsid w:val="00951117"/>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35861683">
      <w:bodyDiv w:val="1"/>
      <w:marLeft w:val="0"/>
      <w:marRight w:val="0"/>
      <w:marTop w:val="0"/>
      <w:marBottom w:val="0"/>
      <w:divBdr>
        <w:top w:val="none" w:sz="0" w:space="0" w:color="auto"/>
        <w:left w:val="none" w:sz="0" w:space="0" w:color="auto"/>
        <w:bottom w:val="none" w:sz="0" w:space="0" w:color="auto"/>
        <w:right w:val="none" w:sz="0" w:space="0" w:color="auto"/>
      </w:divBdr>
    </w:div>
    <w:div w:id="313222289">
      <w:bodyDiv w:val="1"/>
      <w:marLeft w:val="0"/>
      <w:marRight w:val="0"/>
      <w:marTop w:val="0"/>
      <w:marBottom w:val="0"/>
      <w:divBdr>
        <w:top w:val="none" w:sz="0" w:space="0" w:color="auto"/>
        <w:left w:val="none" w:sz="0" w:space="0" w:color="auto"/>
        <w:bottom w:val="none" w:sz="0" w:space="0" w:color="auto"/>
        <w:right w:val="none" w:sz="0" w:space="0" w:color="auto"/>
      </w:divBdr>
    </w:div>
    <w:div w:id="325472577">
      <w:bodyDiv w:val="1"/>
      <w:marLeft w:val="0"/>
      <w:marRight w:val="0"/>
      <w:marTop w:val="0"/>
      <w:marBottom w:val="0"/>
      <w:divBdr>
        <w:top w:val="none" w:sz="0" w:space="0" w:color="auto"/>
        <w:left w:val="single" w:sz="48" w:space="15" w:color="F3F7FD"/>
        <w:bottom w:val="none" w:sz="0" w:space="0" w:color="auto"/>
        <w:right w:val="none" w:sz="0" w:space="0" w:color="auto"/>
      </w:divBdr>
      <w:divsChild>
        <w:div w:id="1987003687">
          <w:blockQuote w:val="1"/>
          <w:marLeft w:val="330"/>
          <w:marRight w:val="720"/>
          <w:marTop w:val="100"/>
          <w:marBottom w:val="100"/>
          <w:divBdr>
            <w:top w:val="none" w:sz="0" w:space="0" w:color="auto"/>
            <w:left w:val="none" w:sz="0" w:space="0" w:color="auto"/>
            <w:bottom w:val="none" w:sz="0" w:space="0" w:color="auto"/>
            <w:right w:val="none" w:sz="0" w:space="0" w:color="auto"/>
          </w:divBdr>
        </w:div>
      </w:divsChild>
    </w:div>
    <w:div w:id="538932440">
      <w:bodyDiv w:val="1"/>
      <w:marLeft w:val="0"/>
      <w:marRight w:val="0"/>
      <w:marTop w:val="0"/>
      <w:marBottom w:val="0"/>
      <w:divBdr>
        <w:top w:val="none" w:sz="0" w:space="0" w:color="auto"/>
        <w:left w:val="single" w:sz="48" w:space="15" w:color="F3F7FD"/>
        <w:bottom w:val="none" w:sz="0" w:space="0" w:color="auto"/>
        <w:right w:val="none" w:sz="0" w:space="0" w:color="auto"/>
      </w:divBdr>
      <w:divsChild>
        <w:div w:id="894270393">
          <w:blockQuote w:val="1"/>
          <w:marLeft w:val="330"/>
          <w:marRight w:val="720"/>
          <w:marTop w:val="100"/>
          <w:marBottom w:val="100"/>
          <w:divBdr>
            <w:top w:val="none" w:sz="0" w:space="0" w:color="auto"/>
            <w:left w:val="none" w:sz="0" w:space="0" w:color="auto"/>
            <w:bottom w:val="none" w:sz="0" w:space="0" w:color="auto"/>
            <w:right w:val="none" w:sz="0" w:space="0" w:color="auto"/>
          </w:divBdr>
        </w:div>
      </w:divsChild>
    </w:div>
    <w:div w:id="600913288">
      <w:bodyDiv w:val="1"/>
      <w:marLeft w:val="0"/>
      <w:marRight w:val="0"/>
      <w:marTop w:val="0"/>
      <w:marBottom w:val="0"/>
      <w:divBdr>
        <w:top w:val="none" w:sz="0" w:space="0" w:color="auto"/>
        <w:left w:val="none" w:sz="0" w:space="0" w:color="auto"/>
        <w:bottom w:val="none" w:sz="0" w:space="0" w:color="auto"/>
        <w:right w:val="none" w:sz="0" w:space="0" w:color="auto"/>
      </w:divBdr>
    </w:div>
    <w:div w:id="678002449">
      <w:bodyDiv w:val="1"/>
      <w:marLeft w:val="0"/>
      <w:marRight w:val="0"/>
      <w:marTop w:val="0"/>
      <w:marBottom w:val="0"/>
      <w:divBdr>
        <w:top w:val="none" w:sz="0" w:space="0" w:color="auto"/>
        <w:left w:val="none" w:sz="0" w:space="0" w:color="auto"/>
        <w:bottom w:val="none" w:sz="0" w:space="0" w:color="auto"/>
        <w:right w:val="none" w:sz="0" w:space="0" w:color="auto"/>
      </w:divBdr>
    </w:div>
    <w:div w:id="805925637">
      <w:bodyDiv w:val="1"/>
      <w:marLeft w:val="0"/>
      <w:marRight w:val="0"/>
      <w:marTop w:val="0"/>
      <w:marBottom w:val="0"/>
      <w:divBdr>
        <w:top w:val="none" w:sz="0" w:space="0" w:color="auto"/>
        <w:left w:val="none" w:sz="0" w:space="0" w:color="auto"/>
        <w:bottom w:val="none" w:sz="0" w:space="0" w:color="auto"/>
        <w:right w:val="none" w:sz="0" w:space="0" w:color="auto"/>
      </w:divBdr>
    </w:div>
    <w:div w:id="979923361">
      <w:marLeft w:val="0"/>
      <w:marRight w:val="0"/>
      <w:marTop w:val="0"/>
      <w:marBottom w:val="0"/>
      <w:divBdr>
        <w:top w:val="none" w:sz="0" w:space="0" w:color="auto"/>
        <w:left w:val="none" w:sz="0" w:space="0" w:color="auto"/>
        <w:bottom w:val="none" w:sz="0" w:space="0" w:color="auto"/>
        <w:right w:val="none" w:sz="0" w:space="0" w:color="auto"/>
      </w:divBdr>
    </w:div>
    <w:div w:id="979923362">
      <w:marLeft w:val="0"/>
      <w:marRight w:val="0"/>
      <w:marTop w:val="0"/>
      <w:marBottom w:val="0"/>
      <w:divBdr>
        <w:top w:val="none" w:sz="0" w:space="0" w:color="auto"/>
        <w:left w:val="single" w:sz="48" w:space="15" w:color="F3F7FD"/>
        <w:bottom w:val="none" w:sz="0" w:space="0" w:color="auto"/>
        <w:right w:val="none" w:sz="0" w:space="0" w:color="auto"/>
      </w:divBdr>
      <w:divsChild>
        <w:div w:id="979923376">
          <w:marLeft w:val="330"/>
          <w:marRight w:val="720"/>
          <w:marTop w:val="100"/>
          <w:marBottom w:val="100"/>
          <w:divBdr>
            <w:top w:val="none" w:sz="0" w:space="0" w:color="auto"/>
            <w:left w:val="none" w:sz="0" w:space="0" w:color="auto"/>
            <w:bottom w:val="none" w:sz="0" w:space="0" w:color="auto"/>
            <w:right w:val="none" w:sz="0" w:space="0" w:color="auto"/>
          </w:divBdr>
        </w:div>
      </w:divsChild>
    </w:div>
    <w:div w:id="979923363">
      <w:marLeft w:val="0"/>
      <w:marRight w:val="0"/>
      <w:marTop w:val="0"/>
      <w:marBottom w:val="0"/>
      <w:divBdr>
        <w:top w:val="none" w:sz="0" w:space="0" w:color="auto"/>
        <w:left w:val="none" w:sz="0" w:space="0" w:color="auto"/>
        <w:bottom w:val="none" w:sz="0" w:space="0" w:color="auto"/>
        <w:right w:val="none" w:sz="0" w:space="0" w:color="auto"/>
      </w:divBdr>
    </w:div>
    <w:div w:id="979923364">
      <w:marLeft w:val="0"/>
      <w:marRight w:val="0"/>
      <w:marTop w:val="0"/>
      <w:marBottom w:val="0"/>
      <w:divBdr>
        <w:top w:val="none" w:sz="0" w:space="0" w:color="auto"/>
        <w:left w:val="none" w:sz="0" w:space="0" w:color="auto"/>
        <w:bottom w:val="none" w:sz="0" w:space="0" w:color="auto"/>
        <w:right w:val="none" w:sz="0" w:space="0" w:color="auto"/>
      </w:divBdr>
    </w:div>
    <w:div w:id="979923365">
      <w:marLeft w:val="0"/>
      <w:marRight w:val="0"/>
      <w:marTop w:val="0"/>
      <w:marBottom w:val="0"/>
      <w:divBdr>
        <w:top w:val="none" w:sz="0" w:space="0" w:color="auto"/>
        <w:left w:val="none" w:sz="0" w:space="0" w:color="auto"/>
        <w:bottom w:val="none" w:sz="0" w:space="0" w:color="auto"/>
        <w:right w:val="none" w:sz="0" w:space="0" w:color="auto"/>
      </w:divBdr>
    </w:div>
    <w:div w:id="979923366">
      <w:marLeft w:val="0"/>
      <w:marRight w:val="0"/>
      <w:marTop w:val="0"/>
      <w:marBottom w:val="0"/>
      <w:divBdr>
        <w:top w:val="none" w:sz="0" w:space="0" w:color="auto"/>
        <w:left w:val="none" w:sz="0" w:space="0" w:color="auto"/>
        <w:bottom w:val="none" w:sz="0" w:space="0" w:color="auto"/>
        <w:right w:val="none" w:sz="0" w:space="0" w:color="auto"/>
      </w:divBdr>
    </w:div>
    <w:div w:id="979923367">
      <w:marLeft w:val="0"/>
      <w:marRight w:val="0"/>
      <w:marTop w:val="0"/>
      <w:marBottom w:val="0"/>
      <w:divBdr>
        <w:top w:val="none" w:sz="0" w:space="0" w:color="auto"/>
        <w:left w:val="none" w:sz="0" w:space="0" w:color="auto"/>
        <w:bottom w:val="none" w:sz="0" w:space="0" w:color="auto"/>
        <w:right w:val="none" w:sz="0" w:space="0" w:color="auto"/>
      </w:divBdr>
    </w:div>
    <w:div w:id="979923368">
      <w:marLeft w:val="0"/>
      <w:marRight w:val="0"/>
      <w:marTop w:val="0"/>
      <w:marBottom w:val="0"/>
      <w:divBdr>
        <w:top w:val="none" w:sz="0" w:space="0" w:color="auto"/>
        <w:left w:val="none" w:sz="0" w:space="0" w:color="auto"/>
        <w:bottom w:val="none" w:sz="0" w:space="0" w:color="auto"/>
        <w:right w:val="none" w:sz="0" w:space="0" w:color="auto"/>
      </w:divBdr>
    </w:div>
    <w:div w:id="979923369">
      <w:marLeft w:val="0"/>
      <w:marRight w:val="0"/>
      <w:marTop w:val="0"/>
      <w:marBottom w:val="0"/>
      <w:divBdr>
        <w:top w:val="none" w:sz="0" w:space="0" w:color="auto"/>
        <w:left w:val="none" w:sz="0" w:space="0" w:color="auto"/>
        <w:bottom w:val="none" w:sz="0" w:space="0" w:color="auto"/>
        <w:right w:val="none" w:sz="0" w:space="0" w:color="auto"/>
      </w:divBdr>
    </w:div>
    <w:div w:id="979923370">
      <w:marLeft w:val="0"/>
      <w:marRight w:val="0"/>
      <w:marTop w:val="0"/>
      <w:marBottom w:val="0"/>
      <w:divBdr>
        <w:top w:val="none" w:sz="0" w:space="0" w:color="auto"/>
        <w:left w:val="none" w:sz="0" w:space="0" w:color="auto"/>
        <w:bottom w:val="none" w:sz="0" w:space="0" w:color="auto"/>
        <w:right w:val="none" w:sz="0" w:space="0" w:color="auto"/>
      </w:divBdr>
    </w:div>
    <w:div w:id="979923371">
      <w:marLeft w:val="0"/>
      <w:marRight w:val="0"/>
      <w:marTop w:val="0"/>
      <w:marBottom w:val="0"/>
      <w:divBdr>
        <w:top w:val="none" w:sz="0" w:space="0" w:color="auto"/>
        <w:left w:val="none" w:sz="0" w:space="0" w:color="auto"/>
        <w:bottom w:val="none" w:sz="0" w:space="0" w:color="auto"/>
        <w:right w:val="none" w:sz="0" w:space="0" w:color="auto"/>
      </w:divBdr>
    </w:div>
    <w:div w:id="979923372">
      <w:marLeft w:val="0"/>
      <w:marRight w:val="0"/>
      <w:marTop w:val="0"/>
      <w:marBottom w:val="0"/>
      <w:divBdr>
        <w:top w:val="none" w:sz="0" w:space="0" w:color="auto"/>
        <w:left w:val="none" w:sz="0" w:space="0" w:color="auto"/>
        <w:bottom w:val="none" w:sz="0" w:space="0" w:color="auto"/>
        <w:right w:val="none" w:sz="0" w:space="0" w:color="auto"/>
      </w:divBdr>
    </w:div>
    <w:div w:id="979923373">
      <w:marLeft w:val="0"/>
      <w:marRight w:val="0"/>
      <w:marTop w:val="0"/>
      <w:marBottom w:val="0"/>
      <w:divBdr>
        <w:top w:val="none" w:sz="0" w:space="0" w:color="auto"/>
        <w:left w:val="none" w:sz="0" w:space="0" w:color="auto"/>
        <w:bottom w:val="none" w:sz="0" w:space="0" w:color="auto"/>
        <w:right w:val="none" w:sz="0" w:space="0" w:color="auto"/>
      </w:divBdr>
    </w:div>
    <w:div w:id="979923375">
      <w:marLeft w:val="0"/>
      <w:marRight w:val="0"/>
      <w:marTop w:val="0"/>
      <w:marBottom w:val="0"/>
      <w:divBdr>
        <w:top w:val="none" w:sz="0" w:space="0" w:color="auto"/>
        <w:left w:val="none" w:sz="0" w:space="0" w:color="auto"/>
        <w:bottom w:val="none" w:sz="0" w:space="0" w:color="auto"/>
        <w:right w:val="none" w:sz="0" w:space="0" w:color="auto"/>
      </w:divBdr>
    </w:div>
    <w:div w:id="979923377">
      <w:marLeft w:val="0"/>
      <w:marRight w:val="0"/>
      <w:marTop w:val="0"/>
      <w:marBottom w:val="0"/>
      <w:divBdr>
        <w:top w:val="none" w:sz="0" w:space="0" w:color="auto"/>
        <w:left w:val="none" w:sz="0" w:space="0" w:color="auto"/>
        <w:bottom w:val="none" w:sz="0" w:space="0" w:color="auto"/>
        <w:right w:val="none" w:sz="0" w:space="0" w:color="auto"/>
      </w:divBdr>
    </w:div>
    <w:div w:id="979923378">
      <w:marLeft w:val="0"/>
      <w:marRight w:val="0"/>
      <w:marTop w:val="0"/>
      <w:marBottom w:val="0"/>
      <w:divBdr>
        <w:top w:val="none" w:sz="0" w:space="0" w:color="auto"/>
        <w:left w:val="none" w:sz="0" w:space="0" w:color="auto"/>
        <w:bottom w:val="none" w:sz="0" w:space="0" w:color="auto"/>
        <w:right w:val="none" w:sz="0" w:space="0" w:color="auto"/>
      </w:divBdr>
    </w:div>
    <w:div w:id="979923379">
      <w:marLeft w:val="0"/>
      <w:marRight w:val="0"/>
      <w:marTop w:val="0"/>
      <w:marBottom w:val="0"/>
      <w:divBdr>
        <w:top w:val="none" w:sz="0" w:space="0" w:color="auto"/>
        <w:left w:val="none" w:sz="0" w:space="0" w:color="auto"/>
        <w:bottom w:val="none" w:sz="0" w:space="0" w:color="auto"/>
        <w:right w:val="none" w:sz="0" w:space="0" w:color="auto"/>
      </w:divBdr>
    </w:div>
    <w:div w:id="979923380">
      <w:marLeft w:val="0"/>
      <w:marRight w:val="0"/>
      <w:marTop w:val="0"/>
      <w:marBottom w:val="0"/>
      <w:divBdr>
        <w:top w:val="none" w:sz="0" w:space="0" w:color="auto"/>
        <w:left w:val="none" w:sz="0" w:space="0" w:color="auto"/>
        <w:bottom w:val="none" w:sz="0" w:space="0" w:color="auto"/>
        <w:right w:val="none" w:sz="0" w:space="0" w:color="auto"/>
      </w:divBdr>
    </w:div>
    <w:div w:id="979923381">
      <w:marLeft w:val="0"/>
      <w:marRight w:val="0"/>
      <w:marTop w:val="0"/>
      <w:marBottom w:val="0"/>
      <w:divBdr>
        <w:top w:val="none" w:sz="0" w:space="0" w:color="auto"/>
        <w:left w:val="none" w:sz="0" w:space="0" w:color="auto"/>
        <w:bottom w:val="none" w:sz="0" w:space="0" w:color="auto"/>
        <w:right w:val="none" w:sz="0" w:space="0" w:color="auto"/>
      </w:divBdr>
    </w:div>
    <w:div w:id="979923382">
      <w:marLeft w:val="0"/>
      <w:marRight w:val="0"/>
      <w:marTop w:val="0"/>
      <w:marBottom w:val="0"/>
      <w:divBdr>
        <w:top w:val="none" w:sz="0" w:space="0" w:color="auto"/>
        <w:left w:val="none" w:sz="0" w:space="0" w:color="auto"/>
        <w:bottom w:val="none" w:sz="0" w:space="0" w:color="auto"/>
        <w:right w:val="none" w:sz="0" w:space="0" w:color="auto"/>
      </w:divBdr>
    </w:div>
    <w:div w:id="979923383">
      <w:marLeft w:val="0"/>
      <w:marRight w:val="0"/>
      <w:marTop w:val="0"/>
      <w:marBottom w:val="0"/>
      <w:divBdr>
        <w:top w:val="none" w:sz="0" w:space="0" w:color="auto"/>
        <w:left w:val="none" w:sz="0" w:space="0" w:color="auto"/>
        <w:bottom w:val="none" w:sz="0" w:space="0" w:color="auto"/>
        <w:right w:val="none" w:sz="0" w:space="0" w:color="auto"/>
      </w:divBdr>
    </w:div>
    <w:div w:id="979923384">
      <w:marLeft w:val="0"/>
      <w:marRight w:val="0"/>
      <w:marTop w:val="0"/>
      <w:marBottom w:val="0"/>
      <w:divBdr>
        <w:top w:val="none" w:sz="0" w:space="0" w:color="auto"/>
        <w:left w:val="none" w:sz="0" w:space="0" w:color="auto"/>
        <w:bottom w:val="none" w:sz="0" w:space="0" w:color="auto"/>
        <w:right w:val="none" w:sz="0" w:space="0" w:color="auto"/>
      </w:divBdr>
    </w:div>
    <w:div w:id="979923385">
      <w:marLeft w:val="0"/>
      <w:marRight w:val="0"/>
      <w:marTop w:val="0"/>
      <w:marBottom w:val="0"/>
      <w:divBdr>
        <w:top w:val="none" w:sz="0" w:space="0" w:color="auto"/>
        <w:left w:val="single" w:sz="48" w:space="15" w:color="F3F7FD"/>
        <w:bottom w:val="none" w:sz="0" w:space="0" w:color="auto"/>
        <w:right w:val="none" w:sz="0" w:space="0" w:color="auto"/>
      </w:divBdr>
      <w:divsChild>
        <w:div w:id="979923374">
          <w:marLeft w:val="330"/>
          <w:marRight w:val="720"/>
          <w:marTop w:val="100"/>
          <w:marBottom w:val="100"/>
          <w:divBdr>
            <w:top w:val="none" w:sz="0" w:space="0" w:color="auto"/>
            <w:left w:val="none" w:sz="0" w:space="0" w:color="auto"/>
            <w:bottom w:val="none" w:sz="0" w:space="0" w:color="auto"/>
            <w:right w:val="none" w:sz="0" w:space="0" w:color="auto"/>
          </w:divBdr>
        </w:div>
      </w:divsChild>
    </w:div>
    <w:div w:id="979923386">
      <w:marLeft w:val="0"/>
      <w:marRight w:val="0"/>
      <w:marTop w:val="0"/>
      <w:marBottom w:val="0"/>
      <w:divBdr>
        <w:top w:val="none" w:sz="0" w:space="0" w:color="auto"/>
        <w:left w:val="single" w:sz="48" w:space="15" w:color="F3F7FD"/>
        <w:bottom w:val="none" w:sz="0" w:space="0" w:color="auto"/>
        <w:right w:val="none" w:sz="0" w:space="0" w:color="auto"/>
      </w:divBdr>
      <w:divsChild>
        <w:div w:id="979923387">
          <w:marLeft w:val="330"/>
          <w:marRight w:val="720"/>
          <w:marTop w:val="100"/>
          <w:marBottom w:val="100"/>
          <w:divBdr>
            <w:top w:val="none" w:sz="0" w:space="0" w:color="auto"/>
            <w:left w:val="none" w:sz="0" w:space="0" w:color="auto"/>
            <w:bottom w:val="none" w:sz="0" w:space="0" w:color="auto"/>
            <w:right w:val="none" w:sz="0" w:space="0" w:color="auto"/>
          </w:divBdr>
        </w:div>
      </w:divsChild>
    </w:div>
    <w:div w:id="979923388">
      <w:marLeft w:val="0"/>
      <w:marRight w:val="0"/>
      <w:marTop w:val="0"/>
      <w:marBottom w:val="0"/>
      <w:divBdr>
        <w:top w:val="none" w:sz="0" w:space="0" w:color="auto"/>
        <w:left w:val="none" w:sz="0" w:space="0" w:color="auto"/>
        <w:bottom w:val="none" w:sz="0" w:space="0" w:color="auto"/>
        <w:right w:val="none" w:sz="0" w:space="0" w:color="auto"/>
      </w:divBdr>
    </w:div>
    <w:div w:id="979923389">
      <w:marLeft w:val="0"/>
      <w:marRight w:val="0"/>
      <w:marTop w:val="0"/>
      <w:marBottom w:val="0"/>
      <w:divBdr>
        <w:top w:val="none" w:sz="0" w:space="0" w:color="auto"/>
        <w:left w:val="none" w:sz="0" w:space="0" w:color="auto"/>
        <w:bottom w:val="none" w:sz="0" w:space="0" w:color="auto"/>
        <w:right w:val="none" w:sz="0" w:space="0" w:color="auto"/>
      </w:divBdr>
    </w:div>
    <w:div w:id="979923390">
      <w:marLeft w:val="0"/>
      <w:marRight w:val="0"/>
      <w:marTop w:val="0"/>
      <w:marBottom w:val="0"/>
      <w:divBdr>
        <w:top w:val="none" w:sz="0" w:space="0" w:color="auto"/>
        <w:left w:val="single" w:sz="48" w:space="15" w:color="F3F7FD"/>
        <w:bottom w:val="none" w:sz="0" w:space="0" w:color="auto"/>
        <w:right w:val="none" w:sz="0" w:space="0" w:color="auto"/>
      </w:divBdr>
      <w:divsChild>
        <w:div w:id="979923391">
          <w:marLeft w:val="330"/>
          <w:marRight w:val="720"/>
          <w:marTop w:val="100"/>
          <w:marBottom w:val="100"/>
          <w:divBdr>
            <w:top w:val="none" w:sz="0" w:space="0" w:color="auto"/>
            <w:left w:val="none" w:sz="0" w:space="0" w:color="auto"/>
            <w:bottom w:val="none" w:sz="0" w:space="0" w:color="auto"/>
            <w:right w:val="none" w:sz="0" w:space="0" w:color="auto"/>
          </w:divBdr>
        </w:div>
      </w:divsChild>
    </w:div>
    <w:div w:id="979923392">
      <w:marLeft w:val="0"/>
      <w:marRight w:val="0"/>
      <w:marTop w:val="0"/>
      <w:marBottom w:val="0"/>
      <w:divBdr>
        <w:top w:val="none" w:sz="0" w:space="0" w:color="auto"/>
        <w:left w:val="none" w:sz="0" w:space="0" w:color="auto"/>
        <w:bottom w:val="none" w:sz="0" w:space="0" w:color="auto"/>
        <w:right w:val="none" w:sz="0" w:space="0" w:color="auto"/>
      </w:divBdr>
    </w:div>
    <w:div w:id="979923393">
      <w:marLeft w:val="0"/>
      <w:marRight w:val="0"/>
      <w:marTop w:val="0"/>
      <w:marBottom w:val="0"/>
      <w:divBdr>
        <w:top w:val="none" w:sz="0" w:space="0" w:color="auto"/>
        <w:left w:val="none" w:sz="0" w:space="0" w:color="auto"/>
        <w:bottom w:val="none" w:sz="0" w:space="0" w:color="auto"/>
        <w:right w:val="none" w:sz="0" w:space="0" w:color="auto"/>
      </w:divBdr>
    </w:div>
    <w:div w:id="979923394">
      <w:marLeft w:val="0"/>
      <w:marRight w:val="0"/>
      <w:marTop w:val="0"/>
      <w:marBottom w:val="0"/>
      <w:divBdr>
        <w:top w:val="none" w:sz="0" w:space="0" w:color="auto"/>
        <w:left w:val="none" w:sz="0" w:space="0" w:color="auto"/>
        <w:bottom w:val="none" w:sz="0" w:space="0" w:color="auto"/>
        <w:right w:val="none" w:sz="0" w:space="0" w:color="auto"/>
      </w:divBdr>
    </w:div>
    <w:div w:id="979923395">
      <w:marLeft w:val="0"/>
      <w:marRight w:val="0"/>
      <w:marTop w:val="0"/>
      <w:marBottom w:val="0"/>
      <w:divBdr>
        <w:top w:val="none" w:sz="0" w:space="0" w:color="auto"/>
        <w:left w:val="none" w:sz="0" w:space="0" w:color="auto"/>
        <w:bottom w:val="none" w:sz="0" w:space="0" w:color="auto"/>
        <w:right w:val="none" w:sz="0" w:space="0" w:color="auto"/>
      </w:divBdr>
    </w:div>
    <w:div w:id="979923396">
      <w:marLeft w:val="0"/>
      <w:marRight w:val="0"/>
      <w:marTop w:val="0"/>
      <w:marBottom w:val="0"/>
      <w:divBdr>
        <w:top w:val="none" w:sz="0" w:space="0" w:color="auto"/>
        <w:left w:val="none" w:sz="0" w:space="0" w:color="auto"/>
        <w:bottom w:val="none" w:sz="0" w:space="0" w:color="auto"/>
        <w:right w:val="none" w:sz="0" w:space="0" w:color="auto"/>
      </w:divBdr>
    </w:div>
    <w:div w:id="979923397">
      <w:marLeft w:val="0"/>
      <w:marRight w:val="0"/>
      <w:marTop w:val="0"/>
      <w:marBottom w:val="0"/>
      <w:divBdr>
        <w:top w:val="none" w:sz="0" w:space="0" w:color="auto"/>
        <w:left w:val="none" w:sz="0" w:space="0" w:color="auto"/>
        <w:bottom w:val="none" w:sz="0" w:space="0" w:color="auto"/>
        <w:right w:val="none" w:sz="0" w:space="0" w:color="auto"/>
      </w:divBdr>
    </w:div>
    <w:div w:id="979923398">
      <w:marLeft w:val="0"/>
      <w:marRight w:val="0"/>
      <w:marTop w:val="0"/>
      <w:marBottom w:val="0"/>
      <w:divBdr>
        <w:top w:val="none" w:sz="0" w:space="0" w:color="auto"/>
        <w:left w:val="none" w:sz="0" w:space="0" w:color="auto"/>
        <w:bottom w:val="none" w:sz="0" w:space="0" w:color="auto"/>
        <w:right w:val="none" w:sz="0" w:space="0" w:color="auto"/>
      </w:divBdr>
    </w:div>
    <w:div w:id="979923399">
      <w:marLeft w:val="0"/>
      <w:marRight w:val="0"/>
      <w:marTop w:val="0"/>
      <w:marBottom w:val="0"/>
      <w:divBdr>
        <w:top w:val="none" w:sz="0" w:space="0" w:color="auto"/>
        <w:left w:val="none" w:sz="0" w:space="0" w:color="auto"/>
        <w:bottom w:val="none" w:sz="0" w:space="0" w:color="auto"/>
        <w:right w:val="none" w:sz="0" w:space="0" w:color="auto"/>
      </w:divBdr>
    </w:div>
    <w:div w:id="979923400">
      <w:marLeft w:val="0"/>
      <w:marRight w:val="0"/>
      <w:marTop w:val="0"/>
      <w:marBottom w:val="0"/>
      <w:divBdr>
        <w:top w:val="none" w:sz="0" w:space="0" w:color="auto"/>
        <w:left w:val="none" w:sz="0" w:space="0" w:color="auto"/>
        <w:bottom w:val="none" w:sz="0" w:space="0" w:color="auto"/>
        <w:right w:val="none" w:sz="0" w:space="0" w:color="auto"/>
      </w:divBdr>
    </w:div>
    <w:div w:id="979923401">
      <w:marLeft w:val="0"/>
      <w:marRight w:val="0"/>
      <w:marTop w:val="0"/>
      <w:marBottom w:val="0"/>
      <w:divBdr>
        <w:top w:val="none" w:sz="0" w:space="0" w:color="auto"/>
        <w:left w:val="none" w:sz="0" w:space="0" w:color="auto"/>
        <w:bottom w:val="none" w:sz="0" w:space="0" w:color="auto"/>
        <w:right w:val="none" w:sz="0" w:space="0" w:color="auto"/>
      </w:divBdr>
    </w:div>
    <w:div w:id="979923402">
      <w:marLeft w:val="0"/>
      <w:marRight w:val="0"/>
      <w:marTop w:val="0"/>
      <w:marBottom w:val="0"/>
      <w:divBdr>
        <w:top w:val="none" w:sz="0" w:space="0" w:color="auto"/>
        <w:left w:val="none" w:sz="0" w:space="0" w:color="auto"/>
        <w:bottom w:val="none" w:sz="0" w:space="0" w:color="auto"/>
        <w:right w:val="none" w:sz="0" w:space="0" w:color="auto"/>
      </w:divBdr>
    </w:div>
    <w:div w:id="979923403">
      <w:marLeft w:val="0"/>
      <w:marRight w:val="0"/>
      <w:marTop w:val="0"/>
      <w:marBottom w:val="0"/>
      <w:divBdr>
        <w:top w:val="none" w:sz="0" w:space="0" w:color="auto"/>
        <w:left w:val="none" w:sz="0" w:space="0" w:color="auto"/>
        <w:bottom w:val="none" w:sz="0" w:space="0" w:color="auto"/>
        <w:right w:val="none" w:sz="0" w:space="0" w:color="auto"/>
      </w:divBdr>
    </w:div>
    <w:div w:id="979923404">
      <w:marLeft w:val="0"/>
      <w:marRight w:val="0"/>
      <w:marTop w:val="0"/>
      <w:marBottom w:val="0"/>
      <w:divBdr>
        <w:top w:val="none" w:sz="0" w:space="0" w:color="auto"/>
        <w:left w:val="none" w:sz="0" w:space="0" w:color="auto"/>
        <w:bottom w:val="none" w:sz="0" w:space="0" w:color="auto"/>
        <w:right w:val="none" w:sz="0" w:space="0" w:color="auto"/>
      </w:divBdr>
    </w:div>
    <w:div w:id="979923405">
      <w:marLeft w:val="0"/>
      <w:marRight w:val="0"/>
      <w:marTop w:val="0"/>
      <w:marBottom w:val="0"/>
      <w:divBdr>
        <w:top w:val="none" w:sz="0" w:space="0" w:color="auto"/>
        <w:left w:val="none" w:sz="0" w:space="0" w:color="auto"/>
        <w:bottom w:val="none" w:sz="0" w:space="0" w:color="auto"/>
        <w:right w:val="none" w:sz="0" w:space="0" w:color="auto"/>
      </w:divBdr>
    </w:div>
    <w:div w:id="979923406">
      <w:marLeft w:val="0"/>
      <w:marRight w:val="0"/>
      <w:marTop w:val="0"/>
      <w:marBottom w:val="0"/>
      <w:divBdr>
        <w:top w:val="none" w:sz="0" w:space="0" w:color="auto"/>
        <w:left w:val="none" w:sz="0" w:space="0" w:color="auto"/>
        <w:bottom w:val="none" w:sz="0" w:space="0" w:color="auto"/>
        <w:right w:val="none" w:sz="0" w:space="0" w:color="auto"/>
      </w:divBdr>
    </w:div>
    <w:div w:id="979923407">
      <w:marLeft w:val="0"/>
      <w:marRight w:val="0"/>
      <w:marTop w:val="0"/>
      <w:marBottom w:val="0"/>
      <w:divBdr>
        <w:top w:val="none" w:sz="0" w:space="0" w:color="auto"/>
        <w:left w:val="none" w:sz="0" w:space="0" w:color="auto"/>
        <w:bottom w:val="none" w:sz="0" w:space="0" w:color="auto"/>
        <w:right w:val="none" w:sz="0" w:space="0" w:color="auto"/>
      </w:divBdr>
    </w:div>
    <w:div w:id="979923408">
      <w:marLeft w:val="0"/>
      <w:marRight w:val="0"/>
      <w:marTop w:val="0"/>
      <w:marBottom w:val="0"/>
      <w:divBdr>
        <w:top w:val="none" w:sz="0" w:space="0" w:color="auto"/>
        <w:left w:val="none" w:sz="0" w:space="0" w:color="auto"/>
        <w:bottom w:val="none" w:sz="0" w:space="0" w:color="auto"/>
        <w:right w:val="none" w:sz="0" w:space="0" w:color="auto"/>
      </w:divBdr>
    </w:div>
    <w:div w:id="979923409">
      <w:marLeft w:val="0"/>
      <w:marRight w:val="0"/>
      <w:marTop w:val="0"/>
      <w:marBottom w:val="0"/>
      <w:divBdr>
        <w:top w:val="none" w:sz="0" w:space="0" w:color="auto"/>
        <w:left w:val="none" w:sz="0" w:space="0" w:color="auto"/>
        <w:bottom w:val="none" w:sz="0" w:space="0" w:color="auto"/>
        <w:right w:val="none" w:sz="0" w:space="0" w:color="auto"/>
      </w:divBdr>
    </w:div>
    <w:div w:id="979923410">
      <w:marLeft w:val="0"/>
      <w:marRight w:val="0"/>
      <w:marTop w:val="0"/>
      <w:marBottom w:val="0"/>
      <w:divBdr>
        <w:top w:val="none" w:sz="0" w:space="0" w:color="auto"/>
        <w:left w:val="none" w:sz="0" w:space="0" w:color="auto"/>
        <w:bottom w:val="none" w:sz="0" w:space="0" w:color="auto"/>
        <w:right w:val="none" w:sz="0" w:space="0" w:color="auto"/>
      </w:divBdr>
    </w:div>
    <w:div w:id="979923411">
      <w:marLeft w:val="0"/>
      <w:marRight w:val="0"/>
      <w:marTop w:val="0"/>
      <w:marBottom w:val="0"/>
      <w:divBdr>
        <w:top w:val="none" w:sz="0" w:space="0" w:color="auto"/>
        <w:left w:val="none" w:sz="0" w:space="0" w:color="auto"/>
        <w:bottom w:val="none" w:sz="0" w:space="0" w:color="auto"/>
        <w:right w:val="none" w:sz="0" w:space="0" w:color="auto"/>
      </w:divBdr>
    </w:div>
    <w:div w:id="979923412">
      <w:marLeft w:val="0"/>
      <w:marRight w:val="0"/>
      <w:marTop w:val="0"/>
      <w:marBottom w:val="0"/>
      <w:divBdr>
        <w:top w:val="none" w:sz="0" w:space="0" w:color="auto"/>
        <w:left w:val="none" w:sz="0" w:space="0" w:color="auto"/>
        <w:bottom w:val="none" w:sz="0" w:space="0" w:color="auto"/>
        <w:right w:val="none" w:sz="0" w:space="0" w:color="auto"/>
      </w:divBdr>
    </w:div>
    <w:div w:id="979923413">
      <w:marLeft w:val="0"/>
      <w:marRight w:val="0"/>
      <w:marTop w:val="0"/>
      <w:marBottom w:val="0"/>
      <w:divBdr>
        <w:top w:val="none" w:sz="0" w:space="0" w:color="auto"/>
        <w:left w:val="none" w:sz="0" w:space="0" w:color="auto"/>
        <w:bottom w:val="none" w:sz="0" w:space="0" w:color="auto"/>
        <w:right w:val="none" w:sz="0" w:space="0" w:color="auto"/>
      </w:divBdr>
    </w:div>
    <w:div w:id="979923414">
      <w:marLeft w:val="0"/>
      <w:marRight w:val="0"/>
      <w:marTop w:val="0"/>
      <w:marBottom w:val="0"/>
      <w:divBdr>
        <w:top w:val="none" w:sz="0" w:space="0" w:color="auto"/>
        <w:left w:val="none" w:sz="0" w:space="0" w:color="auto"/>
        <w:bottom w:val="none" w:sz="0" w:space="0" w:color="auto"/>
        <w:right w:val="none" w:sz="0" w:space="0" w:color="auto"/>
      </w:divBdr>
    </w:div>
    <w:div w:id="979923415">
      <w:marLeft w:val="0"/>
      <w:marRight w:val="0"/>
      <w:marTop w:val="0"/>
      <w:marBottom w:val="0"/>
      <w:divBdr>
        <w:top w:val="none" w:sz="0" w:space="0" w:color="auto"/>
        <w:left w:val="none" w:sz="0" w:space="0" w:color="auto"/>
        <w:bottom w:val="none" w:sz="0" w:space="0" w:color="auto"/>
        <w:right w:val="none" w:sz="0" w:space="0" w:color="auto"/>
      </w:divBdr>
    </w:div>
    <w:div w:id="979923416">
      <w:marLeft w:val="0"/>
      <w:marRight w:val="0"/>
      <w:marTop w:val="0"/>
      <w:marBottom w:val="0"/>
      <w:divBdr>
        <w:top w:val="none" w:sz="0" w:space="0" w:color="auto"/>
        <w:left w:val="none" w:sz="0" w:space="0" w:color="auto"/>
        <w:bottom w:val="none" w:sz="0" w:space="0" w:color="auto"/>
        <w:right w:val="none" w:sz="0" w:space="0" w:color="auto"/>
      </w:divBdr>
    </w:div>
    <w:div w:id="979923417">
      <w:marLeft w:val="0"/>
      <w:marRight w:val="0"/>
      <w:marTop w:val="0"/>
      <w:marBottom w:val="0"/>
      <w:divBdr>
        <w:top w:val="none" w:sz="0" w:space="0" w:color="auto"/>
        <w:left w:val="none" w:sz="0" w:space="0" w:color="auto"/>
        <w:bottom w:val="none" w:sz="0" w:space="0" w:color="auto"/>
        <w:right w:val="none" w:sz="0" w:space="0" w:color="auto"/>
      </w:divBdr>
    </w:div>
    <w:div w:id="979923418">
      <w:marLeft w:val="0"/>
      <w:marRight w:val="0"/>
      <w:marTop w:val="0"/>
      <w:marBottom w:val="0"/>
      <w:divBdr>
        <w:top w:val="none" w:sz="0" w:space="0" w:color="auto"/>
        <w:left w:val="none" w:sz="0" w:space="0" w:color="auto"/>
        <w:bottom w:val="none" w:sz="0" w:space="0" w:color="auto"/>
        <w:right w:val="none" w:sz="0" w:space="0" w:color="auto"/>
      </w:divBdr>
    </w:div>
    <w:div w:id="979923419">
      <w:marLeft w:val="0"/>
      <w:marRight w:val="0"/>
      <w:marTop w:val="0"/>
      <w:marBottom w:val="0"/>
      <w:divBdr>
        <w:top w:val="none" w:sz="0" w:space="0" w:color="auto"/>
        <w:left w:val="none" w:sz="0" w:space="0" w:color="auto"/>
        <w:bottom w:val="none" w:sz="0" w:space="0" w:color="auto"/>
        <w:right w:val="none" w:sz="0" w:space="0" w:color="auto"/>
      </w:divBdr>
    </w:div>
    <w:div w:id="979923420">
      <w:marLeft w:val="0"/>
      <w:marRight w:val="0"/>
      <w:marTop w:val="0"/>
      <w:marBottom w:val="0"/>
      <w:divBdr>
        <w:top w:val="none" w:sz="0" w:space="0" w:color="auto"/>
        <w:left w:val="none" w:sz="0" w:space="0" w:color="auto"/>
        <w:bottom w:val="none" w:sz="0" w:space="0" w:color="auto"/>
        <w:right w:val="none" w:sz="0" w:space="0" w:color="auto"/>
      </w:divBdr>
    </w:div>
    <w:div w:id="979923421">
      <w:marLeft w:val="0"/>
      <w:marRight w:val="0"/>
      <w:marTop w:val="0"/>
      <w:marBottom w:val="0"/>
      <w:divBdr>
        <w:top w:val="none" w:sz="0" w:space="0" w:color="auto"/>
        <w:left w:val="none" w:sz="0" w:space="0" w:color="auto"/>
        <w:bottom w:val="none" w:sz="0" w:space="0" w:color="auto"/>
        <w:right w:val="none" w:sz="0" w:space="0" w:color="auto"/>
      </w:divBdr>
    </w:div>
    <w:div w:id="979923422">
      <w:marLeft w:val="0"/>
      <w:marRight w:val="0"/>
      <w:marTop w:val="0"/>
      <w:marBottom w:val="0"/>
      <w:divBdr>
        <w:top w:val="none" w:sz="0" w:space="0" w:color="auto"/>
        <w:left w:val="none" w:sz="0" w:space="0" w:color="auto"/>
        <w:bottom w:val="none" w:sz="0" w:space="0" w:color="auto"/>
        <w:right w:val="none" w:sz="0" w:space="0" w:color="auto"/>
      </w:divBdr>
    </w:div>
    <w:div w:id="979923423">
      <w:marLeft w:val="0"/>
      <w:marRight w:val="0"/>
      <w:marTop w:val="0"/>
      <w:marBottom w:val="0"/>
      <w:divBdr>
        <w:top w:val="none" w:sz="0" w:space="0" w:color="auto"/>
        <w:left w:val="none" w:sz="0" w:space="0" w:color="auto"/>
        <w:bottom w:val="none" w:sz="0" w:space="0" w:color="auto"/>
        <w:right w:val="none" w:sz="0" w:space="0" w:color="auto"/>
      </w:divBdr>
    </w:div>
    <w:div w:id="979923424">
      <w:marLeft w:val="0"/>
      <w:marRight w:val="0"/>
      <w:marTop w:val="0"/>
      <w:marBottom w:val="0"/>
      <w:divBdr>
        <w:top w:val="none" w:sz="0" w:space="0" w:color="auto"/>
        <w:left w:val="none" w:sz="0" w:space="0" w:color="auto"/>
        <w:bottom w:val="none" w:sz="0" w:space="0" w:color="auto"/>
        <w:right w:val="none" w:sz="0" w:space="0" w:color="auto"/>
      </w:divBdr>
    </w:div>
    <w:div w:id="979923425">
      <w:marLeft w:val="0"/>
      <w:marRight w:val="0"/>
      <w:marTop w:val="0"/>
      <w:marBottom w:val="0"/>
      <w:divBdr>
        <w:top w:val="none" w:sz="0" w:space="0" w:color="auto"/>
        <w:left w:val="none" w:sz="0" w:space="0" w:color="auto"/>
        <w:bottom w:val="none" w:sz="0" w:space="0" w:color="auto"/>
        <w:right w:val="none" w:sz="0" w:space="0" w:color="auto"/>
      </w:divBdr>
    </w:div>
    <w:div w:id="979923426">
      <w:marLeft w:val="0"/>
      <w:marRight w:val="0"/>
      <w:marTop w:val="0"/>
      <w:marBottom w:val="0"/>
      <w:divBdr>
        <w:top w:val="none" w:sz="0" w:space="0" w:color="auto"/>
        <w:left w:val="none" w:sz="0" w:space="0" w:color="auto"/>
        <w:bottom w:val="none" w:sz="0" w:space="0" w:color="auto"/>
        <w:right w:val="none" w:sz="0" w:space="0" w:color="auto"/>
      </w:divBdr>
    </w:div>
    <w:div w:id="979923427">
      <w:marLeft w:val="0"/>
      <w:marRight w:val="0"/>
      <w:marTop w:val="0"/>
      <w:marBottom w:val="0"/>
      <w:divBdr>
        <w:top w:val="none" w:sz="0" w:space="0" w:color="auto"/>
        <w:left w:val="none" w:sz="0" w:space="0" w:color="auto"/>
        <w:bottom w:val="none" w:sz="0" w:space="0" w:color="auto"/>
        <w:right w:val="none" w:sz="0" w:space="0" w:color="auto"/>
      </w:divBdr>
    </w:div>
    <w:div w:id="979923428">
      <w:marLeft w:val="0"/>
      <w:marRight w:val="0"/>
      <w:marTop w:val="0"/>
      <w:marBottom w:val="0"/>
      <w:divBdr>
        <w:top w:val="none" w:sz="0" w:space="0" w:color="auto"/>
        <w:left w:val="none" w:sz="0" w:space="0" w:color="auto"/>
        <w:bottom w:val="none" w:sz="0" w:space="0" w:color="auto"/>
        <w:right w:val="none" w:sz="0" w:space="0" w:color="auto"/>
      </w:divBdr>
    </w:div>
    <w:div w:id="979923429">
      <w:marLeft w:val="0"/>
      <w:marRight w:val="0"/>
      <w:marTop w:val="0"/>
      <w:marBottom w:val="0"/>
      <w:divBdr>
        <w:top w:val="none" w:sz="0" w:space="0" w:color="auto"/>
        <w:left w:val="none" w:sz="0" w:space="0" w:color="auto"/>
        <w:bottom w:val="none" w:sz="0" w:space="0" w:color="auto"/>
        <w:right w:val="none" w:sz="0" w:space="0" w:color="auto"/>
      </w:divBdr>
    </w:div>
    <w:div w:id="979923430">
      <w:marLeft w:val="0"/>
      <w:marRight w:val="0"/>
      <w:marTop w:val="0"/>
      <w:marBottom w:val="0"/>
      <w:divBdr>
        <w:top w:val="none" w:sz="0" w:space="0" w:color="auto"/>
        <w:left w:val="none" w:sz="0" w:space="0" w:color="auto"/>
        <w:bottom w:val="none" w:sz="0" w:space="0" w:color="auto"/>
        <w:right w:val="none" w:sz="0" w:space="0" w:color="auto"/>
      </w:divBdr>
    </w:div>
    <w:div w:id="979923431">
      <w:marLeft w:val="0"/>
      <w:marRight w:val="0"/>
      <w:marTop w:val="0"/>
      <w:marBottom w:val="0"/>
      <w:divBdr>
        <w:top w:val="none" w:sz="0" w:space="0" w:color="auto"/>
        <w:left w:val="none" w:sz="0" w:space="0" w:color="auto"/>
        <w:bottom w:val="none" w:sz="0" w:space="0" w:color="auto"/>
        <w:right w:val="none" w:sz="0" w:space="0" w:color="auto"/>
      </w:divBdr>
    </w:div>
    <w:div w:id="979923432">
      <w:marLeft w:val="0"/>
      <w:marRight w:val="0"/>
      <w:marTop w:val="0"/>
      <w:marBottom w:val="0"/>
      <w:divBdr>
        <w:top w:val="none" w:sz="0" w:space="0" w:color="auto"/>
        <w:left w:val="none" w:sz="0" w:space="0" w:color="auto"/>
        <w:bottom w:val="none" w:sz="0" w:space="0" w:color="auto"/>
        <w:right w:val="none" w:sz="0" w:space="0" w:color="auto"/>
      </w:divBdr>
    </w:div>
    <w:div w:id="979923433">
      <w:marLeft w:val="0"/>
      <w:marRight w:val="0"/>
      <w:marTop w:val="0"/>
      <w:marBottom w:val="0"/>
      <w:divBdr>
        <w:top w:val="none" w:sz="0" w:space="0" w:color="auto"/>
        <w:left w:val="none" w:sz="0" w:space="0" w:color="auto"/>
        <w:bottom w:val="none" w:sz="0" w:space="0" w:color="auto"/>
        <w:right w:val="none" w:sz="0" w:space="0" w:color="auto"/>
      </w:divBdr>
    </w:div>
    <w:div w:id="979923434">
      <w:marLeft w:val="0"/>
      <w:marRight w:val="0"/>
      <w:marTop w:val="0"/>
      <w:marBottom w:val="0"/>
      <w:divBdr>
        <w:top w:val="none" w:sz="0" w:space="0" w:color="auto"/>
        <w:left w:val="none" w:sz="0" w:space="0" w:color="auto"/>
        <w:bottom w:val="none" w:sz="0" w:space="0" w:color="auto"/>
        <w:right w:val="none" w:sz="0" w:space="0" w:color="auto"/>
      </w:divBdr>
    </w:div>
    <w:div w:id="979923435">
      <w:marLeft w:val="0"/>
      <w:marRight w:val="0"/>
      <w:marTop w:val="0"/>
      <w:marBottom w:val="0"/>
      <w:divBdr>
        <w:top w:val="none" w:sz="0" w:space="0" w:color="auto"/>
        <w:left w:val="none" w:sz="0" w:space="0" w:color="auto"/>
        <w:bottom w:val="none" w:sz="0" w:space="0" w:color="auto"/>
        <w:right w:val="none" w:sz="0" w:space="0" w:color="auto"/>
      </w:divBdr>
    </w:div>
    <w:div w:id="1030569072">
      <w:bodyDiv w:val="1"/>
      <w:marLeft w:val="0"/>
      <w:marRight w:val="0"/>
      <w:marTop w:val="0"/>
      <w:marBottom w:val="0"/>
      <w:divBdr>
        <w:top w:val="none" w:sz="0" w:space="0" w:color="auto"/>
        <w:left w:val="single" w:sz="48" w:space="15" w:color="F3F7FD"/>
        <w:bottom w:val="none" w:sz="0" w:space="0" w:color="auto"/>
        <w:right w:val="none" w:sz="0" w:space="0" w:color="auto"/>
      </w:divBdr>
      <w:divsChild>
        <w:div w:id="9260623">
          <w:blockQuote w:val="1"/>
          <w:marLeft w:val="330"/>
          <w:marRight w:val="720"/>
          <w:marTop w:val="100"/>
          <w:marBottom w:val="100"/>
          <w:divBdr>
            <w:top w:val="none" w:sz="0" w:space="0" w:color="auto"/>
            <w:left w:val="none" w:sz="0" w:space="0" w:color="auto"/>
            <w:bottom w:val="none" w:sz="0" w:space="0" w:color="auto"/>
            <w:right w:val="none" w:sz="0" w:space="0" w:color="auto"/>
          </w:divBdr>
        </w:div>
      </w:divsChild>
    </w:div>
    <w:div w:id="1121609000">
      <w:bodyDiv w:val="1"/>
      <w:marLeft w:val="0"/>
      <w:marRight w:val="0"/>
      <w:marTop w:val="0"/>
      <w:marBottom w:val="0"/>
      <w:divBdr>
        <w:top w:val="none" w:sz="0" w:space="0" w:color="auto"/>
        <w:left w:val="none" w:sz="0" w:space="0" w:color="auto"/>
        <w:bottom w:val="none" w:sz="0" w:space="0" w:color="auto"/>
        <w:right w:val="none" w:sz="0" w:space="0" w:color="auto"/>
      </w:divBdr>
    </w:div>
    <w:div w:id="1178621335">
      <w:bodyDiv w:val="1"/>
      <w:marLeft w:val="0"/>
      <w:marRight w:val="0"/>
      <w:marTop w:val="0"/>
      <w:marBottom w:val="0"/>
      <w:divBdr>
        <w:top w:val="none" w:sz="0" w:space="0" w:color="auto"/>
        <w:left w:val="none" w:sz="0" w:space="0" w:color="auto"/>
        <w:bottom w:val="none" w:sz="0" w:space="0" w:color="auto"/>
        <w:right w:val="none" w:sz="0" w:space="0" w:color="auto"/>
      </w:divBdr>
    </w:div>
    <w:div w:id="1293441622">
      <w:bodyDiv w:val="1"/>
      <w:marLeft w:val="0"/>
      <w:marRight w:val="0"/>
      <w:marTop w:val="0"/>
      <w:marBottom w:val="0"/>
      <w:divBdr>
        <w:top w:val="none" w:sz="0" w:space="0" w:color="auto"/>
        <w:left w:val="none" w:sz="0" w:space="0" w:color="auto"/>
        <w:bottom w:val="none" w:sz="0" w:space="0" w:color="auto"/>
        <w:right w:val="none" w:sz="0" w:space="0" w:color="auto"/>
      </w:divBdr>
    </w:div>
    <w:div w:id="1330475814">
      <w:bodyDiv w:val="1"/>
      <w:marLeft w:val="0"/>
      <w:marRight w:val="0"/>
      <w:marTop w:val="0"/>
      <w:marBottom w:val="0"/>
      <w:divBdr>
        <w:top w:val="none" w:sz="0" w:space="0" w:color="auto"/>
        <w:left w:val="none" w:sz="0" w:space="0" w:color="auto"/>
        <w:bottom w:val="none" w:sz="0" w:space="0" w:color="auto"/>
        <w:right w:val="none" w:sz="0" w:space="0" w:color="auto"/>
      </w:divBdr>
    </w:div>
    <w:div w:id="1662733036">
      <w:bodyDiv w:val="1"/>
      <w:marLeft w:val="0"/>
      <w:marRight w:val="0"/>
      <w:marTop w:val="0"/>
      <w:marBottom w:val="0"/>
      <w:divBdr>
        <w:top w:val="none" w:sz="0" w:space="0" w:color="auto"/>
        <w:left w:val="none" w:sz="0" w:space="0" w:color="auto"/>
        <w:bottom w:val="none" w:sz="0" w:space="0" w:color="auto"/>
        <w:right w:val="none" w:sz="0" w:space="0" w:color="auto"/>
      </w:divBdr>
    </w:div>
    <w:div w:id="17118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hyperlink" Target="http://www.eogs.dk"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thomson.dk/pls/onl/ilsedocs.docbyref?idr=LBKG20061017.%A711&amp;vid=335-1-2002&amp;taty=rel" TargetMode="External"/><Relationship Id="rId25" Type="http://schemas.openxmlformats.org/officeDocument/2006/relationships/hyperlink" Target="http://www.skm.dk"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retsinfo.dk"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www.skat.dk" TargetMode="External"/><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AC9C-34CE-4178-8EC5-0B610C85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37949</Words>
  <Characters>231489</Characters>
  <Application>Microsoft Office Word</Application>
  <DocSecurity>0</DocSecurity>
  <Lines>1929</Lines>
  <Paragraphs>537</Paragraphs>
  <ScaleCrop>false</ScaleCrop>
  <HeadingPairs>
    <vt:vector size="2" baseType="variant">
      <vt:variant>
        <vt:lpstr>Titel</vt:lpstr>
      </vt:variant>
      <vt:variant>
        <vt:i4>1</vt:i4>
      </vt:variant>
    </vt:vector>
  </HeadingPairs>
  <TitlesOfParts>
    <vt:vector size="1" baseType="lpstr">
      <vt:lpstr>Indhold</vt:lpstr>
    </vt:vector>
  </TitlesOfParts>
  <Company>BDO ScanRevision</Company>
  <LinksUpToDate>false</LinksUpToDate>
  <CharactersWithSpaces>268901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Indhold</dc:title>
  <dc:creator>Pernille Miller</dc:creator>
  <cp:lastModifiedBy>Jane J T Holm Jensen</cp:lastModifiedBy>
  <cp:revision>2</cp:revision>
  <cp:lastPrinted>2009-02-04T20:47:00Z</cp:lastPrinted>
  <dcterms:created xsi:type="dcterms:W3CDTF">2009-02-04T20:50:00Z</dcterms:created>
  <dcterms:modified xsi:type="dcterms:W3CDTF">2009-02-04T20:50:00Z</dcterms:modified>
</cp:coreProperties>
</file>